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E3183" w:rsidR="00A03B34" w:rsidRDefault="004C2593">
      <w:r w:rsidRPr="00CE3183">
        <w:rPr>
          <w:b/>
        </w:rPr>
        <w:t>Het Oostelijke Partnerschap: waarden en belangen</w:t>
      </w:r>
    </w:p>
    <w:p w:rsidR="005101C8" w:rsidP="005101C8" w:rsidRDefault="005101C8">
      <w:pPr>
        <w:rPr>
          <w:rFonts w:cs="Univers"/>
          <w:szCs w:val="18"/>
        </w:rPr>
      </w:pPr>
      <w:r>
        <w:t>De Top vindt plaats ruim twee jaar na de lancering van het Oostelijk Partnerschap tijdens de Top van Praag op 7 mei 2009 (zie</w:t>
      </w:r>
      <w:r w:rsidR="00B74E74">
        <w:t>:</w:t>
      </w:r>
      <w:r>
        <w:t xml:space="preserve"> </w:t>
      </w:r>
      <w:r w:rsidR="004134F0">
        <w:t>‘</w:t>
      </w:r>
      <w:r w:rsidRPr="005101C8" w:rsidR="00FB4EAE">
        <w:rPr>
          <w:szCs w:val="18"/>
        </w:rPr>
        <w:t xml:space="preserve">Verslag van de Top </w:t>
      </w:r>
      <w:r w:rsidRPr="005101C8" w:rsidR="00FB4EAE">
        <w:rPr>
          <w:rFonts w:cs="Univers"/>
          <w:szCs w:val="18"/>
        </w:rPr>
        <w:t>betreffende het Oostelijk Partnerschap van de Europese Unie</w:t>
      </w:r>
      <w:r w:rsidR="004134F0">
        <w:rPr>
          <w:rFonts w:cs="Univers"/>
          <w:szCs w:val="18"/>
        </w:rPr>
        <w:t>’</w:t>
      </w:r>
      <w:r w:rsidRPr="005101C8" w:rsidR="00FB4EAE">
        <w:rPr>
          <w:rFonts w:cs="Univers"/>
          <w:szCs w:val="18"/>
        </w:rPr>
        <w:t xml:space="preserve"> van 2 juni 2009, vergaderjaar 2008/2009, kamerstuk 31 702, nr. 21</w:t>
      </w:r>
      <w:r>
        <w:rPr>
          <w:rFonts w:cs="Univers"/>
          <w:szCs w:val="18"/>
        </w:rPr>
        <w:t>). Het doel van deze bijeenkomst is om de voortgang van het Partnerschap te bespreken en politieke</w:t>
      </w:r>
      <w:r w:rsidR="003C0505">
        <w:rPr>
          <w:rFonts w:cs="Univers"/>
          <w:szCs w:val="18"/>
        </w:rPr>
        <w:t xml:space="preserve"> lijnen</w:t>
      </w:r>
      <w:r>
        <w:rPr>
          <w:rFonts w:cs="Univers"/>
          <w:szCs w:val="18"/>
        </w:rPr>
        <w:t xml:space="preserve"> uit te zetten voor de verdere bestendiging van het Partnerschap. </w:t>
      </w:r>
      <w:r w:rsidR="00333511">
        <w:rPr>
          <w:rFonts w:cs="Univers"/>
          <w:szCs w:val="18"/>
        </w:rPr>
        <w:t>Tijdens de Top zal hierover een gezamenlijke verklaring worden aangenomen.</w:t>
      </w:r>
    </w:p>
    <w:p w:rsidR="00D63BAD" w:rsidP="005101C8" w:rsidRDefault="005101C8">
      <w:pPr>
        <w:rPr>
          <w:rFonts w:cs="Univers"/>
          <w:szCs w:val="18"/>
        </w:rPr>
      </w:pPr>
      <w:r>
        <w:rPr>
          <w:rFonts w:cs="Univers"/>
          <w:szCs w:val="18"/>
        </w:rPr>
        <w:t xml:space="preserve">Nederland hecht veel waarde aan het Oostelijk Partnerschap als instrument om de </w:t>
      </w:r>
      <w:r w:rsidR="004A5D33">
        <w:rPr>
          <w:rFonts w:cs="Univers"/>
          <w:szCs w:val="18"/>
        </w:rPr>
        <w:t xml:space="preserve">Europese </w:t>
      </w:r>
      <w:r>
        <w:rPr>
          <w:rFonts w:cs="Univers"/>
          <w:szCs w:val="18"/>
        </w:rPr>
        <w:t>samenwerking met de</w:t>
      </w:r>
      <w:r w:rsidR="006633B8">
        <w:rPr>
          <w:rFonts w:cs="Univers"/>
          <w:szCs w:val="18"/>
        </w:rPr>
        <w:t xml:space="preserve"> Oostelijke buurlanden van de EU </w:t>
      </w:r>
      <w:r>
        <w:rPr>
          <w:rFonts w:cs="Univers"/>
          <w:szCs w:val="18"/>
        </w:rPr>
        <w:t xml:space="preserve">(Armenië, Azerbeidjan, </w:t>
      </w:r>
      <w:r w:rsidR="006633B8">
        <w:rPr>
          <w:rFonts w:cs="Univers"/>
          <w:szCs w:val="18"/>
        </w:rPr>
        <w:t>Georgi</w:t>
      </w:r>
      <w:r w:rsidR="002116D9">
        <w:rPr>
          <w:rFonts w:cs="Univers"/>
          <w:szCs w:val="18"/>
        </w:rPr>
        <w:t xml:space="preserve">ë, </w:t>
      </w:r>
      <w:r>
        <w:rPr>
          <w:rFonts w:cs="Univers"/>
          <w:szCs w:val="18"/>
        </w:rPr>
        <w:t>Moldavië, Oekraïne en Wit-Rusland</w:t>
      </w:r>
      <w:r w:rsidR="002116D9">
        <w:rPr>
          <w:rStyle w:val="FootnoteReference"/>
          <w:szCs w:val="18"/>
        </w:rPr>
        <w:footnoteReference w:id="1"/>
      </w:r>
      <w:r>
        <w:rPr>
          <w:rFonts w:cs="Univers"/>
          <w:szCs w:val="18"/>
        </w:rPr>
        <w:t xml:space="preserve">) te versterken en de </w:t>
      </w:r>
      <w:r w:rsidR="003C0505">
        <w:rPr>
          <w:rFonts w:cs="Univers"/>
          <w:szCs w:val="18"/>
        </w:rPr>
        <w:t xml:space="preserve">politieke </w:t>
      </w:r>
      <w:r>
        <w:rPr>
          <w:rFonts w:cs="Univers"/>
          <w:szCs w:val="18"/>
        </w:rPr>
        <w:t xml:space="preserve">toenadering </w:t>
      </w:r>
      <w:r w:rsidR="003C0505">
        <w:rPr>
          <w:rFonts w:cs="Univers"/>
          <w:szCs w:val="18"/>
        </w:rPr>
        <w:t xml:space="preserve">en economische integratie </w:t>
      </w:r>
      <w:r>
        <w:rPr>
          <w:rFonts w:cs="Univers"/>
          <w:szCs w:val="18"/>
        </w:rPr>
        <w:t>van deze landen</w:t>
      </w:r>
      <w:r w:rsidR="003C0505">
        <w:rPr>
          <w:rFonts w:cs="Univers"/>
          <w:szCs w:val="18"/>
        </w:rPr>
        <w:t xml:space="preserve"> met</w:t>
      </w:r>
      <w:r>
        <w:rPr>
          <w:rFonts w:cs="Univers"/>
          <w:szCs w:val="18"/>
        </w:rPr>
        <w:t xml:space="preserve"> de EU te steunen. </w:t>
      </w:r>
      <w:r w:rsidR="00BA442E">
        <w:rPr>
          <w:rFonts w:cs="Univers"/>
          <w:szCs w:val="18"/>
        </w:rPr>
        <w:t xml:space="preserve">Het partnerschap </w:t>
      </w:r>
      <w:r>
        <w:rPr>
          <w:rFonts w:cs="Univers"/>
          <w:szCs w:val="18"/>
        </w:rPr>
        <w:t xml:space="preserve">biedt het kader en de mogelijkheden voor deze landen om hun </w:t>
      </w:r>
      <w:r w:rsidR="00BE0B12">
        <w:rPr>
          <w:rFonts w:cs="Univers"/>
          <w:szCs w:val="18"/>
        </w:rPr>
        <w:t xml:space="preserve">rechtsstaat, </w:t>
      </w:r>
      <w:r>
        <w:rPr>
          <w:rFonts w:cs="Univers"/>
          <w:szCs w:val="18"/>
        </w:rPr>
        <w:t>politieke, economische en sociale systemen te hervormen en op Europese leest te schoeien.</w:t>
      </w:r>
      <w:r w:rsidR="00652889">
        <w:rPr>
          <w:rFonts w:cs="Univers"/>
          <w:szCs w:val="18"/>
        </w:rPr>
        <w:t xml:space="preserve"> L</w:t>
      </w:r>
      <w:r>
        <w:rPr>
          <w:rFonts w:cs="Univers"/>
          <w:szCs w:val="18"/>
        </w:rPr>
        <w:t xml:space="preserve">anden die bereid zijn hiervoor de benodigde hervormingen door te voeren kunnen rekenen op </w:t>
      </w:r>
      <w:r w:rsidR="00F91843">
        <w:rPr>
          <w:rFonts w:cs="Univers"/>
          <w:szCs w:val="18"/>
        </w:rPr>
        <w:t xml:space="preserve">intensievere relaties en </w:t>
      </w:r>
      <w:r>
        <w:rPr>
          <w:rFonts w:cs="Univers"/>
          <w:szCs w:val="18"/>
        </w:rPr>
        <w:t xml:space="preserve">steun van de EU. Omgekeerd zullen landen die zich niet willen conformeren aan universele en Europese mensenrechtenstandaarden niet in </w:t>
      </w:r>
      <w:r w:rsidR="003C0505">
        <w:rPr>
          <w:rFonts w:cs="Univers"/>
          <w:szCs w:val="18"/>
        </w:rPr>
        <w:t>aanmerking komen voor versterkte</w:t>
      </w:r>
      <w:r>
        <w:rPr>
          <w:rFonts w:cs="Univers"/>
          <w:szCs w:val="18"/>
        </w:rPr>
        <w:t xml:space="preserve"> relatie</w:t>
      </w:r>
      <w:r w:rsidR="003C0505">
        <w:rPr>
          <w:rFonts w:cs="Univers"/>
          <w:szCs w:val="18"/>
        </w:rPr>
        <w:t>s</w:t>
      </w:r>
      <w:r>
        <w:rPr>
          <w:rFonts w:cs="Univers"/>
          <w:szCs w:val="18"/>
        </w:rPr>
        <w:t xml:space="preserve"> met de EU. Wit-Rusland </w:t>
      </w:r>
      <w:r w:rsidR="00BC277D">
        <w:rPr>
          <w:rFonts w:cs="Univers"/>
          <w:szCs w:val="18"/>
        </w:rPr>
        <w:t xml:space="preserve">is </w:t>
      </w:r>
      <w:r>
        <w:rPr>
          <w:rFonts w:cs="Univers"/>
          <w:szCs w:val="18"/>
        </w:rPr>
        <w:t xml:space="preserve">hier helaas nog altijd </w:t>
      </w:r>
      <w:r w:rsidR="00401BA5">
        <w:rPr>
          <w:rFonts w:cs="Univers"/>
          <w:szCs w:val="18"/>
        </w:rPr>
        <w:t>een negatief</w:t>
      </w:r>
      <w:r>
        <w:rPr>
          <w:rFonts w:cs="Univers"/>
          <w:szCs w:val="18"/>
        </w:rPr>
        <w:t xml:space="preserve"> voorbeeld van.</w:t>
      </w:r>
      <w:r w:rsidR="00D63BAD">
        <w:rPr>
          <w:rFonts w:cs="Univers"/>
          <w:szCs w:val="18"/>
        </w:rPr>
        <w:t xml:space="preserve"> </w:t>
      </w:r>
      <w:r>
        <w:rPr>
          <w:rFonts w:cs="Univers"/>
          <w:szCs w:val="18"/>
        </w:rPr>
        <w:t xml:space="preserve">Daarnaast biedt het Partnerschap een </w:t>
      </w:r>
      <w:r w:rsidR="003C0505">
        <w:rPr>
          <w:rFonts w:cs="Univers"/>
          <w:szCs w:val="18"/>
        </w:rPr>
        <w:t xml:space="preserve">veelomvattend kader </w:t>
      </w:r>
      <w:r>
        <w:rPr>
          <w:rFonts w:cs="Univers"/>
          <w:szCs w:val="18"/>
        </w:rPr>
        <w:t xml:space="preserve">om op </w:t>
      </w:r>
      <w:r w:rsidR="003C0505">
        <w:rPr>
          <w:rFonts w:cs="Univers"/>
          <w:szCs w:val="18"/>
        </w:rPr>
        <w:t xml:space="preserve">tal van deelterreinen </w:t>
      </w:r>
      <w:r>
        <w:rPr>
          <w:rFonts w:cs="Univers"/>
          <w:szCs w:val="18"/>
        </w:rPr>
        <w:t>nauwer samen te werken</w:t>
      </w:r>
      <w:r w:rsidR="003C0505">
        <w:rPr>
          <w:rFonts w:cs="Univers"/>
          <w:szCs w:val="18"/>
        </w:rPr>
        <w:t xml:space="preserve"> (e</w:t>
      </w:r>
      <w:r w:rsidR="00D63BAD">
        <w:rPr>
          <w:rFonts w:cs="Univers"/>
          <w:szCs w:val="18"/>
        </w:rPr>
        <w:t>nergi</w:t>
      </w:r>
      <w:r w:rsidR="003C0505">
        <w:rPr>
          <w:rFonts w:cs="Univers"/>
          <w:szCs w:val="18"/>
        </w:rPr>
        <w:t>e, handel, cultuur, migratie,</w:t>
      </w:r>
      <w:r w:rsidR="002116D9">
        <w:rPr>
          <w:rFonts w:cs="Univers"/>
          <w:szCs w:val="18"/>
        </w:rPr>
        <w:t xml:space="preserve"> bestrijding criminaliteit,</w:t>
      </w:r>
      <w:r w:rsidR="003C0505">
        <w:rPr>
          <w:rFonts w:cs="Univers"/>
          <w:szCs w:val="18"/>
        </w:rPr>
        <w:t xml:space="preserve"> </w:t>
      </w:r>
      <w:r w:rsidR="00D63BAD">
        <w:rPr>
          <w:rFonts w:cs="Univers"/>
          <w:szCs w:val="18"/>
        </w:rPr>
        <w:t>hoger onderwijs</w:t>
      </w:r>
      <w:r w:rsidR="003C0505">
        <w:rPr>
          <w:rFonts w:cs="Univers"/>
          <w:szCs w:val="18"/>
        </w:rPr>
        <w:t>)</w:t>
      </w:r>
      <w:r w:rsidR="00D63BAD">
        <w:rPr>
          <w:rFonts w:cs="Univers"/>
          <w:szCs w:val="18"/>
        </w:rPr>
        <w:t xml:space="preserve">. </w:t>
      </w:r>
      <w:r w:rsidR="002116D9">
        <w:rPr>
          <w:rFonts w:cs="Univers"/>
          <w:szCs w:val="18"/>
        </w:rPr>
        <w:t xml:space="preserve">Het is </w:t>
      </w:r>
      <w:proofErr w:type="gramStart"/>
      <w:r w:rsidR="002116D9">
        <w:rPr>
          <w:rFonts w:cs="Univers"/>
          <w:szCs w:val="18"/>
        </w:rPr>
        <w:t>derhalve</w:t>
      </w:r>
      <w:proofErr w:type="gramEnd"/>
      <w:r w:rsidR="002116D9">
        <w:rPr>
          <w:rFonts w:cs="Univers"/>
          <w:szCs w:val="18"/>
        </w:rPr>
        <w:t xml:space="preserve"> in het Europese en Nederlandse belang dat de banden tussen de EU en haar Ooster</w:t>
      </w:r>
      <w:r w:rsidR="004A5D33">
        <w:rPr>
          <w:rFonts w:cs="Univers"/>
          <w:szCs w:val="18"/>
        </w:rPr>
        <w:t>buren verder worden aangehaald; immers hiermee worden</w:t>
      </w:r>
      <w:r w:rsidR="002E6605">
        <w:rPr>
          <w:rFonts w:cs="Univers"/>
          <w:szCs w:val="18"/>
        </w:rPr>
        <w:t xml:space="preserve"> </w:t>
      </w:r>
      <w:r w:rsidR="00F91843">
        <w:rPr>
          <w:rFonts w:cs="Univers"/>
          <w:szCs w:val="18"/>
        </w:rPr>
        <w:t>de</w:t>
      </w:r>
      <w:r w:rsidR="004A5D33">
        <w:rPr>
          <w:rFonts w:cs="Univers"/>
          <w:szCs w:val="18"/>
        </w:rPr>
        <w:t xml:space="preserve"> stabiliteit, veiligheid en welvaart van </w:t>
      </w:r>
      <w:r w:rsidR="009A288D">
        <w:rPr>
          <w:rFonts w:cs="Univers"/>
          <w:szCs w:val="18"/>
        </w:rPr>
        <w:t>de gezamenlijke regio gediend. D</w:t>
      </w:r>
      <w:r w:rsidR="00156454">
        <w:rPr>
          <w:rFonts w:cs="Univers"/>
          <w:szCs w:val="18"/>
        </w:rPr>
        <w:t xml:space="preserve">it is </w:t>
      </w:r>
      <w:r w:rsidR="00D56357">
        <w:rPr>
          <w:rFonts w:cs="Univers"/>
          <w:szCs w:val="18"/>
        </w:rPr>
        <w:t>in het belang van</w:t>
      </w:r>
      <w:r w:rsidR="00156454">
        <w:rPr>
          <w:rFonts w:cs="Univers"/>
          <w:szCs w:val="18"/>
        </w:rPr>
        <w:t xml:space="preserve"> </w:t>
      </w:r>
      <w:r w:rsidR="00606882">
        <w:rPr>
          <w:rFonts w:cs="Univers"/>
          <w:szCs w:val="18"/>
        </w:rPr>
        <w:t xml:space="preserve">burgers en bedrijven </w:t>
      </w:r>
      <w:r w:rsidR="00652889">
        <w:rPr>
          <w:rFonts w:cs="Univers"/>
          <w:szCs w:val="18"/>
        </w:rPr>
        <w:t>in z</w:t>
      </w:r>
      <w:r w:rsidR="00606882">
        <w:rPr>
          <w:rFonts w:cs="Univers"/>
          <w:szCs w:val="18"/>
        </w:rPr>
        <w:t xml:space="preserve">owel de partnerlanden als </w:t>
      </w:r>
      <w:r w:rsidR="00652889">
        <w:rPr>
          <w:rFonts w:cs="Univers"/>
          <w:szCs w:val="18"/>
        </w:rPr>
        <w:t xml:space="preserve">in </w:t>
      </w:r>
      <w:r w:rsidR="00606882">
        <w:rPr>
          <w:rFonts w:cs="Univers"/>
          <w:szCs w:val="18"/>
        </w:rPr>
        <w:t xml:space="preserve">de EU en Nederland. </w:t>
      </w:r>
    </w:p>
    <w:p w:rsidR="00F64A86" w:rsidP="005101C8" w:rsidRDefault="00F64A86">
      <w:pPr>
        <w:rPr>
          <w:rFonts w:cs="Univers"/>
          <w:b/>
          <w:szCs w:val="18"/>
        </w:rPr>
      </w:pPr>
      <w:r>
        <w:rPr>
          <w:rFonts w:cs="Univers"/>
          <w:b/>
          <w:szCs w:val="18"/>
        </w:rPr>
        <w:t>Herziening van het Nabuurschap</w:t>
      </w:r>
      <w:r w:rsidR="002E6605">
        <w:rPr>
          <w:rFonts w:cs="Univers"/>
          <w:b/>
          <w:szCs w:val="18"/>
        </w:rPr>
        <w:t>s</w:t>
      </w:r>
      <w:r>
        <w:rPr>
          <w:rFonts w:cs="Univers"/>
          <w:b/>
          <w:szCs w:val="18"/>
        </w:rPr>
        <w:t>beleid</w:t>
      </w:r>
    </w:p>
    <w:p w:rsidRPr="003C45C7" w:rsidR="00F64A86" w:rsidP="005101C8" w:rsidRDefault="00A219FD">
      <w:pPr>
        <w:rPr>
          <w:rFonts w:cs="Univers"/>
          <w:szCs w:val="18"/>
        </w:rPr>
      </w:pPr>
      <w:r>
        <w:rPr>
          <w:rFonts w:cs="Univers"/>
          <w:szCs w:val="18"/>
        </w:rPr>
        <w:t>Het Nabuurschap</w:t>
      </w:r>
      <w:r w:rsidR="002E6605">
        <w:rPr>
          <w:rFonts w:cs="Univers"/>
          <w:szCs w:val="18"/>
        </w:rPr>
        <w:t>s</w:t>
      </w:r>
      <w:r>
        <w:rPr>
          <w:rFonts w:cs="Univers"/>
          <w:szCs w:val="18"/>
        </w:rPr>
        <w:t xml:space="preserve">beleid van de EU is de afgelopen </w:t>
      </w:r>
      <w:r w:rsidR="003D3B3E">
        <w:rPr>
          <w:rFonts w:cs="Univers"/>
          <w:szCs w:val="18"/>
        </w:rPr>
        <w:t xml:space="preserve">periode vooral in de zuidelijke buurregio sterk in ontwikkeling geweest. </w:t>
      </w:r>
      <w:r w:rsidR="002A39B8">
        <w:rPr>
          <w:rFonts w:cs="Univers"/>
          <w:szCs w:val="18"/>
        </w:rPr>
        <w:t xml:space="preserve">Maar ook bij de </w:t>
      </w:r>
      <w:r w:rsidR="003D3B3E">
        <w:rPr>
          <w:rFonts w:cs="Univers"/>
          <w:szCs w:val="18"/>
        </w:rPr>
        <w:t>ooster</w:t>
      </w:r>
      <w:r w:rsidR="002A39B8">
        <w:rPr>
          <w:rFonts w:cs="Univers"/>
          <w:szCs w:val="18"/>
        </w:rPr>
        <w:t>buren van de EU h</w:t>
      </w:r>
      <w:r w:rsidR="00F52423">
        <w:rPr>
          <w:rFonts w:cs="Univers"/>
          <w:szCs w:val="18"/>
        </w:rPr>
        <w:t>e</w:t>
      </w:r>
      <w:r w:rsidR="002A39B8">
        <w:rPr>
          <w:rFonts w:cs="Univers"/>
          <w:szCs w:val="18"/>
        </w:rPr>
        <w:t xml:space="preserve">bben de nodige </w:t>
      </w:r>
      <w:r w:rsidR="00F52423">
        <w:rPr>
          <w:rFonts w:cs="Univers"/>
          <w:szCs w:val="18"/>
        </w:rPr>
        <w:t>ontwikkelingen</w:t>
      </w:r>
      <w:r w:rsidR="002A39B8">
        <w:rPr>
          <w:rFonts w:cs="Univers"/>
          <w:szCs w:val="18"/>
        </w:rPr>
        <w:t xml:space="preserve"> </w:t>
      </w:r>
      <w:r w:rsidR="00F52423">
        <w:rPr>
          <w:rFonts w:cs="Univers"/>
          <w:szCs w:val="18"/>
        </w:rPr>
        <w:t>plaatsgevonden</w:t>
      </w:r>
      <w:r w:rsidR="002A39B8">
        <w:rPr>
          <w:rFonts w:cs="Univers"/>
          <w:szCs w:val="18"/>
        </w:rPr>
        <w:t xml:space="preserve">. In </w:t>
      </w:r>
      <w:r w:rsidRPr="00F52423" w:rsidR="00F52423">
        <w:rPr>
          <w:rFonts w:cs="Univers"/>
          <w:i/>
          <w:szCs w:val="18"/>
        </w:rPr>
        <w:t>Oekraïne</w:t>
      </w:r>
      <w:r w:rsidR="002A39B8">
        <w:rPr>
          <w:rFonts w:cs="Univers"/>
          <w:szCs w:val="18"/>
        </w:rPr>
        <w:t xml:space="preserve"> is na vreedzaam verlopen verkiezingen in 2010 president </w:t>
      </w:r>
      <w:r w:rsidR="004A5D33">
        <w:rPr>
          <w:rFonts w:cs="Univers"/>
          <w:szCs w:val="18"/>
        </w:rPr>
        <w:t xml:space="preserve">Janoekovitsj </w:t>
      </w:r>
      <w:r w:rsidR="002A39B8">
        <w:rPr>
          <w:rFonts w:cs="Univers"/>
          <w:szCs w:val="18"/>
        </w:rPr>
        <w:t xml:space="preserve">aan de macht gekomen. Hoewel hij initieel als ‘pro-Russisch’ werd bestempeld </w:t>
      </w:r>
      <w:r w:rsidR="00401BA5">
        <w:rPr>
          <w:rFonts w:cs="Univers"/>
          <w:szCs w:val="18"/>
        </w:rPr>
        <w:t>vaar</w:t>
      </w:r>
      <w:r w:rsidR="002A39B8">
        <w:rPr>
          <w:rFonts w:cs="Univers"/>
          <w:szCs w:val="18"/>
        </w:rPr>
        <w:t xml:space="preserve">t </w:t>
      </w:r>
      <w:r w:rsidR="00F52423">
        <w:rPr>
          <w:rFonts w:cs="Univers"/>
          <w:szCs w:val="18"/>
        </w:rPr>
        <w:t>Oekraïne</w:t>
      </w:r>
      <w:r w:rsidR="002A39B8">
        <w:rPr>
          <w:rFonts w:cs="Univers"/>
          <w:szCs w:val="18"/>
        </w:rPr>
        <w:t xml:space="preserve"> onder president </w:t>
      </w:r>
      <w:r w:rsidR="00662413">
        <w:rPr>
          <w:rFonts w:cs="Univers"/>
          <w:szCs w:val="18"/>
        </w:rPr>
        <w:t>Janoekovitsj</w:t>
      </w:r>
      <w:r w:rsidR="002A39B8">
        <w:rPr>
          <w:rFonts w:cs="Univers"/>
          <w:szCs w:val="18"/>
        </w:rPr>
        <w:t xml:space="preserve"> een stabiele koers, waarbij het</w:t>
      </w:r>
      <w:r w:rsidR="002E6605">
        <w:rPr>
          <w:rFonts w:cs="Univers"/>
          <w:szCs w:val="18"/>
        </w:rPr>
        <w:t xml:space="preserve"> </w:t>
      </w:r>
      <w:r w:rsidR="002A39B8">
        <w:rPr>
          <w:rFonts w:cs="Univers"/>
          <w:szCs w:val="18"/>
        </w:rPr>
        <w:t xml:space="preserve">vizier in </w:t>
      </w:r>
      <w:r w:rsidR="00F07956">
        <w:rPr>
          <w:rFonts w:cs="Univers"/>
          <w:szCs w:val="18"/>
        </w:rPr>
        <w:t xml:space="preserve">het </w:t>
      </w:r>
      <w:r w:rsidR="002A39B8">
        <w:rPr>
          <w:rFonts w:cs="Univers"/>
          <w:szCs w:val="18"/>
        </w:rPr>
        <w:t xml:space="preserve">afgelopen jaren meer op Brussel </w:t>
      </w:r>
      <w:r w:rsidR="00F07956">
        <w:rPr>
          <w:rFonts w:cs="Univers"/>
          <w:szCs w:val="18"/>
        </w:rPr>
        <w:t xml:space="preserve">is komen te staan. </w:t>
      </w:r>
      <w:r w:rsidR="00F52423">
        <w:rPr>
          <w:rFonts w:cs="Univers"/>
          <w:szCs w:val="18"/>
        </w:rPr>
        <w:t xml:space="preserve">In </w:t>
      </w:r>
      <w:r w:rsidRPr="00F52423" w:rsidR="00F52423">
        <w:rPr>
          <w:rFonts w:cs="Univers"/>
          <w:i/>
          <w:szCs w:val="18"/>
        </w:rPr>
        <w:t>Moldavië</w:t>
      </w:r>
      <w:r w:rsidR="002A39B8">
        <w:rPr>
          <w:rFonts w:cs="Univers"/>
          <w:szCs w:val="18"/>
        </w:rPr>
        <w:t xml:space="preserve"> is de positie van de </w:t>
      </w:r>
      <w:r w:rsidR="00F52423">
        <w:rPr>
          <w:rFonts w:cs="Univers"/>
          <w:szCs w:val="18"/>
        </w:rPr>
        <w:t>prowesterse</w:t>
      </w:r>
      <w:r w:rsidR="002A39B8">
        <w:rPr>
          <w:rFonts w:cs="Univers"/>
          <w:szCs w:val="18"/>
        </w:rPr>
        <w:t xml:space="preserve"> coalitie na de verkiezingen van november 2010 versterkt en de regering heeft toenadering tot de EU </w:t>
      </w:r>
      <w:r w:rsidR="00F07956">
        <w:rPr>
          <w:rFonts w:cs="Univers"/>
          <w:szCs w:val="18"/>
        </w:rPr>
        <w:t xml:space="preserve">tot belangrijkste </w:t>
      </w:r>
      <w:r w:rsidR="002A39B8">
        <w:rPr>
          <w:rFonts w:cs="Univers"/>
          <w:szCs w:val="18"/>
        </w:rPr>
        <w:t xml:space="preserve">prioriteit gemaakt. </w:t>
      </w:r>
      <w:r w:rsidRPr="00F52423" w:rsidR="00F52423">
        <w:rPr>
          <w:rFonts w:cs="Univers"/>
          <w:i/>
          <w:szCs w:val="18"/>
        </w:rPr>
        <w:t>Georgië</w:t>
      </w:r>
      <w:r w:rsidR="002A39B8">
        <w:rPr>
          <w:rFonts w:cs="Univers"/>
          <w:szCs w:val="18"/>
        </w:rPr>
        <w:t xml:space="preserve"> blijft </w:t>
      </w:r>
      <w:r w:rsidR="00F52423">
        <w:rPr>
          <w:rFonts w:cs="Univers"/>
          <w:szCs w:val="18"/>
        </w:rPr>
        <w:t xml:space="preserve">eveneens </w:t>
      </w:r>
      <w:r w:rsidR="002A39B8">
        <w:rPr>
          <w:rFonts w:cs="Univers"/>
          <w:szCs w:val="18"/>
        </w:rPr>
        <w:t xml:space="preserve">een op de EU gerichte koers varen en ook </w:t>
      </w:r>
      <w:r w:rsidRPr="00F52423" w:rsidR="00F52423">
        <w:rPr>
          <w:rFonts w:cs="Univers"/>
          <w:i/>
          <w:szCs w:val="18"/>
        </w:rPr>
        <w:t>Armenië</w:t>
      </w:r>
      <w:r w:rsidR="002A39B8">
        <w:rPr>
          <w:rFonts w:cs="Univers"/>
          <w:szCs w:val="18"/>
        </w:rPr>
        <w:t xml:space="preserve"> en </w:t>
      </w:r>
      <w:r w:rsidRPr="00F52423" w:rsidR="002A39B8">
        <w:rPr>
          <w:rFonts w:cs="Univers"/>
          <w:i/>
          <w:szCs w:val="18"/>
        </w:rPr>
        <w:t>Azerbeidjan</w:t>
      </w:r>
      <w:r w:rsidR="002A39B8">
        <w:rPr>
          <w:rFonts w:cs="Univers"/>
          <w:szCs w:val="18"/>
        </w:rPr>
        <w:t xml:space="preserve"> stellen zich </w:t>
      </w:r>
      <w:r w:rsidR="003D3B3E">
        <w:rPr>
          <w:rFonts w:cs="Univers"/>
          <w:szCs w:val="18"/>
        </w:rPr>
        <w:t xml:space="preserve">verder </w:t>
      </w:r>
      <w:r w:rsidR="002A39B8">
        <w:rPr>
          <w:rFonts w:cs="Univers"/>
          <w:szCs w:val="18"/>
        </w:rPr>
        <w:t xml:space="preserve">open voor toenadering tot en </w:t>
      </w:r>
      <w:r w:rsidR="00F52423">
        <w:rPr>
          <w:rFonts w:cs="Univers"/>
          <w:szCs w:val="18"/>
        </w:rPr>
        <w:t>samenwerking met</w:t>
      </w:r>
      <w:r w:rsidR="002A39B8">
        <w:rPr>
          <w:rFonts w:cs="Univers"/>
          <w:szCs w:val="18"/>
        </w:rPr>
        <w:t xml:space="preserve"> de EU</w:t>
      </w:r>
      <w:r w:rsidR="00F52423">
        <w:rPr>
          <w:rFonts w:cs="Univers"/>
          <w:szCs w:val="18"/>
        </w:rPr>
        <w:t>, hoewel er zorgen over de mensenrechtensituatie blijven bestaan</w:t>
      </w:r>
      <w:r w:rsidRPr="002B2A9F" w:rsidR="00F52423">
        <w:rPr>
          <w:rFonts w:cs="Univers"/>
          <w:szCs w:val="18"/>
        </w:rPr>
        <w:t xml:space="preserve">. </w:t>
      </w:r>
      <w:r w:rsidRPr="002B2A9F" w:rsidR="002A39B8">
        <w:rPr>
          <w:rFonts w:cs="Univers"/>
          <w:szCs w:val="18"/>
        </w:rPr>
        <w:t xml:space="preserve">Negatieve </w:t>
      </w:r>
      <w:r w:rsidRPr="002B2A9F" w:rsidR="00F52423">
        <w:rPr>
          <w:rFonts w:cs="Univers"/>
          <w:szCs w:val="18"/>
        </w:rPr>
        <w:t>uitzondering</w:t>
      </w:r>
      <w:r w:rsidRPr="002B2A9F" w:rsidR="002A39B8">
        <w:rPr>
          <w:rFonts w:cs="Univers"/>
          <w:szCs w:val="18"/>
        </w:rPr>
        <w:t xml:space="preserve"> blijft Wit-Rusland, waar president </w:t>
      </w:r>
      <w:proofErr w:type="spellStart"/>
      <w:r w:rsidRPr="002B2A9F" w:rsidR="002A39B8">
        <w:rPr>
          <w:rFonts w:cs="Univers"/>
          <w:szCs w:val="18"/>
        </w:rPr>
        <w:t>Lukash</w:t>
      </w:r>
      <w:r w:rsidRPr="002B2A9F" w:rsidR="00A71EC8">
        <w:rPr>
          <w:rFonts w:cs="Univers"/>
          <w:szCs w:val="18"/>
        </w:rPr>
        <w:t>e</w:t>
      </w:r>
      <w:r w:rsidRPr="002B2A9F" w:rsidR="002A39B8">
        <w:rPr>
          <w:rFonts w:cs="Univers"/>
          <w:szCs w:val="18"/>
        </w:rPr>
        <w:t>nko</w:t>
      </w:r>
      <w:proofErr w:type="spellEnd"/>
      <w:r w:rsidRPr="002B2A9F" w:rsidR="002A39B8">
        <w:rPr>
          <w:rFonts w:cs="Univers"/>
          <w:szCs w:val="18"/>
        </w:rPr>
        <w:t xml:space="preserve"> </w:t>
      </w:r>
      <w:r w:rsidRPr="002B2A9F" w:rsidR="003C45C7">
        <w:rPr>
          <w:rFonts w:cs="Univers"/>
          <w:szCs w:val="18"/>
        </w:rPr>
        <w:t xml:space="preserve">tot op de dag van vandaag </w:t>
      </w:r>
      <w:r w:rsidRPr="002B2A9F" w:rsidR="002A39B8">
        <w:rPr>
          <w:rFonts w:cs="Univers"/>
          <w:szCs w:val="18"/>
        </w:rPr>
        <w:t xml:space="preserve">hard </w:t>
      </w:r>
      <w:r w:rsidRPr="002B2A9F" w:rsidR="00F52423">
        <w:rPr>
          <w:rFonts w:cs="Univers"/>
          <w:szCs w:val="18"/>
        </w:rPr>
        <w:t>optre</w:t>
      </w:r>
      <w:r w:rsidRPr="002B2A9F" w:rsidR="003C45C7">
        <w:rPr>
          <w:rFonts w:cs="Univers"/>
          <w:szCs w:val="18"/>
        </w:rPr>
        <w:t>edt</w:t>
      </w:r>
      <w:r w:rsidRPr="002B2A9F" w:rsidR="002A39B8">
        <w:rPr>
          <w:rFonts w:cs="Univers"/>
          <w:szCs w:val="18"/>
        </w:rPr>
        <w:t xml:space="preserve"> tegen vermeende opposanten en zichzelf </w:t>
      </w:r>
      <w:r w:rsidRPr="002B2A9F" w:rsidR="00F07956">
        <w:rPr>
          <w:rFonts w:cs="Univers"/>
          <w:szCs w:val="18"/>
        </w:rPr>
        <w:t xml:space="preserve">daarmee </w:t>
      </w:r>
      <w:r w:rsidRPr="002B2A9F" w:rsidR="002A39B8">
        <w:rPr>
          <w:rFonts w:cs="Univers"/>
          <w:szCs w:val="18"/>
        </w:rPr>
        <w:t>internationaal verder</w:t>
      </w:r>
      <w:r w:rsidRPr="002B2A9F" w:rsidR="003C45C7">
        <w:rPr>
          <w:rFonts w:cs="Univers"/>
          <w:szCs w:val="18"/>
        </w:rPr>
        <w:t xml:space="preserve"> isoleert</w:t>
      </w:r>
      <w:r w:rsidRPr="002B2A9F" w:rsidR="002A39B8">
        <w:rPr>
          <w:rFonts w:cs="Univers"/>
          <w:szCs w:val="18"/>
        </w:rPr>
        <w:t>.</w:t>
      </w:r>
    </w:p>
    <w:p w:rsidR="0002507B" w:rsidP="00F52423" w:rsidRDefault="00F52423">
      <w:pPr>
        <w:rPr>
          <w:rFonts w:eastAsia="Calibri"/>
          <w:szCs w:val="18"/>
        </w:rPr>
      </w:pPr>
      <w:r w:rsidRPr="00F52423">
        <w:rPr>
          <w:rFonts w:cs="Univers"/>
          <w:szCs w:val="18"/>
        </w:rPr>
        <w:t>De Commissie heeft op basis van de ervaringen met het oostelijke en zuidelijke Nabuurschap</w:t>
      </w:r>
      <w:r w:rsidR="002E6605">
        <w:rPr>
          <w:rFonts w:cs="Univers"/>
          <w:szCs w:val="18"/>
        </w:rPr>
        <w:t>s</w:t>
      </w:r>
      <w:r w:rsidRPr="00F52423">
        <w:rPr>
          <w:rFonts w:cs="Univers"/>
          <w:szCs w:val="18"/>
        </w:rPr>
        <w:t>beleid op 25 mei 2011 een mededeling over de herijking van het Nabuurschapbeleid uitgebracht (</w:t>
      </w:r>
      <w:r w:rsidR="004134F0">
        <w:rPr>
          <w:szCs w:val="18"/>
        </w:rPr>
        <w:t>‘</w:t>
      </w:r>
      <w:r w:rsidRPr="00F52423">
        <w:rPr>
          <w:i/>
          <w:szCs w:val="18"/>
        </w:rPr>
        <w:t xml:space="preserve">A new response </w:t>
      </w:r>
      <w:proofErr w:type="spellStart"/>
      <w:r w:rsidRPr="00F52423">
        <w:rPr>
          <w:i/>
          <w:szCs w:val="18"/>
        </w:rPr>
        <w:t>to</w:t>
      </w:r>
      <w:proofErr w:type="spellEnd"/>
      <w:r w:rsidRPr="00F52423">
        <w:rPr>
          <w:i/>
          <w:szCs w:val="18"/>
        </w:rPr>
        <w:t xml:space="preserve"> a </w:t>
      </w:r>
      <w:proofErr w:type="spellStart"/>
      <w:r w:rsidRPr="00F52423">
        <w:rPr>
          <w:i/>
          <w:szCs w:val="18"/>
        </w:rPr>
        <w:t>changing</w:t>
      </w:r>
      <w:proofErr w:type="spellEnd"/>
      <w:r w:rsidRPr="00F52423">
        <w:rPr>
          <w:i/>
          <w:szCs w:val="18"/>
        </w:rPr>
        <w:t xml:space="preserve"> </w:t>
      </w:r>
      <w:proofErr w:type="spellStart"/>
      <w:r w:rsidRPr="00F52423">
        <w:rPr>
          <w:i/>
          <w:szCs w:val="18"/>
        </w:rPr>
        <w:t>Neighbourhood</w:t>
      </w:r>
      <w:proofErr w:type="spellEnd"/>
      <w:r w:rsidR="004134F0">
        <w:rPr>
          <w:szCs w:val="18"/>
        </w:rPr>
        <w:t>’; BNC-fiche ‘</w:t>
      </w:r>
      <w:r w:rsidRPr="00F52423">
        <w:rPr>
          <w:szCs w:val="18"/>
        </w:rPr>
        <w:t>Mededeling Herijking Nabuurschap</w:t>
      </w:r>
      <w:r w:rsidR="002E6605">
        <w:rPr>
          <w:szCs w:val="18"/>
        </w:rPr>
        <w:t>s</w:t>
      </w:r>
      <w:r w:rsidR="004134F0">
        <w:rPr>
          <w:szCs w:val="18"/>
        </w:rPr>
        <w:t>beleid’</w:t>
      </w:r>
      <w:r w:rsidRPr="00F52423">
        <w:rPr>
          <w:szCs w:val="18"/>
        </w:rPr>
        <w:t>, 15 juni 2011, Kamerstuk 22 112, nr. 1184.</w:t>
      </w:r>
      <w:r>
        <w:rPr>
          <w:szCs w:val="18"/>
        </w:rPr>
        <w:t>). De Raad heeft op 20 juni 2011 conclusies hierover aangenomen (</w:t>
      </w:r>
      <w:r w:rsidRPr="00747BE2">
        <w:rPr>
          <w:rFonts w:cs="Univers"/>
          <w:szCs w:val="18"/>
        </w:rPr>
        <w:t>zie</w:t>
      </w:r>
      <w:r w:rsidRPr="00747BE2">
        <w:rPr>
          <w:szCs w:val="18"/>
          <w:lang w:eastAsia="nl-NL"/>
        </w:rPr>
        <w:t xml:space="preserve"> verslag RBZ 20 juni 2011, Kamerstuk 21501-02, nr. 1074).</w:t>
      </w:r>
      <w:r w:rsidR="003A64EE">
        <w:rPr>
          <w:szCs w:val="18"/>
          <w:lang w:eastAsia="nl-NL"/>
        </w:rPr>
        <w:t xml:space="preserve"> B</w:t>
      </w:r>
      <w:r w:rsidR="0002507B">
        <w:rPr>
          <w:szCs w:val="18"/>
          <w:lang w:eastAsia="nl-NL"/>
        </w:rPr>
        <w:t>elangrijkste element van het herijkte Nabuurschap</w:t>
      </w:r>
      <w:r w:rsidR="002E6605">
        <w:rPr>
          <w:szCs w:val="18"/>
          <w:lang w:eastAsia="nl-NL"/>
        </w:rPr>
        <w:t>s</w:t>
      </w:r>
      <w:r w:rsidR="0002507B">
        <w:rPr>
          <w:szCs w:val="18"/>
          <w:lang w:eastAsia="nl-NL"/>
        </w:rPr>
        <w:t xml:space="preserve">beleid is het principe dat landen die bereid zijn meer te hervormen </w:t>
      </w:r>
      <w:r w:rsidR="002E6605">
        <w:rPr>
          <w:szCs w:val="18"/>
          <w:lang w:eastAsia="nl-NL"/>
        </w:rPr>
        <w:t xml:space="preserve">en deze </w:t>
      </w:r>
      <w:r w:rsidR="000A069D">
        <w:rPr>
          <w:szCs w:val="18"/>
          <w:lang w:eastAsia="nl-NL"/>
        </w:rPr>
        <w:t xml:space="preserve">hervormingen ook </w:t>
      </w:r>
      <w:r w:rsidR="002E6605">
        <w:rPr>
          <w:szCs w:val="18"/>
          <w:lang w:eastAsia="nl-NL"/>
        </w:rPr>
        <w:t xml:space="preserve">daadwerkelijk te implementeren </w:t>
      </w:r>
      <w:r w:rsidR="001C6D7E">
        <w:rPr>
          <w:szCs w:val="18"/>
          <w:lang w:eastAsia="nl-NL"/>
        </w:rPr>
        <w:t>kunnen rekenen op versterkte</w:t>
      </w:r>
      <w:r w:rsidR="0002507B">
        <w:rPr>
          <w:szCs w:val="18"/>
          <w:lang w:eastAsia="nl-NL"/>
        </w:rPr>
        <w:t xml:space="preserve"> betrekkingen met de EU (‘</w:t>
      </w:r>
      <w:r w:rsidRPr="0002507B" w:rsidR="0002507B">
        <w:rPr>
          <w:i/>
          <w:szCs w:val="18"/>
          <w:lang w:eastAsia="nl-NL"/>
        </w:rPr>
        <w:t xml:space="preserve">more </w:t>
      </w:r>
      <w:proofErr w:type="spellStart"/>
      <w:r w:rsidRPr="0002507B" w:rsidR="0002507B">
        <w:rPr>
          <w:i/>
          <w:szCs w:val="18"/>
          <w:lang w:eastAsia="nl-NL"/>
        </w:rPr>
        <w:t>for</w:t>
      </w:r>
      <w:proofErr w:type="spellEnd"/>
      <w:r w:rsidRPr="0002507B" w:rsidR="0002507B">
        <w:rPr>
          <w:i/>
          <w:szCs w:val="18"/>
          <w:lang w:eastAsia="nl-NL"/>
        </w:rPr>
        <w:t xml:space="preserve"> more’</w:t>
      </w:r>
      <w:r w:rsidR="0002507B">
        <w:rPr>
          <w:szCs w:val="18"/>
          <w:lang w:eastAsia="nl-NL"/>
        </w:rPr>
        <w:t>). Landen die hier niet toe b</w:t>
      </w:r>
      <w:r w:rsidR="002E6605">
        <w:rPr>
          <w:szCs w:val="18"/>
          <w:lang w:eastAsia="nl-NL"/>
        </w:rPr>
        <w:t>e</w:t>
      </w:r>
      <w:r w:rsidR="0002507B">
        <w:rPr>
          <w:szCs w:val="18"/>
          <w:lang w:eastAsia="nl-NL"/>
        </w:rPr>
        <w:t xml:space="preserve">reid zijn </w:t>
      </w:r>
      <w:r w:rsidR="001C6D7E">
        <w:rPr>
          <w:szCs w:val="18"/>
          <w:lang w:eastAsia="nl-NL"/>
        </w:rPr>
        <w:t xml:space="preserve">zullen </w:t>
      </w:r>
      <w:proofErr w:type="gramStart"/>
      <w:r w:rsidR="001C6D7E">
        <w:rPr>
          <w:szCs w:val="18"/>
          <w:lang w:eastAsia="nl-NL"/>
        </w:rPr>
        <w:t>daarentegen</w:t>
      </w:r>
      <w:proofErr w:type="gramEnd"/>
      <w:r w:rsidR="001C6D7E">
        <w:rPr>
          <w:szCs w:val="18"/>
          <w:lang w:eastAsia="nl-NL"/>
        </w:rPr>
        <w:t xml:space="preserve"> geen aanspraak kunnen maken o</w:t>
      </w:r>
      <w:r w:rsidR="0002507B">
        <w:rPr>
          <w:szCs w:val="18"/>
          <w:lang w:eastAsia="nl-NL"/>
        </w:rPr>
        <w:t xml:space="preserve">p </w:t>
      </w:r>
      <w:r w:rsidR="00652889">
        <w:rPr>
          <w:szCs w:val="18"/>
          <w:lang w:eastAsia="nl-NL"/>
        </w:rPr>
        <w:t xml:space="preserve">geïntensiveerde </w:t>
      </w:r>
      <w:r w:rsidR="0002507B">
        <w:rPr>
          <w:szCs w:val="18"/>
          <w:lang w:eastAsia="nl-NL"/>
        </w:rPr>
        <w:t>relaties met bijbehorende steunpakketten van de EU (‘</w:t>
      </w:r>
      <w:proofErr w:type="spellStart"/>
      <w:r w:rsidRPr="0002507B" w:rsidR="0002507B">
        <w:rPr>
          <w:i/>
          <w:szCs w:val="18"/>
          <w:lang w:eastAsia="nl-NL"/>
        </w:rPr>
        <w:t>less</w:t>
      </w:r>
      <w:proofErr w:type="spellEnd"/>
      <w:r w:rsidRPr="0002507B" w:rsidR="0002507B">
        <w:rPr>
          <w:i/>
          <w:szCs w:val="18"/>
          <w:lang w:eastAsia="nl-NL"/>
        </w:rPr>
        <w:t xml:space="preserve"> </w:t>
      </w:r>
      <w:proofErr w:type="spellStart"/>
      <w:r w:rsidRPr="0002507B" w:rsidR="0002507B">
        <w:rPr>
          <w:i/>
          <w:szCs w:val="18"/>
          <w:lang w:eastAsia="nl-NL"/>
        </w:rPr>
        <w:t>for</w:t>
      </w:r>
      <w:proofErr w:type="spellEnd"/>
      <w:r w:rsidRPr="0002507B" w:rsidR="0002507B">
        <w:rPr>
          <w:i/>
          <w:szCs w:val="18"/>
          <w:lang w:eastAsia="nl-NL"/>
        </w:rPr>
        <w:t xml:space="preserve"> </w:t>
      </w:r>
      <w:proofErr w:type="spellStart"/>
      <w:r w:rsidRPr="0002507B" w:rsidR="0002507B">
        <w:rPr>
          <w:i/>
          <w:szCs w:val="18"/>
          <w:lang w:eastAsia="nl-NL"/>
        </w:rPr>
        <w:t>less</w:t>
      </w:r>
      <w:proofErr w:type="spellEnd"/>
      <w:r w:rsidRPr="0002507B" w:rsidR="0002507B">
        <w:rPr>
          <w:i/>
          <w:szCs w:val="18"/>
          <w:lang w:eastAsia="nl-NL"/>
        </w:rPr>
        <w:t>’</w:t>
      </w:r>
      <w:r w:rsidR="0002507B">
        <w:rPr>
          <w:szCs w:val="18"/>
          <w:lang w:eastAsia="nl-NL"/>
        </w:rPr>
        <w:t>). Het kabinet hecht er</w:t>
      </w:r>
      <w:r w:rsidR="002116D9">
        <w:rPr>
          <w:szCs w:val="18"/>
          <w:lang w:eastAsia="nl-NL"/>
        </w:rPr>
        <w:t xml:space="preserve">aan </w:t>
      </w:r>
      <w:r w:rsidR="0002507B">
        <w:rPr>
          <w:szCs w:val="18"/>
          <w:lang w:eastAsia="nl-NL"/>
        </w:rPr>
        <w:t>dat deze noties ook in de Verklaring van de Top terecht komen. Het kabinet bepleit</w:t>
      </w:r>
      <w:r w:rsidR="006547A0">
        <w:rPr>
          <w:szCs w:val="18"/>
          <w:lang w:eastAsia="nl-NL"/>
        </w:rPr>
        <w:t xml:space="preserve"> dat dit beleid wordt vorm</w:t>
      </w:r>
      <w:r w:rsidR="00F91843">
        <w:rPr>
          <w:szCs w:val="18"/>
          <w:lang w:eastAsia="nl-NL"/>
        </w:rPr>
        <w:t>ge</w:t>
      </w:r>
      <w:r w:rsidR="006547A0">
        <w:rPr>
          <w:szCs w:val="18"/>
          <w:lang w:eastAsia="nl-NL"/>
        </w:rPr>
        <w:t>geven op basis van ‘</w:t>
      </w:r>
      <w:r w:rsidRPr="001B68B0" w:rsidR="006547A0">
        <w:rPr>
          <w:rFonts w:eastAsia="Calibri"/>
          <w:szCs w:val="18"/>
        </w:rPr>
        <w:t>intelligente conditionaliteit</w:t>
      </w:r>
      <w:r w:rsidR="00F91843">
        <w:rPr>
          <w:rFonts w:eastAsia="Calibri"/>
          <w:szCs w:val="18"/>
        </w:rPr>
        <w:t>en</w:t>
      </w:r>
      <w:r w:rsidRPr="001B68B0" w:rsidR="006547A0">
        <w:rPr>
          <w:rFonts w:eastAsia="Calibri"/>
          <w:szCs w:val="18"/>
        </w:rPr>
        <w:t>’</w:t>
      </w:r>
      <w:r w:rsidR="006547A0">
        <w:rPr>
          <w:rFonts w:eastAsia="Calibri"/>
          <w:szCs w:val="18"/>
        </w:rPr>
        <w:t xml:space="preserve"> op het terrein van mensenrechten, democratisering en rechtsstaat.</w:t>
      </w:r>
    </w:p>
    <w:p w:rsidR="006547A0" w:rsidP="006547A0" w:rsidRDefault="007B10E2">
      <w:pPr>
        <w:rPr>
          <w:rFonts w:eastAsia="Calibri"/>
          <w:szCs w:val="18"/>
        </w:rPr>
      </w:pPr>
      <w:r>
        <w:rPr>
          <w:szCs w:val="18"/>
          <w:lang w:eastAsia="nl-NL"/>
        </w:rPr>
        <w:t>In</w:t>
      </w:r>
      <w:r w:rsidR="0002507B">
        <w:rPr>
          <w:szCs w:val="18"/>
          <w:lang w:eastAsia="nl-NL"/>
        </w:rPr>
        <w:t xml:space="preserve"> het nieuwe Nabuurschap</w:t>
      </w:r>
      <w:r w:rsidR="002E6605">
        <w:rPr>
          <w:szCs w:val="18"/>
          <w:lang w:eastAsia="nl-NL"/>
        </w:rPr>
        <w:t>s</w:t>
      </w:r>
      <w:r w:rsidR="0002507B">
        <w:rPr>
          <w:szCs w:val="18"/>
          <w:lang w:eastAsia="nl-NL"/>
        </w:rPr>
        <w:t xml:space="preserve">beleid </w:t>
      </w:r>
      <w:r>
        <w:rPr>
          <w:szCs w:val="18"/>
          <w:lang w:eastAsia="nl-NL"/>
        </w:rPr>
        <w:t xml:space="preserve">zal er nog </w:t>
      </w:r>
      <w:r w:rsidR="0002507B">
        <w:rPr>
          <w:szCs w:val="18"/>
          <w:lang w:eastAsia="nl-NL"/>
        </w:rPr>
        <w:t xml:space="preserve">meer aandacht moeten </w:t>
      </w:r>
      <w:r w:rsidR="003A64EE">
        <w:rPr>
          <w:szCs w:val="18"/>
          <w:lang w:eastAsia="nl-NL"/>
        </w:rPr>
        <w:t xml:space="preserve">komen </w:t>
      </w:r>
      <w:r w:rsidR="0002507B">
        <w:rPr>
          <w:szCs w:val="18"/>
          <w:lang w:eastAsia="nl-NL"/>
        </w:rPr>
        <w:t xml:space="preserve">voor </w:t>
      </w:r>
      <w:r w:rsidR="006547A0">
        <w:rPr>
          <w:szCs w:val="18"/>
          <w:lang w:eastAsia="nl-NL"/>
        </w:rPr>
        <w:t xml:space="preserve">democratisering, de </w:t>
      </w:r>
      <w:r w:rsidRPr="001B68B0" w:rsidR="0002507B">
        <w:rPr>
          <w:rFonts w:eastAsia="Calibri"/>
          <w:szCs w:val="18"/>
        </w:rPr>
        <w:t>ontwikkeling van de rechtstaat</w:t>
      </w:r>
      <w:r w:rsidR="0002507B">
        <w:rPr>
          <w:rFonts w:eastAsia="Calibri"/>
          <w:szCs w:val="18"/>
        </w:rPr>
        <w:t xml:space="preserve"> en verbetering van het respect voor </w:t>
      </w:r>
      <w:r w:rsidRPr="001B68B0" w:rsidR="0002507B">
        <w:rPr>
          <w:rFonts w:eastAsia="Calibri"/>
          <w:szCs w:val="18"/>
        </w:rPr>
        <w:t>mensenrechten</w:t>
      </w:r>
      <w:r w:rsidR="0002507B">
        <w:rPr>
          <w:rFonts w:eastAsia="Calibri"/>
          <w:szCs w:val="18"/>
        </w:rPr>
        <w:t xml:space="preserve"> met bijzondere </w:t>
      </w:r>
      <w:r w:rsidR="0002507B">
        <w:rPr>
          <w:rFonts w:eastAsia="Calibri"/>
          <w:szCs w:val="18"/>
        </w:rPr>
        <w:lastRenderedPageBreak/>
        <w:t xml:space="preserve">aandacht voor media, internet, minderheden, religie en </w:t>
      </w:r>
      <w:r w:rsidRPr="00A3490C" w:rsidR="0002507B">
        <w:rPr>
          <w:rFonts w:eastAsia="Calibri"/>
          <w:i/>
          <w:szCs w:val="18"/>
        </w:rPr>
        <w:t>gender</w:t>
      </w:r>
      <w:r w:rsidR="006547A0">
        <w:rPr>
          <w:rFonts w:eastAsia="Calibri"/>
          <w:szCs w:val="18"/>
        </w:rPr>
        <w:t xml:space="preserve">. Maatschappelijke organisaties moeten hun rol vrijelijk kunnen spelen en verdienen hiertoe Europese steun. De Verklaring van de Top zal </w:t>
      </w:r>
      <w:r w:rsidR="003A64EE">
        <w:rPr>
          <w:rFonts w:eastAsia="Calibri"/>
          <w:szCs w:val="18"/>
        </w:rPr>
        <w:t xml:space="preserve">voor het kabinet </w:t>
      </w:r>
      <w:r w:rsidR="006547A0">
        <w:rPr>
          <w:rFonts w:eastAsia="Calibri"/>
          <w:szCs w:val="18"/>
        </w:rPr>
        <w:t xml:space="preserve">deze aandachtspunten </w:t>
      </w:r>
      <w:r w:rsidR="003A64EE">
        <w:rPr>
          <w:rFonts w:eastAsia="Calibri"/>
          <w:szCs w:val="18"/>
        </w:rPr>
        <w:t xml:space="preserve">ook onomwonden </w:t>
      </w:r>
      <w:r w:rsidR="006547A0">
        <w:rPr>
          <w:rFonts w:eastAsia="Calibri"/>
          <w:szCs w:val="18"/>
        </w:rPr>
        <w:t xml:space="preserve">moeten reflecteren. </w:t>
      </w:r>
    </w:p>
    <w:p w:rsidR="00C4389F" w:rsidP="005101C8" w:rsidRDefault="0053396E">
      <w:pPr>
        <w:rPr>
          <w:rFonts w:cs="Univers"/>
          <w:b/>
          <w:szCs w:val="18"/>
        </w:rPr>
      </w:pPr>
      <w:r>
        <w:rPr>
          <w:rFonts w:cs="Univers"/>
          <w:b/>
          <w:szCs w:val="18"/>
        </w:rPr>
        <w:t xml:space="preserve">Politieke </w:t>
      </w:r>
      <w:r w:rsidRPr="00333511" w:rsidR="00333511">
        <w:rPr>
          <w:rFonts w:cs="Univers"/>
          <w:b/>
          <w:szCs w:val="18"/>
        </w:rPr>
        <w:t>grenzen van toenadering</w:t>
      </w:r>
      <w:r w:rsidR="00C4389F">
        <w:rPr>
          <w:rFonts w:cs="Univers"/>
          <w:b/>
          <w:szCs w:val="18"/>
        </w:rPr>
        <w:t xml:space="preserve"> tot de Unie</w:t>
      </w:r>
    </w:p>
    <w:p w:rsidRPr="00AA334E" w:rsidR="006547A0" w:rsidP="0002507B" w:rsidRDefault="006547A0">
      <w:pPr>
        <w:rPr>
          <w:rFonts w:eastAsia="Calibri"/>
          <w:szCs w:val="18"/>
        </w:rPr>
      </w:pPr>
      <w:r>
        <w:rPr>
          <w:rFonts w:eastAsia="Calibri"/>
          <w:szCs w:val="18"/>
        </w:rPr>
        <w:t xml:space="preserve">Bij de lancering van het </w:t>
      </w:r>
      <w:r w:rsidR="002116D9">
        <w:rPr>
          <w:rFonts w:eastAsia="Calibri"/>
          <w:szCs w:val="18"/>
        </w:rPr>
        <w:t xml:space="preserve">Oostelijk </w:t>
      </w:r>
      <w:r>
        <w:rPr>
          <w:rFonts w:eastAsia="Calibri"/>
          <w:szCs w:val="18"/>
        </w:rPr>
        <w:t>Partnerschap is vastgelegd dat het doel</w:t>
      </w:r>
      <w:r w:rsidR="00275969">
        <w:rPr>
          <w:rFonts w:eastAsia="Calibri"/>
          <w:szCs w:val="18"/>
        </w:rPr>
        <w:t xml:space="preserve"> ervan</w:t>
      </w:r>
      <w:r>
        <w:rPr>
          <w:rFonts w:eastAsia="Calibri"/>
          <w:szCs w:val="18"/>
        </w:rPr>
        <w:t xml:space="preserve"> is deze landen politiek te associëren </w:t>
      </w:r>
      <w:r w:rsidR="00275969">
        <w:rPr>
          <w:rFonts w:eastAsia="Calibri"/>
          <w:szCs w:val="18"/>
        </w:rPr>
        <w:t xml:space="preserve">en economisch </w:t>
      </w:r>
      <w:r w:rsidR="00A9495D">
        <w:rPr>
          <w:rFonts w:eastAsia="Calibri"/>
          <w:szCs w:val="18"/>
        </w:rPr>
        <w:t>nauwer te verbinden met</w:t>
      </w:r>
      <w:r>
        <w:rPr>
          <w:rFonts w:eastAsia="Calibri"/>
          <w:szCs w:val="18"/>
        </w:rPr>
        <w:t xml:space="preserve"> de EU. Deze samenwerking wordt </w:t>
      </w:r>
      <w:r w:rsidR="00652889">
        <w:rPr>
          <w:rFonts w:eastAsia="Calibri"/>
          <w:szCs w:val="18"/>
        </w:rPr>
        <w:t xml:space="preserve">verdragsrechtelijk </w:t>
      </w:r>
      <w:r>
        <w:rPr>
          <w:rFonts w:eastAsia="Calibri"/>
          <w:szCs w:val="18"/>
        </w:rPr>
        <w:t xml:space="preserve">vastgelegd via </w:t>
      </w:r>
      <w:r w:rsidR="00275969">
        <w:rPr>
          <w:rFonts w:eastAsia="Calibri"/>
          <w:szCs w:val="18"/>
        </w:rPr>
        <w:t>A</w:t>
      </w:r>
      <w:r>
        <w:rPr>
          <w:rFonts w:eastAsia="Calibri"/>
          <w:szCs w:val="18"/>
        </w:rPr>
        <w:t>ssociatie</w:t>
      </w:r>
      <w:r w:rsidR="00275969">
        <w:rPr>
          <w:rFonts w:eastAsia="Calibri"/>
          <w:szCs w:val="18"/>
        </w:rPr>
        <w:t xml:space="preserve">akkoorden, </w:t>
      </w:r>
      <w:r>
        <w:rPr>
          <w:rFonts w:eastAsia="Calibri"/>
          <w:szCs w:val="18"/>
        </w:rPr>
        <w:t xml:space="preserve">waar de EU nu over </w:t>
      </w:r>
      <w:r w:rsidR="004134F0">
        <w:rPr>
          <w:rFonts w:eastAsia="Calibri"/>
          <w:szCs w:val="18"/>
        </w:rPr>
        <w:t>onderhandeld</w:t>
      </w:r>
      <w:r>
        <w:rPr>
          <w:rFonts w:eastAsia="Calibri"/>
          <w:szCs w:val="18"/>
        </w:rPr>
        <w:t xml:space="preserve"> met </w:t>
      </w:r>
      <w:r w:rsidR="002116D9">
        <w:rPr>
          <w:rFonts w:eastAsia="Calibri"/>
          <w:szCs w:val="18"/>
        </w:rPr>
        <w:t xml:space="preserve">vijf van de zes </w:t>
      </w:r>
      <w:r>
        <w:rPr>
          <w:rFonts w:eastAsia="Calibri"/>
          <w:szCs w:val="18"/>
        </w:rPr>
        <w:t>landen van het Oostelijk Partnerschap (</w:t>
      </w:r>
      <w:r w:rsidR="007B10E2">
        <w:rPr>
          <w:rFonts w:eastAsia="Calibri"/>
          <w:szCs w:val="18"/>
        </w:rPr>
        <w:t xml:space="preserve">met </w:t>
      </w:r>
      <w:r>
        <w:rPr>
          <w:rFonts w:eastAsia="Calibri"/>
          <w:szCs w:val="18"/>
        </w:rPr>
        <w:t xml:space="preserve">Wit-Rusland </w:t>
      </w:r>
      <w:r w:rsidR="007B10E2">
        <w:rPr>
          <w:rFonts w:eastAsia="Calibri"/>
          <w:szCs w:val="18"/>
        </w:rPr>
        <w:t xml:space="preserve">onderhoudt de EU geen </w:t>
      </w:r>
      <w:r w:rsidR="00652889">
        <w:rPr>
          <w:rFonts w:eastAsia="Calibri"/>
          <w:szCs w:val="18"/>
        </w:rPr>
        <w:t xml:space="preserve">verdragsrechtelijke </w:t>
      </w:r>
      <w:r w:rsidR="007B10E2">
        <w:rPr>
          <w:rFonts w:eastAsia="Calibri"/>
          <w:szCs w:val="18"/>
        </w:rPr>
        <w:t xml:space="preserve">betrekkingen). </w:t>
      </w:r>
      <w:r>
        <w:rPr>
          <w:rFonts w:eastAsia="Calibri"/>
          <w:szCs w:val="18"/>
        </w:rPr>
        <w:t xml:space="preserve">Een aantal landen van het Oostelijk </w:t>
      </w:r>
      <w:r w:rsidR="00667E99">
        <w:rPr>
          <w:rFonts w:eastAsia="Calibri"/>
          <w:szCs w:val="18"/>
        </w:rPr>
        <w:t>Partnerschap</w:t>
      </w:r>
      <w:r>
        <w:rPr>
          <w:rFonts w:eastAsia="Calibri"/>
          <w:szCs w:val="18"/>
        </w:rPr>
        <w:t xml:space="preserve"> (</w:t>
      </w:r>
      <w:r w:rsidR="00667E99">
        <w:rPr>
          <w:rFonts w:eastAsia="Calibri"/>
          <w:szCs w:val="18"/>
        </w:rPr>
        <w:t>Oekraïne</w:t>
      </w:r>
      <w:r>
        <w:rPr>
          <w:rFonts w:eastAsia="Calibri"/>
          <w:szCs w:val="18"/>
        </w:rPr>
        <w:t xml:space="preserve">, </w:t>
      </w:r>
      <w:r w:rsidR="00667E99">
        <w:rPr>
          <w:rFonts w:eastAsia="Calibri"/>
          <w:szCs w:val="18"/>
        </w:rPr>
        <w:t>Moldavië</w:t>
      </w:r>
      <w:r>
        <w:rPr>
          <w:rFonts w:eastAsia="Calibri"/>
          <w:szCs w:val="18"/>
        </w:rPr>
        <w:t xml:space="preserve">, </w:t>
      </w:r>
      <w:r w:rsidR="00667E99">
        <w:rPr>
          <w:rFonts w:eastAsia="Calibri"/>
          <w:szCs w:val="18"/>
        </w:rPr>
        <w:t>Georgië</w:t>
      </w:r>
      <w:r>
        <w:rPr>
          <w:rFonts w:eastAsia="Calibri"/>
          <w:szCs w:val="18"/>
        </w:rPr>
        <w:t xml:space="preserve">) heeft </w:t>
      </w:r>
      <w:proofErr w:type="gramStart"/>
      <w:r>
        <w:rPr>
          <w:rFonts w:eastAsia="Calibri"/>
          <w:szCs w:val="18"/>
        </w:rPr>
        <w:t>inmiddels</w:t>
      </w:r>
      <w:proofErr w:type="gramEnd"/>
      <w:r>
        <w:rPr>
          <w:rFonts w:eastAsia="Calibri"/>
          <w:szCs w:val="18"/>
        </w:rPr>
        <w:t xml:space="preserve"> kenbaar gemaakt dat zij op termijn een volledig EU-lidmaatschap nastreven. Zij wijzen hierbij op artikel 49 van het EU-Verdrag</w:t>
      </w:r>
      <w:r w:rsidR="00311A26">
        <w:rPr>
          <w:rFonts w:eastAsia="Calibri"/>
          <w:szCs w:val="18"/>
        </w:rPr>
        <w:t xml:space="preserve">, waarin is vastgelegd dat </w:t>
      </w:r>
      <w:r w:rsidR="001943B0">
        <w:rPr>
          <w:rFonts w:eastAsia="Calibri"/>
          <w:szCs w:val="18"/>
        </w:rPr>
        <w:t xml:space="preserve">“elke </w:t>
      </w:r>
      <w:r w:rsidR="00311A26">
        <w:rPr>
          <w:rFonts w:eastAsia="Calibri"/>
          <w:szCs w:val="18"/>
        </w:rPr>
        <w:t xml:space="preserve">Europese </w:t>
      </w:r>
      <w:r w:rsidR="001943B0">
        <w:rPr>
          <w:rFonts w:eastAsia="Calibri"/>
          <w:szCs w:val="18"/>
        </w:rPr>
        <w:t xml:space="preserve">staat </w:t>
      </w:r>
      <w:r w:rsidR="00311A26">
        <w:rPr>
          <w:rFonts w:eastAsia="Calibri"/>
          <w:szCs w:val="18"/>
        </w:rPr>
        <w:t xml:space="preserve">die de waarden zoals vervat in het Verdrag </w:t>
      </w:r>
      <w:r w:rsidR="001943B0">
        <w:rPr>
          <w:rFonts w:eastAsia="Calibri"/>
          <w:szCs w:val="18"/>
        </w:rPr>
        <w:t xml:space="preserve">eerbiedigt en zich ertoe verbindt deze uit te dragen” kan </w:t>
      </w:r>
      <w:r w:rsidR="00311A26">
        <w:rPr>
          <w:rFonts w:eastAsia="Calibri"/>
          <w:szCs w:val="18"/>
        </w:rPr>
        <w:t xml:space="preserve">verzoeken lid te worden van de EU. </w:t>
      </w:r>
      <w:r>
        <w:rPr>
          <w:rFonts w:eastAsia="Calibri"/>
          <w:szCs w:val="18"/>
        </w:rPr>
        <w:t>Meerdere EU-lidstaten steunen deze ambities en zijn van mening dat de EU een positief signa</w:t>
      </w:r>
      <w:r w:rsidR="00667E99">
        <w:rPr>
          <w:rFonts w:eastAsia="Calibri"/>
          <w:szCs w:val="18"/>
        </w:rPr>
        <w:t>al</w:t>
      </w:r>
      <w:r w:rsidR="00311A26">
        <w:rPr>
          <w:rFonts w:eastAsia="Calibri"/>
          <w:szCs w:val="18"/>
        </w:rPr>
        <w:t xml:space="preserve"> moet afgeven in de Verklaring van de Top</w:t>
      </w:r>
      <w:r w:rsidR="002116D9">
        <w:rPr>
          <w:rFonts w:eastAsia="Calibri"/>
          <w:szCs w:val="18"/>
        </w:rPr>
        <w:t xml:space="preserve"> door de Oosterburen een geconditioneerd perspectief op lidmaatschap</w:t>
      </w:r>
      <w:r w:rsidR="003146CF">
        <w:rPr>
          <w:rFonts w:eastAsia="Calibri"/>
          <w:szCs w:val="18"/>
        </w:rPr>
        <w:t xml:space="preserve"> aan</w:t>
      </w:r>
      <w:r w:rsidR="002116D9">
        <w:rPr>
          <w:rFonts w:eastAsia="Calibri"/>
          <w:szCs w:val="18"/>
        </w:rPr>
        <w:t xml:space="preserve"> te bieden</w:t>
      </w:r>
      <w:r w:rsidR="00311A26">
        <w:rPr>
          <w:rFonts w:eastAsia="Calibri"/>
          <w:szCs w:val="18"/>
        </w:rPr>
        <w:t>.</w:t>
      </w:r>
      <w:r w:rsidR="00430282">
        <w:rPr>
          <w:rFonts w:eastAsia="Calibri"/>
          <w:szCs w:val="18"/>
        </w:rPr>
        <w:t xml:space="preserve"> Het Poolse EU-Voorzitterschap en gastheer van de Top </w:t>
      </w:r>
      <w:r w:rsidR="002116D9">
        <w:rPr>
          <w:rFonts w:eastAsia="Calibri"/>
          <w:szCs w:val="18"/>
        </w:rPr>
        <w:t xml:space="preserve">is een van </w:t>
      </w:r>
      <w:r w:rsidR="00430282">
        <w:rPr>
          <w:rFonts w:eastAsia="Calibri"/>
          <w:szCs w:val="18"/>
        </w:rPr>
        <w:t>de meest fervente voorstander</w:t>
      </w:r>
      <w:r w:rsidR="002116D9">
        <w:rPr>
          <w:rFonts w:eastAsia="Calibri"/>
          <w:szCs w:val="18"/>
        </w:rPr>
        <w:t>s</w:t>
      </w:r>
      <w:r w:rsidR="00430282">
        <w:rPr>
          <w:rFonts w:eastAsia="Calibri"/>
          <w:szCs w:val="18"/>
        </w:rPr>
        <w:t xml:space="preserve"> van de Oost-Europese EU-lidmaatschap</w:t>
      </w:r>
      <w:r w:rsidR="00A9495D">
        <w:rPr>
          <w:rFonts w:eastAsia="Calibri"/>
          <w:szCs w:val="18"/>
        </w:rPr>
        <w:t>s</w:t>
      </w:r>
      <w:r w:rsidR="00430282">
        <w:rPr>
          <w:rFonts w:eastAsia="Calibri"/>
          <w:szCs w:val="18"/>
        </w:rPr>
        <w:t>ambities.</w:t>
      </w:r>
      <w:r w:rsidR="002116D9">
        <w:rPr>
          <w:rFonts w:eastAsia="Calibri"/>
          <w:szCs w:val="18"/>
        </w:rPr>
        <w:t xml:space="preserve"> Polen (maar ook </w:t>
      </w:r>
      <w:r w:rsidR="007B10E2">
        <w:rPr>
          <w:rFonts w:eastAsia="Calibri"/>
          <w:szCs w:val="18"/>
        </w:rPr>
        <w:t xml:space="preserve">Zweden, het VK en de </w:t>
      </w:r>
      <w:r w:rsidR="002116D9">
        <w:rPr>
          <w:rFonts w:eastAsia="Calibri"/>
          <w:szCs w:val="18"/>
        </w:rPr>
        <w:t>Baltische</w:t>
      </w:r>
      <w:r w:rsidR="00CF2845">
        <w:rPr>
          <w:rFonts w:eastAsia="Calibri"/>
          <w:szCs w:val="18"/>
        </w:rPr>
        <w:t xml:space="preserve"> en Midden-Europese landen</w:t>
      </w:r>
      <w:r w:rsidR="002116D9">
        <w:rPr>
          <w:rFonts w:eastAsia="Calibri"/>
          <w:szCs w:val="18"/>
        </w:rPr>
        <w:t xml:space="preserve">) wijzen erop dat de Oosterburen onderdeel zijn van de </w:t>
      </w:r>
      <w:r w:rsidR="004C2593">
        <w:rPr>
          <w:rFonts w:eastAsia="Calibri"/>
          <w:szCs w:val="18"/>
        </w:rPr>
        <w:t xml:space="preserve">gezamenlijke </w:t>
      </w:r>
      <w:r w:rsidR="002116D9">
        <w:rPr>
          <w:rFonts w:eastAsia="Calibri"/>
          <w:szCs w:val="18"/>
        </w:rPr>
        <w:t>Europese geschiedenis</w:t>
      </w:r>
      <w:r w:rsidR="001943B0">
        <w:rPr>
          <w:rFonts w:eastAsia="Calibri"/>
          <w:szCs w:val="18"/>
        </w:rPr>
        <w:t xml:space="preserve"> en </w:t>
      </w:r>
      <w:r w:rsidRPr="00AA334E" w:rsidR="00563DBA">
        <w:rPr>
          <w:rFonts w:eastAsia="Calibri"/>
          <w:szCs w:val="18"/>
        </w:rPr>
        <w:t xml:space="preserve">waardengemeenschap. </w:t>
      </w:r>
    </w:p>
    <w:p w:rsidR="00667E99" w:rsidP="00667E99" w:rsidRDefault="00AA334E">
      <w:pPr>
        <w:rPr>
          <w:szCs w:val="18"/>
        </w:rPr>
      </w:pPr>
      <w:r w:rsidRPr="002B2A9F">
        <w:rPr>
          <w:szCs w:val="18"/>
        </w:rPr>
        <w:t>Het kabinet neemt nota van de lidmaatschapsaspiraties van een aantal partnerlanden, maar is tegen een nadere concretisering van het theoretische lidmaatschapsperspectief voor de oostelijke buurlanden zoals dit beschreven wordt in artikel 49 van het EU-Verdrag</w:t>
      </w:r>
      <w:r w:rsidRPr="002B2A9F" w:rsidR="0006187B">
        <w:rPr>
          <w:szCs w:val="18"/>
        </w:rPr>
        <w:t xml:space="preserve"> tijdens de Top in Warschau</w:t>
      </w:r>
      <w:r w:rsidRPr="002B2A9F">
        <w:rPr>
          <w:szCs w:val="18"/>
        </w:rPr>
        <w:t>. H</w:t>
      </w:r>
      <w:r w:rsidRPr="002B2A9F" w:rsidR="00667E99">
        <w:rPr>
          <w:szCs w:val="18"/>
        </w:rPr>
        <w:t xml:space="preserve">et kabinet </w:t>
      </w:r>
      <w:r w:rsidRPr="002B2A9F" w:rsidR="00A9495D">
        <w:rPr>
          <w:szCs w:val="18"/>
        </w:rPr>
        <w:t>is</w:t>
      </w:r>
      <w:r w:rsidRPr="002B2A9F" w:rsidR="00667E99">
        <w:rPr>
          <w:szCs w:val="18"/>
        </w:rPr>
        <w:t xml:space="preserve"> van mening dat het Nabuurschap</w:t>
      </w:r>
      <w:r w:rsidRPr="002B2A9F" w:rsidR="001C6D7E">
        <w:rPr>
          <w:szCs w:val="18"/>
        </w:rPr>
        <w:t>s</w:t>
      </w:r>
      <w:r w:rsidRPr="002B2A9F" w:rsidR="00667E99">
        <w:rPr>
          <w:szCs w:val="18"/>
        </w:rPr>
        <w:t>beleid en Uitbreidingsbeleid van de EU strikt gescheiden trajecten zijn. De intensivering en versterking van de relaties met de oostelijk</w:t>
      </w:r>
      <w:r w:rsidRPr="002B2A9F" w:rsidR="00F91843">
        <w:rPr>
          <w:szCs w:val="18"/>
        </w:rPr>
        <w:t>e</w:t>
      </w:r>
      <w:r w:rsidRPr="002B2A9F" w:rsidR="00667E99">
        <w:rPr>
          <w:szCs w:val="18"/>
        </w:rPr>
        <w:t xml:space="preserve"> buurlanden van de Unie kent </w:t>
      </w:r>
      <w:r w:rsidRPr="002B2A9F" w:rsidR="00BA71A4">
        <w:rPr>
          <w:szCs w:val="18"/>
        </w:rPr>
        <w:t xml:space="preserve">duidelijke </w:t>
      </w:r>
      <w:r w:rsidRPr="002B2A9F" w:rsidR="00667E99">
        <w:rPr>
          <w:szCs w:val="18"/>
        </w:rPr>
        <w:t xml:space="preserve">grenzen: het Oostelijk Partnerschap is geen voorportaal voor lidmaatschap van de EU. </w:t>
      </w:r>
      <w:r w:rsidRPr="002B2A9F" w:rsidR="00667E99">
        <w:rPr>
          <w:rFonts w:eastAsia="Calibri"/>
          <w:szCs w:val="18"/>
        </w:rPr>
        <w:t xml:space="preserve">De conclusies van de Raad van juni 2011 over het Nabuurschapbeleid reflecteren deze benadering. </w:t>
      </w:r>
      <w:r w:rsidRPr="002B2A9F" w:rsidR="00667E99">
        <w:rPr>
          <w:szCs w:val="18"/>
        </w:rPr>
        <w:t>Het kabinet zal zich er har</w:t>
      </w:r>
      <w:r w:rsidRPr="002B2A9F" w:rsidR="00BA71A4">
        <w:rPr>
          <w:szCs w:val="18"/>
        </w:rPr>
        <w:t>d</w:t>
      </w:r>
      <w:r w:rsidRPr="002B2A9F" w:rsidR="00667E99">
        <w:rPr>
          <w:szCs w:val="18"/>
        </w:rPr>
        <w:t xml:space="preserve"> voor maken dat de </w:t>
      </w:r>
      <w:r w:rsidRPr="002B2A9F" w:rsidR="00BA71A4">
        <w:rPr>
          <w:szCs w:val="18"/>
        </w:rPr>
        <w:t>V</w:t>
      </w:r>
      <w:r w:rsidRPr="002B2A9F" w:rsidR="00667E99">
        <w:rPr>
          <w:szCs w:val="18"/>
        </w:rPr>
        <w:t xml:space="preserve">erklaring van de Top deze benadering </w:t>
      </w:r>
      <w:r w:rsidRPr="002B2A9F">
        <w:rPr>
          <w:szCs w:val="18"/>
        </w:rPr>
        <w:t xml:space="preserve">ook </w:t>
      </w:r>
      <w:r w:rsidRPr="002B2A9F" w:rsidR="00667E99">
        <w:rPr>
          <w:szCs w:val="18"/>
        </w:rPr>
        <w:t>reflecteert en in ieder geval niet verder gaat dan de door de Raad overeengekomen conclusies van 20 juni 2011.</w:t>
      </w:r>
      <w:r w:rsidRPr="002B2A9F" w:rsidR="001943B0">
        <w:rPr>
          <w:szCs w:val="18"/>
        </w:rPr>
        <w:t xml:space="preserve"> Nederland heeft hierbij steun van een aantal </w:t>
      </w:r>
      <w:r w:rsidRPr="002B2A9F" w:rsidR="003146CF">
        <w:rPr>
          <w:szCs w:val="18"/>
        </w:rPr>
        <w:t>West-Europese</w:t>
      </w:r>
      <w:r w:rsidRPr="002B2A9F" w:rsidR="001943B0">
        <w:rPr>
          <w:szCs w:val="18"/>
        </w:rPr>
        <w:t xml:space="preserve"> lidstaten.</w:t>
      </w:r>
      <w:r w:rsidR="001943B0">
        <w:rPr>
          <w:szCs w:val="18"/>
        </w:rPr>
        <w:t xml:space="preserve"> </w:t>
      </w:r>
    </w:p>
    <w:p w:rsidRPr="00667E99" w:rsidR="00667E99" w:rsidP="00667E99" w:rsidRDefault="00EE63BE">
      <w:pPr>
        <w:rPr>
          <w:b/>
          <w:szCs w:val="18"/>
        </w:rPr>
      </w:pPr>
      <w:r>
        <w:rPr>
          <w:b/>
          <w:szCs w:val="18"/>
        </w:rPr>
        <w:t>Onderhandelingen over</w:t>
      </w:r>
      <w:r w:rsidR="00436D79">
        <w:rPr>
          <w:b/>
          <w:szCs w:val="18"/>
        </w:rPr>
        <w:t xml:space="preserve"> </w:t>
      </w:r>
      <w:r>
        <w:rPr>
          <w:b/>
          <w:szCs w:val="18"/>
        </w:rPr>
        <w:t>a</w:t>
      </w:r>
      <w:r w:rsidRPr="00667E99" w:rsidR="00667E99">
        <w:rPr>
          <w:b/>
          <w:szCs w:val="18"/>
        </w:rPr>
        <w:t xml:space="preserve">ssociatie- en </w:t>
      </w:r>
      <w:r>
        <w:rPr>
          <w:b/>
          <w:szCs w:val="18"/>
        </w:rPr>
        <w:t>h</w:t>
      </w:r>
      <w:r w:rsidRPr="00667E99" w:rsidR="00667E99">
        <w:rPr>
          <w:b/>
          <w:szCs w:val="18"/>
        </w:rPr>
        <w:t>andelsakkoorden</w:t>
      </w:r>
    </w:p>
    <w:p w:rsidR="007347DB" w:rsidP="007347DB" w:rsidRDefault="00436D79">
      <w:pPr>
        <w:rPr>
          <w:szCs w:val="18"/>
        </w:rPr>
      </w:pPr>
      <w:r>
        <w:rPr>
          <w:szCs w:val="18"/>
        </w:rPr>
        <w:t xml:space="preserve">De EU onderhandelt, op Wit-Rusland na, met de landen van het Oostelijk Partnerschap </w:t>
      </w:r>
      <w:r w:rsidR="00D56357">
        <w:rPr>
          <w:szCs w:val="18"/>
        </w:rPr>
        <w:t xml:space="preserve">over </w:t>
      </w:r>
      <w:r>
        <w:rPr>
          <w:szCs w:val="18"/>
        </w:rPr>
        <w:t xml:space="preserve">nieuwe </w:t>
      </w:r>
      <w:r w:rsidR="001943B0">
        <w:rPr>
          <w:szCs w:val="18"/>
        </w:rPr>
        <w:t>A</w:t>
      </w:r>
      <w:r w:rsidR="00B85E02">
        <w:rPr>
          <w:szCs w:val="18"/>
        </w:rPr>
        <w:t xml:space="preserve">ssociatieakkoorden, waar </w:t>
      </w:r>
      <w:r>
        <w:rPr>
          <w:szCs w:val="18"/>
        </w:rPr>
        <w:t xml:space="preserve">vrijhandelsakkoorden (zogenaamde </w:t>
      </w:r>
      <w:proofErr w:type="spellStart"/>
      <w:r w:rsidR="00AC32BF">
        <w:rPr>
          <w:i/>
          <w:szCs w:val="18"/>
        </w:rPr>
        <w:t>Deep</w:t>
      </w:r>
      <w:proofErr w:type="spellEnd"/>
      <w:r w:rsidRPr="00436D79">
        <w:rPr>
          <w:i/>
          <w:szCs w:val="18"/>
        </w:rPr>
        <w:t xml:space="preserve"> </w:t>
      </w:r>
      <w:proofErr w:type="spellStart"/>
      <w:r w:rsidRPr="00436D79">
        <w:rPr>
          <w:i/>
          <w:szCs w:val="18"/>
        </w:rPr>
        <w:t>and</w:t>
      </w:r>
      <w:proofErr w:type="spellEnd"/>
      <w:r w:rsidRPr="00436D79">
        <w:rPr>
          <w:i/>
          <w:szCs w:val="18"/>
        </w:rPr>
        <w:t xml:space="preserve"> Comprehensive Free Trade Agreements</w:t>
      </w:r>
      <w:r>
        <w:rPr>
          <w:szCs w:val="18"/>
        </w:rPr>
        <w:t>, DCFTA)</w:t>
      </w:r>
      <w:r w:rsidR="00B85E02">
        <w:rPr>
          <w:szCs w:val="18"/>
        </w:rPr>
        <w:t xml:space="preserve"> een integraal onderdeel van </w:t>
      </w:r>
      <w:r w:rsidR="00FE44CA">
        <w:rPr>
          <w:szCs w:val="18"/>
        </w:rPr>
        <w:t xml:space="preserve">zullen </w:t>
      </w:r>
      <w:r w:rsidR="00B85E02">
        <w:rPr>
          <w:szCs w:val="18"/>
        </w:rPr>
        <w:t>zijn</w:t>
      </w:r>
      <w:r w:rsidR="00FE44CA">
        <w:rPr>
          <w:szCs w:val="18"/>
        </w:rPr>
        <w:t xml:space="preserve">, </w:t>
      </w:r>
      <w:r w:rsidR="00DB42D9">
        <w:rPr>
          <w:szCs w:val="18"/>
        </w:rPr>
        <w:t>zodra aan de daartoe gestelde voorwaarden wordt voldaan</w:t>
      </w:r>
      <w:r w:rsidR="00B85E02">
        <w:rPr>
          <w:szCs w:val="18"/>
        </w:rPr>
        <w:t xml:space="preserve">. In deze akkoorden wordt expliciet vastgelegd dat de samenwerking zich richt op politieke associatie en economische integratie met de EU; een toetredingsperspectief is dus </w:t>
      </w:r>
      <w:r w:rsidR="00FD1BA4">
        <w:rPr>
          <w:szCs w:val="18"/>
        </w:rPr>
        <w:t xml:space="preserve">in dit verband </w:t>
      </w:r>
      <w:r w:rsidR="00B85E02">
        <w:rPr>
          <w:szCs w:val="18"/>
        </w:rPr>
        <w:t xml:space="preserve">niet aan de orde. </w:t>
      </w:r>
      <w:r w:rsidR="007347DB">
        <w:rPr>
          <w:szCs w:val="18"/>
        </w:rPr>
        <w:t xml:space="preserve">Hiermee verschillen </w:t>
      </w:r>
      <w:r w:rsidR="004C2593">
        <w:rPr>
          <w:szCs w:val="18"/>
        </w:rPr>
        <w:t>Associatie</w:t>
      </w:r>
      <w:r w:rsidR="007347DB">
        <w:rPr>
          <w:szCs w:val="18"/>
        </w:rPr>
        <w:t xml:space="preserve">akkoorden </w:t>
      </w:r>
      <w:r w:rsidR="007D3E1A">
        <w:rPr>
          <w:szCs w:val="18"/>
        </w:rPr>
        <w:t xml:space="preserve">van </w:t>
      </w:r>
      <w:r w:rsidR="007347DB">
        <w:rPr>
          <w:szCs w:val="18"/>
        </w:rPr>
        <w:t xml:space="preserve">de verdergaande Stabilisatie- en Associatieakkoorden zoals </w:t>
      </w:r>
      <w:r w:rsidRPr="00667E99" w:rsidR="007347DB">
        <w:rPr>
          <w:szCs w:val="18"/>
        </w:rPr>
        <w:t xml:space="preserve">afgesloten met landen van de </w:t>
      </w:r>
      <w:r w:rsidR="007347DB">
        <w:rPr>
          <w:szCs w:val="18"/>
        </w:rPr>
        <w:t xml:space="preserve">Westelijke </w:t>
      </w:r>
      <w:r w:rsidRPr="00667E99" w:rsidR="007347DB">
        <w:rPr>
          <w:szCs w:val="18"/>
        </w:rPr>
        <w:t xml:space="preserve">Balkan, waarin wel een concreet en geconditioneerd lidmaatschapsperspectief is vastgelegd. </w:t>
      </w:r>
    </w:p>
    <w:p w:rsidR="003327ED" w:rsidP="007347DB" w:rsidRDefault="00311A26">
      <w:pPr>
        <w:rPr>
          <w:szCs w:val="18"/>
        </w:rPr>
      </w:pPr>
      <w:r>
        <w:rPr>
          <w:szCs w:val="18"/>
        </w:rPr>
        <w:t xml:space="preserve">Met </w:t>
      </w:r>
      <w:r w:rsidRPr="00311A26">
        <w:rPr>
          <w:i/>
          <w:szCs w:val="18"/>
        </w:rPr>
        <w:t>Oekraïne</w:t>
      </w:r>
      <w:r w:rsidR="00A41069">
        <w:rPr>
          <w:szCs w:val="18"/>
        </w:rPr>
        <w:t xml:space="preserve"> wordt al sinds 2007 </w:t>
      </w:r>
      <w:r w:rsidR="00EE63BE">
        <w:rPr>
          <w:szCs w:val="18"/>
        </w:rPr>
        <w:t>onderhandeld</w:t>
      </w:r>
      <w:r w:rsidR="00A41069">
        <w:rPr>
          <w:szCs w:val="18"/>
        </w:rPr>
        <w:t xml:space="preserve"> </w:t>
      </w:r>
      <w:r w:rsidR="00B85E02">
        <w:rPr>
          <w:szCs w:val="18"/>
        </w:rPr>
        <w:t>over</w:t>
      </w:r>
      <w:r w:rsidR="00A41069">
        <w:rPr>
          <w:szCs w:val="18"/>
        </w:rPr>
        <w:t xml:space="preserve"> een nieuw akkoord. Inmiddels hebben </w:t>
      </w:r>
      <w:r w:rsidR="00B85E02">
        <w:rPr>
          <w:szCs w:val="18"/>
        </w:rPr>
        <w:t>1</w:t>
      </w:r>
      <w:r w:rsidR="00A41069">
        <w:rPr>
          <w:szCs w:val="18"/>
        </w:rPr>
        <w:t xml:space="preserve">9 </w:t>
      </w:r>
      <w:r w:rsidR="008743C4">
        <w:rPr>
          <w:szCs w:val="18"/>
        </w:rPr>
        <w:t>onderhandelingsronden</w:t>
      </w:r>
      <w:r w:rsidR="00A41069">
        <w:rPr>
          <w:szCs w:val="18"/>
        </w:rPr>
        <w:t xml:space="preserve"> voor het nieuwe associatieakkoord en 17 ronden voor </w:t>
      </w:r>
      <w:proofErr w:type="gramStart"/>
      <w:r w:rsidR="00FD1BA4">
        <w:rPr>
          <w:szCs w:val="18"/>
        </w:rPr>
        <w:t xml:space="preserve">een  </w:t>
      </w:r>
      <w:proofErr w:type="gramEnd"/>
      <w:r w:rsidR="00FD1BA4">
        <w:rPr>
          <w:szCs w:val="18"/>
        </w:rPr>
        <w:t xml:space="preserve">DCFTA </w:t>
      </w:r>
      <w:r w:rsidR="00A41069">
        <w:rPr>
          <w:szCs w:val="18"/>
        </w:rPr>
        <w:t xml:space="preserve">plaatsgevonden. Er lijkt aan </w:t>
      </w:r>
      <w:r w:rsidR="008743C4">
        <w:rPr>
          <w:szCs w:val="18"/>
        </w:rPr>
        <w:t>Oekraïense</w:t>
      </w:r>
      <w:r w:rsidR="00A41069">
        <w:rPr>
          <w:szCs w:val="18"/>
        </w:rPr>
        <w:t xml:space="preserve"> kant de </w:t>
      </w:r>
      <w:r w:rsidR="008743C4">
        <w:rPr>
          <w:szCs w:val="18"/>
        </w:rPr>
        <w:t>politieke</w:t>
      </w:r>
      <w:r w:rsidR="00A41069">
        <w:rPr>
          <w:szCs w:val="18"/>
        </w:rPr>
        <w:t xml:space="preserve"> wil te bestaan om de onderhandelingen aan het einde van het jaar </w:t>
      </w:r>
      <w:r w:rsidR="003327ED">
        <w:rPr>
          <w:szCs w:val="18"/>
        </w:rPr>
        <w:t>tijdens de jaarlijks EU</w:t>
      </w:r>
      <w:r w:rsidR="001943B0">
        <w:rPr>
          <w:szCs w:val="18"/>
        </w:rPr>
        <w:t>-</w:t>
      </w:r>
      <w:r w:rsidR="003327ED">
        <w:rPr>
          <w:szCs w:val="18"/>
        </w:rPr>
        <w:t xml:space="preserve">Oekraïne Top </w:t>
      </w:r>
      <w:r w:rsidR="00A41069">
        <w:rPr>
          <w:szCs w:val="18"/>
        </w:rPr>
        <w:t>af te ronden</w:t>
      </w:r>
      <w:r w:rsidR="003327ED">
        <w:rPr>
          <w:szCs w:val="18"/>
        </w:rPr>
        <w:t xml:space="preserve">. </w:t>
      </w:r>
      <w:r w:rsidR="00A41069">
        <w:rPr>
          <w:szCs w:val="18"/>
        </w:rPr>
        <w:t xml:space="preserve">Nederland </w:t>
      </w:r>
      <w:r w:rsidR="003327ED">
        <w:rPr>
          <w:szCs w:val="18"/>
        </w:rPr>
        <w:t xml:space="preserve">steunt het afronden van de onderhandelingen als overeenstemming is bereikt over alle nog openstaande punten. Met een nieuw akkoord worden </w:t>
      </w:r>
      <w:r w:rsidR="00A41069">
        <w:rPr>
          <w:szCs w:val="18"/>
        </w:rPr>
        <w:t xml:space="preserve">de relaties met </w:t>
      </w:r>
      <w:r w:rsidR="008743C4">
        <w:rPr>
          <w:szCs w:val="18"/>
        </w:rPr>
        <w:t>Oekraïne</w:t>
      </w:r>
      <w:r w:rsidR="00A41069">
        <w:rPr>
          <w:szCs w:val="18"/>
        </w:rPr>
        <w:t xml:space="preserve"> verstevigd en neemt </w:t>
      </w:r>
      <w:r w:rsidR="008743C4">
        <w:rPr>
          <w:szCs w:val="18"/>
        </w:rPr>
        <w:t xml:space="preserve">dit land </w:t>
      </w:r>
      <w:r w:rsidR="00A41069">
        <w:rPr>
          <w:szCs w:val="18"/>
        </w:rPr>
        <w:t xml:space="preserve">de </w:t>
      </w:r>
      <w:r w:rsidR="008743C4">
        <w:rPr>
          <w:szCs w:val="18"/>
        </w:rPr>
        <w:t>verplichting</w:t>
      </w:r>
      <w:r w:rsidR="00A41069">
        <w:rPr>
          <w:szCs w:val="18"/>
        </w:rPr>
        <w:t xml:space="preserve"> op zich een deel van het </w:t>
      </w:r>
      <w:r w:rsidR="008743C4">
        <w:rPr>
          <w:szCs w:val="18"/>
        </w:rPr>
        <w:t>economische</w:t>
      </w:r>
      <w:r w:rsidR="00A41069">
        <w:rPr>
          <w:szCs w:val="18"/>
        </w:rPr>
        <w:t xml:space="preserve"> </w:t>
      </w:r>
      <w:proofErr w:type="spellStart"/>
      <w:r w:rsidRPr="003146CF" w:rsidR="00A41069">
        <w:rPr>
          <w:i/>
          <w:szCs w:val="18"/>
        </w:rPr>
        <w:t>acquis</w:t>
      </w:r>
      <w:proofErr w:type="spellEnd"/>
      <w:r w:rsidR="00A41069">
        <w:rPr>
          <w:szCs w:val="18"/>
        </w:rPr>
        <w:t xml:space="preserve"> van de EU over te nemen</w:t>
      </w:r>
      <w:r w:rsidR="007630F2">
        <w:rPr>
          <w:szCs w:val="18"/>
        </w:rPr>
        <w:t xml:space="preserve"> en zich te </w:t>
      </w:r>
      <w:r w:rsidR="008743C4">
        <w:rPr>
          <w:szCs w:val="18"/>
        </w:rPr>
        <w:t>committeren</w:t>
      </w:r>
      <w:r w:rsidR="007630F2">
        <w:rPr>
          <w:szCs w:val="18"/>
        </w:rPr>
        <w:t xml:space="preserve"> aan de regels van de interne markt. </w:t>
      </w:r>
      <w:r w:rsidR="00A41069">
        <w:rPr>
          <w:szCs w:val="18"/>
        </w:rPr>
        <w:t xml:space="preserve">Dit </w:t>
      </w:r>
      <w:r w:rsidR="007630F2">
        <w:rPr>
          <w:szCs w:val="18"/>
        </w:rPr>
        <w:t xml:space="preserve">is in het belang van een handelsland als Nederland en </w:t>
      </w:r>
      <w:r w:rsidR="00A41069">
        <w:rPr>
          <w:szCs w:val="18"/>
        </w:rPr>
        <w:t>vergroot de kansen voor het Nederlandse bedrijfsleven</w:t>
      </w:r>
      <w:r w:rsidR="007630F2">
        <w:rPr>
          <w:szCs w:val="18"/>
        </w:rPr>
        <w:t xml:space="preserve">. </w:t>
      </w:r>
    </w:p>
    <w:p w:rsidR="001943B0" w:rsidP="007347DB" w:rsidRDefault="001C6D7E">
      <w:pPr>
        <w:rPr>
          <w:szCs w:val="18"/>
        </w:rPr>
      </w:pPr>
      <w:r>
        <w:rPr>
          <w:szCs w:val="18"/>
        </w:rPr>
        <w:t xml:space="preserve">Het </w:t>
      </w:r>
      <w:r w:rsidR="007630F2">
        <w:rPr>
          <w:szCs w:val="18"/>
        </w:rPr>
        <w:t xml:space="preserve">kabinet benadrukt </w:t>
      </w:r>
      <w:proofErr w:type="gramStart"/>
      <w:r>
        <w:rPr>
          <w:szCs w:val="18"/>
        </w:rPr>
        <w:t>evenwel</w:t>
      </w:r>
      <w:proofErr w:type="gramEnd"/>
      <w:r>
        <w:rPr>
          <w:szCs w:val="18"/>
        </w:rPr>
        <w:t xml:space="preserve"> </w:t>
      </w:r>
      <w:r w:rsidR="007630F2">
        <w:rPr>
          <w:szCs w:val="18"/>
        </w:rPr>
        <w:t xml:space="preserve">dat de EU niet onder </w:t>
      </w:r>
      <w:r w:rsidR="008743C4">
        <w:rPr>
          <w:szCs w:val="18"/>
        </w:rPr>
        <w:t>artificiële</w:t>
      </w:r>
      <w:r w:rsidR="007630F2">
        <w:rPr>
          <w:szCs w:val="18"/>
        </w:rPr>
        <w:t xml:space="preserve"> tijdsdruk haar eigen </w:t>
      </w:r>
      <w:r w:rsidR="008743C4">
        <w:rPr>
          <w:szCs w:val="18"/>
        </w:rPr>
        <w:t>criteria</w:t>
      </w:r>
      <w:r w:rsidR="007630F2">
        <w:rPr>
          <w:szCs w:val="18"/>
        </w:rPr>
        <w:t xml:space="preserve"> </w:t>
      </w:r>
      <w:r w:rsidRPr="000C036D">
        <w:rPr>
          <w:szCs w:val="18"/>
        </w:rPr>
        <w:t xml:space="preserve">voor </w:t>
      </w:r>
      <w:r>
        <w:rPr>
          <w:szCs w:val="18"/>
        </w:rPr>
        <w:t>het afsluiten van het A</w:t>
      </w:r>
      <w:r w:rsidRPr="000C036D">
        <w:rPr>
          <w:szCs w:val="18"/>
        </w:rPr>
        <w:t xml:space="preserve">ssociatieakkoord </w:t>
      </w:r>
      <w:r w:rsidRPr="004514F2">
        <w:rPr>
          <w:szCs w:val="18"/>
        </w:rPr>
        <w:t xml:space="preserve">moet </w:t>
      </w:r>
      <w:r w:rsidR="007630F2">
        <w:rPr>
          <w:szCs w:val="18"/>
        </w:rPr>
        <w:t xml:space="preserve">verlagen. De inhoud is leidend en het is in het belang van zowel de EU als </w:t>
      </w:r>
      <w:r w:rsidR="008743C4">
        <w:rPr>
          <w:szCs w:val="18"/>
        </w:rPr>
        <w:t>Oekraïne</w:t>
      </w:r>
      <w:r w:rsidR="007630F2">
        <w:rPr>
          <w:szCs w:val="18"/>
        </w:rPr>
        <w:t xml:space="preserve"> dat er een kwalitatief hoogwaardig akkoord wordt afgesloten. Nederland houdt hierbij vast aan de </w:t>
      </w:r>
      <w:r w:rsidR="00D4213E">
        <w:rPr>
          <w:szCs w:val="18"/>
        </w:rPr>
        <w:t xml:space="preserve">voorwaarden </w:t>
      </w:r>
      <w:r w:rsidR="007630F2">
        <w:rPr>
          <w:szCs w:val="18"/>
        </w:rPr>
        <w:t xml:space="preserve">zoals vastgelegd in het onderhandelingsmandaat, waaronder </w:t>
      </w:r>
      <w:r w:rsidR="003327ED">
        <w:rPr>
          <w:szCs w:val="18"/>
        </w:rPr>
        <w:t>het eerder genoemde a</w:t>
      </w:r>
      <w:r w:rsidR="007630F2">
        <w:rPr>
          <w:szCs w:val="18"/>
        </w:rPr>
        <w:t xml:space="preserve">spect dat een </w:t>
      </w:r>
      <w:r w:rsidR="003327ED">
        <w:rPr>
          <w:szCs w:val="18"/>
        </w:rPr>
        <w:t>EU-</w:t>
      </w:r>
      <w:r w:rsidR="007630F2">
        <w:rPr>
          <w:szCs w:val="18"/>
        </w:rPr>
        <w:t>lidmaatschap</w:t>
      </w:r>
      <w:r w:rsidR="00C470D0">
        <w:rPr>
          <w:szCs w:val="18"/>
        </w:rPr>
        <w:t>s</w:t>
      </w:r>
      <w:r w:rsidR="007630F2">
        <w:rPr>
          <w:szCs w:val="18"/>
        </w:rPr>
        <w:t xml:space="preserve">perspectief niet aan de orde is. </w:t>
      </w:r>
      <w:r w:rsidR="001943B0">
        <w:rPr>
          <w:szCs w:val="18"/>
        </w:rPr>
        <w:t xml:space="preserve">Het </w:t>
      </w:r>
      <w:r w:rsidR="00D56357">
        <w:rPr>
          <w:szCs w:val="18"/>
        </w:rPr>
        <w:lastRenderedPageBreak/>
        <w:t>Associatie</w:t>
      </w:r>
      <w:r w:rsidR="001943B0">
        <w:rPr>
          <w:szCs w:val="18"/>
        </w:rPr>
        <w:t xml:space="preserve">akkoord zal </w:t>
      </w:r>
      <w:r w:rsidR="003146CF">
        <w:rPr>
          <w:szCs w:val="18"/>
        </w:rPr>
        <w:t xml:space="preserve">verder </w:t>
      </w:r>
      <w:r w:rsidR="001943B0">
        <w:rPr>
          <w:szCs w:val="18"/>
        </w:rPr>
        <w:t>alle ‘politieke clausules’ moeten bevatten</w:t>
      </w:r>
      <w:r w:rsidR="00722BB5">
        <w:rPr>
          <w:szCs w:val="18"/>
        </w:rPr>
        <w:t xml:space="preserve">: </w:t>
      </w:r>
      <w:r w:rsidR="001943B0">
        <w:rPr>
          <w:szCs w:val="18"/>
        </w:rPr>
        <w:t>mensenrechten</w:t>
      </w:r>
      <w:r w:rsidR="00A71EC8">
        <w:rPr>
          <w:szCs w:val="18"/>
        </w:rPr>
        <w:t xml:space="preserve"> en non-proliferatie</w:t>
      </w:r>
      <w:r w:rsidR="001943B0">
        <w:rPr>
          <w:szCs w:val="18"/>
        </w:rPr>
        <w:t xml:space="preserve"> als ‘essentiële clausule</w:t>
      </w:r>
      <w:r w:rsidR="003146CF">
        <w:rPr>
          <w:szCs w:val="18"/>
        </w:rPr>
        <w:t>s</w:t>
      </w:r>
      <w:r w:rsidR="001943B0">
        <w:rPr>
          <w:szCs w:val="18"/>
        </w:rPr>
        <w:t>’</w:t>
      </w:r>
      <w:r w:rsidR="00A71EC8">
        <w:rPr>
          <w:szCs w:val="18"/>
        </w:rPr>
        <w:t xml:space="preserve"> (partijen kunnen in ultimo het akkoord</w:t>
      </w:r>
      <w:r w:rsidR="00D56357">
        <w:rPr>
          <w:szCs w:val="18"/>
        </w:rPr>
        <w:t>, waaronder het handelsdeel</w:t>
      </w:r>
      <w:r w:rsidR="002F3EEB">
        <w:rPr>
          <w:szCs w:val="18"/>
        </w:rPr>
        <w:t>,</w:t>
      </w:r>
      <w:r w:rsidR="00A71EC8">
        <w:rPr>
          <w:szCs w:val="18"/>
        </w:rPr>
        <w:t xml:space="preserve"> opschorten bij ernstige schendingen van de ‘essentiële clausules’</w:t>
      </w:r>
      <w:r w:rsidR="003146CF">
        <w:rPr>
          <w:szCs w:val="18"/>
        </w:rPr>
        <w:t>)</w:t>
      </w:r>
      <w:r w:rsidR="00A165AF">
        <w:rPr>
          <w:szCs w:val="18"/>
        </w:rPr>
        <w:t xml:space="preserve"> en daarnaast afspraken over </w:t>
      </w:r>
      <w:r>
        <w:rPr>
          <w:szCs w:val="18"/>
        </w:rPr>
        <w:t xml:space="preserve">onder andere </w:t>
      </w:r>
      <w:r w:rsidR="00A165AF">
        <w:rPr>
          <w:szCs w:val="18"/>
        </w:rPr>
        <w:t xml:space="preserve">het </w:t>
      </w:r>
      <w:r>
        <w:rPr>
          <w:szCs w:val="18"/>
        </w:rPr>
        <w:t>Internationale Strafhof en t</w:t>
      </w:r>
      <w:r w:rsidR="001943B0">
        <w:rPr>
          <w:szCs w:val="18"/>
        </w:rPr>
        <w:t>erug-en overname</w:t>
      </w:r>
      <w:r w:rsidR="00D4213E">
        <w:rPr>
          <w:szCs w:val="18"/>
        </w:rPr>
        <w:t xml:space="preserve"> (re</w:t>
      </w:r>
      <w:r w:rsidR="004134F0">
        <w:rPr>
          <w:szCs w:val="18"/>
        </w:rPr>
        <w:t>-</w:t>
      </w:r>
      <w:r w:rsidR="00D4213E">
        <w:rPr>
          <w:szCs w:val="18"/>
        </w:rPr>
        <w:t>admissie)</w:t>
      </w:r>
      <w:r w:rsidR="004134F0">
        <w:rPr>
          <w:szCs w:val="18"/>
        </w:rPr>
        <w:t>.</w:t>
      </w:r>
    </w:p>
    <w:p w:rsidR="00937F7F" w:rsidP="00667E99" w:rsidRDefault="001C6D7E">
      <w:pPr>
        <w:rPr>
          <w:szCs w:val="18"/>
        </w:rPr>
      </w:pPr>
      <w:r>
        <w:rPr>
          <w:szCs w:val="18"/>
        </w:rPr>
        <w:t>De o</w:t>
      </w:r>
      <w:r w:rsidR="007630F2">
        <w:rPr>
          <w:szCs w:val="18"/>
        </w:rPr>
        <w:t xml:space="preserve">nderhandelingen voor een </w:t>
      </w:r>
      <w:r w:rsidR="001943B0">
        <w:rPr>
          <w:szCs w:val="18"/>
        </w:rPr>
        <w:t>A</w:t>
      </w:r>
      <w:r w:rsidR="008743C4">
        <w:rPr>
          <w:szCs w:val="18"/>
        </w:rPr>
        <w:t>ssociatieakkoord</w:t>
      </w:r>
      <w:r w:rsidR="007630F2">
        <w:rPr>
          <w:szCs w:val="18"/>
        </w:rPr>
        <w:t xml:space="preserve"> met </w:t>
      </w:r>
      <w:r w:rsidRPr="00EE63BE" w:rsidR="008743C4">
        <w:rPr>
          <w:i/>
          <w:szCs w:val="18"/>
        </w:rPr>
        <w:t>Moldavië</w:t>
      </w:r>
      <w:r w:rsidR="007630F2">
        <w:rPr>
          <w:szCs w:val="18"/>
        </w:rPr>
        <w:t xml:space="preserve">, </w:t>
      </w:r>
      <w:r w:rsidRPr="00EE63BE" w:rsidR="008743C4">
        <w:rPr>
          <w:i/>
          <w:szCs w:val="18"/>
        </w:rPr>
        <w:t>Georgië</w:t>
      </w:r>
      <w:r w:rsidR="007630F2">
        <w:rPr>
          <w:szCs w:val="18"/>
        </w:rPr>
        <w:t xml:space="preserve">, </w:t>
      </w:r>
      <w:r w:rsidRPr="00EE63BE" w:rsidR="008743C4">
        <w:rPr>
          <w:i/>
          <w:szCs w:val="18"/>
        </w:rPr>
        <w:t>Armenië</w:t>
      </w:r>
      <w:r w:rsidR="007630F2">
        <w:rPr>
          <w:szCs w:val="18"/>
        </w:rPr>
        <w:t xml:space="preserve"> en </w:t>
      </w:r>
      <w:r w:rsidRPr="00EE63BE" w:rsidR="007630F2">
        <w:rPr>
          <w:i/>
          <w:szCs w:val="18"/>
        </w:rPr>
        <w:t>Azerbeidjan</w:t>
      </w:r>
      <w:r w:rsidR="007630F2">
        <w:rPr>
          <w:szCs w:val="18"/>
        </w:rPr>
        <w:t xml:space="preserve"> </w:t>
      </w:r>
      <w:r w:rsidR="00C470D0">
        <w:rPr>
          <w:szCs w:val="18"/>
        </w:rPr>
        <w:t xml:space="preserve">zijn eveneens van start gegaan. </w:t>
      </w:r>
      <w:r w:rsidR="00EE63BE">
        <w:rPr>
          <w:szCs w:val="18"/>
        </w:rPr>
        <w:t xml:space="preserve">Het kabinet hecht eraan dat in deze akkoorden </w:t>
      </w:r>
      <w:r w:rsidR="005C585B">
        <w:rPr>
          <w:szCs w:val="18"/>
        </w:rPr>
        <w:t xml:space="preserve">evenals bij Oekraïne </w:t>
      </w:r>
      <w:r w:rsidR="00EE63BE">
        <w:rPr>
          <w:szCs w:val="18"/>
        </w:rPr>
        <w:t xml:space="preserve">wordt vastgelegd dat mensenrechten en </w:t>
      </w:r>
      <w:r w:rsidR="004A008E">
        <w:rPr>
          <w:szCs w:val="18"/>
        </w:rPr>
        <w:t xml:space="preserve">non-proliferatie </w:t>
      </w:r>
      <w:r w:rsidR="001943B0">
        <w:rPr>
          <w:szCs w:val="18"/>
        </w:rPr>
        <w:t>als ‘</w:t>
      </w:r>
      <w:r w:rsidR="00EE63BE">
        <w:rPr>
          <w:szCs w:val="18"/>
        </w:rPr>
        <w:t>essentiële elementen</w:t>
      </w:r>
      <w:r w:rsidR="00722BB5">
        <w:rPr>
          <w:szCs w:val="18"/>
        </w:rPr>
        <w:t>’ worden bestempeld.</w:t>
      </w:r>
      <w:r w:rsidR="00EE63BE">
        <w:rPr>
          <w:szCs w:val="18"/>
        </w:rPr>
        <w:t xml:space="preserve"> </w:t>
      </w:r>
      <w:r w:rsidR="005C585B">
        <w:rPr>
          <w:szCs w:val="18"/>
        </w:rPr>
        <w:t>M</w:t>
      </w:r>
      <w:r w:rsidR="007630F2">
        <w:rPr>
          <w:szCs w:val="18"/>
        </w:rPr>
        <w:t>et deze landen wordt</w:t>
      </w:r>
      <w:r w:rsidR="00207137">
        <w:rPr>
          <w:szCs w:val="18"/>
        </w:rPr>
        <w:t xml:space="preserve"> nog</w:t>
      </w:r>
      <w:r w:rsidR="007630F2">
        <w:rPr>
          <w:szCs w:val="18"/>
        </w:rPr>
        <w:t xml:space="preserve"> niet onderhandeld over een DCFTA: </w:t>
      </w:r>
      <w:r w:rsidR="008743C4">
        <w:rPr>
          <w:szCs w:val="18"/>
        </w:rPr>
        <w:t>Moldavië</w:t>
      </w:r>
      <w:r w:rsidR="007630F2">
        <w:rPr>
          <w:szCs w:val="18"/>
        </w:rPr>
        <w:t xml:space="preserve"> en </w:t>
      </w:r>
      <w:r w:rsidR="008743C4">
        <w:rPr>
          <w:szCs w:val="18"/>
        </w:rPr>
        <w:t>Georgië</w:t>
      </w:r>
      <w:r w:rsidR="007630F2">
        <w:rPr>
          <w:szCs w:val="18"/>
        </w:rPr>
        <w:t xml:space="preserve"> dienen </w:t>
      </w:r>
      <w:r w:rsidR="005C585B">
        <w:rPr>
          <w:szCs w:val="18"/>
        </w:rPr>
        <w:t xml:space="preserve">eerst </w:t>
      </w:r>
      <w:r w:rsidR="007630F2">
        <w:rPr>
          <w:szCs w:val="18"/>
        </w:rPr>
        <w:t>een gr</w:t>
      </w:r>
      <w:r w:rsidR="005C585B">
        <w:rPr>
          <w:szCs w:val="18"/>
        </w:rPr>
        <w:t xml:space="preserve">oot aantal pre-condities </w:t>
      </w:r>
      <w:r w:rsidR="007630F2">
        <w:rPr>
          <w:szCs w:val="18"/>
        </w:rPr>
        <w:t>te vervullen</w:t>
      </w:r>
      <w:r w:rsidR="005C585B">
        <w:rPr>
          <w:szCs w:val="18"/>
        </w:rPr>
        <w:t xml:space="preserve">, waaronder op het gebied van institutionele capaciteit om deze zware onderhandelingen te kunnen voeren. </w:t>
      </w:r>
      <w:r w:rsidR="007630F2">
        <w:rPr>
          <w:szCs w:val="18"/>
        </w:rPr>
        <w:t xml:space="preserve">De Commissie zal naar </w:t>
      </w:r>
      <w:r w:rsidR="008743C4">
        <w:rPr>
          <w:szCs w:val="18"/>
        </w:rPr>
        <w:t>verwachting</w:t>
      </w:r>
      <w:r w:rsidR="007630F2">
        <w:rPr>
          <w:szCs w:val="18"/>
        </w:rPr>
        <w:t xml:space="preserve"> in september met een advies komen of onderhandelingen </w:t>
      </w:r>
      <w:r w:rsidR="001943B0">
        <w:rPr>
          <w:szCs w:val="18"/>
        </w:rPr>
        <w:t xml:space="preserve">over een DCFTA </w:t>
      </w:r>
      <w:r w:rsidR="007630F2">
        <w:rPr>
          <w:szCs w:val="18"/>
        </w:rPr>
        <w:t xml:space="preserve">met deze landen van start kunnen gaan. </w:t>
      </w:r>
      <w:r w:rsidR="00207137">
        <w:rPr>
          <w:szCs w:val="18"/>
        </w:rPr>
        <w:t xml:space="preserve">Het kabinet kijkt uit naar deze rapportages en het advies van de Commissie. </w:t>
      </w:r>
      <w:r w:rsidRPr="005C585B" w:rsidR="007630F2">
        <w:rPr>
          <w:i/>
          <w:szCs w:val="18"/>
        </w:rPr>
        <w:t>Azerbeidjan</w:t>
      </w:r>
      <w:r w:rsidR="007630F2">
        <w:rPr>
          <w:szCs w:val="18"/>
        </w:rPr>
        <w:t xml:space="preserve"> komt niet in aanmerking voor een DCFTA</w:t>
      </w:r>
      <w:r w:rsidR="004A008E">
        <w:rPr>
          <w:szCs w:val="18"/>
        </w:rPr>
        <w:t xml:space="preserve"> </w:t>
      </w:r>
      <w:r w:rsidR="00EB299B">
        <w:rPr>
          <w:szCs w:val="18"/>
        </w:rPr>
        <w:t xml:space="preserve">met de EU </w:t>
      </w:r>
      <w:r w:rsidR="004A008E">
        <w:rPr>
          <w:szCs w:val="18"/>
        </w:rPr>
        <w:t>omdat het niet tot de WTO is toegetreden</w:t>
      </w:r>
      <w:r w:rsidR="007630F2">
        <w:rPr>
          <w:szCs w:val="18"/>
        </w:rPr>
        <w:t>.</w:t>
      </w:r>
    </w:p>
    <w:p w:rsidR="0053396E" w:rsidP="005101C8" w:rsidRDefault="0053396E">
      <w:pPr>
        <w:rPr>
          <w:rFonts w:cs="Univers"/>
          <w:b/>
          <w:szCs w:val="18"/>
        </w:rPr>
      </w:pPr>
      <w:r>
        <w:rPr>
          <w:rFonts w:cs="Univers"/>
          <w:b/>
          <w:szCs w:val="18"/>
        </w:rPr>
        <w:t>Mensenrechten</w:t>
      </w:r>
    </w:p>
    <w:p w:rsidR="0053396E" w:rsidP="005101C8" w:rsidRDefault="007E488C">
      <w:pPr>
        <w:rPr>
          <w:rFonts w:cs="Univers"/>
          <w:szCs w:val="18"/>
        </w:rPr>
      </w:pPr>
      <w:r w:rsidRPr="007E488C">
        <w:rPr>
          <w:rFonts w:cs="Univers"/>
          <w:szCs w:val="18"/>
        </w:rPr>
        <w:t xml:space="preserve">Het kabinet acht het van groot belang dat in het kader van het Oostelijk Partnerschap ook gesproken </w:t>
      </w:r>
      <w:r w:rsidR="005C585B">
        <w:rPr>
          <w:rFonts w:cs="Univers"/>
          <w:szCs w:val="18"/>
        </w:rPr>
        <w:t xml:space="preserve">wordt </w:t>
      </w:r>
      <w:r w:rsidRPr="007E488C">
        <w:rPr>
          <w:rFonts w:cs="Univers"/>
          <w:szCs w:val="18"/>
        </w:rPr>
        <w:t>over mensenrechten</w:t>
      </w:r>
      <w:r w:rsidR="005C585B">
        <w:rPr>
          <w:rFonts w:cs="Univers"/>
          <w:szCs w:val="18"/>
        </w:rPr>
        <w:t>. D</w:t>
      </w:r>
      <w:r w:rsidR="00AB44BB">
        <w:rPr>
          <w:rFonts w:cs="Univers"/>
          <w:szCs w:val="18"/>
        </w:rPr>
        <w:t xml:space="preserve">e mensenrechtensituatie </w:t>
      </w:r>
      <w:r w:rsidR="005C585B">
        <w:rPr>
          <w:rFonts w:cs="Univers"/>
          <w:szCs w:val="18"/>
        </w:rPr>
        <w:t>is in alle partnerlanden voor verbetering vatbaar</w:t>
      </w:r>
      <w:r w:rsidR="00AB44BB">
        <w:rPr>
          <w:rFonts w:cs="Univers"/>
          <w:szCs w:val="18"/>
        </w:rPr>
        <w:t xml:space="preserve">. Het gaat hierbij om </w:t>
      </w:r>
      <w:r w:rsidR="005C585B">
        <w:rPr>
          <w:rFonts w:cs="Univers"/>
          <w:szCs w:val="18"/>
        </w:rPr>
        <w:t xml:space="preserve">zaken als </w:t>
      </w:r>
      <w:r w:rsidR="00AB44BB">
        <w:rPr>
          <w:rFonts w:cs="Univers"/>
          <w:szCs w:val="18"/>
        </w:rPr>
        <w:t xml:space="preserve">de vrijheid van de media, internetvrijheid en vrijheid van meningsuiting, de onafhankelijkheid van de rechterlijke macht en de positie van religieuze en seksuele minderheden. De huidige situatie </w:t>
      </w:r>
      <w:r w:rsidR="005C585B">
        <w:rPr>
          <w:rFonts w:cs="Univers"/>
          <w:szCs w:val="18"/>
        </w:rPr>
        <w:t xml:space="preserve">in de partnerlanden </w:t>
      </w:r>
      <w:r w:rsidR="00AB44BB">
        <w:rPr>
          <w:rFonts w:cs="Univers"/>
          <w:szCs w:val="18"/>
        </w:rPr>
        <w:t xml:space="preserve">geeft een gemengd beeld: sommige landen maken duidelijke vooruitgang (Moldavië) terwijl in Azerbeidjan er nog steeds sprake is van een gebrek aan politieke vrijheden en </w:t>
      </w:r>
      <w:proofErr w:type="gramStart"/>
      <w:r w:rsidR="00AB44BB">
        <w:rPr>
          <w:rFonts w:cs="Univers"/>
          <w:szCs w:val="18"/>
        </w:rPr>
        <w:t>restricties</w:t>
      </w:r>
      <w:proofErr w:type="gramEnd"/>
      <w:r w:rsidR="00AB44BB">
        <w:rPr>
          <w:rFonts w:cs="Univers"/>
          <w:szCs w:val="18"/>
        </w:rPr>
        <w:t xml:space="preserve"> voor de media en </w:t>
      </w:r>
      <w:r w:rsidR="00722BB5">
        <w:rPr>
          <w:rFonts w:cs="Univers"/>
          <w:szCs w:val="18"/>
        </w:rPr>
        <w:t xml:space="preserve">op het </w:t>
      </w:r>
      <w:r w:rsidR="00AB44BB">
        <w:rPr>
          <w:rFonts w:cs="Univers"/>
          <w:szCs w:val="18"/>
        </w:rPr>
        <w:t>internet.</w:t>
      </w:r>
    </w:p>
    <w:p w:rsidRPr="002B2A9F" w:rsidR="00AB44BB" w:rsidP="005101C8" w:rsidRDefault="00AB44BB">
      <w:pPr>
        <w:rPr>
          <w:rFonts w:cs="Univers"/>
          <w:szCs w:val="18"/>
        </w:rPr>
      </w:pPr>
      <w:r>
        <w:rPr>
          <w:rFonts w:cs="Univers"/>
          <w:szCs w:val="18"/>
        </w:rPr>
        <w:t>De EU dient deze landen hierop aan te spreken, zowel</w:t>
      </w:r>
      <w:r w:rsidR="005C585B">
        <w:rPr>
          <w:rFonts w:cs="Univers"/>
          <w:szCs w:val="18"/>
        </w:rPr>
        <w:t xml:space="preserve"> tijdens de Top zelf als</w:t>
      </w:r>
      <w:r>
        <w:rPr>
          <w:rFonts w:cs="Univers"/>
          <w:szCs w:val="18"/>
        </w:rPr>
        <w:t xml:space="preserve"> in het kader van de reguliere dialoog met de landen als via de lopende onderhandelingen voor nieuw</w:t>
      </w:r>
      <w:r w:rsidR="001943B0">
        <w:rPr>
          <w:rFonts w:cs="Univers"/>
          <w:szCs w:val="18"/>
        </w:rPr>
        <w:t>e contractuele betrekkingen</w:t>
      </w:r>
      <w:r>
        <w:rPr>
          <w:rFonts w:cs="Univers"/>
          <w:szCs w:val="18"/>
        </w:rPr>
        <w:t xml:space="preserve">. </w:t>
      </w:r>
      <w:r w:rsidR="00722BB5">
        <w:rPr>
          <w:rFonts w:cs="Univers"/>
          <w:szCs w:val="18"/>
        </w:rPr>
        <w:t xml:space="preserve">De landen van het Partnerschap dienen ervoor te zorgen </w:t>
      </w:r>
      <w:r w:rsidR="00CC49D7">
        <w:rPr>
          <w:rFonts w:cs="Univers"/>
          <w:szCs w:val="18"/>
        </w:rPr>
        <w:t xml:space="preserve">dat maatschappelijke organisaties en mensenrechtenverdedigers ongehinderd en in vrijheid hun werk kunnen uitoefenen. Het kabinet zal hiertoe oproepen tijdens de Top en </w:t>
      </w:r>
      <w:r w:rsidR="005C585B">
        <w:rPr>
          <w:rFonts w:cs="Univers"/>
          <w:szCs w:val="18"/>
        </w:rPr>
        <w:t xml:space="preserve">zet zich ervoor in </w:t>
      </w:r>
      <w:r w:rsidR="00CC49D7">
        <w:rPr>
          <w:rFonts w:cs="Univers"/>
          <w:szCs w:val="18"/>
        </w:rPr>
        <w:t xml:space="preserve">dat mensenrechten een centrale </w:t>
      </w:r>
      <w:r w:rsidRPr="002B2A9F" w:rsidR="00CC49D7">
        <w:rPr>
          <w:rFonts w:cs="Univers"/>
          <w:szCs w:val="18"/>
        </w:rPr>
        <w:t xml:space="preserve">plek krijgen in de Verklaring van de Top. </w:t>
      </w:r>
    </w:p>
    <w:p w:rsidR="005D1B9D" w:rsidP="005101C8" w:rsidRDefault="005B7394">
      <w:pPr>
        <w:rPr>
          <w:rFonts w:cs="Univers"/>
          <w:b/>
          <w:szCs w:val="18"/>
        </w:rPr>
      </w:pPr>
      <w:r w:rsidRPr="002B2A9F">
        <w:rPr>
          <w:rFonts w:cs="Univers"/>
          <w:szCs w:val="18"/>
        </w:rPr>
        <w:t xml:space="preserve">De deelname van </w:t>
      </w:r>
      <w:r w:rsidRPr="002B2A9F" w:rsidR="00CC49D7">
        <w:rPr>
          <w:rFonts w:cs="Univers"/>
          <w:szCs w:val="18"/>
        </w:rPr>
        <w:t>Wit-Rusland</w:t>
      </w:r>
      <w:r w:rsidRPr="002B2A9F">
        <w:rPr>
          <w:rFonts w:cs="Univers"/>
          <w:szCs w:val="18"/>
        </w:rPr>
        <w:t xml:space="preserve"> in het Oostelijk partnerschap is nog steeds problematisch. Het land </w:t>
      </w:r>
      <w:r w:rsidRPr="002B2A9F" w:rsidR="00290004">
        <w:rPr>
          <w:rFonts w:cs="Univers"/>
          <w:szCs w:val="18"/>
        </w:rPr>
        <w:t>is</w:t>
      </w:r>
      <w:bookmarkStart w:name="_GoBack" w:id="0"/>
      <w:bookmarkEnd w:id="0"/>
      <w:r w:rsidR="00290004">
        <w:rPr>
          <w:rFonts w:cs="Univers"/>
          <w:szCs w:val="18"/>
        </w:rPr>
        <w:t xml:space="preserve"> slechts </w:t>
      </w:r>
      <w:r w:rsidR="003F096C">
        <w:rPr>
          <w:rFonts w:cs="Univers"/>
          <w:szCs w:val="18"/>
        </w:rPr>
        <w:t>gedeeltelijk</w:t>
      </w:r>
      <w:r w:rsidR="00290004">
        <w:rPr>
          <w:rFonts w:cs="Univers"/>
          <w:szCs w:val="18"/>
        </w:rPr>
        <w:t xml:space="preserve"> deelnemer aan het Partnerschap en kan alleen zitting nemen in de technische, multilaterale bijeenkomsten. Zoals bekend heeft de Raad in juni</w:t>
      </w:r>
      <w:r w:rsidR="001943B0">
        <w:rPr>
          <w:rFonts w:cs="Univers"/>
          <w:szCs w:val="18"/>
        </w:rPr>
        <w:t xml:space="preserve"> 2011</w:t>
      </w:r>
      <w:r w:rsidR="00290004">
        <w:rPr>
          <w:rFonts w:cs="Univers"/>
          <w:szCs w:val="18"/>
        </w:rPr>
        <w:t xml:space="preserve"> het sanctieregime tegen het regime in Minsk verder </w:t>
      </w:r>
      <w:proofErr w:type="gramStart"/>
      <w:r w:rsidR="00290004">
        <w:rPr>
          <w:rFonts w:cs="Univers"/>
          <w:szCs w:val="18"/>
        </w:rPr>
        <w:t>aangescherpt</w:t>
      </w:r>
      <w:proofErr w:type="gramEnd"/>
      <w:r w:rsidR="00290004">
        <w:rPr>
          <w:rFonts w:cs="Univers"/>
          <w:szCs w:val="18"/>
        </w:rPr>
        <w:t xml:space="preserve"> en stevige conclusies aangenomen (zie verslag RBZ van juni 2011</w:t>
      </w:r>
      <w:r w:rsidR="00A71EC8">
        <w:rPr>
          <w:rFonts w:cs="Univers"/>
          <w:szCs w:val="18"/>
        </w:rPr>
        <w:t xml:space="preserve">, </w:t>
      </w:r>
      <w:r w:rsidRPr="00A71EC8" w:rsidR="00A71EC8">
        <w:rPr>
          <w:rFonts w:cs="Univers"/>
          <w:szCs w:val="18"/>
        </w:rPr>
        <w:t>Kamerstuk 21501-02, nr. 1074</w:t>
      </w:r>
      <w:r w:rsidR="00290004">
        <w:rPr>
          <w:rFonts w:cs="Univers"/>
          <w:szCs w:val="18"/>
        </w:rPr>
        <w:t xml:space="preserve">). </w:t>
      </w:r>
      <w:r w:rsidR="00E1658A">
        <w:rPr>
          <w:rFonts w:cs="Univers"/>
          <w:szCs w:val="18"/>
        </w:rPr>
        <w:t>Zolang Wit-Rusland niet serieus bereid is alle politieke gevangen</w:t>
      </w:r>
      <w:r w:rsidR="00D56357">
        <w:rPr>
          <w:rFonts w:cs="Univers"/>
          <w:szCs w:val="18"/>
        </w:rPr>
        <w:t>en</w:t>
      </w:r>
      <w:r w:rsidR="00E1658A">
        <w:rPr>
          <w:rFonts w:cs="Univers"/>
          <w:szCs w:val="18"/>
        </w:rPr>
        <w:t xml:space="preserve"> </w:t>
      </w:r>
      <w:r w:rsidR="003F096C">
        <w:rPr>
          <w:rFonts w:cs="Univers"/>
          <w:szCs w:val="18"/>
        </w:rPr>
        <w:t xml:space="preserve">direct </w:t>
      </w:r>
      <w:r w:rsidR="00E1658A">
        <w:rPr>
          <w:rFonts w:cs="Univers"/>
          <w:szCs w:val="18"/>
        </w:rPr>
        <w:t>vrij te laten en een pad van daadwerkelijke politieke en economische hervormingen in te gaan</w:t>
      </w:r>
      <w:r w:rsidR="00D36866">
        <w:rPr>
          <w:rFonts w:cs="Univers"/>
          <w:szCs w:val="18"/>
        </w:rPr>
        <w:t>,</w:t>
      </w:r>
      <w:r w:rsidR="00E1658A">
        <w:rPr>
          <w:rFonts w:cs="Univers"/>
          <w:szCs w:val="18"/>
        </w:rPr>
        <w:t xml:space="preserve"> acht het kabinet het uitgesloten dat Wit-Rusland </w:t>
      </w:r>
      <w:r w:rsidR="00D36866">
        <w:rPr>
          <w:rFonts w:cs="Univers"/>
          <w:szCs w:val="18"/>
        </w:rPr>
        <w:t xml:space="preserve">volledig </w:t>
      </w:r>
      <w:r w:rsidR="00E1658A">
        <w:rPr>
          <w:rFonts w:cs="Univers"/>
          <w:szCs w:val="18"/>
        </w:rPr>
        <w:t>kan deelnemen aan het Partnerschap.</w:t>
      </w:r>
      <w:r w:rsidR="00926C7C">
        <w:rPr>
          <w:rFonts w:cs="Univers"/>
          <w:szCs w:val="18"/>
        </w:rPr>
        <w:t xml:space="preserve"> De Wit-Russis</w:t>
      </w:r>
      <w:r w:rsidR="00D36866">
        <w:rPr>
          <w:rFonts w:cs="Univers"/>
          <w:szCs w:val="18"/>
        </w:rPr>
        <w:t xml:space="preserve">che president </w:t>
      </w:r>
      <w:proofErr w:type="spellStart"/>
      <w:r w:rsidR="00D36866">
        <w:rPr>
          <w:rFonts w:cs="Univers"/>
          <w:szCs w:val="18"/>
        </w:rPr>
        <w:t>Lukashenko</w:t>
      </w:r>
      <w:proofErr w:type="spellEnd"/>
      <w:r w:rsidR="00D36866">
        <w:rPr>
          <w:rFonts w:cs="Univers"/>
          <w:szCs w:val="18"/>
        </w:rPr>
        <w:t xml:space="preserve"> is </w:t>
      </w:r>
      <w:r w:rsidR="00926C7C">
        <w:rPr>
          <w:rFonts w:cs="Univers"/>
          <w:szCs w:val="18"/>
        </w:rPr>
        <w:t>niet welkom op de Top en zal ook niet aanwezig kunnen zijn</w:t>
      </w:r>
      <w:r w:rsidR="00B75E2E">
        <w:rPr>
          <w:rFonts w:cs="Univers"/>
          <w:szCs w:val="18"/>
        </w:rPr>
        <w:t>,</w:t>
      </w:r>
      <w:r w:rsidR="00926C7C">
        <w:rPr>
          <w:rFonts w:cs="Univers"/>
          <w:szCs w:val="18"/>
        </w:rPr>
        <w:t xml:space="preserve"> aangezien hij is opgenomen op de lijst van </w:t>
      </w:r>
      <w:r w:rsidR="001943B0">
        <w:rPr>
          <w:rFonts w:cs="Univers"/>
          <w:szCs w:val="18"/>
        </w:rPr>
        <w:t xml:space="preserve">Wit-Russische functionarissen </w:t>
      </w:r>
      <w:r w:rsidR="00926C7C">
        <w:rPr>
          <w:rFonts w:cs="Univers"/>
          <w:szCs w:val="18"/>
        </w:rPr>
        <w:t xml:space="preserve">tegen wie een inreisverbod is uitgevaardigd. </w:t>
      </w:r>
      <w:r w:rsidR="004F2A28">
        <w:rPr>
          <w:rFonts w:cs="Univers"/>
          <w:szCs w:val="18"/>
        </w:rPr>
        <w:t>Het kabinet acht het van belang dat de EU tijdens de Top stevige en gelijkluidende boodschappen aan Wit-Rusland afgeeft.</w:t>
      </w:r>
    </w:p>
    <w:p w:rsidR="0053396E" w:rsidP="005101C8" w:rsidRDefault="009D3F9F">
      <w:pPr>
        <w:rPr>
          <w:rFonts w:cs="Univers"/>
          <w:b/>
          <w:szCs w:val="18"/>
        </w:rPr>
      </w:pPr>
      <w:r>
        <w:rPr>
          <w:rFonts w:cs="Univers"/>
          <w:b/>
          <w:szCs w:val="18"/>
        </w:rPr>
        <w:t>Overige afspraken voor de Top</w:t>
      </w:r>
    </w:p>
    <w:p w:rsidR="009D3F9F" w:rsidP="00BC277D" w:rsidRDefault="004B4CB3">
      <w:pPr>
        <w:pStyle w:val="NoSpacing"/>
        <w:rPr>
          <w:lang w:eastAsia="nl-NL"/>
        </w:rPr>
      </w:pPr>
      <w:r>
        <w:rPr>
          <w:lang w:eastAsia="nl-NL"/>
        </w:rPr>
        <w:t xml:space="preserve">Verbetering van de </w:t>
      </w:r>
      <w:r w:rsidRPr="00A65EAE">
        <w:rPr>
          <w:i/>
          <w:lang w:eastAsia="nl-NL"/>
        </w:rPr>
        <w:t>mobiliteit</w:t>
      </w:r>
      <w:r>
        <w:rPr>
          <w:lang w:eastAsia="nl-NL"/>
        </w:rPr>
        <w:t xml:space="preserve"> van onderdanen en </w:t>
      </w:r>
      <w:r w:rsidRPr="00A65EAE">
        <w:rPr>
          <w:rFonts w:cs="Univers"/>
          <w:i/>
        </w:rPr>
        <w:t>visumliberalisatie</w:t>
      </w:r>
      <w:r>
        <w:rPr>
          <w:rFonts w:cs="Univers"/>
        </w:rPr>
        <w:t xml:space="preserve"> als lange</w:t>
      </w:r>
      <w:r w:rsidR="004134F0">
        <w:rPr>
          <w:rFonts w:cs="Univers"/>
        </w:rPr>
        <w:t xml:space="preserve"> </w:t>
      </w:r>
      <w:r>
        <w:rPr>
          <w:rFonts w:cs="Univers"/>
        </w:rPr>
        <w:t>termijn</w:t>
      </w:r>
      <w:r w:rsidR="00A71EC8">
        <w:rPr>
          <w:rFonts w:cs="Univers"/>
        </w:rPr>
        <w:t xml:space="preserve"> </w:t>
      </w:r>
      <w:r>
        <w:rPr>
          <w:rFonts w:cs="Univers"/>
        </w:rPr>
        <w:t xml:space="preserve">doelstelling </w:t>
      </w:r>
      <w:r w:rsidR="00A234BE">
        <w:rPr>
          <w:lang w:eastAsia="nl-NL"/>
        </w:rPr>
        <w:t>is éé</w:t>
      </w:r>
      <w:r>
        <w:rPr>
          <w:lang w:eastAsia="nl-NL"/>
        </w:rPr>
        <w:t>n van de kerndoelstellingen van het Oostelijk Partnerschap. Met Oekraïne en Moldavië zijn concrete visumactieplannen afgesproken die op termijn moeten leiden tot visumliberalis</w:t>
      </w:r>
      <w:r w:rsidR="00A234BE">
        <w:rPr>
          <w:lang w:eastAsia="nl-NL"/>
        </w:rPr>
        <w:t xml:space="preserve">atie. </w:t>
      </w:r>
      <w:r>
        <w:rPr>
          <w:lang w:eastAsia="nl-NL"/>
        </w:rPr>
        <w:t>Het kabinet hecht eraan dat tijdens de Top wordt benadrukt dat dit perspectief gebaseerd is op stevige conditionaliteiten en voorwaarden, waarbij de inhoud van de daadwerkelijke hervormingen en niet de kalender leidend is</w:t>
      </w:r>
      <w:r w:rsidR="008C25DD">
        <w:rPr>
          <w:lang w:eastAsia="nl-NL"/>
        </w:rPr>
        <w:t>. Er kan geen sprake zijn van ‘</w:t>
      </w:r>
      <w:r w:rsidRPr="008C25DD" w:rsidR="008C25DD">
        <w:rPr>
          <w:i/>
          <w:lang w:eastAsia="nl-NL"/>
        </w:rPr>
        <w:t>short cuts’</w:t>
      </w:r>
      <w:r w:rsidR="008C25DD">
        <w:rPr>
          <w:lang w:eastAsia="nl-NL"/>
        </w:rPr>
        <w:t xml:space="preserve"> in dit traject.</w:t>
      </w:r>
      <w:r w:rsidR="00A234BE">
        <w:rPr>
          <w:lang w:eastAsia="nl-NL"/>
        </w:rPr>
        <w:t xml:space="preserve"> </w:t>
      </w:r>
      <w:r>
        <w:rPr>
          <w:lang w:eastAsia="nl-NL"/>
        </w:rPr>
        <w:t>Voor de nadere positie van het kabinet wordt verwezen naar de</w:t>
      </w:r>
      <w:r w:rsidR="00562BD8">
        <w:rPr>
          <w:lang w:eastAsia="nl-NL"/>
        </w:rPr>
        <w:t xml:space="preserve"> </w:t>
      </w:r>
      <w:r w:rsidR="00D56357">
        <w:rPr>
          <w:lang w:eastAsia="nl-NL"/>
        </w:rPr>
        <w:t xml:space="preserve">kabinetsbrief </w:t>
      </w:r>
      <w:r w:rsidR="00562BD8">
        <w:rPr>
          <w:lang w:eastAsia="nl-NL"/>
        </w:rPr>
        <w:t xml:space="preserve">over het </w:t>
      </w:r>
      <w:r>
        <w:rPr>
          <w:lang w:eastAsia="nl-NL"/>
        </w:rPr>
        <w:t>EU-visumbeleid vo</w:t>
      </w:r>
      <w:r w:rsidR="00562BD8">
        <w:rPr>
          <w:lang w:eastAsia="nl-NL"/>
        </w:rPr>
        <w:t>or de naaste buren van de U</w:t>
      </w:r>
      <w:r w:rsidR="005B7394">
        <w:rPr>
          <w:lang w:eastAsia="nl-NL"/>
        </w:rPr>
        <w:t>nie die u binnenkort ontvangt</w:t>
      </w:r>
      <w:r w:rsidR="00562BD8">
        <w:rPr>
          <w:lang w:eastAsia="nl-NL"/>
        </w:rPr>
        <w:t>.</w:t>
      </w:r>
    </w:p>
    <w:p w:rsidRPr="004B4CB3" w:rsidR="00BC277D" w:rsidP="00BC277D" w:rsidRDefault="00BC277D">
      <w:pPr>
        <w:pStyle w:val="NoSpacing"/>
        <w:rPr>
          <w:rFonts w:cs="Univers"/>
        </w:rPr>
      </w:pPr>
    </w:p>
    <w:p w:rsidR="00BC277D" w:rsidP="00BC277D" w:rsidRDefault="00BC277D">
      <w:pPr>
        <w:pStyle w:val="NoSpacing"/>
      </w:pPr>
      <w:r>
        <w:t xml:space="preserve">Samenwerking op </w:t>
      </w:r>
      <w:r w:rsidRPr="00A65EAE">
        <w:rPr>
          <w:i/>
        </w:rPr>
        <w:t>energiegebied</w:t>
      </w:r>
      <w:r>
        <w:t xml:space="preserve"> vindt plaats onder het multilaterale spoor van het Oostelijk P</w:t>
      </w:r>
      <w:r w:rsidR="005B7394">
        <w:t>artnerschap. Deze samenwerking moet</w:t>
      </w:r>
      <w:r>
        <w:t xml:space="preserve"> </w:t>
      </w:r>
      <w:r w:rsidR="005B7394">
        <w:t>ver</w:t>
      </w:r>
      <w:r>
        <w:t xml:space="preserve">der worden versterkt. Met hun toetreding tot de Energiegemeenschap hebben Oekraïne en Moldavië zich verplicht om het Europese </w:t>
      </w:r>
      <w:proofErr w:type="spellStart"/>
      <w:r>
        <w:t>a</w:t>
      </w:r>
      <w:r w:rsidRPr="00C93868">
        <w:rPr>
          <w:i/>
        </w:rPr>
        <w:t>cquis</w:t>
      </w:r>
      <w:proofErr w:type="spellEnd"/>
      <w:r>
        <w:rPr>
          <w:i/>
        </w:rPr>
        <w:t xml:space="preserve"> </w:t>
      </w:r>
      <w:r>
        <w:t xml:space="preserve">op energiegebied over te nemen. Dat is een positieve stap die ook de andere landen van het </w:t>
      </w:r>
      <w:r>
        <w:lastRenderedPageBreak/>
        <w:t>Partnerschap moeten nemen. Het kabinet steunt verdere samenwerking op energiegebied, waaronder de verbetering van infrastructuur, energie efficiëntie en energieveiligheid. Het vergroten van transparantie van de energiemarkten in de partnerlanden is een belangrijke voorwaarde voor verdere integratie met de Europese energiemarkt. Voorts staat diversificatie van aanvoerroutes en bronnen op de agenda van het Partnerschap.</w:t>
      </w:r>
    </w:p>
    <w:p w:rsidRPr="00090C05" w:rsidR="00BC277D" w:rsidP="00BC277D" w:rsidRDefault="00BC277D">
      <w:pPr>
        <w:pStyle w:val="NoSpacing"/>
      </w:pPr>
    </w:p>
    <w:p w:rsidR="00D4213E" w:rsidP="005101C8" w:rsidRDefault="00D4213E">
      <w:pPr>
        <w:rPr>
          <w:rFonts w:cs="Univers"/>
          <w:szCs w:val="18"/>
        </w:rPr>
      </w:pPr>
      <w:r>
        <w:rPr>
          <w:rFonts w:cs="Univers"/>
          <w:szCs w:val="20"/>
        </w:rPr>
        <w:t>Het blijft in de visie van het kabinet v</w:t>
      </w:r>
      <w:r w:rsidRPr="007B3065">
        <w:rPr>
          <w:rFonts w:cs="Univers"/>
          <w:szCs w:val="20"/>
        </w:rPr>
        <w:t xml:space="preserve">an belang dat het Oostelijk Partnerschap zich ook richt op de gezamenlijke strijd tegen </w:t>
      </w:r>
      <w:r w:rsidRPr="00D4213E">
        <w:rPr>
          <w:rFonts w:cs="Univers"/>
          <w:i/>
          <w:szCs w:val="20"/>
        </w:rPr>
        <w:t>georganiseerde misdaad</w:t>
      </w:r>
      <w:r w:rsidRPr="007B3065">
        <w:rPr>
          <w:rFonts w:cs="Univers"/>
          <w:szCs w:val="20"/>
        </w:rPr>
        <w:t xml:space="preserve"> en terrorisme, de aanpak van corruptie en de versterking van de rechtsstaat in de partnerlanden.</w:t>
      </w:r>
      <w:r w:rsidRPr="00F070E3">
        <w:rPr>
          <w:rFonts w:cs="Univers"/>
          <w:szCs w:val="18"/>
        </w:rPr>
        <w:t xml:space="preserve"> </w:t>
      </w:r>
      <w:r w:rsidRPr="007B3065">
        <w:rPr>
          <w:rFonts w:cs="Univers"/>
          <w:szCs w:val="18"/>
        </w:rPr>
        <w:t xml:space="preserve">Voor de samenwerking op dit terrein vormen </w:t>
      </w:r>
      <w:r w:rsidRPr="00F070E3">
        <w:rPr>
          <w:rFonts w:cs="Univers"/>
          <w:szCs w:val="18"/>
        </w:rPr>
        <w:t>de afspraken die zijn gemaakt in het kader van het Stockholmprogramma de basis.</w:t>
      </w:r>
    </w:p>
    <w:p w:rsidR="003A7CB2" w:rsidP="001C7D02" w:rsidRDefault="00591C27">
      <w:pPr>
        <w:pStyle w:val="ListParagraph"/>
        <w:spacing w:after="0"/>
        <w:ind w:left="0"/>
      </w:pPr>
      <w:r>
        <w:rPr>
          <w:rFonts w:eastAsia="Calibri"/>
          <w:szCs w:val="18"/>
        </w:rPr>
        <w:t>Ook op</w:t>
      </w:r>
      <w:r w:rsidRPr="00591C27">
        <w:rPr>
          <w:rFonts w:eastAsia="Calibri"/>
          <w:i/>
          <w:szCs w:val="18"/>
        </w:rPr>
        <w:t xml:space="preserve"> transportgebied</w:t>
      </w:r>
      <w:r>
        <w:rPr>
          <w:rFonts w:eastAsia="Calibri"/>
          <w:szCs w:val="18"/>
        </w:rPr>
        <w:t xml:space="preserve"> wordt de samenwerking met de partnerlanden geïntensiveerd. </w:t>
      </w:r>
      <w:r w:rsidR="003A7CB2">
        <w:rPr>
          <w:rFonts w:eastAsia="Calibri"/>
          <w:szCs w:val="18"/>
        </w:rPr>
        <w:t xml:space="preserve">De Commissie heeft op 7 juli 2011 </w:t>
      </w:r>
      <w:r>
        <w:rPr>
          <w:rFonts w:eastAsia="Calibri"/>
          <w:szCs w:val="18"/>
        </w:rPr>
        <w:t xml:space="preserve">hierover een nieuwe </w:t>
      </w:r>
      <w:r w:rsidR="003A7CB2">
        <w:rPr>
          <w:rFonts w:eastAsia="Calibri"/>
          <w:szCs w:val="18"/>
        </w:rPr>
        <w:t>mededeling gepresenteerd</w:t>
      </w:r>
      <w:r w:rsidR="001C7D02">
        <w:rPr>
          <w:rFonts w:eastAsia="Calibri"/>
          <w:szCs w:val="18"/>
        </w:rPr>
        <w:t xml:space="preserve"> </w:t>
      </w:r>
      <w:r w:rsidR="001C7D02">
        <w:rPr>
          <w:rStyle w:val="FootnoteReference"/>
          <w:szCs w:val="18"/>
        </w:rPr>
        <w:footnoteReference w:id="2"/>
      </w:r>
      <w:r w:rsidR="001C7D02">
        <w:rPr>
          <w:rFonts w:eastAsia="Calibri"/>
          <w:szCs w:val="18"/>
        </w:rPr>
        <w:t xml:space="preserve">. De Commissie stelt meer dan 20 acties voor op het gebied van </w:t>
      </w:r>
      <w:r w:rsidR="001C7D02">
        <w:t>luchtvaart, zee- en binnenvaart, wegvervoer en spoorvervoe</w:t>
      </w:r>
      <w:r w:rsidR="000A069D">
        <w:t xml:space="preserve">r die kunnen </w:t>
      </w:r>
      <w:r w:rsidR="001C7D02">
        <w:t xml:space="preserve">bijdragen aan </w:t>
      </w:r>
      <w:proofErr w:type="gramStart"/>
      <w:r w:rsidR="001C7D02">
        <w:t>een</w:t>
      </w:r>
      <w:proofErr w:type="gramEnd"/>
      <w:r w:rsidR="001C7D02">
        <w:t xml:space="preserve"> efficiënter goederen en personenverkeer met de oostelijke buurlanden. Voor </w:t>
      </w:r>
      <w:r w:rsidR="000A069D">
        <w:t xml:space="preserve">de </w:t>
      </w:r>
      <w:r w:rsidR="001C7D02">
        <w:t>Nederlandse transport</w:t>
      </w:r>
      <w:r w:rsidR="000A069D">
        <w:t>sector</w:t>
      </w:r>
      <w:r w:rsidR="001C7D02">
        <w:t xml:space="preserve"> </w:t>
      </w:r>
      <w:r w:rsidR="005B7394">
        <w:t>is</w:t>
      </w:r>
      <w:r w:rsidR="001C7D02">
        <w:t xml:space="preserve"> </w:t>
      </w:r>
      <w:r w:rsidR="008F5063">
        <w:t>dit</w:t>
      </w:r>
      <w:r w:rsidR="001C7D02">
        <w:t xml:space="preserve"> ook van belang.</w:t>
      </w:r>
      <w:r w:rsidRPr="001C7D02" w:rsidR="001C7D02">
        <w:t xml:space="preserve"> </w:t>
      </w:r>
      <w:r w:rsidR="001C7D02">
        <w:t>Een uitgebreide kabinetsbeoordeling van deze mededeling</w:t>
      </w:r>
      <w:r w:rsidR="008F5063">
        <w:t xml:space="preserve"> zal u spoedig ontvangen. </w:t>
      </w:r>
      <w:r w:rsidR="001C7D02">
        <w:t xml:space="preserve">  </w:t>
      </w:r>
    </w:p>
    <w:p w:rsidRPr="00090C05" w:rsidR="001C7D02" w:rsidP="001C7D02" w:rsidRDefault="001C7D02">
      <w:pPr>
        <w:pStyle w:val="ListParagraph"/>
        <w:spacing w:after="0"/>
        <w:ind w:left="0"/>
        <w:rPr>
          <w:rFonts w:cs="Univers"/>
          <w:szCs w:val="18"/>
        </w:rPr>
      </w:pPr>
    </w:p>
    <w:p w:rsidR="00562BD8" w:rsidP="00562BD8" w:rsidRDefault="00A71EC8">
      <w:pPr>
        <w:pStyle w:val="NoSpacing"/>
      </w:pPr>
      <w:r w:rsidRPr="00562BD8">
        <w:t xml:space="preserve">De Raad van juni 2011 besloot dat er maximaal 1,2 miljard euro aan </w:t>
      </w:r>
      <w:r w:rsidRPr="005740F0">
        <w:rPr>
          <w:i/>
        </w:rPr>
        <w:t>additionele fondsen</w:t>
      </w:r>
      <w:r w:rsidRPr="00562BD8">
        <w:t xml:space="preserve"> (tot december 2013) zal worden vrijgemaakt om democratische en economische transitie bij de nabuurschapspartners (Oost- en Zuid) te ondersteunen </w:t>
      </w:r>
      <w:r w:rsidRPr="00562BD8" w:rsidR="009D3F9F">
        <w:t xml:space="preserve">Het kabinet </w:t>
      </w:r>
      <w:r w:rsidRPr="00562BD8" w:rsidR="00575643">
        <w:t xml:space="preserve">onderstreept </w:t>
      </w:r>
      <w:r w:rsidRPr="00562BD8">
        <w:t xml:space="preserve">dat </w:t>
      </w:r>
      <w:r w:rsidRPr="00562BD8" w:rsidR="009D3F9F">
        <w:t>eventuele beleidsintensiveringen budgetneutraal moeten worden geaccommodeerd binnen de middelen die de EU beschikbaar heeft voor extern beleid.</w:t>
      </w:r>
      <w:r w:rsidRPr="00562BD8" w:rsidR="00F64125">
        <w:t xml:space="preserve"> Ook kan niet vooruit worden gelopen op de afspraken die moeten worden gemaakt in het kader van de nieuwe financiële perspectieven voor de periode na 2013.</w:t>
      </w:r>
      <w:r w:rsidRPr="00562BD8">
        <w:t xml:space="preserve"> </w:t>
      </w:r>
    </w:p>
    <w:p w:rsidR="00FB4EAE" w:rsidP="00562BD8" w:rsidRDefault="00A71EC8">
      <w:r w:rsidRPr="00562BD8">
        <w:br/>
      </w:r>
      <w:r w:rsidRPr="00562BD8">
        <w:rPr>
          <w:i/>
        </w:rPr>
        <w:t>Begrotingssteun</w:t>
      </w:r>
      <w:r w:rsidRPr="00562BD8">
        <w:t xml:space="preserve"> is een hulpmodaliteit die de EU onder </w:t>
      </w:r>
      <w:r w:rsidR="00AA334E">
        <w:t>bepaalde</w:t>
      </w:r>
      <w:r w:rsidRPr="00562BD8">
        <w:t xml:space="preserve"> omstandigheden </w:t>
      </w:r>
      <w:r w:rsidR="00AA334E">
        <w:t xml:space="preserve">gebruikt </w:t>
      </w:r>
      <w:r w:rsidRPr="00562BD8">
        <w:t>om bij te dragen aan duurzame armoedebestrijding en een betere vervulling van kernfuncties van de overheid in nabuurschapslanden op het gebied van onder meer onderwijs</w:t>
      </w:r>
      <w:r w:rsidR="000A069D">
        <w:t xml:space="preserve"> en</w:t>
      </w:r>
      <w:r w:rsidRPr="00562BD8">
        <w:t xml:space="preserve"> gezondheidszorg. </w:t>
      </w:r>
      <w:r w:rsidR="000A069D">
        <w:t xml:space="preserve">Het kabinet is echter van mening dat de EU </w:t>
      </w:r>
      <w:r w:rsidR="00AA334E">
        <w:t>grote</w:t>
      </w:r>
      <w:r w:rsidRPr="00562BD8">
        <w:t xml:space="preserve"> terughoudendheid aan de dag </w:t>
      </w:r>
      <w:r w:rsidR="000A069D">
        <w:t xml:space="preserve">moet </w:t>
      </w:r>
      <w:r w:rsidRPr="00562BD8">
        <w:t xml:space="preserve">leggen bij het verstrekken van begrotingssteun. Bij twijfel over de inzet op het gebied van corruptie, mensenrechten of goed bestuur dient de EU geen begrotingssteun toe te kennen aan de Oostelijke Partnerschapslanden. Gerichte sectorale steun kan over het algemeen sneller worden ingezet, al gelden ook hiervoor de genoemde politieke </w:t>
      </w:r>
      <w:r w:rsidRPr="00562BD8" w:rsidR="005740F0">
        <w:t xml:space="preserve">basisvoorwaarden. </w:t>
      </w:r>
    </w:p>
    <w:p w:rsidR="00BC277D" w:rsidP="00562BD8" w:rsidRDefault="00BC277D"/>
    <w:p w:rsidRPr="00562BD8" w:rsidR="00BC277D" w:rsidP="00562BD8" w:rsidRDefault="00BC277D"/>
    <w:sectPr w:rsidRPr="00562BD8" w:rsidR="00BC277D">
      <w:footerReference w:type="default" r:id="rId9"/>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AF5" w:rsidRDefault="00955AF5" w:rsidP="00747BE2">
      <w:pPr>
        <w:spacing w:after="0"/>
      </w:pPr>
      <w:r>
        <w:separator/>
      </w:r>
    </w:p>
  </w:endnote>
  <w:endnote w:type="continuationSeparator" w:id="0">
    <w:p w:rsidR="00955AF5" w:rsidRDefault="00955AF5" w:rsidP="00747B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438083"/>
      <w:docPartObj>
        <w:docPartGallery w:val="Page Numbers (Bottom of Page)"/>
        <w:docPartUnique/>
      </w:docPartObj>
    </w:sdtPr>
    <w:sdtEndPr>
      <w:rPr>
        <w:noProof/>
      </w:rPr>
    </w:sdtEndPr>
    <w:sdtContent>
      <w:p w:rsidR="005B7394" w:rsidRDefault="005B7394">
        <w:pPr>
          <w:pStyle w:val="Footer"/>
          <w:jc w:val="center"/>
        </w:pPr>
        <w:r>
          <w:fldChar w:fldCharType="begin"/>
        </w:r>
        <w:r>
          <w:instrText xml:space="preserve"> PAGE   \* MERGEFORMAT </w:instrText>
        </w:r>
        <w:r>
          <w:fldChar w:fldCharType="separate"/>
        </w:r>
        <w:r w:rsidR="002B2A9F">
          <w:rPr>
            <w:noProof/>
          </w:rPr>
          <w:t>1</w:t>
        </w:r>
        <w:r>
          <w:rPr>
            <w:noProof/>
          </w:rPr>
          <w:fldChar w:fldCharType="end"/>
        </w:r>
      </w:p>
    </w:sdtContent>
  </w:sdt>
  <w:p w:rsidR="005B7394" w:rsidRDefault="005B73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AF5" w:rsidRDefault="00955AF5" w:rsidP="00747BE2">
      <w:pPr>
        <w:spacing w:after="0"/>
      </w:pPr>
      <w:r>
        <w:separator/>
      </w:r>
    </w:p>
  </w:footnote>
  <w:footnote w:type="continuationSeparator" w:id="0">
    <w:p w:rsidR="00955AF5" w:rsidRDefault="00955AF5" w:rsidP="00747BE2">
      <w:pPr>
        <w:spacing w:after="0"/>
      </w:pPr>
      <w:r>
        <w:continuationSeparator/>
      </w:r>
    </w:p>
  </w:footnote>
  <w:footnote w:id="1">
    <w:p w:rsidR="005B7394" w:rsidRPr="00866B9A" w:rsidRDefault="005B7394" w:rsidP="002116D9">
      <w:pPr>
        <w:autoSpaceDE w:val="0"/>
        <w:autoSpaceDN w:val="0"/>
        <w:adjustRightInd w:val="0"/>
        <w:spacing w:after="0"/>
        <w:rPr>
          <w:rFonts w:cs="Univers"/>
          <w:sz w:val="16"/>
          <w:szCs w:val="16"/>
        </w:rPr>
      </w:pPr>
      <w:r w:rsidRPr="00866B9A">
        <w:rPr>
          <w:rStyle w:val="FootnoteReference"/>
          <w:sz w:val="16"/>
          <w:szCs w:val="16"/>
        </w:rPr>
        <w:footnoteRef/>
      </w:r>
      <w:r w:rsidRPr="00866B9A">
        <w:rPr>
          <w:sz w:val="16"/>
          <w:szCs w:val="16"/>
        </w:rPr>
        <w:t xml:space="preserve"> </w:t>
      </w:r>
      <w:r w:rsidRPr="00866B9A">
        <w:rPr>
          <w:rFonts w:cs="Univers"/>
          <w:sz w:val="16"/>
          <w:szCs w:val="16"/>
        </w:rPr>
        <w:t>Het niveau van samenwerking met Wit-Rusland zal afhangen van de ontwikkeling van de EU-Wit-Rusland relatie, zie pagina 3.</w:t>
      </w:r>
    </w:p>
    <w:p w:rsidR="005B7394" w:rsidRDefault="005B7394" w:rsidP="002116D9">
      <w:pPr>
        <w:pStyle w:val="FootnoteText"/>
      </w:pPr>
    </w:p>
  </w:footnote>
  <w:footnote w:id="2">
    <w:p w:rsidR="005B7394" w:rsidRPr="00866B9A" w:rsidRDefault="005B7394" w:rsidP="001C7D02">
      <w:pPr>
        <w:autoSpaceDE w:val="0"/>
        <w:autoSpaceDN w:val="0"/>
        <w:adjustRightInd w:val="0"/>
        <w:spacing w:after="0"/>
        <w:rPr>
          <w:rFonts w:cs="Univers"/>
          <w:sz w:val="16"/>
          <w:szCs w:val="16"/>
        </w:rPr>
      </w:pPr>
      <w:r w:rsidRPr="00866B9A">
        <w:rPr>
          <w:rStyle w:val="FootnoteReference"/>
          <w:sz w:val="16"/>
          <w:szCs w:val="16"/>
        </w:rPr>
        <w:footnoteRef/>
      </w:r>
      <w:r w:rsidRPr="00866B9A">
        <w:rPr>
          <w:sz w:val="16"/>
          <w:szCs w:val="16"/>
        </w:rPr>
        <w:t xml:space="preserve"> </w:t>
      </w:r>
      <w:r w:rsidRPr="001C7D02">
        <w:rPr>
          <w:rFonts w:eastAsia="Calibri"/>
          <w:sz w:val="16"/>
          <w:szCs w:val="16"/>
        </w:rPr>
        <w:t>“De EU en haar aangrenzende regio’s: een nieuw beleid voor samenwerking op het gebied van vervoer”, Commissievoorstel 7 juli 2011 (</w:t>
      </w:r>
      <w:r w:rsidRPr="001C7D02">
        <w:rPr>
          <w:rFonts w:cs="Times New Roman"/>
          <w:sz w:val="16"/>
          <w:szCs w:val="16"/>
        </w:rPr>
        <w:t>COM</w:t>
      </w:r>
      <w:proofErr w:type="gramStart"/>
      <w:r w:rsidRPr="001C7D02">
        <w:rPr>
          <w:rFonts w:cs="Times New Roman"/>
          <w:sz w:val="16"/>
          <w:szCs w:val="16"/>
        </w:rPr>
        <w:t>(</w:t>
      </w:r>
      <w:proofErr w:type="gramEnd"/>
      <w:r w:rsidRPr="001C7D02">
        <w:rPr>
          <w:rFonts w:cs="Times New Roman"/>
          <w:sz w:val="16"/>
          <w:szCs w:val="16"/>
        </w:rPr>
        <w:t xml:space="preserve">2011) 415 </w:t>
      </w:r>
      <w:proofErr w:type="spellStart"/>
      <w:r w:rsidRPr="004134F0">
        <w:rPr>
          <w:rFonts w:cs="Times New Roman"/>
          <w:i/>
          <w:sz w:val="16"/>
          <w:szCs w:val="16"/>
        </w:rPr>
        <w:t>final</w:t>
      </w:r>
      <w:proofErr w:type="spellEnd"/>
      <w:r w:rsidRPr="001C7D02">
        <w:rPr>
          <w:rFonts w:cs="Times New Roman"/>
          <w:sz w:val="16"/>
          <w:szCs w:val="16"/>
        </w:rPr>
        <w:t>)</w:t>
      </w:r>
    </w:p>
    <w:p w:rsidR="005B7394" w:rsidRDefault="005B7394" w:rsidP="001C7D0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72924"/>
    <w:multiLevelType w:val="hybridMultilevel"/>
    <w:tmpl w:val="235E31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58395149"/>
    <w:multiLevelType w:val="hybridMultilevel"/>
    <w:tmpl w:val="35B6CDC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B34"/>
    <w:rsid w:val="0002507B"/>
    <w:rsid w:val="0006187B"/>
    <w:rsid w:val="00090C05"/>
    <w:rsid w:val="00092896"/>
    <w:rsid w:val="000974D6"/>
    <w:rsid w:val="000A069D"/>
    <w:rsid w:val="00127A83"/>
    <w:rsid w:val="001459D2"/>
    <w:rsid w:val="00156454"/>
    <w:rsid w:val="00190972"/>
    <w:rsid w:val="001943B0"/>
    <w:rsid w:val="001A23B6"/>
    <w:rsid w:val="001C6D7E"/>
    <w:rsid w:val="001C7D02"/>
    <w:rsid w:val="00207137"/>
    <w:rsid w:val="002116D9"/>
    <w:rsid w:val="002264D7"/>
    <w:rsid w:val="00262BF8"/>
    <w:rsid w:val="00275969"/>
    <w:rsid w:val="00290004"/>
    <w:rsid w:val="002A39B8"/>
    <w:rsid w:val="002B0509"/>
    <w:rsid w:val="002B2A9F"/>
    <w:rsid w:val="002E6605"/>
    <w:rsid w:val="002F3EEB"/>
    <w:rsid w:val="00304565"/>
    <w:rsid w:val="00311A26"/>
    <w:rsid w:val="003146CF"/>
    <w:rsid w:val="003327ED"/>
    <w:rsid w:val="00333511"/>
    <w:rsid w:val="003832DE"/>
    <w:rsid w:val="003A64EE"/>
    <w:rsid w:val="003A7CB2"/>
    <w:rsid w:val="003C0505"/>
    <w:rsid w:val="003C45C7"/>
    <w:rsid w:val="003D3B3E"/>
    <w:rsid w:val="003E5BB0"/>
    <w:rsid w:val="003F096C"/>
    <w:rsid w:val="00401BA5"/>
    <w:rsid w:val="004134F0"/>
    <w:rsid w:val="00430282"/>
    <w:rsid w:val="00436D79"/>
    <w:rsid w:val="004A008E"/>
    <w:rsid w:val="004A5D33"/>
    <w:rsid w:val="004B4CB3"/>
    <w:rsid w:val="004C2593"/>
    <w:rsid w:val="004F02A7"/>
    <w:rsid w:val="004F2A28"/>
    <w:rsid w:val="00501577"/>
    <w:rsid w:val="005101C8"/>
    <w:rsid w:val="005110D8"/>
    <w:rsid w:val="00524415"/>
    <w:rsid w:val="0053396E"/>
    <w:rsid w:val="00544E82"/>
    <w:rsid w:val="0056060D"/>
    <w:rsid w:val="00562BD8"/>
    <w:rsid w:val="00563DBA"/>
    <w:rsid w:val="005740F0"/>
    <w:rsid w:val="00575643"/>
    <w:rsid w:val="00591C27"/>
    <w:rsid w:val="005B7394"/>
    <w:rsid w:val="005C585B"/>
    <w:rsid w:val="005D1B9D"/>
    <w:rsid w:val="00606882"/>
    <w:rsid w:val="00652889"/>
    <w:rsid w:val="006547A0"/>
    <w:rsid w:val="00662413"/>
    <w:rsid w:val="006633B8"/>
    <w:rsid w:val="00667E99"/>
    <w:rsid w:val="006B4857"/>
    <w:rsid w:val="007169AC"/>
    <w:rsid w:val="00722BB5"/>
    <w:rsid w:val="007347DB"/>
    <w:rsid w:val="00747BE2"/>
    <w:rsid w:val="007630F2"/>
    <w:rsid w:val="007B10E2"/>
    <w:rsid w:val="007D3E1A"/>
    <w:rsid w:val="007E488C"/>
    <w:rsid w:val="008078F7"/>
    <w:rsid w:val="00852840"/>
    <w:rsid w:val="00866B9A"/>
    <w:rsid w:val="008743C4"/>
    <w:rsid w:val="008A2854"/>
    <w:rsid w:val="008B492A"/>
    <w:rsid w:val="008C25DD"/>
    <w:rsid w:val="008F5063"/>
    <w:rsid w:val="00907E0E"/>
    <w:rsid w:val="00926C7C"/>
    <w:rsid w:val="00937F7F"/>
    <w:rsid w:val="00955AF5"/>
    <w:rsid w:val="009A288D"/>
    <w:rsid w:val="009C0525"/>
    <w:rsid w:val="009D3F9F"/>
    <w:rsid w:val="00A03B34"/>
    <w:rsid w:val="00A165AF"/>
    <w:rsid w:val="00A219FD"/>
    <w:rsid w:val="00A22569"/>
    <w:rsid w:val="00A234BE"/>
    <w:rsid w:val="00A41069"/>
    <w:rsid w:val="00A65EAE"/>
    <w:rsid w:val="00A71EC8"/>
    <w:rsid w:val="00A91D3A"/>
    <w:rsid w:val="00A92BFF"/>
    <w:rsid w:val="00A9495D"/>
    <w:rsid w:val="00A94EF5"/>
    <w:rsid w:val="00AA334E"/>
    <w:rsid w:val="00AB44BB"/>
    <w:rsid w:val="00AC32BF"/>
    <w:rsid w:val="00B25547"/>
    <w:rsid w:val="00B661B5"/>
    <w:rsid w:val="00B74E74"/>
    <w:rsid w:val="00B75E2E"/>
    <w:rsid w:val="00B85E02"/>
    <w:rsid w:val="00BA442E"/>
    <w:rsid w:val="00BA71A4"/>
    <w:rsid w:val="00BA78E4"/>
    <w:rsid w:val="00BC277D"/>
    <w:rsid w:val="00BC5B90"/>
    <w:rsid w:val="00BE0B12"/>
    <w:rsid w:val="00C4389F"/>
    <w:rsid w:val="00C470D0"/>
    <w:rsid w:val="00C710F1"/>
    <w:rsid w:val="00CC49D7"/>
    <w:rsid w:val="00CD64F5"/>
    <w:rsid w:val="00CE3183"/>
    <w:rsid w:val="00CF2845"/>
    <w:rsid w:val="00CF3D78"/>
    <w:rsid w:val="00D309B7"/>
    <w:rsid w:val="00D35732"/>
    <w:rsid w:val="00D36866"/>
    <w:rsid w:val="00D4213E"/>
    <w:rsid w:val="00D56357"/>
    <w:rsid w:val="00D63BAD"/>
    <w:rsid w:val="00DB42D9"/>
    <w:rsid w:val="00E1658A"/>
    <w:rsid w:val="00EB299B"/>
    <w:rsid w:val="00EE63BE"/>
    <w:rsid w:val="00F07956"/>
    <w:rsid w:val="00F52423"/>
    <w:rsid w:val="00F64125"/>
    <w:rsid w:val="00F64A86"/>
    <w:rsid w:val="00F91843"/>
    <w:rsid w:val="00FB4EAE"/>
    <w:rsid w:val="00FD1BA4"/>
    <w:rsid w:val="00FE4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747BE2"/>
    <w:rPr>
      <w:rFonts w:cs="Times New Roman"/>
      <w:vertAlign w:val="superscript"/>
    </w:rPr>
  </w:style>
  <w:style w:type="paragraph" w:styleId="ListParagraph">
    <w:name w:val="List Paragraph"/>
    <w:basedOn w:val="Normal"/>
    <w:uiPriority w:val="34"/>
    <w:qFormat/>
    <w:rsid w:val="00747BE2"/>
    <w:pPr>
      <w:ind w:left="720"/>
      <w:contextualSpacing/>
    </w:pPr>
  </w:style>
  <w:style w:type="character" w:customStyle="1" w:styleId="dossiernummer1">
    <w:name w:val="dossiernummer1"/>
    <w:basedOn w:val="DefaultParagraphFont"/>
    <w:rsid w:val="00747BE2"/>
    <w:rPr>
      <w:vanish w:val="0"/>
      <w:webHidden w:val="0"/>
      <w:color w:val="E67C00"/>
      <w:specVanish w:val="0"/>
    </w:rPr>
  </w:style>
  <w:style w:type="character" w:customStyle="1" w:styleId="stuknummer1">
    <w:name w:val="stuknummer1"/>
    <w:basedOn w:val="DefaultParagraphFont"/>
    <w:rsid w:val="00747BE2"/>
    <w:rPr>
      <w:vanish w:val="0"/>
      <w:webHidden w:val="0"/>
      <w:specVanish w:val="0"/>
    </w:rPr>
  </w:style>
  <w:style w:type="paragraph" w:styleId="Header">
    <w:name w:val="header"/>
    <w:basedOn w:val="Normal"/>
    <w:link w:val="HeaderChar"/>
    <w:uiPriority w:val="99"/>
    <w:unhideWhenUsed/>
    <w:rsid w:val="00907E0E"/>
    <w:pPr>
      <w:tabs>
        <w:tab w:val="center" w:pos="4513"/>
        <w:tab w:val="right" w:pos="9026"/>
      </w:tabs>
      <w:spacing w:after="0"/>
    </w:pPr>
  </w:style>
  <w:style w:type="character" w:customStyle="1" w:styleId="HeaderChar">
    <w:name w:val="Header Char"/>
    <w:basedOn w:val="DefaultParagraphFont"/>
    <w:link w:val="Header"/>
    <w:uiPriority w:val="99"/>
    <w:rsid w:val="00907E0E"/>
    <w:rPr>
      <w:lang w:val="nl-NL"/>
    </w:rPr>
  </w:style>
  <w:style w:type="paragraph" w:styleId="Footer">
    <w:name w:val="footer"/>
    <w:basedOn w:val="Normal"/>
    <w:link w:val="FooterChar"/>
    <w:uiPriority w:val="99"/>
    <w:unhideWhenUsed/>
    <w:rsid w:val="00907E0E"/>
    <w:pPr>
      <w:tabs>
        <w:tab w:val="center" w:pos="4513"/>
        <w:tab w:val="right" w:pos="9026"/>
      </w:tabs>
      <w:spacing w:after="0"/>
    </w:pPr>
  </w:style>
  <w:style w:type="character" w:customStyle="1" w:styleId="FooterChar">
    <w:name w:val="Footer Char"/>
    <w:basedOn w:val="DefaultParagraphFont"/>
    <w:link w:val="Footer"/>
    <w:uiPriority w:val="99"/>
    <w:rsid w:val="00907E0E"/>
    <w:rPr>
      <w:lang w:val="nl-NL"/>
    </w:rPr>
  </w:style>
  <w:style w:type="paragraph" w:customStyle="1" w:styleId="FooterLeft">
    <w:name w:val="Footer Left"/>
    <w:basedOn w:val="Footer"/>
    <w:uiPriority w:val="35"/>
    <w:qFormat/>
    <w:rsid w:val="00907E0E"/>
    <w:pPr>
      <w:pBdr>
        <w:top w:val="dashed" w:sz="4" w:space="18" w:color="7F7F7F" w:themeColor="text1" w:themeTint="80"/>
      </w:pBdr>
      <w:tabs>
        <w:tab w:val="clear" w:pos="4513"/>
        <w:tab w:val="clear" w:pos="9026"/>
        <w:tab w:val="center" w:pos="4320"/>
        <w:tab w:val="right" w:pos="8640"/>
      </w:tabs>
      <w:spacing w:after="200"/>
      <w:contextualSpacing/>
    </w:pPr>
    <w:rPr>
      <w:rFonts w:asciiTheme="minorHAnsi" w:hAnsiTheme="minorHAnsi" w:cs="Times New Roman"/>
      <w:color w:val="7F7F7F" w:themeColor="text1" w:themeTint="80"/>
      <w:sz w:val="20"/>
      <w:szCs w:val="18"/>
      <w:lang w:val="en-US" w:eastAsia="ja-JP"/>
    </w:rPr>
  </w:style>
  <w:style w:type="paragraph" w:styleId="FootnoteText">
    <w:name w:val="footnote text"/>
    <w:basedOn w:val="Normal"/>
    <w:link w:val="FootnoteTextChar"/>
    <w:uiPriority w:val="99"/>
    <w:semiHidden/>
    <w:unhideWhenUsed/>
    <w:rsid w:val="002116D9"/>
    <w:pPr>
      <w:spacing w:after="0"/>
    </w:pPr>
    <w:rPr>
      <w:sz w:val="20"/>
      <w:szCs w:val="20"/>
    </w:rPr>
  </w:style>
  <w:style w:type="character" w:customStyle="1" w:styleId="FootnoteTextChar">
    <w:name w:val="Footnote Text Char"/>
    <w:basedOn w:val="DefaultParagraphFont"/>
    <w:link w:val="FootnoteText"/>
    <w:uiPriority w:val="99"/>
    <w:semiHidden/>
    <w:rsid w:val="002116D9"/>
    <w:rPr>
      <w:sz w:val="20"/>
      <w:szCs w:val="20"/>
      <w:lang w:val="nl-NL"/>
    </w:rPr>
  </w:style>
  <w:style w:type="paragraph" w:styleId="BalloonText">
    <w:name w:val="Balloon Text"/>
    <w:basedOn w:val="Normal"/>
    <w:link w:val="BalloonTextChar"/>
    <w:uiPriority w:val="99"/>
    <w:semiHidden/>
    <w:unhideWhenUsed/>
    <w:rsid w:val="001943B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3B0"/>
    <w:rPr>
      <w:rFonts w:ascii="Tahoma" w:hAnsi="Tahoma" w:cs="Tahoma"/>
      <w:sz w:val="16"/>
      <w:szCs w:val="16"/>
      <w:lang w:val="nl-NL"/>
    </w:rPr>
  </w:style>
  <w:style w:type="paragraph" w:styleId="NoSpacing">
    <w:name w:val="No Spacing"/>
    <w:uiPriority w:val="1"/>
    <w:qFormat/>
    <w:rsid w:val="00562BD8"/>
    <w:pPr>
      <w:spacing w:after="0"/>
    </w:pPr>
    <w:rPr>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747BE2"/>
    <w:rPr>
      <w:rFonts w:cs="Times New Roman"/>
      <w:vertAlign w:val="superscript"/>
    </w:rPr>
  </w:style>
  <w:style w:type="paragraph" w:styleId="ListParagraph">
    <w:name w:val="List Paragraph"/>
    <w:basedOn w:val="Normal"/>
    <w:uiPriority w:val="34"/>
    <w:qFormat/>
    <w:rsid w:val="00747BE2"/>
    <w:pPr>
      <w:ind w:left="720"/>
      <w:contextualSpacing/>
    </w:pPr>
  </w:style>
  <w:style w:type="character" w:customStyle="1" w:styleId="dossiernummer1">
    <w:name w:val="dossiernummer1"/>
    <w:basedOn w:val="DefaultParagraphFont"/>
    <w:rsid w:val="00747BE2"/>
    <w:rPr>
      <w:vanish w:val="0"/>
      <w:webHidden w:val="0"/>
      <w:color w:val="E67C00"/>
      <w:specVanish w:val="0"/>
    </w:rPr>
  </w:style>
  <w:style w:type="character" w:customStyle="1" w:styleId="stuknummer1">
    <w:name w:val="stuknummer1"/>
    <w:basedOn w:val="DefaultParagraphFont"/>
    <w:rsid w:val="00747BE2"/>
    <w:rPr>
      <w:vanish w:val="0"/>
      <w:webHidden w:val="0"/>
      <w:specVanish w:val="0"/>
    </w:rPr>
  </w:style>
  <w:style w:type="paragraph" w:styleId="Header">
    <w:name w:val="header"/>
    <w:basedOn w:val="Normal"/>
    <w:link w:val="HeaderChar"/>
    <w:uiPriority w:val="99"/>
    <w:unhideWhenUsed/>
    <w:rsid w:val="00907E0E"/>
    <w:pPr>
      <w:tabs>
        <w:tab w:val="center" w:pos="4513"/>
        <w:tab w:val="right" w:pos="9026"/>
      </w:tabs>
      <w:spacing w:after="0"/>
    </w:pPr>
  </w:style>
  <w:style w:type="character" w:customStyle="1" w:styleId="HeaderChar">
    <w:name w:val="Header Char"/>
    <w:basedOn w:val="DefaultParagraphFont"/>
    <w:link w:val="Header"/>
    <w:uiPriority w:val="99"/>
    <w:rsid w:val="00907E0E"/>
    <w:rPr>
      <w:lang w:val="nl-NL"/>
    </w:rPr>
  </w:style>
  <w:style w:type="paragraph" w:styleId="Footer">
    <w:name w:val="footer"/>
    <w:basedOn w:val="Normal"/>
    <w:link w:val="FooterChar"/>
    <w:uiPriority w:val="99"/>
    <w:unhideWhenUsed/>
    <w:rsid w:val="00907E0E"/>
    <w:pPr>
      <w:tabs>
        <w:tab w:val="center" w:pos="4513"/>
        <w:tab w:val="right" w:pos="9026"/>
      </w:tabs>
      <w:spacing w:after="0"/>
    </w:pPr>
  </w:style>
  <w:style w:type="character" w:customStyle="1" w:styleId="FooterChar">
    <w:name w:val="Footer Char"/>
    <w:basedOn w:val="DefaultParagraphFont"/>
    <w:link w:val="Footer"/>
    <w:uiPriority w:val="99"/>
    <w:rsid w:val="00907E0E"/>
    <w:rPr>
      <w:lang w:val="nl-NL"/>
    </w:rPr>
  </w:style>
  <w:style w:type="paragraph" w:customStyle="1" w:styleId="FooterLeft">
    <w:name w:val="Footer Left"/>
    <w:basedOn w:val="Footer"/>
    <w:uiPriority w:val="35"/>
    <w:qFormat/>
    <w:rsid w:val="00907E0E"/>
    <w:pPr>
      <w:pBdr>
        <w:top w:val="dashed" w:sz="4" w:space="18" w:color="7F7F7F" w:themeColor="text1" w:themeTint="80"/>
      </w:pBdr>
      <w:tabs>
        <w:tab w:val="clear" w:pos="4513"/>
        <w:tab w:val="clear" w:pos="9026"/>
        <w:tab w:val="center" w:pos="4320"/>
        <w:tab w:val="right" w:pos="8640"/>
      </w:tabs>
      <w:spacing w:after="200"/>
      <w:contextualSpacing/>
    </w:pPr>
    <w:rPr>
      <w:rFonts w:asciiTheme="minorHAnsi" w:hAnsiTheme="minorHAnsi" w:cs="Times New Roman"/>
      <w:color w:val="7F7F7F" w:themeColor="text1" w:themeTint="80"/>
      <w:sz w:val="20"/>
      <w:szCs w:val="18"/>
      <w:lang w:val="en-US" w:eastAsia="ja-JP"/>
    </w:rPr>
  </w:style>
  <w:style w:type="paragraph" w:styleId="FootnoteText">
    <w:name w:val="footnote text"/>
    <w:basedOn w:val="Normal"/>
    <w:link w:val="FootnoteTextChar"/>
    <w:uiPriority w:val="99"/>
    <w:semiHidden/>
    <w:unhideWhenUsed/>
    <w:rsid w:val="002116D9"/>
    <w:pPr>
      <w:spacing w:after="0"/>
    </w:pPr>
    <w:rPr>
      <w:sz w:val="20"/>
      <w:szCs w:val="20"/>
    </w:rPr>
  </w:style>
  <w:style w:type="character" w:customStyle="1" w:styleId="FootnoteTextChar">
    <w:name w:val="Footnote Text Char"/>
    <w:basedOn w:val="DefaultParagraphFont"/>
    <w:link w:val="FootnoteText"/>
    <w:uiPriority w:val="99"/>
    <w:semiHidden/>
    <w:rsid w:val="002116D9"/>
    <w:rPr>
      <w:sz w:val="20"/>
      <w:szCs w:val="20"/>
      <w:lang w:val="nl-NL"/>
    </w:rPr>
  </w:style>
  <w:style w:type="paragraph" w:styleId="BalloonText">
    <w:name w:val="Balloon Text"/>
    <w:basedOn w:val="Normal"/>
    <w:link w:val="BalloonTextChar"/>
    <w:uiPriority w:val="99"/>
    <w:semiHidden/>
    <w:unhideWhenUsed/>
    <w:rsid w:val="001943B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3B0"/>
    <w:rPr>
      <w:rFonts w:ascii="Tahoma" w:hAnsi="Tahoma" w:cs="Tahoma"/>
      <w:sz w:val="16"/>
      <w:szCs w:val="16"/>
      <w:lang w:val="nl-NL"/>
    </w:rPr>
  </w:style>
  <w:style w:type="paragraph" w:styleId="NoSpacing">
    <w:name w:val="No Spacing"/>
    <w:uiPriority w:val="1"/>
    <w:qFormat/>
    <w:rsid w:val="00562BD8"/>
    <w:pPr>
      <w:spacing w:after="0"/>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60772">
      <w:bodyDiv w:val="1"/>
      <w:marLeft w:val="0"/>
      <w:marRight w:val="0"/>
      <w:marTop w:val="0"/>
      <w:marBottom w:val="0"/>
      <w:divBdr>
        <w:top w:val="none" w:sz="0" w:space="0" w:color="auto"/>
        <w:left w:val="none" w:sz="0" w:space="0" w:color="auto"/>
        <w:bottom w:val="none" w:sz="0" w:space="0" w:color="auto"/>
        <w:right w:val="none" w:sz="0" w:space="0" w:color="auto"/>
      </w:divBdr>
      <w:divsChild>
        <w:div w:id="76482434">
          <w:marLeft w:val="0"/>
          <w:marRight w:val="0"/>
          <w:marTop w:val="0"/>
          <w:marBottom w:val="0"/>
          <w:divBdr>
            <w:top w:val="none" w:sz="0" w:space="0" w:color="auto"/>
            <w:left w:val="none" w:sz="0" w:space="0" w:color="auto"/>
            <w:bottom w:val="none" w:sz="0" w:space="0" w:color="auto"/>
            <w:right w:val="none" w:sz="0" w:space="0" w:color="auto"/>
          </w:divBdr>
          <w:divsChild>
            <w:div w:id="654147299">
              <w:marLeft w:val="0"/>
              <w:marRight w:val="0"/>
              <w:marTop w:val="0"/>
              <w:marBottom w:val="0"/>
              <w:divBdr>
                <w:top w:val="none" w:sz="0" w:space="0" w:color="auto"/>
                <w:left w:val="none" w:sz="0" w:space="0" w:color="auto"/>
                <w:bottom w:val="none" w:sz="0" w:space="0" w:color="auto"/>
                <w:right w:val="none" w:sz="0" w:space="0" w:color="auto"/>
              </w:divBdr>
              <w:divsChild>
                <w:div w:id="2117870025">
                  <w:marLeft w:val="0"/>
                  <w:marRight w:val="0"/>
                  <w:marTop w:val="0"/>
                  <w:marBottom w:val="0"/>
                  <w:divBdr>
                    <w:top w:val="none" w:sz="0" w:space="0" w:color="auto"/>
                    <w:left w:val="none" w:sz="0" w:space="0" w:color="auto"/>
                    <w:bottom w:val="none" w:sz="0" w:space="0" w:color="auto"/>
                    <w:right w:val="none" w:sz="0" w:space="0" w:color="auto"/>
                  </w:divBdr>
                  <w:divsChild>
                    <w:div w:id="389808872">
                      <w:marLeft w:val="0"/>
                      <w:marRight w:val="0"/>
                      <w:marTop w:val="0"/>
                      <w:marBottom w:val="0"/>
                      <w:divBdr>
                        <w:top w:val="none" w:sz="0" w:space="0" w:color="auto"/>
                        <w:left w:val="none" w:sz="0" w:space="0" w:color="auto"/>
                        <w:bottom w:val="none" w:sz="0" w:space="0" w:color="auto"/>
                        <w:right w:val="none" w:sz="0" w:space="0" w:color="auto"/>
                      </w:divBdr>
                      <w:divsChild>
                        <w:div w:id="1844271724">
                          <w:marLeft w:val="0"/>
                          <w:marRight w:val="0"/>
                          <w:marTop w:val="0"/>
                          <w:marBottom w:val="0"/>
                          <w:divBdr>
                            <w:top w:val="none" w:sz="0" w:space="0" w:color="auto"/>
                            <w:left w:val="none" w:sz="0" w:space="0" w:color="auto"/>
                            <w:bottom w:val="none" w:sz="0" w:space="0" w:color="auto"/>
                            <w:right w:val="none" w:sz="0" w:space="0" w:color="auto"/>
                          </w:divBdr>
                          <w:divsChild>
                            <w:div w:id="1189098032">
                              <w:marLeft w:val="0"/>
                              <w:marRight w:val="0"/>
                              <w:marTop w:val="0"/>
                              <w:marBottom w:val="0"/>
                              <w:divBdr>
                                <w:top w:val="none" w:sz="0" w:space="0" w:color="auto"/>
                                <w:left w:val="none" w:sz="0" w:space="0" w:color="auto"/>
                                <w:bottom w:val="none" w:sz="0" w:space="0" w:color="auto"/>
                                <w:right w:val="none" w:sz="0" w:space="0" w:color="auto"/>
                              </w:divBdr>
                              <w:divsChild>
                                <w:div w:id="3075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253239">
      <w:bodyDiv w:val="1"/>
      <w:marLeft w:val="0"/>
      <w:marRight w:val="0"/>
      <w:marTop w:val="0"/>
      <w:marBottom w:val="0"/>
      <w:divBdr>
        <w:top w:val="none" w:sz="0" w:space="0" w:color="auto"/>
        <w:left w:val="none" w:sz="0" w:space="0" w:color="auto"/>
        <w:bottom w:val="none" w:sz="0" w:space="0" w:color="auto"/>
        <w:right w:val="none" w:sz="0" w:space="0" w:color="auto"/>
      </w:divBdr>
      <w:divsChild>
        <w:div w:id="712536778">
          <w:marLeft w:val="0"/>
          <w:marRight w:val="0"/>
          <w:marTop w:val="0"/>
          <w:marBottom w:val="0"/>
          <w:divBdr>
            <w:top w:val="none" w:sz="0" w:space="0" w:color="auto"/>
            <w:left w:val="none" w:sz="0" w:space="0" w:color="auto"/>
            <w:bottom w:val="none" w:sz="0" w:space="0" w:color="auto"/>
            <w:right w:val="none" w:sz="0" w:space="0" w:color="auto"/>
          </w:divBdr>
          <w:divsChild>
            <w:div w:id="1560675406">
              <w:marLeft w:val="0"/>
              <w:marRight w:val="0"/>
              <w:marTop w:val="0"/>
              <w:marBottom w:val="0"/>
              <w:divBdr>
                <w:top w:val="none" w:sz="0" w:space="0" w:color="auto"/>
                <w:left w:val="none" w:sz="0" w:space="0" w:color="auto"/>
                <w:bottom w:val="none" w:sz="0" w:space="0" w:color="auto"/>
                <w:right w:val="none" w:sz="0" w:space="0" w:color="auto"/>
              </w:divBdr>
              <w:divsChild>
                <w:div w:id="1821076870">
                  <w:marLeft w:val="0"/>
                  <w:marRight w:val="0"/>
                  <w:marTop w:val="0"/>
                  <w:marBottom w:val="0"/>
                  <w:divBdr>
                    <w:top w:val="none" w:sz="0" w:space="0" w:color="auto"/>
                    <w:left w:val="none" w:sz="0" w:space="0" w:color="auto"/>
                    <w:bottom w:val="none" w:sz="0" w:space="0" w:color="auto"/>
                    <w:right w:val="none" w:sz="0" w:space="0" w:color="auto"/>
                  </w:divBdr>
                  <w:divsChild>
                    <w:div w:id="2050687909">
                      <w:marLeft w:val="0"/>
                      <w:marRight w:val="0"/>
                      <w:marTop w:val="0"/>
                      <w:marBottom w:val="0"/>
                      <w:divBdr>
                        <w:top w:val="none" w:sz="0" w:space="0" w:color="auto"/>
                        <w:left w:val="none" w:sz="0" w:space="0" w:color="auto"/>
                        <w:bottom w:val="none" w:sz="0" w:space="0" w:color="auto"/>
                        <w:right w:val="none" w:sz="0" w:space="0" w:color="auto"/>
                      </w:divBdr>
                      <w:divsChild>
                        <w:div w:id="95443944">
                          <w:marLeft w:val="0"/>
                          <w:marRight w:val="0"/>
                          <w:marTop w:val="0"/>
                          <w:marBottom w:val="0"/>
                          <w:divBdr>
                            <w:top w:val="none" w:sz="0" w:space="0" w:color="auto"/>
                            <w:left w:val="none" w:sz="0" w:space="0" w:color="auto"/>
                            <w:bottom w:val="none" w:sz="0" w:space="0" w:color="auto"/>
                            <w:right w:val="none" w:sz="0" w:space="0" w:color="auto"/>
                          </w:divBdr>
                          <w:divsChild>
                            <w:div w:id="4985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2506</ap:Words>
  <ap:Characters>13784</ap:Characters>
  <ap:DocSecurity>4</ap:DocSecurity>
  <ap:Lines>114</ap:Lines>
  <ap:Paragraphs>32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2011-08-12T09:11:00.0000000Z</lastPrinted>
  <dcterms:created xsi:type="dcterms:W3CDTF">2011-08-15T14:38:00.0000000Z</dcterms:created>
  <dcterms:modified xsi:type="dcterms:W3CDTF">2011-08-15T14:38:00.0000000Z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0x0101003CC2D75D3C4E0E41B0D92960CA752F3A</vt:lpwstr>
  </property>
  <property fmtid="{D5CDD505-2E9C-101B-9397-08002B2CF9AE}" pid="3" name="Gereserveerd">
    <vt:lpwstr>true</vt:lpwstr>
  </property>
  <property fmtid="{D5CDD505-2E9C-101B-9397-08002B2CF9AE}" pid="4" name="GereserveerdDoor">
    <vt:lpwstr>luiw0112</vt:lpwstr>
  </property>
  <property fmtid="{D5CDD505-2E9C-101B-9397-08002B2CF9AE}" pid="5" name="Door">
    <vt:lpwstr>Luijpen-Bloem W.</vt:lpwstr>
  </property>
</Properties>
</file>