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DC030B" w:rsidR="00386E6C" w:rsidP="00386E6C" w:rsidRDefault="00386E6C">
      <w:pPr>
        <w:spacing w:line="276" w:lineRule="auto"/>
        <w:rPr>
          <w:b/>
          <w:szCs w:val="18"/>
        </w:rPr>
      </w:pPr>
      <w:r>
        <w:rPr>
          <w:b/>
          <w:szCs w:val="18"/>
        </w:rPr>
        <w:t>Bijlage</w:t>
      </w:r>
      <w:r w:rsidRPr="00127747">
        <w:rPr>
          <w:b/>
          <w:szCs w:val="18"/>
        </w:rPr>
        <w:t xml:space="preserve"> </w:t>
      </w:r>
      <w:r>
        <w:rPr>
          <w:b/>
          <w:szCs w:val="18"/>
        </w:rPr>
        <w:t xml:space="preserve">4. </w:t>
      </w:r>
      <w:r w:rsidRPr="00DC030B">
        <w:rPr>
          <w:b/>
          <w:szCs w:val="18"/>
        </w:rPr>
        <w:t>Risicomanagement staatsschuld</w:t>
      </w:r>
    </w:p>
    <w:p w:rsidRPr="00DC030B" w:rsidR="00386E6C" w:rsidP="00386E6C" w:rsidRDefault="00386E6C">
      <w:pPr>
        <w:spacing w:line="276" w:lineRule="auto"/>
        <w:rPr>
          <w:szCs w:val="18"/>
        </w:rPr>
      </w:pPr>
    </w:p>
    <w:p w:rsidR="00386E6C" w:rsidP="00386E6C" w:rsidRDefault="00386E6C">
      <w:pPr>
        <w:pStyle w:val="Default"/>
        <w:spacing w:line="276" w:lineRule="auto"/>
        <w:rPr>
          <w:sz w:val="18"/>
          <w:szCs w:val="18"/>
        </w:rPr>
      </w:pPr>
      <w:r w:rsidRPr="00DC030B">
        <w:rPr>
          <w:sz w:val="18"/>
          <w:szCs w:val="18"/>
        </w:rPr>
        <w:t>De Nederlandse Staat hanteert voor de financiering van h</w:t>
      </w:r>
      <w:r>
        <w:rPr>
          <w:sz w:val="18"/>
          <w:szCs w:val="18"/>
        </w:rPr>
        <w:t>et begrotingstekort en de (her-)</w:t>
      </w:r>
      <w:r w:rsidRPr="00DC030B">
        <w:rPr>
          <w:sz w:val="18"/>
          <w:szCs w:val="18"/>
        </w:rPr>
        <w:t xml:space="preserve">financiering van de bestaande schuld een risicokader. Het kader is een invulling van de algemene doelstelling: “schuldfinanciering tegen zo laag mogelijke kosten onder een acceptabel risico voor de begroting”. Sinds 2008 is het risicokader geoperationaliseerd met een 7-jaars gecentreerde portefeuille als benchmark. Het Agentschap van het ministerie van Financiën evalueert eens in de vier à vijf jaar het kader voor risicomanagement. </w:t>
      </w:r>
      <w:r>
        <w:rPr>
          <w:sz w:val="18"/>
          <w:szCs w:val="18"/>
        </w:rPr>
        <w:t>Het</w:t>
      </w:r>
      <w:r w:rsidRPr="00DC030B">
        <w:rPr>
          <w:sz w:val="18"/>
          <w:szCs w:val="18"/>
        </w:rPr>
        <w:t xml:space="preserve"> meest recente rapport daarover is in november 2011 aan de Tweede Kamer verzonden (Kamerstukken II, 2011-2012, 33 000 IXA, nr. 5). Op 26 januari 2012 is tijdens een Algemeen Overleg (AO) gesproken over dat rapport “Risicomanagement van de staatsschuld, beleid 2012-2015”. </w:t>
      </w:r>
    </w:p>
    <w:p w:rsidR="00386E6C" w:rsidP="00386E6C" w:rsidRDefault="00386E6C">
      <w:pPr>
        <w:pStyle w:val="Default"/>
        <w:spacing w:line="276" w:lineRule="auto"/>
        <w:rPr>
          <w:sz w:val="18"/>
          <w:szCs w:val="18"/>
        </w:rPr>
      </w:pPr>
    </w:p>
    <w:p w:rsidRPr="00904608" w:rsidR="00386E6C" w:rsidP="00386E6C" w:rsidRDefault="00386E6C">
      <w:pPr>
        <w:pStyle w:val="Default"/>
        <w:spacing w:line="276" w:lineRule="auto"/>
        <w:rPr>
          <w:i/>
          <w:sz w:val="18"/>
          <w:szCs w:val="18"/>
        </w:rPr>
      </w:pPr>
      <w:r w:rsidRPr="00904608">
        <w:rPr>
          <w:i/>
          <w:sz w:val="18"/>
          <w:szCs w:val="18"/>
        </w:rPr>
        <w:t>Doorrekening rentelasten voor periode van tien jaar</w:t>
      </w:r>
    </w:p>
    <w:p w:rsidRPr="00DC030B" w:rsidR="00386E6C" w:rsidP="00386E6C" w:rsidRDefault="00386E6C">
      <w:pPr>
        <w:pStyle w:val="Default"/>
        <w:spacing w:line="276" w:lineRule="auto"/>
        <w:rPr>
          <w:sz w:val="18"/>
          <w:szCs w:val="18"/>
        </w:rPr>
      </w:pPr>
      <w:r w:rsidRPr="00DC030B">
        <w:rPr>
          <w:sz w:val="18"/>
          <w:szCs w:val="18"/>
        </w:rPr>
        <w:t>Tijdens dat AO heeft de heer Groot (PvdA) gevraagd om een doorrekening van de rentelasten over een periode van tien jaar (Kamerstukken II, 2011-2012, 33 000 IXA, nr. 7). Een dergelijk</w:t>
      </w:r>
      <w:r>
        <w:rPr>
          <w:sz w:val="18"/>
          <w:szCs w:val="18"/>
        </w:rPr>
        <w:t>e</w:t>
      </w:r>
      <w:r w:rsidRPr="00DC030B">
        <w:rPr>
          <w:sz w:val="18"/>
          <w:szCs w:val="18"/>
        </w:rPr>
        <w:t xml:space="preserve"> doorrekening is in het rapport op pagina 14 alleen voor deze kabinetsperiode opgenomen. Gevraagd is om een langere doorrekening waarbij verschillende scenario’s worden betrokken. </w:t>
      </w:r>
    </w:p>
    <w:p w:rsidR="00386E6C" w:rsidP="00386E6C" w:rsidRDefault="00386E6C">
      <w:pPr>
        <w:spacing w:line="276" w:lineRule="auto"/>
        <w:rPr>
          <w:szCs w:val="18"/>
        </w:rPr>
      </w:pPr>
    </w:p>
    <w:p w:rsidR="00386E6C" w:rsidP="00386E6C" w:rsidRDefault="00386E6C">
      <w:pPr>
        <w:spacing w:line="276" w:lineRule="auto"/>
        <w:rPr>
          <w:szCs w:val="18"/>
        </w:rPr>
      </w:pPr>
      <w:r>
        <w:rPr>
          <w:szCs w:val="18"/>
        </w:rPr>
        <w:t xml:space="preserve">Figuur 1 laat twee verschillende scenario’s voor de ontwikkeling van de 7-jaars rente zien. </w:t>
      </w:r>
    </w:p>
    <w:p w:rsidR="00386E6C" w:rsidP="00386E6C" w:rsidRDefault="00386E6C">
      <w:pPr>
        <w:spacing w:line="276" w:lineRule="auto"/>
        <w:rPr>
          <w:noProof/>
          <w:sz w:val="16"/>
          <w:szCs w:val="16"/>
        </w:rPr>
      </w:pPr>
    </w:p>
    <w:p w:rsidRPr="00150FCA" w:rsidR="00386E6C" w:rsidP="00386E6C" w:rsidRDefault="00386E6C">
      <w:pPr>
        <w:spacing w:line="276" w:lineRule="auto"/>
        <w:rPr>
          <w:noProof/>
          <w:sz w:val="16"/>
          <w:szCs w:val="16"/>
        </w:rPr>
      </w:pPr>
      <w:r w:rsidRPr="00150FCA">
        <w:rPr>
          <w:noProof/>
          <w:sz w:val="16"/>
          <w:szCs w:val="16"/>
        </w:rPr>
        <w:t>Figuur 1: ontwikkeling van de 7-jaars rente als gevolg van kleine schokken (scenario 1) en iets grotere schokken (scenario 2)</w:t>
      </w:r>
    </w:p>
    <w:p w:rsidRPr="00DC030B" w:rsidR="00386E6C" w:rsidP="00386E6C" w:rsidRDefault="00386E6C">
      <w:pPr>
        <w:spacing w:line="276" w:lineRule="auto"/>
        <w:rPr>
          <w:szCs w:val="18"/>
        </w:rPr>
      </w:pPr>
      <w:r>
        <w:rPr>
          <w:noProof/>
          <w:szCs w:val="18"/>
        </w:rPr>
        <w:drawing>
          <wp:inline distT="0" distB="0" distL="0" distR="0">
            <wp:extent cx="5971540" cy="1820545"/>
            <wp:effectExtent l="19050" t="0" r="0" b="0"/>
            <wp:docPr id="1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4" cstate="print"/>
                    <a:srcRect/>
                    <a:stretch>
                      <a:fillRect/>
                    </a:stretch>
                  </pic:blipFill>
                  <pic:spPr bwMode="auto">
                    <a:xfrm>
                      <a:off x="0" y="0"/>
                      <a:ext cx="5971540" cy="1820545"/>
                    </a:xfrm>
                    <a:prstGeom prst="rect">
                      <a:avLst/>
                    </a:prstGeom>
                    <a:noFill/>
                    <a:ln w="9525">
                      <a:noFill/>
                      <a:miter lim="800000"/>
                      <a:headEnd/>
                      <a:tailEnd/>
                    </a:ln>
                  </pic:spPr>
                </pic:pic>
              </a:graphicData>
            </a:graphic>
          </wp:inline>
        </w:drawing>
      </w:r>
    </w:p>
    <w:p w:rsidRPr="00DC030B" w:rsidR="00386E6C" w:rsidP="00386E6C" w:rsidRDefault="00386E6C">
      <w:pPr>
        <w:spacing w:line="276" w:lineRule="auto"/>
        <w:rPr>
          <w:szCs w:val="18"/>
        </w:rPr>
      </w:pPr>
    </w:p>
    <w:p w:rsidR="00386E6C" w:rsidP="00386E6C" w:rsidRDefault="00386E6C">
      <w:pPr>
        <w:spacing w:line="276" w:lineRule="auto"/>
        <w:rPr>
          <w:noProof/>
          <w:szCs w:val="18"/>
        </w:rPr>
      </w:pPr>
      <w:r>
        <w:rPr>
          <w:szCs w:val="18"/>
        </w:rPr>
        <w:t xml:space="preserve">Om het effect van schokken in de rente op te vangen zijn ceteris paribus ombuigingen nodig. Tabel 1 laat zien dat voor een 7-jaars gecentreerde portefeuille de extra rentelasten in 2011 als gevolg van een kleine renteschok (conform scenario 1 in figuur 1) 0,1 miljard euro bedragen. Om deze extra rentelasten in 2011 op te vangen is een ombuiging van 0,02 procent bbp nodig. Verondersteld is dat de rentestijging blijvend is, daarom is een structurele ombuiging nodig. In 2012 zijn de extra rentelasten 0,2 miljard euro. Hiervan is 0,1 miljard euro reeds opgevangen via de structurele ombuiging uit jaar 1. In jaar 2 is dus wederom een (structurele) ombuiging van 0,1 miljard euro nodig. De totale structurele ombuiging loopt bij een geleidelijke rentestijging tot circa 5 procent in 2020 (scenario 1 in figuur 1) op tot circa 1,5 miljard euro ofwel circa 0,2 procent bbp in 2020. De totale extra rentelasten over een periode van tien jaar zijn gelijk aan 7,5 miljard euro. </w:t>
      </w:r>
      <w:r w:rsidRPr="00DC030B">
        <w:rPr>
          <w:szCs w:val="18"/>
        </w:rPr>
        <w:br/>
      </w:r>
    </w:p>
    <w:p w:rsidR="00386E6C" w:rsidRDefault="00386E6C">
      <w:pPr>
        <w:spacing w:after="200" w:line="276" w:lineRule="auto"/>
        <w:rPr>
          <w:noProof/>
          <w:sz w:val="16"/>
          <w:szCs w:val="16"/>
        </w:rPr>
      </w:pPr>
      <w:r>
        <w:rPr>
          <w:noProof/>
          <w:sz w:val="16"/>
          <w:szCs w:val="16"/>
        </w:rPr>
        <w:br w:type="page"/>
      </w:r>
    </w:p>
    <w:p w:rsidR="00386E6C" w:rsidP="00386E6C" w:rsidRDefault="00386E6C">
      <w:pPr>
        <w:spacing w:line="276" w:lineRule="auto"/>
        <w:rPr>
          <w:noProof/>
          <w:sz w:val="16"/>
          <w:szCs w:val="16"/>
        </w:rPr>
      </w:pPr>
      <w:r w:rsidRPr="00F31998">
        <w:rPr>
          <w:noProof/>
          <w:sz w:val="16"/>
          <w:szCs w:val="16"/>
        </w:rPr>
        <w:lastRenderedPageBreak/>
        <w:t xml:space="preserve">Tabel 1: </w:t>
      </w:r>
      <w:r>
        <w:rPr>
          <w:noProof/>
          <w:sz w:val="16"/>
          <w:szCs w:val="16"/>
        </w:rPr>
        <w:t>b</w:t>
      </w:r>
      <w:r w:rsidRPr="00F31998">
        <w:rPr>
          <w:noProof/>
          <w:sz w:val="16"/>
          <w:szCs w:val="16"/>
        </w:rPr>
        <w:t>enodigde ombuigingen voor opvangen van e</w:t>
      </w:r>
      <w:r>
        <w:rPr>
          <w:noProof/>
          <w:sz w:val="16"/>
          <w:szCs w:val="16"/>
        </w:rPr>
        <w:t>xtra rentelasten als gevolg van kleine schokken in de rente</w:t>
      </w:r>
      <w:r w:rsidRPr="00F31998">
        <w:rPr>
          <w:noProof/>
          <w:sz w:val="16"/>
          <w:szCs w:val="16"/>
        </w:rPr>
        <w:t xml:space="preserve"> (scenario 1) </w:t>
      </w:r>
      <w:r>
        <w:rPr>
          <w:noProof/>
          <w:sz w:val="16"/>
          <w:szCs w:val="16"/>
        </w:rPr>
        <w:t>bij</w:t>
      </w:r>
      <w:r w:rsidRPr="00F31998">
        <w:rPr>
          <w:noProof/>
          <w:sz w:val="16"/>
          <w:szCs w:val="16"/>
        </w:rPr>
        <w:t xml:space="preserve"> een 7-jaars gecentreerde portefeuille </w:t>
      </w:r>
      <w:r>
        <w:rPr>
          <w:noProof/>
          <w:sz w:val="16"/>
          <w:szCs w:val="16"/>
        </w:rPr>
        <w:t>(in miljarden euro)</w:t>
      </w:r>
    </w:p>
    <w:tbl>
      <w:tblPr>
        <w:tblW w:w="7872" w:type="dxa"/>
        <w:tblInd w:w="70" w:type="dxa"/>
        <w:tblCellMar>
          <w:left w:w="70" w:type="dxa"/>
          <w:right w:w="70" w:type="dxa"/>
        </w:tblCellMar>
        <w:tblLook w:val="04A0"/>
      </w:tblPr>
      <w:tblGrid>
        <w:gridCol w:w="2498"/>
        <w:gridCol w:w="606"/>
        <w:gridCol w:w="606"/>
        <w:gridCol w:w="605"/>
        <w:gridCol w:w="605"/>
        <w:gridCol w:w="605"/>
        <w:gridCol w:w="605"/>
        <w:gridCol w:w="605"/>
        <w:gridCol w:w="605"/>
        <w:gridCol w:w="605"/>
        <w:gridCol w:w="605"/>
        <w:gridCol w:w="592"/>
      </w:tblGrid>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rPr>
                <w:rFonts w:ascii="Arial" w:hAnsi="Arial" w:cs="Arial"/>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r>
      <w:tr w:rsidR="00386E6C" w:rsidTr="00A964F5">
        <w:trPr>
          <w:trHeight w:val="225"/>
        </w:trPr>
        <w:tc>
          <w:tcPr>
            <w:tcW w:w="251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rFonts w:ascii="Arial" w:hAnsi="Arial" w:cs="Arial"/>
                <w:b/>
                <w:bCs/>
                <w:sz w:val="14"/>
                <w:szCs w:val="14"/>
              </w:rPr>
            </w:pPr>
            <w:r>
              <w:rPr>
                <w:rFonts w:ascii="Arial" w:hAnsi="Arial" w:cs="Arial"/>
                <w:b/>
                <w:bCs/>
                <w:sz w:val="14"/>
                <w:szCs w:val="14"/>
              </w:rPr>
              <w:t> </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1</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3</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4</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5</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6</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7</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8</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9</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10</w:t>
            </w:r>
          </w:p>
        </w:tc>
        <w:tc>
          <w:tcPr>
            <w:tcW w:w="59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totaal</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0,1</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0,2</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2013</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0,4</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2014</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0,5</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2015</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0,6</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2016</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0,8</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2017</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1,0</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2018</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1,1</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2019</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1,3</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2020</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0,2</w:t>
            </w: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1,5</w:t>
            </w:r>
          </w:p>
        </w:tc>
      </w:tr>
      <w:tr w:rsidR="00386E6C" w:rsidTr="00A964F5">
        <w:trPr>
          <w:trHeight w:val="225"/>
        </w:trPr>
        <w:tc>
          <w:tcPr>
            <w:tcW w:w="251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47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59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7,5</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rPr>
                <w:rFonts w:ascii="Arial" w:hAnsi="Arial" w:cs="Arial"/>
                <w:sz w:val="14"/>
                <w:szCs w:val="14"/>
              </w:rPr>
            </w:pPr>
            <w:r>
              <w:rPr>
                <w:rFonts w:ascii="Arial" w:hAnsi="Arial" w:cs="Arial"/>
                <w:sz w:val="14"/>
                <w:szCs w:val="14"/>
              </w:rPr>
              <w:t>verondersteld BBP (€ mld)</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612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632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653</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674</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696</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719</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742</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766</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791</w:t>
            </w: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817</w:t>
            </w: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r>
      <w:tr w:rsidR="00386E6C" w:rsidTr="00A964F5">
        <w:trPr>
          <w:trHeight w:val="225"/>
        </w:trPr>
        <w:tc>
          <w:tcPr>
            <w:tcW w:w="2516"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rPr>
                <w:rFonts w:ascii="Arial" w:hAnsi="Arial" w:cs="Arial"/>
                <w:sz w:val="14"/>
                <w:szCs w:val="14"/>
              </w:rPr>
            </w:pPr>
            <w:r>
              <w:rPr>
                <w:rFonts w:ascii="Arial" w:hAnsi="Arial" w:cs="Arial"/>
                <w:sz w:val="14"/>
                <w:szCs w:val="14"/>
              </w:rPr>
              <w:t>structurele ombuiging per jaar (%BBP)</w:t>
            </w:r>
          </w:p>
        </w:tc>
        <w:tc>
          <w:tcPr>
            <w:tcW w:w="476"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0,02%</w:t>
            </w:r>
          </w:p>
        </w:tc>
        <w:tc>
          <w:tcPr>
            <w:tcW w:w="476"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0,02%</w:t>
            </w:r>
          </w:p>
        </w:tc>
        <w:tc>
          <w:tcPr>
            <w:tcW w:w="476"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0,02%</w:t>
            </w:r>
          </w:p>
        </w:tc>
        <w:tc>
          <w:tcPr>
            <w:tcW w:w="476"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0,02%</w:t>
            </w:r>
          </w:p>
        </w:tc>
        <w:tc>
          <w:tcPr>
            <w:tcW w:w="476"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0,02%</w:t>
            </w:r>
          </w:p>
        </w:tc>
        <w:tc>
          <w:tcPr>
            <w:tcW w:w="476"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0,02%</w:t>
            </w:r>
          </w:p>
        </w:tc>
        <w:tc>
          <w:tcPr>
            <w:tcW w:w="476"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0,02%</w:t>
            </w:r>
          </w:p>
        </w:tc>
        <w:tc>
          <w:tcPr>
            <w:tcW w:w="476"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0,02%</w:t>
            </w:r>
          </w:p>
        </w:tc>
        <w:tc>
          <w:tcPr>
            <w:tcW w:w="476"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0,02%</w:t>
            </w:r>
          </w:p>
        </w:tc>
        <w:tc>
          <w:tcPr>
            <w:tcW w:w="476"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0,02%</w:t>
            </w:r>
          </w:p>
        </w:tc>
        <w:tc>
          <w:tcPr>
            <w:tcW w:w="596"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47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r>
    </w:tbl>
    <w:p w:rsidRPr="006E6047" w:rsidR="00386E6C" w:rsidP="00386E6C" w:rsidRDefault="00386E6C">
      <w:pPr>
        <w:spacing w:line="276" w:lineRule="auto"/>
        <w:rPr>
          <w:szCs w:val="18"/>
        </w:rPr>
      </w:pPr>
    </w:p>
    <w:p w:rsidR="00386E6C" w:rsidP="00386E6C" w:rsidRDefault="00386E6C">
      <w:pPr>
        <w:spacing w:line="276" w:lineRule="auto"/>
        <w:rPr>
          <w:szCs w:val="18"/>
        </w:rPr>
      </w:pPr>
      <w:r>
        <w:rPr>
          <w:szCs w:val="18"/>
        </w:rPr>
        <w:t>De benodigde ombuigingen in geval van een 7-jaars gecentreerde portefeuille zijn bij iets grotere renteschokken met een geleidelijke rentestijging tot circa 6 procent in 2020 (scenario 2 in figuur 1) circa 0,4-0,6 miljard euro (0,06-0,08 procent bbp) per jaar structureel. De totale structurele ombuiging loopt op tot circa € 2,1 miljard euro ofwel circa 0,3 procent bbp in 2015 en tot circa 4,8 miljard euro ofwel circa 0,6 procent bbp in 2020. De doorrekening in tabel 2 sluit aan bij de doorrekening die is gepresenteerd op pagina 14 in het rapport.</w:t>
      </w:r>
    </w:p>
    <w:p w:rsidR="00386E6C" w:rsidP="00386E6C" w:rsidRDefault="00386E6C">
      <w:pPr>
        <w:spacing w:line="276" w:lineRule="auto"/>
        <w:rPr>
          <w:noProof/>
          <w:sz w:val="16"/>
          <w:szCs w:val="16"/>
        </w:rPr>
      </w:pPr>
    </w:p>
    <w:p w:rsidRPr="00F31998" w:rsidR="00386E6C" w:rsidP="00386E6C" w:rsidRDefault="00386E6C">
      <w:pPr>
        <w:spacing w:line="276" w:lineRule="auto"/>
        <w:rPr>
          <w:noProof/>
          <w:sz w:val="16"/>
          <w:szCs w:val="16"/>
        </w:rPr>
      </w:pPr>
      <w:r>
        <w:rPr>
          <w:noProof/>
          <w:sz w:val="16"/>
          <w:szCs w:val="16"/>
        </w:rPr>
        <w:t>Tabel 2</w:t>
      </w:r>
      <w:r w:rsidRPr="00F31998">
        <w:rPr>
          <w:noProof/>
          <w:sz w:val="16"/>
          <w:szCs w:val="16"/>
        </w:rPr>
        <w:t xml:space="preserve">: </w:t>
      </w:r>
      <w:r>
        <w:rPr>
          <w:noProof/>
          <w:sz w:val="16"/>
          <w:szCs w:val="16"/>
        </w:rPr>
        <w:t>b</w:t>
      </w:r>
      <w:r w:rsidRPr="00F31998">
        <w:rPr>
          <w:noProof/>
          <w:sz w:val="16"/>
          <w:szCs w:val="16"/>
        </w:rPr>
        <w:t xml:space="preserve">enodigde ombuigingen voor opvangen van extra rentelasten als gevolg van </w:t>
      </w:r>
      <w:r>
        <w:rPr>
          <w:noProof/>
          <w:sz w:val="16"/>
          <w:szCs w:val="16"/>
        </w:rPr>
        <w:t>iets grotere</w:t>
      </w:r>
      <w:r w:rsidRPr="00F31998">
        <w:rPr>
          <w:noProof/>
          <w:sz w:val="16"/>
          <w:szCs w:val="16"/>
        </w:rPr>
        <w:t xml:space="preserve"> schokken in de rente (scenario </w:t>
      </w:r>
      <w:r>
        <w:rPr>
          <w:noProof/>
          <w:sz w:val="16"/>
          <w:szCs w:val="16"/>
        </w:rPr>
        <w:t>2</w:t>
      </w:r>
      <w:r w:rsidRPr="00F31998">
        <w:rPr>
          <w:noProof/>
          <w:sz w:val="16"/>
          <w:szCs w:val="16"/>
        </w:rPr>
        <w:t xml:space="preserve">) </w:t>
      </w:r>
      <w:r>
        <w:rPr>
          <w:noProof/>
          <w:sz w:val="16"/>
          <w:szCs w:val="16"/>
        </w:rPr>
        <w:t>bij</w:t>
      </w:r>
      <w:r w:rsidRPr="00F31998">
        <w:rPr>
          <w:noProof/>
          <w:sz w:val="16"/>
          <w:szCs w:val="16"/>
        </w:rPr>
        <w:t xml:space="preserve"> een 7-jaars gecentreerde portefeuille </w:t>
      </w:r>
      <w:r>
        <w:rPr>
          <w:noProof/>
          <w:sz w:val="16"/>
          <w:szCs w:val="16"/>
        </w:rPr>
        <w:t>(in miljarden euro</w:t>
      </w:r>
      <w:r w:rsidRPr="00F31998">
        <w:rPr>
          <w:noProof/>
          <w:sz w:val="16"/>
          <w:szCs w:val="16"/>
        </w:rPr>
        <w:t>)</w:t>
      </w:r>
    </w:p>
    <w:tbl>
      <w:tblPr>
        <w:tblW w:w="9202" w:type="dxa"/>
        <w:tblInd w:w="70" w:type="dxa"/>
        <w:tblCellMar>
          <w:left w:w="70" w:type="dxa"/>
          <w:right w:w="70" w:type="dxa"/>
        </w:tblCellMar>
        <w:tblLook w:val="04A0"/>
      </w:tblPr>
      <w:tblGrid>
        <w:gridCol w:w="2516"/>
        <w:gridCol w:w="609"/>
        <w:gridCol w:w="609"/>
        <w:gridCol w:w="609"/>
        <w:gridCol w:w="609"/>
        <w:gridCol w:w="609"/>
        <w:gridCol w:w="609"/>
        <w:gridCol w:w="609"/>
        <w:gridCol w:w="609"/>
        <w:gridCol w:w="609"/>
        <w:gridCol w:w="609"/>
        <w:gridCol w:w="596"/>
      </w:tblGrid>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rPr>
                <w:rFonts w:ascii="Arial" w:hAnsi="Arial" w:cs="Arial"/>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r>
      <w:tr w:rsidR="00386E6C" w:rsidTr="00A964F5">
        <w:trPr>
          <w:trHeight w:val="225"/>
        </w:trPr>
        <w:tc>
          <w:tcPr>
            <w:tcW w:w="251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rFonts w:ascii="Arial" w:hAnsi="Arial" w:cs="Arial"/>
                <w:b/>
                <w:bCs/>
                <w:sz w:val="14"/>
                <w:szCs w:val="14"/>
              </w:rPr>
            </w:pPr>
            <w:r>
              <w:rPr>
                <w:rFonts w:ascii="Arial" w:hAnsi="Arial" w:cs="Arial"/>
                <w:b/>
                <w:bCs/>
                <w:sz w:val="14"/>
                <w:szCs w:val="14"/>
              </w:rPr>
              <w:t> </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1</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3</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4</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5</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6</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7</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8</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9</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10</w:t>
            </w:r>
          </w:p>
        </w:tc>
        <w:tc>
          <w:tcPr>
            <w:tcW w:w="59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totaal</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2011</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0,4</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2012</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0,8</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2013</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1,2</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1,7</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2,1</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2016</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2,7</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2017</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0,6</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3,3</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2018</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0,6</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3,8</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2019</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0,6</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4,3</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2020</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0,6</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0,5</w:t>
            </w: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4,8</w:t>
            </w:r>
          </w:p>
        </w:tc>
      </w:tr>
      <w:tr w:rsidR="00386E6C" w:rsidTr="00A964F5">
        <w:trPr>
          <w:trHeight w:val="225"/>
        </w:trPr>
        <w:tc>
          <w:tcPr>
            <w:tcW w:w="251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609"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c>
          <w:tcPr>
            <w:tcW w:w="596" w:type="dxa"/>
            <w:tcBorders>
              <w:top w:val="single" w:color="auto" w:sz="4" w:space="0"/>
              <w:left w:val="nil"/>
              <w:bottom w:val="single" w:color="auto" w:sz="4" w:space="0"/>
              <w:right w:val="nil"/>
            </w:tcBorders>
            <w:shd w:val="clear" w:color="auto" w:fill="auto"/>
            <w:noWrap/>
            <w:vAlign w:val="bottom"/>
            <w:hideMark/>
          </w:tcPr>
          <w:p w:rsidR="00386E6C" w:rsidP="00A964F5" w:rsidRDefault="00386E6C">
            <w:pPr>
              <w:spacing w:line="276" w:lineRule="auto"/>
              <w:jc w:val="right"/>
              <w:rPr>
                <w:rFonts w:ascii="Arial" w:hAnsi="Arial" w:cs="Arial"/>
                <w:b/>
                <w:bCs/>
                <w:sz w:val="14"/>
                <w:szCs w:val="14"/>
              </w:rPr>
            </w:pPr>
            <w:r>
              <w:rPr>
                <w:rFonts w:ascii="Arial" w:hAnsi="Arial" w:cs="Arial"/>
                <w:b/>
                <w:bCs/>
                <w:sz w:val="14"/>
                <w:szCs w:val="14"/>
              </w:rPr>
              <w:t>25,2</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rPr>
                <w:rFonts w:ascii="Arial" w:hAnsi="Arial" w:cs="Arial"/>
                <w:sz w:val="14"/>
                <w:szCs w:val="14"/>
              </w:rPr>
            </w:pPr>
            <w:r>
              <w:rPr>
                <w:rFonts w:ascii="Arial" w:hAnsi="Arial" w:cs="Arial"/>
                <w:sz w:val="14"/>
                <w:szCs w:val="14"/>
              </w:rPr>
              <w:t>verondersteld BBP (€ mld)</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612</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632</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653</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674</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696</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719</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742</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766</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791</w:t>
            </w: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817</w:t>
            </w: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r>
      <w:tr w:rsidR="00386E6C" w:rsidTr="00A964F5">
        <w:trPr>
          <w:trHeight w:val="225"/>
        </w:trPr>
        <w:tc>
          <w:tcPr>
            <w:tcW w:w="2516"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rPr>
                <w:rFonts w:ascii="Arial" w:hAnsi="Arial" w:cs="Arial"/>
                <w:sz w:val="14"/>
                <w:szCs w:val="14"/>
              </w:rPr>
            </w:pPr>
            <w:r>
              <w:rPr>
                <w:rFonts w:ascii="Arial" w:hAnsi="Arial" w:cs="Arial"/>
                <w:sz w:val="14"/>
                <w:szCs w:val="14"/>
              </w:rPr>
              <w:t>structurele ombuiging per jaar (%BBP)</w:t>
            </w:r>
          </w:p>
        </w:tc>
        <w:tc>
          <w:tcPr>
            <w:tcW w:w="609"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0,06%</w:t>
            </w:r>
          </w:p>
        </w:tc>
        <w:tc>
          <w:tcPr>
            <w:tcW w:w="609"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0,06%</w:t>
            </w:r>
          </w:p>
        </w:tc>
        <w:tc>
          <w:tcPr>
            <w:tcW w:w="609"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0,06%</w:t>
            </w:r>
          </w:p>
        </w:tc>
        <w:tc>
          <w:tcPr>
            <w:tcW w:w="609"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0,07%</w:t>
            </w:r>
          </w:p>
        </w:tc>
        <w:tc>
          <w:tcPr>
            <w:tcW w:w="609"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0,07%</w:t>
            </w:r>
          </w:p>
        </w:tc>
        <w:tc>
          <w:tcPr>
            <w:tcW w:w="609"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0,07%</w:t>
            </w:r>
          </w:p>
        </w:tc>
        <w:tc>
          <w:tcPr>
            <w:tcW w:w="609"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0,08%</w:t>
            </w:r>
          </w:p>
        </w:tc>
        <w:tc>
          <w:tcPr>
            <w:tcW w:w="609"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0,07%</w:t>
            </w:r>
          </w:p>
        </w:tc>
        <w:tc>
          <w:tcPr>
            <w:tcW w:w="609"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0,07%</w:t>
            </w:r>
          </w:p>
        </w:tc>
        <w:tc>
          <w:tcPr>
            <w:tcW w:w="609"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jc w:val="right"/>
              <w:rPr>
                <w:color w:val="000000"/>
                <w:sz w:val="14"/>
                <w:szCs w:val="14"/>
              </w:rPr>
            </w:pPr>
            <w:r>
              <w:rPr>
                <w:color w:val="000000"/>
                <w:sz w:val="14"/>
                <w:szCs w:val="14"/>
              </w:rPr>
              <w:t>0,06%</w:t>
            </w:r>
          </w:p>
        </w:tc>
        <w:tc>
          <w:tcPr>
            <w:tcW w:w="596" w:type="dxa"/>
            <w:tcBorders>
              <w:top w:val="nil"/>
              <w:left w:val="nil"/>
              <w:bottom w:val="single" w:color="auto" w:sz="4" w:space="0"/>
              <w:right w:val="nil"/>
            </w:tcBorders>
            <w:shd w:val="clear" w:color="auto" w:fill="auto"/>
            <w:noWrap/>
            <w:vAlign w:val="bottom"/>
            <w:hideMark/>
          </w:tcPr>
          <w:p w:rsidR="00386E6C" w:rsidP="00A964F5" w:rsidRDefault="00386E6C">
            <w:pPr>
              <w:spacing w:line="276" w:lineRule="auto"/>
              <w:rPr>
                <w:color w:val="000000"/>
                <w:sz w:val="14"/>
                <w:szCs w:val="14"/>
              </w:rPr>
            </w:pPr>
            <w:r>
              <w:rPr>
                <w:color w:val="000000"/>
                <w:sz w:val="14"/>
                <w:szCs w:val="14"/>
              </w:rPr>
              <w:t> </w:t>
            </w:r>
          </w:p>
        </w:tc>
      </w:tr>
      <w:tr w:rsidR="00386E6C" w:rsidTr="00A964F5">
        <w:trPr>
          <w:trHeight w:val="225"/>
        </w:trPr>
        <w:tc>
          <w:tcPr>
            <w:tcW w:w="251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609"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c>
          <w:tcPr>
            <w:tcW w:w="596" w:type="dxa"/>
            <w:tcBorders>
              <w:top w:val="nil"/>
              <w:left w:val="nil"/>
              <w:bottom w:val="nil"/>
              <w:right w:val="nil"/>
            </w:tcBorders>
            <w:shd w:val="clear" w:color="auto" w:fill="auto"/>
            <w:noWrap/>
            <w:vAlign w:val="bottom"/>
            <w:hideMark/>
          </w:tcPr>
          <w:p w:rsidR="00386E6C" w:rsidP="00A964F5" w:rsidRDefault="00386E6C">
            <w:pPr>
              <w:spacing w:line="276" w:lineRule="auto"/>
              <w:rPr>
                <w:color w:val="000000"/>
                <w:sz w:val="14"/>
                <w:szCs w:val="14"/>
              </w:rPr>
            </w:pPr>
          </w:p>
        </w:tc>
      </w:tr>
    </w:tbl>
    <w:p w:rsidR="00386E6C" w:rsidP="00386E6C" w:rsidRDefault="00386E6C">
      <w:pPr>
        <w:spacing w:line="276" w:lineRule="auto"/>
        <w:rPr>
          <w:szCs w:val="18"/>
        </w:rPr>
      </w:pPr>
    </w:p>
    <w:p w:rsidRPr="00904608" w:rsidR="00386E6C" w:rsidP="00386E6C" w:rsidRDefault="00386E6C">
      <w:pPr>
        <w:spacing w:line="276" w:lineRule="auto"/>
        <w:rPr>
          <w:rFonts w:cs="OJIAA G+ Univers"/>
          <w:i/>
          <w:color w:val="000000"/>
          <w:szCs w:val="18"/>
        </w:rPr>
      </w:pPr>
      <w:r w:rsidRPr="00904608">
        <w:rPr>
          <w:rFonts w:cs="OJIAA G+ Univers"/>
          <w:i/>
          <w:color w:val="000000"/>
          <w:szCs w:val="18"/>
        </w:rPr>
        <w:t>Afwijkingen benchmark</w:t>
      </w:r>
    </w:p>
    <w:p w:rsidRPr="00904608" w:rsidR="00386E6C" w:rsidP="00386E6C" w:rsidRDefault="00386E6C">
      <w:pPr>
        <w:spacing w:line="276" w:lineRule="auto"/>
        <w:rPr>
          <w:rFonts w:cs="OJIAA G+ Univers"/>
          <w:color w:val="000000"/>
          <w:szCs w:val="18"/>
        </w:rPr>
      </w:pPr>
      <w:r w:rsidRPr="00904608">
        <w:rPr>
          <w:rFonts w:cs="OJIAA G+ Univers"/>
          <w:color w:val="000000"/>
          <w:szCs w:val="18"/>
        </w:rPr>
        <w:t xml:space="preserve">Sinds dit jaar bestaat de mogelijkheid om, onder bepaalde voorwaarden, af te wijken van benchmark (de 7-jaar gecentreerde portefeuille). Afwijkingen van de benchmark impliceren dat rentelasten voor een lange periode worden vastgelegd en waarborgen hiermee budgettaire stabiliteit. Daarnaast bestaat de mogelijkheid dat over de gehele periode bezien een afwijking leidt tot lagere rentelasten. Dit hangt echter </w:t>
      </w:r>
      <w:r>
        <w:rPr>
          <w:rFonts w:cs="OJIAA G+ Univers"/>
          <w:color w:val="000000"/>
          <w:szCs w:val="18"/>
        </w:rPr>
        <w:t xml:space="preserve">af </w:t>
      </w:r>
      <w:r w:rsidRPr="00904608">
        <w:rPr>
          <w:rFonts w:cs="OJIAA G+ Univers"/>
          <w:color w:val="000000"/>
          <w:szCs w:val="18"/>
        </w:rPr>
        <w:t>van de toekomstige ontwikkeling van de rente, waardoor hier vooraf geen enkele zekerheid over bestaat. De totale omvang van afwijkingen die tot d</w:t>
      </w:r>
      <w:r>
        <w:rPr>
          <w:rFonts w:cs="OJIAA G+ Univers"/>
          <w:color w:val="000000"/>
          <w:szCs w:val="18"/>
        </w:rPr>
        <w:t>usver zijn genomen bedraagt 6,8 miljard euro</w:t>
      </w:r>
      <w:r w:rsidRPr="00904608">
        <w:rPr>
          <w:rFonts w:cs="OJIAA G+ Univers"/>
          <w:color w:val="000000"/>
          <w:szCs w:val="18"/>
        </w:rPr>
        <w:t xml:space="preserve">. Afwijkingen hebben een looptijd van tenminste 10 jaar. </w:t>
      </w:r>
      <w:r w:rsidRPr="00904608">
        <w:rPr>
          <w:rFonts w:cs="OJIAA G+ Univers"/>
          <w:color w:val="000000"/>
          <w:szCs w:val="18"/>
        </w:rPr>
        <w:br/>
      </w:r>
      <w:r w:rsidRPr="00904608">
        <w:rPr>
          <w:rFonts w:cs="OJIAA G+ Univers"/>
          <w:color w:val="000000"/>
          <w:szCs w:val="18"/>
        </w:rPr>
        <w:br/>
        <w:t xml:space="preserve">Afwijkingen zijn gebonden aan twee voorwaarden. Allereerst zijn afwijkingen uitsluitend toegestaan indien het risico wordt verkleind (en dus rentelasten voor een periode langer dan 7 jaar wordt vastgelegd). Daarnaast geldt dat afwijkingen nooit mogen leiden tot een overschrijding van de begroting. Het effect van een afwijking wordt op een integrale manier beoordeeld. Afwijkingen zijn </w:t>
      </w:r>
      <w:r w:rsidRPr="00904608">
        <w:rPr>
          <w:rFonts w:cs="OJIAA G+ Univers"/>
          <w:color w:val="000000"/>
          <w:szCs w:val="18"/>
        </w:rPr>
        <w:lastRenderedPageBreak/>
        <w:t>inpasbaar in de begroting wanneer deze over de gehele begrotingsperiode bezien niet leiden tot een overschrijding van de begrote rentelasten. Een individuele afwijking kan derhalve leiden tot een overschrijding indien dit wordt gecompenseerd door meevallers op eerdere uitgiftes. Over de gehele periode gemeten is budgettaire neutraliteit als gevolg van deze verlengingsstrategie echter gewaarborgd.</w:t>
      </w:r>
    </w:p>
    <w:p w:rsidRPr="00127747" w:rsidR="00386E6C" w:rsidP="00386E6C" w:rsidRDefault="00386E6C">
      <w:pPr>
        <w:pStyle w:val="Naamondertekenaar"/>
        <w:widowControl/>
        <w:spacing w:line="276" w:lineRule="auto"/>
      </w:pPr>
    </w:p>
    <w:p w:rsidR="007A228F" w:rsidRDefault="007A228F"/>
    <w:sectPr w:rsidR="007A228F" w:rsidSect="007A228F">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JIAA G+ Univers">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removePersonalInformation/>
  <w:removeDateAndTime/>
  <w:defaultTabStop w:val="708"/>
  <w:hyphenationZone w:val="425"/>
  <w:characterSpacingControl w:val="doNotCompress"/>
  <w:compat/>
  <w:rsids>
    <w:rsidRoot w:val="00386E6C"/>
    <w:rsid w:val="00001B7C"/>
    <w:rsid w:val="000A3557"/>
    <w:rsid w:val="00136A2C"/>
    <w:rsid w:val="00386E6C"/>
    <w:rsid w:val="007A228F"/>
    <w:rsid w:val="00824920"/>
    <w:rsid w:val="009A089B"/>
    <w:rsid w:val="009A4CBD"/>
    <w:rsid w:val="009D4FAD"/>
    <w:rsid w:val="00A2546D"/>
    <w:rsid w:val="00D93C79"/>
    <w:rsid w:val="00F451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6E6C"/>
    <w:pPr>
      <w:spacing w:after="0" w:line="240" w:lineRule="atLeast"/>
    </w:pPr>
    <w:rPr>
      <w:rFonts w:ascii="Verdana" w:eastAsia="Times New Roman" w:hAnsi="Verdana" w:cs="Times New Roman"/>
      <w:sz w:val="18"/>
      <w:szCs w:val="24"/>
      <w:lang w:eastAsia="nl-NL"/>
    </w:rPr>
  </w:style>
  <w:style w:type="paragraph" w:styleId="Kop1">
    <w:name w:val="heading 1"/>
    <w:basedOn w:val="Titel"/>
    <w:next w:val="Standaard"/>
    <w:link w:val="Kop1Char"/>
    <w:uiPriority w:val="9"/>
    <w:qFormat/>
    <w:rsid w:val="00001B7C"/>
    <w:pPr>
      <w:keepNext/>
      <w:keepLines/>
      <w:spacing w:after="600"/>
      <w:outlineLvl w:val="0"/>
    </w:pPr>
    <w:rPr>
      <w:color w:val="auto"/>
      <w:sz w:val="40"/>
      <w:szCs w:val="28"/>
    </w:rPr>
  </w:style>
  <w:style w:type="paragraph" w:styleId="Kop2">
    <w:name w:val="heading 2"/>
    <w:basedOn w:val="Standaard"/>
    <w:next w:val="Standaard"/>
    <w:link w:val="Kop2Char"/>
    <w:uiPriority w:val="9"/>
    <w:unhideWhenUsed/>
    <w:qFormat/>
    <w:rsid w:val="00001B7C"/>
    <w:pPr>
      <w:keepNext/>
      <w:keepLines/>
      <w:spacing w:before="600" w:after="200" w:line="276" w:lineRule="auto"/>
      <w:outlineLvl w:val="1"/>
    </w:pPr>
    <w:rPr>
      <w:rFonts w:asciiTheme="majorHAnsi" w:eastAsiaTheme="majorEastAsia" w:hAnsiTheme="majorHAnsi" w:cstheme="majorBidi"/>
      <w:b/>
      <w:bCs/>
      <w:sz w:val="28"/>
      <w:szCs w:val="26"/>
      <w:lang w:eastAsia="en-US"/>
    </w:rPr>
  </w:style>
  <w:style w:type="paragraph" w:styleId="Kop3">
    <w:name w:val="heading 3"/>
    <w:basedOn w:val="Standaard"/>
    <w:next w:val="Standaard"/>
    <w:link w:val="Kop3Char"/>
    <w:uiPriority w:val="9"/>
    <w:unhideWhenUsed/>
    <w:qFormat/>
    <w:rsid w:val="00001B7C"/>
    <w:pPr>
      <w:keepNext/>
      <w:keepLines/>
      <w:spacing w:before="200" w:after="200" w:line="276" w:lineRule="auto"/>
      <w:outlineLvl w:val="2"/>
    </w:pPr>
    <w:rPr>
      <w:rFonts w:asciiTheme="majorHAnsi" w:eastAsiaTheme="majorEastAsia" w:hAnsiTheme="majorHAnsi" w:cstheme="majorBidi"/>
      <w:bCs/>
      <w:i/>
      <w:sz w:val="26"/>
      <w:szCs w:val="22"/>
      <w:lang w:eastAsia="en-US"/>
    </w:rPr>
  </w:style>
  <w:style w:type="paragraph" w:styleId="Kop4">
    <w:name w:val="heading 4"/>
    <w:basedOn w:val="Standaard"/>
    <w:next w:val="Standaard"/>
    <w:link w:val="Kop4Char"/>
    <w:uiPriority w:val="9"/>
    <w:unhideWhenUsed/>
    <w:qFormat/>
    <w:rsid w:val="00001B7C"/>
    <w:pPr>
      <w:keepNext/>
      <w:keepLines/>
      <w:spacing w:before="200" w:after="200" w:line="276" w:lineRule="auto"/>
      <w:outlineLvl w:val="3"/>
    </w:pPr>
    <w:rPr>
      <w:rFonts w:asciiTheme="majorHAnsi" w:eastAsiaTheme="majorEastAsia" w:hAnsiTheme="majorHAnsi" w:cstheme="majorBidi"/>
      <w:bCs/>
      <w:i/>
      <w:iCs/>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1B7C"/>
    <w:rPr>
      <w:rFonts w:asciiTheme="majorHAnsi" w:eastAsiaTheme="majorEastAsia" w:hAnsiTheme="majorHAnsi" w:cstheme="majorBidi"/>
      <w:spacing w:val="5"/>
      <w:kern w:val="28"/>
      <w:sz w:val="40"/>
      <w:szCs w:val="28"/>
    </w:rPr>
  </w:style>
  <w:style w:type="paragraph" w:styleId="Titel">
    <w:name w:val="Title"/>
    <w:basedOn w:val="Standaard"/>
    <w:next w:val="Standaard"/>
    <w:link w:val="TitelChar"/>
    <w:uiPriority w:val="10"/>
    <w:qFormat/>
    <w:rsid w:val="00001B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001B7C"/>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001B7C"/>
    <w:rPr>
      <w:rFonts w:asciiTheme="majorHAnsi" w:eastAsiaTheme="majorEastAsia" w:hAnsiTheme="majorHAnsi" w:cstheme="majorBidi"/>
      <w:b/>
      <w:bCs/>
      <w:sz w:val="28"/>
      <w:szCs w:val="26"/>
    </w:rPr>
  </w:style>
  <w:style w:type="character" w:customStyle="1" w:styleId="Kop3Char">
    <w:name w:val="Kop 3 Char"/>
    <w:basedOn w:val="Standaardalinea-lettertype"/>
    <w:link w:val="Kop3"/>
    <w:uiPriority w:val="9"/>
    <w:rsid w:val="00001B7C"/>
    <w:rPr>
      <w:rFonts w:asciiTheme="majorHAnsi" w:eastAsiaTheme="majorEastAsia" w:hAnsiTheme="majorHAnsi" w:cstheme="majorBidi"/>
      <w:bCs/>
      <w:i/>
      <w:sz w:val="26"/>
    </w:rPr>
  </w:style>
  <w:style w:type="character" w:customStyle="1" w:styleId="Kop4Char">
    <w:name w:val="Kop 4 Char"/>
    <w:basedOn w:val="Standaardalinea-lettertype"/>
    <w:link w:val="Kop4"/>
    <w:uiPriority w:val="9"/>
    <w:rsid w:val="00001B7C"/>
    <w:rPr>
      <w:rFonts w:asciiTheme="majorHAnsi" w:eastAsiaTheme="majorEastAsia" w:hAnsiTheme="majorHAnsi" w:cstheme="majorBidi"/>
      <w:bCs/>
      <w:i/>
      <w:iCs/>
    </w:rPr>
  </w:style>
  <w:style w:type="paragraph" w:styleId="Geenafstand">
    <w:name w:val="No Spacing"/>
    <w:uiPriority w:val="1"/>
    <w:qFormat/>
    <w:rsid w:val="00001B7C"/>
    <w:pPr>
      <w:spacing w:after="0" w:line="240" w:lineRule="auto"/>
    </w:pPr>
    <w:rPr>
      <w:rFonts w:ascii="Times New Roman" w:hAnsi="Times New Roman"/>
    </w:rPr>
  </w:style>
  <w:style w:type="paragraph" w:styleId="Lijstalinea">
    <w:name w:val="List Paragraph"/>
    <w:basedOn w:val="Standaard"/>
    <w:uiPriority w:val="34"/>
    <w:qFormat/>
    <w:rsid w:val="00001B7C"/>
    <w:pPr>
      <w:spacing w:after="200" w:line="276" w:lineRule="auto"/>
      <w:ind w:left="720"/>
      <w:contextualSpacing/>
    </w:pPr>
    <w:rPr>
      <w:rFonts w:ascii="Times New Roman" w:eastAsiaTheme="minorHAnsi" w:hAnsi="Times New Roman" w:cstheme="minorBidi"/>
      <w:color w:val="244061" w:themeColor="accent1" w:themeShade="80"/>
      <w:sz w:val="22"/>
      <w:szCs w:val="22"/>
      <w:lang w:eastAsia="en-US"/>
    </w:rPr>
  </w:style>
  <w:style w:type="paragraph" w:styleId="Kopvaninhoudsopgave">
    <w:name w:val="TOC Heading"/>
    <w:basedOn w:val="Kop1"/>
    <w:next w:val="Standaard"/>
    <w:uiPriority w:val="39"/>
    <w:semiHidden/>
    <w:unhideWhenUsed/>
    <w:qFormat/>
    <w:rsid w:val="00001B7C"/>
    <w:pPr>
      <w:pBdr>
        <w:bottom w:val="none" w:sz="0" w:space="0" w:color="auto"/>
      </w:pBdr>
      <w:spacing w:before="480" w:after="0" w:line="276" w:lineRule="auto"/>
      <w:contextualSpacing w:val="0"/>
      <w:outlineLvl w:val="9"/>
    </w:pPr>
    <w:rPr>
      <w:b/>
      <w:bCs/>
      <w:color w:val="365F91" w:themeColor="accent1" w:themeShade="BF"/>
      <w:spacing w:val="0"/>
      <w:kern w:val="0"/>
      <w:sz w:val="28"/>
    </w:rPr>
  </w:style>
  <w:style w:type="paragraph" w:customStyle="1" w:styleId="Default">
    <w:name w:val="Default"/>
    <w:rsid w:val="00386E6C"/>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customStyle="1" w:styleId="Naamondertekenaar">
    <w:name w:val="Naam ondertekenaar"/>
    <w:basedOn w:val="Standaard"/>
    <w:rsid w:val="00386E6C"/>
    <w:pPr>
      <w:widowControl w:val="0"/>
      <w:suppressAutoHyphens/>
      <w:spacing w:after="80" w:line="360" w:lineRule="auto"/>
    </w:pPr>
    <w:rPr>
      <w:rFonts w:ascii="Arial" w:hAnsi="Arial"/>
      <w:sz w:val="20"/>
      <w:szCs w:val="20"/>
    </w:rPr>
  </w:style>
  <w:style w:type="paragraph" w:styleId="Ballontekst">
    <w:name w:val="Balloon Text"/>
    <w:basedOn w:val="Standaard"/>
    <w:link w:val="BallontekstChar"/>
    <w:uiPriority w:val="99"/>
    <w:semiHidden/>
    <w:unhideWhenUsed/>
    <w:rsid w:val="00386E6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6E6C"/>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gif"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938</ap:Words>
  <ap:Characters>5165</ap:Characters>
  <ap:DocSecurity>0</ap:DocSecurity>
  <ap:Lines>43</ap:Lines>
  <ap:Paragraphs>12</ap:Paragraphs>
  <ap:ScaleCrop>false</ap:ScaleCrop>
  <ap:LinksUpToDate>false</ap:LinksUpToDate>
  <ap:CharactersWithSpaces>6091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2012-05-25T11:12:00.0000000Z</dcterms:created>
  <dcterms:modified xsi:type="dcterms:W3CDTF">2012-05-25T11:12:00.0000000Z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0x010100E3D37B3CF4EC304DB398ABF09B4024E2</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