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83EE3" w:rsidR="00315371" w:rsidP="00B06639" w:rsidRDefault="00315371">
      <w:pPr>
        <w:spacing w:line="240" w:lineRule="exact"/>
        <w:rPr>
          <w:rFonts w:ascii="Verdana" w:hAnsi="Verdana" w:cs="Arial"/>
          <w:b/>
          <w:sz w:val="18"/>
          <w:szCs w:val="18"/>
        </w:rPr>
      </w:pPr>
      <w:r w:rsidRPr="00383EE3">
        <w:rPr>
          <w:rFonts w:ascii="Verdana" w:hAnsi="Verdana" w:cs="Arial"/>
          <w:b/>
          <w:sz w:val="18"/>
          <w:szCs w:val="18"/>
        </w:rPr>
        <w:t xml:space="preserve">Bijlage </w:t>
      </w:r>
      <w:r>
        <w:rPr>
          <w:rFonts w:ascii="Verdana" w:hAnsi="Verdana" w:cs="Arial"/>
          <w:b/>
          <w:sz w:val="18"/>
          <w:szCs w:val="18"/>
        </w:rPr>
        <w:t>5</w:t>
      </w:r>
      <w:r w:rsidRPr="00383EE3">
        <w:rPr>
          <w:rFonts w:ascii="Verdana" w:hAnsi="Verdana" w:cs="Arial"/>
          <w:b/>
          <w:sz w:val="18"/>
          <w:szCs w:val="18"/>
        </w:rPr>
        <w:t xml:space="preserve">: Verticale toelichting </w:t>
      </w:r>
    </w:p>
    <w:p w:rsidRPr="00383EE3" w:rsidR="00315371" w:rsidP="00B06639" w:rsidRDefault="00315371">
      <w:pPr>
        <w:spacing w:line="240" w:lineRule="exact"/>
        <w:rPr>
          <w:rFonts w:ascii="Verdana" w:hAnsi="Verdana" w:cs="Arial"/>
          <w:sz w:val="18"/>
          <w:szCs w:val="18"/>
        </w:rPr>
      </w:pP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De verticale toelichting bevat een cijfermatig overzicht voor alle begrotingen van budgettaire veranderingen die zich hebben voorgedaan sinds de Ontwerpbegroting 2011</w:t>
      </w:r>
      <w:r>
        <w:rPr>
          <w:rFonts w:ascii="Verdana" w:hAnsi="Verdana" w:cs="Univers"/>
          <w:sz w:val="18"/>
          <w:szCs w:val="18"/>
        </w:rPr>
        <w:t>, zodoende inclusief alle mutaties die hebben plaatsgevonden n.a.v. het Regeerakkoord en de herverkaveling van de begrotingen</w:t>
      </w:r>
      <w:r w:rsidRPr="00383EE3">
        <w:rPr>
          <w:rFonts w:ascii="Verdana" w:hAnsi="Verdana" w:cs="Univers"/>
          <w:sz w:val="18"/>
          <w:szCs w:val="18"/>
        </w:rPr>
        <w:t>. Er wordt per begroting een cijfermatig overzicht gepresenteerd, gevolgd door een toelichting op de voornaamste veranderingen. Voor een meer gedetailleerde toelichting op de veranderingen wordt verwezen naar de afzonderlijke begrotingen.</w:t>
      </w:r>
    </w:p>
    <w:p w:rsidRPr="00383EE3" w:rsidR="00315371" w:rsidP="00B06639" w:rsidRDefault="00315371">
      <w:pPr>
        <w:autoSpaceDE w:val="0"/>
        <w:autoSpaceDN w:val="0"/>
        <w:adjustRightInd w:val="0"/>
        <w:spacing w:line="240" w:lineRule="exact"/>
        <w:rPr>
          <w:rFonts w:ascii="Verdana" w:hAnsi="Verdana" w:cs="Univers"/>
          <w:sz w:val="18"/>
          <w:szCs w:val="18"/>
        </w:rPr>
      </w:pP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De verticale toelichting onderscheidt drie categorieën mutaties:</w:t>
      </w: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1. mee- en tegenvallers;</w:t>
      </w: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2. beleidsmatige mutaties;</w:t>
      </w: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3. technische mutaties.</w:t>
      </w:r>
    </w:p>
    <w:p w:rsidRPr="00383EE3" w:rsidR="00315371" w:rsidP="00B06639" w:rsidRDefault="00315371">
      <w:pPr>
        <w:autoSpaceDE w:val="0"/>
        <w:autoSpaceDN w:val="0"/>
        <w:adjustRightInd w:val="0"/>
        <w:spacing w:line="240" w:lineRule="exact"/>
        <w:rPr>
          <w:rFonts w:ascii="Verdana" w:hAnsi="Verdana" w:cs="Univers"/>
          <w:sz w:val="18"/>
          <w:szCs w:val="18"/>
        </w:rPr>
      </w:pP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 xml:space="preserve">Alle overboekingen, desalderingen, statistische correcties en mutaties die niet tot een ijklijn behoren, zijn in de laatste categorie </w:t>
      </w:r>
      <w:r w:rsidRPr="000E7CF4">
        <w:rPr>
          <w:rFonts w:ascii="Verdana" w:hAnsi="Verdana" w:cs="Univers"/>
          <w:i/>
          <w:sz w:val="18"/>
          <w:szCs w:val="18"/>
        </w:rPr>
        <w:t>technische mutaties</w:t>
      </w:r>
      <w:r w:rsidRPr="00383EE3">
        <w:rPr>
          <w:rFonts w:ascii="Verdana" w:hAnsi="Verdana" w:cs="Univers"/>
          <w:sz w:val="18"/>
          <w:szCs w:val="18"/>
        </w:rPr>
        <w:t xml:space="preserve"> geclusterd. Overigens hebben vrijwel alle overboekingen en desalderingen wél een beleidsmatig karakter. Dit komt tot uitdrukking in de toelichtingen. Ingeval samenhangende mutaties in meerdere categorieën voorkomen, worden deze eenmaal toegelicht.</w:t>
      </w:r>
    </w:p>
    <w:p w:rsidRPr="00383EE3" w:rsidR="00315371" w:rsidP="00B06639" w:rsidRDefault="00315371">
      <w:pPr>
        <w:autoSpaceDE w:val="0"/>
        <w:autoSpaceDN w:val="0"/>
        <w:adjustRightInd w:val="0"/>
        <w:spacing w:line="240" w:lineRule="exact"/>
        <w:rPr>
          <w:rFonts w:ascii="Verdana" w:hAnsi="Verdana" w:cs="Univers"/>
          <w:sz w:val="18"/>
          <w:szCs w:val="18"/>
        </w:rPr>
      </w:pP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De totalen per begroting worden in eerste instantie gepresenteerd exclusief de bedragen die onder de Homogene Groep Internationale Samenwerking (HGIS) vallen. Door middel van een aansluitregel wordt het deel van de begroting dat onder HGIS valt, zichtbaar gemaakt. De veranderingen die optreden binnen het HGIS-deel van de begroting worden gepresenteerd en toegelicht in de verticale toelichting van alle HGIS-uitgaven.</w:t>
      </w:r>
    </w:p>
    <w:p w:rsidRPr="00383EE3" w:rsidR="00315371" w:rsidP="00B06639" w:rsidRDefault="00315371">
      <w:pPr>
        <w:autoSpaceDE w:val="0"/>
        <w:autoSpaceDN w:val="0"/>
        <w:adjustRightInd w:val="0"/>
        <w:spacing w:line="240" w:lineRule="exact"/>
        <w:rPr>
          <w:rFonts w:ascii="Verdana" w:hAnsi="Verdana" w:cs="Univers"/>
          <w:sz w:val="18"/>
          <w:szCs w:val="18"/>
        </w:rPr>
      </w:pPr>
    </w:p>
    <w:p w:rsidRPr="00383EE3" w:rsidR="00315371" w:rsidP="00B06639" w:rsidRDefault="00315371">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De laatste regel geeft per begroting de totaalstand inclusief HGIS aan.</w:t>
      </w:r>
    </w:p>
    <w:p w:rsidRPr="00383EE3" w:rsidR="00315371" w:rsidP="00B06639" w:rsidRDefault="00315371">
      <w:pPr>
        <w:autoSpaceDE w:val="0"/>
        <w:autoSpaceDN w:val="0"/>
        <w:adjustRightInd w:val="0"/>
        <w:spacing w:line="240" w:lineRule="exact"/>
        <w:rPr>
          <w:rFonts w:ascii="Verdana" w:hAnsi="Verdana" w:cs="Univers"/>
          <w:sz w:val="18"/>
          <w:szCs w:val="18"/>
        </w:rPr>
      </w:pPr>
    </w:p>
    <w:p w:rsidRPr="00383EE3" w:rsidR="00315371" w:rsidP="00B06639" w:rsidRDefault="00315371">
      <w:pPr>
        <w:autoSpaceDE w:val="0"/>
        <w:autoSpaceDN w:val="0"/>
        <w:adjustRightInd w:val="0"/>
        <w:spacing w:line="240" w:lineRule="exact"/>
        <w:rPr>
          <w:rFonts w:ascii="Verdana" w:hAnsi="Verdana" w:cs="Arial"/>
          <w:sz w:val="18"/>
          <w:szCs w:val="18"/>
        </w:rPr>
      </w:pPr>
      <w:r w:rsidRPr="00383EE3">
        <w:rPr>
          <w:rFonts w:ascii="Verdana" w:hAnsi="Verdana"/>
          <w:sz w:val="18"/>
          <w:szCs w:val="18"/>
        </w:rPr>
        <w:t>De ondergrens is afhankelijk van de omvang van de begroting en verschilt voor de verschillende categorieën mutaties. De post diversen bevat de mutaties die onder de ondergrens vallen en wordt in principe alleen toegelicht, indien zich bijzonderheden voordoen.</w:t>
      </w:r>
    </w:p>
    <w:p w:rsidR="00315371" w:rsidRDefault="00315371">
      <w:pPr>
        <w:spacing w:after="200" w:line="276" w:lineRule="auto"/>
        <w:rPr>
          <w:rFonts w:ascii="Verdana" w:hAnsi="Verdana"/>
          <w:b/>
          <w:sz w:val="18"/>
          <w:szCs w:val="18"/>
          <w:lang w:eastAsia="en-US"/>
        </w:rPr>
      </w:pPr>
      <w:r>
        <w:rPr>
          <w:b/>
          <w:szCs w:val="18"/>
        </w:rPr>
        <w:br w:type="page"/>
      </w:r>
    </w:p>
    <w:p w:rsidRPr="00E42437" w:rsidR="00315371" w:rsidP="004C7BC6" w:rsidRDefault="00315371">
      <w:pPr>
        <w:pStyle w:val="NoSpacing"/>
        <w:rPr>
          <w:b/>
          <w:szCs w:val="18"/>
        </w:rPr>
      </w:pPr>
      <w:r w:rsidRPr="00E42437">
        <w:rPr>
          <w:b/>
          <w:szCs w:val="18"/>
        </w:rPr>
        <w:t>De Koning</w:t>
      </w:r>
    </w:p>
    <w:tbl>
      <w:tblPr>
        <w:tblW w:w="5000" w:type="pct"/>
        <w:tblCellMar>
          <w:top w:w="15" w:type="dxa"/>
          <w:left w:w="15" w:type="dxa"/>
          <w:bottom w:w="15" w:type="dxa"/>
          <w:right w:w="15" w:type="dxa"/>
        </w:tblCellMar>
        <w:tblLook w:val="00A0"/>
      </w:tblPr>
      <w:tblGrid>
        <w:gridCol w:w="3785"/>
        <w:gridCol w:w="1065"/>
        <w:gridCol w:w="1065"/>
        <w:gridCol w:w="1063"/>
        <w:gridCol w:w="1063"/>
        <w:gridCol w:w="1061"/>
      </w:tblGrid>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5"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5"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4"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4"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3"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r>
      <w:tr w:rsidRPr="00E42437" w:rsidR="00315371" w:rsidTr="00E42437">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I DE KONING: UITGAVEN</w:t>
            </w:r>
          </w:p>
        </w:tc>
        <w:tc>
          <w:tcPr>
            <w:tcW w:w="2921" w:type="pct"/>
            <w:gridSpan w:val="5"/>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bedragen in miljoenen euro's</w:t>
            </w:r>
          </w:p>
        </w:tc>
      </w:tr>
      <w:tr w:rsidRPr="00E42437" w:rsidR="00315371" w:rsidTr="002065F2">
        <w:tc>
          <w:tcPr>
            <w:tcW w:w="2079"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p>
        </w:tc>
        <w:tc>
          <w:tcPr>
            <w:tcW w:w="585"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2012</w:t>
            </w:r>
          </w:p>
        </w:tc>
        <w:tc>
          <w:tcPr>
            <w:tcW w:w="585"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2013</w:t>
            </w:r>
          </w:p>
        </w:tc>
        <w:tc>
          <w:tcPr>
            <w:tcW w:w="584"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2014</w:t>
            </w:r>
          </w:p>
        </w:tc>
        <w:tc>
          <w:tcPr>
            <w:tcW w:w="584"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2015</w:t>
            </w:r>
          </w:p>
        </w:tc>
        <w:tc>
          <w:tcPr>
            <w:tcW w:w="583"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2016</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Stand Miljoenennota 2012 (excl. IS)</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39,5</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39,5</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39,4</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39,4</w:t>
            </w:r>
          </w:p>
        </w:tc>
        <w:tc>
          <w:tcPr>
            <w:tcW w:w="583"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39,4</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Beleidsmatige mutaties</w:t>
            </w:r>
          </w:p>
        </w:tc>
        <w:tc>
          <w:tcPr>
            <w:tcW w:w="585" w:type="pct"/>
          </w:tcPr>
          <w:p w:rsidRPr="00E42437" w:rsidR="00315371" w:rsidP="00E42437" w:rsidRDefault="00315371">
            <w:pPr>
              <w:rPr>
                <w:rFonts w:ascii="Verdana" w:hAnsi="Verdana"/>
                <w:sz w:val="16"/>
                <w:szCs w:val="16"/>
              </w:rPr>
            </w:pPr>
          </w:p>
        </w:tc>
        <w:tc>
          <w:tcPr>
            <w:tcW w:w="585"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3" w:type="pct"/>
          </w:tcPr>
          <w:p w:rsidRPr="00E42437" w:rsidR="00315371" w:rsidP="00E42437" w:rsidRDefault="00315371">
            <w:pPr>
              <w:rPr>
                <w:rFonts w:ascii="Verdana" w:hAnsi="Verdana"/>
                <w:sz w:val="16"/>
                <w:szCs w:val="16"/>
              </w:rPr>
            </w:pPr>
          </w:p>
        </w:tc>
      </w:tr>
      <w:tr w:rsidRPr="00E42437" w:rsidR="00315371" w:rsidTr="002065F2">
        <w:tc>
          <w:tcPr>
            <w:tcW w:w="2079" w:type="pct"/>
            <w:tcBorders>
              <w:left w:val="nil"/>
              <w:right w:val="nil"/>
            </w:tcBorders>
            <w:tcMar>
              <w:top w:w="15" w:type="dxa"/>
              <w:left w:w="180" w:type="dxa"/>
              <w:bottom w:w="15" w:type="dxa"/>
              <w:right w:w="15" w:type="dxa"/>
            </w:tcMar>
          </w:tcPr>
          <w:p w:rsidRPr="00E42437" w:rsidR="00315371" w:rsidP="00E42437" w:rsidRDefault="00315371">
            <w:pPr>
              <w:ind w:firstLine="160" w:firstLineChars="100"/>
              <w:rPr>
                <w:rFonts w:ascii="Verdana" w:hAnsi="Verdana" w:cs="Courier New"/>
                <w:sz w:val="16"/>
                <w:szCs w:val="16"/>
              </w:rPr>
            </w:pPr>
            <w:r w:rsidRPr="00E42437">
              <w:rPr>
                <w:rFonts w:ascii="Verdana" w:hAnsi="Verdana" w:cs="Courier New"/>
                <w:sz w:val="16"/>
                <w:szCs w:val="16"/>
              </w:rPr>
              <w:t>Rijksbegroting in enge zin</w:t>
            </w:r>
          </w:p>
        </w:tc>
        <w:tc>
          <w:tcPr>
            <w:tcW w:w="585" w:type="pct"/>
          </w:tcPr>
          <w:p w:rsidRPr="00E42437" w:rsidR="00315371" w:rsidP="00E42437" w:rsidRDefault="00315371">
            <w:pPr>
              <w:rPr>
                <w:rFonts w:ascii="Verdana" w:hAnsi="Verdana"/>
                <w:sz w:val="16"/>
                <w:szCs w:val="16"/>
              </w:rPr>
            </w:pPr>
          </w:p>
        </w:tc>
        <w:tc>
          <w:tcPr>
            <w:tcW w:w="585"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3" w:type="pct"/>
          </w:tcPr>
          <w:p w:rsidRPr="00E42437" w:rsidR="00315371" w:rsidP="00E42437" w:rsidRDefault="00315371">
            <w:pPr>
              <w:rPr>
                <w:rFonts w:ascii="Verdana" w:hAnsi="Verdana"/>
                <w:sz w:val="16"/>
                <w:szCs w:val="16"/>
              </w:rPr>
            </w:pPr>
          </w:p>
        </w:tc>
      </w:tr>
      <w:tr w:rsidRPr="00E42437" w:rsidR="00315371" w:rsidTr="002065F2">
        <w:tc>
          <w:tcPr>
            <w:tcW w:w="2079" w:type="pct"/>
            <w:tcBorders>
              <w:left w:val="nil"/>
              <w:right w:val="nil"/>
            </w:tcBorders>
            <w:tcMar>
              <w:top w:w="15" w:type="dxa"/>
              <w:left w:w="360" w:type="dxa"/>
              <w:bottom w:w="15" w:type="dxa"/>
              <w:right w:w="15" w:type="dxa"/>
            </w:tcMar>
          </w:tcPr>
          <w:p w:rsidRPr="00E42437" w:rsidR="00315371" w:rsidP="00E42437" w:rsidRDefault="00315371">
            <w:pPr>
              <w:ind w:firstLine="320" w:firstLineChars="200"/>
              <w:rPr>
                <w:rFonts w:ascii="Verdana" w:hAnsi="Verdana" w:cs="Courier New"/>
                <w:sz w:val="16"/>
                <w:szCs w:val="16"/>
              </w:rPr>
            </w:pPr>
            <w:r w:rsidRPr="00E42437">
              <w:rPr>
                <w:rFonts w:ascii="Verdana" w:hAnsi="Verdana" w:cs="Courier New"/>
                <w:sz w:val="16"/>
                <w:szCs w:val="16"/>
              </w:rPr>
              <w:t>Diversen</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3"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3"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Technische mutaties</w:t>
            </w:r>
          </w:p>
        </w:tc>
        <w:tc>
          <w:tcPr>
            <w:tcW w:w="585" w:type="pct"/>
          </w:tcPr>
          <w:p w:rsidRPr="00E42437" w:rsidR="00315371" w:rsidP="00E42437" w:rsidRDefault="00315371">
            <w:pPr>
              <w:rPr>
                <w:rFonts w:ascii="Verdana" w:hAnsi="Verdana"/>
                <w:sz w:val="16"/>
                <w:szCs w:val="16"/>
              </w:rPr>
            </w:pPr>
          </w:p>
        </w:tc>
        <w:tc>
          <w:tcPr>
            <w:tcW w:w="585"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3" w:type="pct"/>
          </w:tcPr>
          <w:p w:rsidRPr="00E42437" w:rsidR="00315371" w:rsidP="00E42437" w:rsidRDefault="00315371">
            <w:pPr>
              <w:rPr>
                <w:rFonts w:ascii="Verdana" w:hAnsi="Verdana"/>
                <w:sz w:val="16"/>
                <w:szCs w:val="16"/>
              </w:rPr>
            </w:pPr>
          </w:p>
        </w:tc>
      </w:tr>
      <w:tr w:rsidRPr="00E42437" w:rsidR="00315371" w:rsidTr="002065F2">
        <w:tc>
          <w:tcPr>
            <w:tcW w:w="2079" w:type="pct"/>
            <w:tcBorders>
              <w:left w:val="nil"/>
              <w:right w:val="nil"/>
            </w:tcBorders>
            <w:tcMar>
              <w:top w:w="15" w:type="dxa"/>
              <w:left w:w="180" w:type="dxa"/>
              <w:bottom w:w="15" w:type="dxa"/>
              <w:right w:w="15" w:type="dxa"/>
            </w:tcMar>
          </w:tcPr>
          <w:p w:rsidRPr="00E42437" w:rsidR="00315371" w:rsidP="00E42437" w:rsidRDefault="00315371">
            <w:pPr>
              <w:ind w:firstLine="160" w:firstLineChars="100"/>
              <w:rPr>
                <w:rFonts w:ascii="Verdana" w:hAnsi="Verdana" w:cs="Courier New"/>
                <w:sz w:val="16"/>
                <w:szCs w:val="16"/>
              </w:rPr>
            </w:pPr>
            <w:r w:rsidRPr="00E42437">
              <w:rPr>
                <w:rFonts w:ascii="Verdana" w:hAnsi="Verdana" w:cs="Courier New"/>
                <w:sz w:val="16"/>
                <w:szCs w:val="16"/>
              </w:rPr>
              <w:t>Rijksbegroting in enge zin</w:t>
            </w:r>
          </w:p>
        </w:tc>
        <w:tc>
          <w:tcPr>
            <w:tcW w:w="585" w:type="pct"/>
          </w:tcPr>
          <w:p w:rsidRPr="00E42437" w:rsidR="00315371" w:rsidP="00E42437" w:rsidRDefault="00315371">
            <w:pPr>
              <w:rPr>
                <w:rFonts w:ascii="Verdana" w:hAnsi="Verdana"/>
                <w:sz w:val="16"/>
                <w:szCs w:val="16"/>
              </w:rPr>
            </w:pPr>
          </w:p>
        </w:tc>
        <w:tc>
          <w:tcPr>
            <w:tcW w:w="585"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3" w:type="pct"/>
          </w:tcPr>
          <w:p w:rsidRPr="00E42437" w:rsidR="00315371" w:rsidP="00E42437" w:rsidRDefault="00315371">
            <w:pPr>
              <w:rPr>
                <w:rFonts w:ascii="Verdana" w:hAnsi="Verdana"/>
                <w:sz w:val="16"/>
                <w:szCs w:val="16"/>
              </w:rPr>
            </w:pPr>
          </w:p>
        </w:tc>
      </w:tr>
      <w:tr w:rsidRPr="00E42437" w:rsidR="00315371" w:rsidTr="002065F2">
        <w:tc>
          <w:tcPr>
            <w:tcW w:w="2079" w:type="pct"/>
            <w:tcBorders>
              <w:left w:val="nil"/>
              <w:right w:val="nil"/>
            </w:tcBorders>
            <w:tcMar>
              <w:top w:w="15" w:type="dxa"/>
              <w:left w:w="360" w:type="dxa"/>
              <w:bottom w:w="15" w:type="dxa"/>
              <w:right w:w="15" w:type="dxa"/>
            </w:tcMar>
          </w:tcPr>
          <w:p w:rsidRPr="00E42437" w:rsidR="00315371" w:rsidP="00E42437" w:rsidRDefault="00315371">
            <w:pPr>
              <w:ind w:firstLine="320" w:firstLineChars="200"/>
              <w:rPr>
                <w:rFonts w:ascii="Verdana" w:hAnsi="Verdana" w:cs="Courier New"/>
                <w:sz w:val="16"/>
                <w:szCs w:val="16"/>
              </w:rPr>
            </w:pPr>
            <w:r w:rsidRPr="00E42437">
              <w:rPr>
                <w:rFonts w:ascii="Verdana" w:hAnsi="Verdana" w:cs="Courier New"/>
                <w:sz w:val="16"/>
                <w:szCs w:val="16"/>
              </w:rPr>
              <w:t>Diversen</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3"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3"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p>
        </w:tc>
        <w:tc>
          <w:tcPr>
            <w:tcW w:w="585" w:type="pct"/>
            <w:vAlign w:val="center"/>
          </w:tcPr>
          <w:p w:rsidRPr="00E42437" w:rsidR="00315371" w:rsidP="00E42437" w:rsidRDefault="00315371">
            <w:pPr>
              <w:rPr>
                <w:rFonts w:ascii="Verdana" w:hAnsi="Verdana"/>
                <w:sz w:val="16"/>
                <w:szCs w:val="16"/>
              </w:rPr>
            </w:pPr>
          </w:p>
        </w:tc>
        <w:tc>
          <w:tcPr>
            <w:tcW w:w="585" w:type="pct"/>
            <w:vAlign w:val="center"/>
          </w:tcPr>
          <w:p w:rsidRPr="00E42437" w:rsidR="00315371" w:rsidP="00E42437" w:rsidRDefault="00315371">
            <w:pPr>
              <w:rPr>
                <w:rFonts w:ascii="Verdana" w:hAnsi="Verdana"/>
                <w:sz w:val="16"/>
                <w:szCs w:val="16"/>
              </w:rPr>
            </w:pPr>
          </w:p>
        </w:tc>
        <w:tc>
          <w:tcPr>
            <w:tcW w:w="584" w:type="pct"/>
            <w:vAlign w:val="center"/>
          </w:tcPr>
          <w:p w:rsidRPr="00E42437" w:rsidR="00315371" w:rsidP="00E42437" w:rsidRDefault="00315371">
            <w:pPr>
              <w:rPr>
                <w:rFonts w:ascii="Verdana" w:hAnsi="Verdana"/>
                <w:sz w:val="16"/>
                <w:szCs w:val="16"/>
              </w:rPr>
            </w:pPr>
          </w:p>
        </w:tc>
        <w:tc>
          <w:tcPr>
            <w:tcW w:w="584" w:type="pct"/>
            <w:vAlign w:val="center"/>
          </w:tcPr>
          <w:p w:rsidRPr="00E42437" w:rsidR="00315371" w:rsidP="00E42437" w:rsidRDefault="00315371">
            <w:pPr>
              <w:rPr>
                <w:rFonts w:ascii="Verdana" w:hAnsi="Verdana"/>
                <w:sz w:val="16"/>
                <w:szCs w:val="16"/>
              </w:rPr>
            </w:pPr>
          </w:p>
        </w:tc>
        <w:tc>
          <w:tcPr>
            <w:tcW w:w="583" w:type="pct"/>
            <w:vAlign w:val="center"/>
          </w:tcPr>
          <w:p w:rsidRPr="00E42437" w:rsidR="00315371" w:rsidP="00E42437" w:rsidRDefault="00315371">
            <w:pPr>
              <w:rPr>
                <w:rFonts w:ascii="Verdana" w:hAnsi="Verdana"/>
                <w:sz w:val="16"/>
                <w:szCs w:val="16"/>
              </w:rPr>
            </w:pP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Totaal mutaties sinds Miljoenennota 2012</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c>
          <w:tcPr>
            <w:tcW w:w="583"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0,2</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85" w:type="pct"/>
          </w:tcPr>
          <w:p w:rsidRPr="00E42437" w:rsidR="00315371" w:rsidP="00E42437" w:rsidRDefault="00315371">
            <w:pPr>
              <w:rPr>
                <w:rFonts w:ascii="Verdana" w:hAnsi="Verdana"/>
                <w:sz w:val="16"/>
                <w:szCs w:val="16"/>
              </w:rPr>
            </w:pPr>
          </w:p>
        </w:tc>
        <w:tc>
          <w:tcPr>
            <w:tcW w:w="585"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4" w:type="pct"/>
          </w:tcPr>
          <w:p w:rsidRPr="00E42437" w:rsidR="00315371" w:rsidP="00E42437" w:rsidRDefault="00315371">
            <w:pPr>
              <w:rPr>
                <w:rFonts w:ascii="Verdana" w:hAnsi="Verdana"/>
                <w:sz w:val="16"/>
                <w:szCs w:val="16"/>
              </w:rPr>
            </w:pPr>
          </w:p>
        </w:tc>
        <w:tc>
          <w:tcPr>
            <w:tcW w:w="583" w:type="pct"/>
          </w:tcPr>
          <w:p w:rsidRPr="00E42437" w:rsidR="00315371" w:rsidP="00E42437" w:rsidRDefault="00315371">
            <w:pPr>
              <w:rPr>
                <w:rFonts w:ascii="Verdana" w:hAnsi="Verdana"/>
                <w:sz w:val="16"/>
                <w:szCs w:val="16"/>
              </w:rPr>
            </w:pP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Stand Voorjaarsnota 2012 (subtotaal)</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39,7</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39,7</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39,6</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39,6</w:t>
            </w:r>
          </w:p>
        </w:tc>
        <w:tc>
          <w:tcPr>
            <w:tcW w:w="583"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39,6</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Totaal Internationale samenwerking</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5"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4"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83"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2065F2">
        <w:tc>
          <w:tcPr>
            <w:tcW w:w="2079"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Stand Voorjaarsnota 2012</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39,7</w:t>
            </w:r>
          </w:p>
        </w:tc>
        <w:tc>
          <w:tcPr>
            <w:tcW w:w="585"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39,7</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39,6</w:t>
            </w:r>
          </w:p>
        </w:tc>
        <w:tc>
          <w:tcPr>
            <w:tcW w:w="584"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39,6</w:t>
            </w:r>
          </w:p>
        </w:tc>
        <w:tc>
          <w:tcPr>
            <w:tcW w:w="583"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39,6</w:t>
            </w:r>
          </w:p>
        </w:tc>
      </w:tr>
    </w:tbl>
    <w:p w:rsidRPr="003E1EAA" w:rsidR="00315371" w:rsidP="004C7BC6" w:rsidRDefault="00315371">
      <w:pPr>
        <w:pStyle w:val="NoSpacing"/>
        <w:rPr>
          <w:sz w:val="16"/>
          <w:szCs w:val="16"/>
        </w:rPr>
      </w:pPr>
    </w:p>
    <w:p w:rsidRPr="003E1EAA" w:rsidR="00315371" w:rsidP="004C7BC6" w:rsidRDefault="00315371">
      <w:pPr>
        <w:pStyle w:val="NoSpacing"/>
        <w:rPr>
          <w:sz w:val="16"/>
          <w:szCs w:val="16"/>
        </w:rPr>
      </w:pPr>
    </w:p>
    <w:p w:rsidRPr="003E1EAA" w:rsidR="00315371" w:rsidP="004C7BC6" w:rsidRDefault="00315371">
      <w:pPr>
        <w:pStyle w:val="NoSpacing"/>
        <w:rPr>
          <w:sz w:val="16"/>
          <w:szCs w:val="16"/>
        </w:rPr>
      </w:pPr>
    </w:p>
    <w:tbl>
      <w:tblPr>
        <w:tblW w:w="5000" w:type="pct"/>
        <w:tblCellMar>
          <w:top w:w="15" w:type="dxa"/>
          <w:left w:w="15" w:type="dxa"/>
          <w:bottom w:w="15" w:type="dxa"/>
          <w:right w:w="15" w:type="dxa"/>
        </w:tblCellMar>
        <w:tblLook w:val="00A0"/>
      </w:tblPr>
      <w:tblGrid>
        <w:gridCol w:w="3862"/>
        <w:gridCol w:w="1048"/>
        <w:gridCol w:w="1049"/>
        <w:gridCol w:w="1049"/>
        <w:gridCol w:w="1049"/>
        <w:gridCol w:w="1045"/>
      </w:tblGrid>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76"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76"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76"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76"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76"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I DE KONING: NIET-BELASTINGONTVANGSTEN</w:t>
            </w:r>
          </w:p>
        </w:tc>
        <w:tc>
          <w:tcPr>
            <w:tcW w:w="2878" w:type="pct"/>
            <w:gridSpan w:val="5"/>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bedragen in miljoenen euro's</w:t>
            </w:r>
          </w:p>
        </w:tc>
      </w:tr>
      <w:tr w:rsidRPr="00E42437" w:rsidR="00315371" w:rsidTr="00E42437">
        <w:tc>
          <w:tcPr>
            <w:tcW w:w="2122"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p>
        </w:tc>
        <w:tc>
          <w:tcPr>
            <w:tcW w:w="576"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2012</w:t>
            </w:r>
          </w:p>
        </w:tc>
        <w:tc>
          <w:tcPr>
            <w:tcW w:w="576"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2013</w:t>
            </w:r>
          </w:p>
        </w:tc>
        <w:tc>
          <w:tcPr>
            <w:tcW w:w="576"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2014</w:t>
            </w:r>
          </w:p>
        </w:tc>
        <w:tc>
          <w:tcPr>
            <w:tcW w:w="576"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2015</w:t>
            </w:r>
          </w:p>
        </w:tc>
        <w:tc>
          <w:tcPr>
            <w:tcW w:w="576" w:type="pct"/>
            <w:tcBorders>
              <w:top w:val="single" w:color="000000" w:sz="6" w:space="0"/>
              <w:left w:val="nil"/>
              <w:bottom w:val="single" w:color="000000" w:sz="6" w:space="0"/>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2016</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Stand Miljoenennota 2012 (excl. IS)</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Beleidsmatige mutaties</w:t>
            </w: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r>
      <w:tr w:rsidRPr="00E42437" w:rsidR="00315371" w:rsidTr="00E42437">
        <w:tc>
          <w:tcPr>
            <w:tcW w:w="2122" w:type="pct"/>
            <w:tcBorders>
              <w:left w:val="nil"/>
              <w:right w:val="nil"/>
            </w:tcBorders>
            <w:tcMar>
              <w:top w:w="15" w:type="dxa"/>
              <w:left w:w="180" w:type="dxa"/>
              <w:bottom w:w="15" w:type="dxa"/>
              <w:right w:w="15" w:type="dxa"/>
            </w:tcMar>
          </w:tcPr>
          <w:p w:rsidRPr="00E42437" w:rsidR="00315371" w:rsidP="00E42437" w:rsidRDefault="00315371">
            <w:pPr>
              <w:ind w:firstLine="160" w:firstLineChars="100"/>
              <w:rPr>
                <w:rFonts w:ascii="Verdana" w:hAnsi="Verdana" w:cs="Courier New"/>
                <w:sz w:val="16"/>
                <w:szCs w:val="16"/>
              </w:rPr>
            </w:pPr>
            <w:r w:rsidRPr="00E42437">
              <w:rPr>
                <w:rFonts w:ascii="Verdana" w:hAnsi="Verdana" w:cs="Courier New"/>
                <w:sz w:val="16"/>
                <w:szCs w:val="16"/>
              </w:rPr>
              <w:t>Rijksbegroting in enge zin</w:t>
            </w: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r>
      <w:tr w:rsidRPr="00E42437" w:rsidR="00315371" w:rsidTr="00E42437">
        <w:tc>
          <w:tcPr>
            <w:tcW w:w="2122" w:type="pct"/>
            <w:tcBorders>
              <w:left w:val="nil"/>
              <w:right w:val="nil"/>
            </w:tcBorders>
            <w:tcMar>
              <w:top w:w="15" w:type="dxa"/>
              <w:left w:w="360" w:type="dxa"/>
              <w:bottom w:w="15" w:type="dxa"/>
              <w:right w:w="15" w:type="dxa"/>
            </w:tcMar>
          </w:tcPr>
          <w:p w:rsidRPr="00E42437" w:rsidR="00315371" w:rsidP="00E42437" w:rsidRDefault="00315371">
            <w:pPr>
              <w:ind w:firstLine="320" w:firstLineChars="200"/>
              <w:rPr>
                <w:rFonts w:ascii="Verdana" w:hAnsi="Verdana" w:cs="Courier New"/>
                <w:sz w:val="16"/>
                <w:szCs w:val="16"/>
              </w:rPr>
            </w:pPr>
            <w:r w:rsidRPr="00E42437">
              <w:rPr>
                <w:rFonts w:ascii="Verdana" w:hAnsi="Verdana" w:cs="Courier New"/>
                <w:sz w:val="16"/>
                <w:szCs w:val="16"/>
              </w:rPr>
              <w:t>Diversen</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0,4</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0,4</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p>
        </w:tc>
        <w:tc>
          <w:tcPr>
            <w:tcW w:w="576" w:type="pct"/>
            <w:vAlign w:val="center"/>
          </w:tcPr>
          <w:p w:rsidRPr="00E42437" w:rsidR="00315371" w:rsidP="00E42437" w:rsidRDefault="00315371">
            <w:pPr>
              <w:rPr>
                <w:rFonts w:ascii="Verdana" w:hAnsi="Verdana"/>
                <w:sz w:val="16"/>
                <w:szCs w:val="16"/>
              </w:rPr>
            </w:pPr>
          </w:p>
        </w:tc>
        <w:tc>
          <w:tcPr>
            <w:tcW w:w="576" w:type="pct"/>
            <w:vAlign w:val="center"/>
          </w:tcPr>
          <w:p w:rsidRPr="00E42437" w:rsidR="00315371" w:rsidP="00E42437" w:rsidRDefault="00315371">
            <w:pPr>
              <w:rPr>
                <w:rFonts w:ascii="Verdana" w:hAnsi="Verdana"/>
                <w:sz w:val="16"/>
                <w:szCs w:val="16"/>
              </w:rPr>
            </w:pPr>
          </w:p>
        </w:tc>
        <w:tc>
          <w:tcPr>
            <w:tcW w:w="576" w:type="pct"/>
            <w:vAlign w:val="center"/>
          </w:tcPr>
          <w:p w:rsidRPr="00E42437" w:rsidR="00315371" w:rsidP="00E42437" w:rsidRDefault="00315371">
            <w:pPr>
              <w:rPr>
                <w:rFonts w:ascii="Verdana" w:hAnsi="Verdana"/>
                <w:sz w:val="16"/>
                <w:szCs w:val="16"/>
              </w:rPr>
            </w:pPr>
          </w:p>
        </w:tc>
        <w:tc>
          <w:tcPr>
            <w:tcW w:w="576" w:type="pct"/>
            <w:vAlign w:val="center"/>
          </w:tcPr>
          <w:p w:rsidRPr="00E42437" w:rsidR="00315371" w:rsidP="00E42437" w:rsidRDefault="00315371">
            <w:pPr>
              <w:rPr>
                <w:rFonts w:ascii="Verdana" w:hAnsi="Verdana"/>
                <w:sz w:val="16"/>
                <w:szCs w:val="16"/>
              </w:rPr>
            </w:pPr>
          </w:p>
        </w:tc>
        <w:tc>
          <w:tcPr>
            <w:tcW w:w="576" w:type="pct"/>
            <w:vAlign w:val="center"/>
          </w:tcPr>
          <w:p w:rsidRPr="00E42437" w:rsidR="00315371" w:rsidP="00E42437" w:rsidRDefault="00315371">
            <w:pPr>
              <w:rPr>
                <w:rFonts w:ascii="Verdana" w:hAnsi="Verdana"/>
                <w:sz w:val="16"/>
                <w:szCs w:val="16"/>
              </w:rPr>
            </w:pP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Totaal mutaties sinds Miljoenennota 2012</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0,4</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 </w:t>
            </w: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c>
          <w:tcPr>
            <w:tcW w:w="576" w:type="pct"/>
          </w:tcPr>
          <w:p w:rsidRPr="00E42437" w:rsidR="00315371" w:rsidP="00E42437" w:rsidRDefault="00315371">
            <w:pPr>
              <w:rPr>
                <w:rFonts w:ascii="Verdana" w:hAnsi="Verdana"/>
                <w:sz w:val="16"/>
                <w:szCs w:val="16"/>
              </w:rPr>
            </w:pP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Stand Voorjaarsnota 2012 (subtotaal)</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0,4</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Totaal Internationale samenwerking</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r w:rsidRPr="00E42437" w:rsidR="00315371" w:rsidTr="00E42437">
        <w:tc>
          <w:tcPr>
            <w:tcW w:w="2122" w:type="pct"/>
            <w:tcBorders>
              <w:left w:val="nil"/>
              <w:right w:val="nil"/>
            </w:tcBorders>
          </w:tcPr>
          <w:p w:rsidRPr="00E42437" w:rsidR="00315371" w:rsidP="00E42437" w:rsidRDefault="00315371">
            <w:pPr>
              <w:rPr>
                <w:rFonts w:ascii="Verdana" w:hAnsi="Verdana" w:cs="Courier New"/>
                <w:sz w:val="16"/>
                <w:szCs w:val="16"/>
              </w:rPr>
            </w:pPr>
            <w:r w:rsidRPr="00E42437">
              <w:rPr>
                <w:rFonts w:ascii="Verdana" w:hAnsi="Verdana" w:cs="Courier New"/>
                <w:sz w:val="16"/>
                <w:szCs w:val="16"/>
              </w:rPr>
              <w:t>Stand Voorjaarsnota 2012</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0,4</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c>
          <w:tcPr>
            <w:tcW w:w="576" w:type="pct"/>
            <w:tcBorders>
              <w:top w:val="single" w:color="000000" w:sz="6" w:space="0"/>
              <w:left w:val="nil"/>
              <w:right w:val="nil"/>
            </w:tcBorders>
          </w:tcPr>
          <w:p w:rsidRPr="00E42437" w:rsidR="00315371" w:rsidP="00E42437" w:rsidRDefault="00315371">
            <w:pPr>
              <w:jc w:val="right"/>
              <w:rPr>
                <w:rFonts w:ascii="Verdana" w:hAnsi="Verdana" w:cs="Courier New"/>
                <w:sz w:val="16"/>
                <w:szCs w:val="16"/>
              </w:rPr>
            </w:pPr>
            <w:r w:rsidRPr="00E42437">
              <w:rPr>
                <w:rFonts w:ascii="Verdana" w:hAnsi="Verdana" w:cs="Courier New"/>
                <w:sz w:val="16"/>
                <w:szCs w:val="16"/>
              </w:rPr>
              <w:t>0,0</w:t>
            </w:r>
          </w:p>
        </w:tc>
      </w:tr>
    </w:tbl>
    <w:p w:rsidR="00315371" w:rsidRDefault="00315371"/>
    <w:p w:rsidR="00315371" w:rsidP="002065F2" w:rsidRDefault="00315371">
      <w:pPr>
        <w:spacing w:line="276" w:lineRule="auto"/>
      </w:pPr>
    </w:p>
    <w:p w:rsidRPr="005B131E" w:rsidR="00315371" w:rsidP="002065F2" w:rsidRDefault="00315371">
      <w:pPr>
        <w:pStyle w:val="NoSpacing"/>
        <w:spacing w:line="276" w:lineRule="auto"/>
        <w:rPr>
          <w:i/>
          <w:szCs w:val="18"/>
        </w:rPr>
      </w:pPr>
      <w:r w:rsidRPr="005B131E">
        <w:rPr>
          <w:i/>
          <w:szCs w:val="18"/>
        </w:rPr>
        <w:t>Diversen</w:t>
      </w:r>
    </w:p>
    <w:p w:rsidRPr="005B131E" w:rsidR="00315371" w:rsidP="002065F2" w:rsidRDefault="00315371">
      <w:pPr>
        <w:pStyle w:val="NoSpacing"/>
        <w:spacing w:line="276" w:lineRule="auto"/>
        <w:rPr>
          <w:szCs w:val="18"/>
        </w:rPr>
      </w:pPr>
      <w:r>
        <w:rPr>
          <w:szCs w:val="18"/>
        </w:rPr>
        <w:t>De post diversen bestaat uit de toedeling van de eindejaarsmarge en de bijstelling voor de sociale lasten.</w:t>
      </w: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P="002065F2" w:rsidRDefault="00315371">
      <w:pPr>
        <w:spacing w:line="276" w:lineRule="auto"/>
      </w:pPr>
    </w:p>
    <w:p w:rsidR="00315371" w:rsidRDefault="00315371"/>
    <w:p w:rsidR="00315371" w:rsidRDefault="00315371"/>
    <w:p w:rsidRPr="00CE2A5B" w:rsidR="00315371" w:rsidRDefault="00315371">
      <w:pPr>
        <w:rPr>
          <w:rFonts w:ascii="Verdana" w:hAnsi="Verdana"/>
          <w:b/>
          <w:sz w:val="18"/>
          <w:szCs w:val="18"/>
        </w:rPr>
      </w:pPr>
      <w:r w:rsidRPr="00CE2A5B">
        <w:rPr>
          <w:rFonts w:ascii="Verdana" w:hAnsi="Verdana"/>
          <w:b/>
          <w:sz w:val="18"/>
          <w:szCs w:val="18"/>
        </w:rPr>
        <w:t>Staten-Generaal</w:t>
      </w:r>
    </w:p>
    <w:tbl>
      <w:tblPr>
        <w:tblW w:w="5000" w:type="pct"/>
        <w:tblCellMar>
          <w:top w:w="15" w:type="dxa"/>
          <w:left w:w="15" w:type="dxa"/>
          <w:bottom w:w="15" w:type="dxa"/>
          <w:right w:w="15" w:type="dxa"/>
        </w:tblCellMar>
        <w:tblLook w:val="00A0"/>
      </w:tblPr>
      <w:tblGrid>
        <w:gridCol w:w="3734"/>
        <w:gridCol w:w="1074"/>
        <w:gridCol w:w="1074"/>
        <w:gridCol w:w="1074"/>
        <w:gridCol w:w="1074"/>
        <w:gridCol w:w="1072"/>
      </w:tblGrid>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89"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IIA STATEN-GENERAAL: UITGAVEN</w:t>
            </w:r>
          </w:p>
        </w:tc>
        <w:tc>
          <w:tcPr>
            <w:tcW w:w="2949" w:type="pct"/>
            <w:gridSpan w:val="5"/>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bedragen in miljoenen euro's</w:t>
            </w:r>
          </w:p>
        </w:tc>
      </w:tr>
      <w:tr w:rsidRPr="005555C6" w:rsidR="00315371" w:rsidTr="005555C6">
        <w:tc>
          <w:tcPr>
            <w:tcW w:w="2051" w:type="pct"/>
            <w:tcBorders>
              <w:top w:val="single" w:color="000000" w:sz="8" w:space="0"/>
              <w:left w:val="nil"/>
              <w:bottom w:val="single" w:color="000000" w:sz="8" w:space="0"/>
              <w:right w:val="nil"/>
            </w:tcBorders>
          </w:tcPr>
          <w:p w:rsidRPr="005555C6" w:rsidR="00315371" w:rsidP="006576B5" w:rsidRDefault="00315371">
            <w:pPr>
              <w:jc w:val="right"/>
              <w:rPr>
                <w:rFonts w:ascii="Verdana" w:hAnsi="Verdana" w:cs="Courier New"/>
                <w:sz w:val="16"/>
                <w:szCs w:val="16"/>
              </w:rPr>
            </w:pPr>
          </w:p>
        </w:tc>
        <w:tc>
          <w:tcPr>
            <w:tcW w:w="590" w:type="pct"/>
            <w:tcBorders>
              <w:top w:val="single" w:color="000000" w:sz="8" w:space="0"/>
              <w:left w:val="nil"/>
              <w:bottom w:val="single" w:color="000000" w:sz="8" w:space="0"/>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2012</w:t>
            </w:r>
          </w:p>
        </w:tc>
        <w:tc>
          <w:tcPr>
            <w:tcW w:w="590" w:type="pct"/>
            <w:tcBorders>
              <w:top w:val="single" w:color="000000" w:sz="8" w:space="0"/>
              <w:left w:val="nil"/>
              <w:bottom w:val="single" w:color="000000" w:sz="8" w:space="0"/>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2013</w:t>
            </w:r>
          </w:p>
        </w:tc>
        <w:tc>
          <w:tcPr>
            <w:tcW w:w="590" w:type="pct"/>
            <w:tcBorders>
              <w:top w:val="single" w:color="000000" w:sz="8" w:space="0"/>
              <w:left w:val="nil"/>
              <w:bottom w:val="single" w:color="000000" w:sz="8" w:space="0"/>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2014</w:t>
            </w:r>
          </w:p>
        </w:tc>
        <w:tc>
          <w:tcPr>
            <w:tcW w:w="590" w:type="pct"/>
            <w:tcBorders>
              <w:top w:val="single" w:color="000000" w:sz="8" w:space="0"/>
              <w:left w:val="nil"/>
              <w:bottom w:val="single" w:color="000000" w:sz="8" w:space="0"/>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2015</w:t>
            </w:r>
          </w:p>
        </w:tc>
        <w:tc>
          <w:tcPr>
            <w:tcW w:w="589" w:type="pct"/>
            <w:tcBorders>
              <w:top w:val="single" w:color="000000" w:sz="8" w:space="0"/>
              <w:left w:val="nil"/>
              <w:bottom w:val="single" w:color="000000" w:sz="8" w:space="0"/>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2016</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Stand Miljoenennota 2012 (excl. IS)</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141,9</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133,8</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131,9</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130,9</w:t>
            </w:r>
          </w:p>
        </w:tc>
        <w:tc>
          <w:tcPr>
            <w:tcW w:w="589"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130,1</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Mee- en tegenvallers</w:t>
            </w: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89" w:type="pct"/>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Mar>
              <w:top w:w="15" w:type="dxa"/>
              <w:left w:w="224" w:type="dxa"/>
              <w:bottom w:w="15" w:type="dxa"/>
              <w:right w:w="15" w:type="dxa"/>
            </w:tcMar>
          </w:tcPr>
          <w:p w:rsidRPr="005555C6" w:rsidR="00315371" w:rsidP="005555C6" w:rsidRDefault="00315371">
            <w:pPr>
              <w:ind w:firstLine="160" w:firstLineChars="100"/>
              <w:rPr>
                <w:rFonts w:ascii="Verdana" w:hAnsi="Verdana" w:cs="Courier New"/>
                <w:sz w:val="16"/>
                <w:szCs w:val="16"/>
              </w:rPr>
            </w:pPr>
            <w:r w:rsidRPr="005555C6">
              <w:rPr>
                <w:rFonts w:ascii="Verdana" w:hAnsi="Verdana" w:cs="Courier New"/>
                <w:sz w:val="16"/>
                <w:szCs w:val="16"/>
              </w:rPr>
              <w:t>Rijksbegroting in enge zin</w:t>
            </w: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89" w:type="pct"/>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Mar>
              <w:top w:w="15" w:type="dxa"/>
              <w:left w:w="449" w:type="dxa"/>
              <w:bottom w:w="15" w:type="dxa"/>
              <w:right w:w="15" w:type="dxa"/>
            </w:tcMar>
          </w:tcPr>
          <w:p w:rsidRPr="005555C6" w:rsidR="00315371" w:rsidP="005555C6" w:rsidRDefault="00315371">
            <w:pPr>
              <w:ind w:firstLine="320" w:firstLineChars="200"/>
              <w:rPr>
                <w:rFonts w:ascii="Verdana" w:hAnsi="Verdana" w:cs="Courier New"/>
                <w:sz w:val="16"/>
                <w:szCs w:val="16"/>
              </w:rPr>
            </w:pPr>
            <w:r w:rsidRPr="005555C6">
              <w:rPr>
                <w:rFonts w:ascii="Verdana" w:hAnsi="Verdana" w:cs="Courier New"/>
                <w:sz w:val="16"/>
                <w:szCs w:val="16"/>
              </w:rPr>
              <w:t>Diversen</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89"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c>
          <w:tcPr>
            <w:tcW w:w="589"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0,1</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Beleidsmatige mutaties</w:t>
            </w: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89" w:type="pct"/>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Mar>
              <w:top w:w="15" w:type="dxa"/>
              <w:left w:w="224" w:type="dxa"/>
              <w:bottom w:w="15" w:type="dxa"/>
              <w:right w:w="15" w:type="dxa"/>
            </w:tcMar>
          </w:tcPr>
          <w:p w:rsidRPr="005555C6" w:rsidR="00315371" w:rsidP="005555C6" w:rsidRDefault="00315371">
            <w:pPr>
              <w:ind w:firstLine="160" w:firstLineChars="100"/>
              <w:rPr>
                <w:rFonts w:ascii="Verdana" w:hAnsi="Verdana" w:cs="Courier New"/>
                <w:sz w:val="16"/>
                <w:szCs w:val="16"/>
              </w:rPr>
            </w:pPr>
            <w:r w:rsidRPr="005555C6">
              <w:rPr>
                <w:rFonts w:ascii="Verdana" w:hAnsi="Verdana" w:cs="Courier New"/>
                <w:sz w:val="16"/>
                <w:szCs w:val="16"/>
              </w:rPr>
              <w:t>Rijksbegroting in enge zin</w:t>
            </w: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89" w:type="pct"/>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Mar>
              <w:top w:w="15" w:type="dxa"/>
              <w:left w:w="449" w:type="dxa"/>
              <w:bottom w:w="15" w:type="dxa"/>
              <w:right w:w="15" w:type="dxa"/>
            </w:tcMar>
          </w:tcPr>
          <w:p w:rsidRPr="005555C6" w:rsidR="00315371" w:rsidP="005555C6" w:rsidRDefault="00315371">
            <w:pPr>
              <w:ind w:firstLine="320" w:firstLineChars="200"/>
              <w:rPr>
                <w:rFonts w:ascii="Verdana" w:hAnsi="Verdana" w:cs="Courier New"/>
                <w:sz w:val="16"/>
                <w:szCs w:val="16"/>
              </w:rPr>
            </w:pPr>
            <w:r w:rsidRPr="005555C6">
              <w:rPr>
                <w:rFonts w:ascii="Verdana" w:hAnsi="Verdana" w:cs="Courier New"/>
                <w:sz w:val="16"/>
                <w:szCs w:val="16"/>
              </w:rPr>
              <w:t>Diversen</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3,3</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0,5</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0,3</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0,3</w:t>
            </w:r>
          </w:p>
        </w:tc>
        <w:tc>
          <w:tcPr>
            <w:tcW w:w="589"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0,3</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3,3</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0,5</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0,3</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0,3</w:t>
            </w:r>
          </w:p>
        </w:tc>
        <w:tc>
          <w:tcPr>
            <w:tcW w:w="589"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0,3</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Technische mutaties</w:t>
            </w: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89" w:type="pct"/>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Mar>
              <w:top w:w="15" w:type="dxa"/>
              <w:left w:w="224" w:type="dxa"/>
              <w:bottom w:w="15" w:type="dxa"/>
              <w:right w:w="15" w:type="dxa"/>
            </w:tcMar>
          </w:tcPr>
          <w:p w:rsidRPr="005555C6" w:rsidR="00315371" w:rsidP="005555C6" w:rsidRDefault="00315371">
            <w:pPr>
              <w:ind w:firstLine="160" w:firstLineChars="100"/>
              <w:rPr>
                <w:rFonts w:ascii="Verdana" w:hAnsi="Verdana" w:cs="Courier New"/>
                <w:sz w:val="16"/>
                <w:szCs w:val="16"/>
              </w:rPr>
            </w:pPr>
            <w:r w:rsidRPr="005555C6">
              <w:rPr>
                <w:rFonts w:ascii="Verdana" w:hAnsi="Verdana" w:cs="Courier New"/>
                <w:sz w:val="16"/>
                <w:szCs w:val="16"/>
              </w:rPr>
              <w:t>Rijksbegroting in enge zin</w:t>
            </w: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89" w:type="pct"/>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Mar>
              <w:top w:w="15" w:type="dxa"/>
              <w:left w:w="449" w:type="dxa"/>
              <w:bottom w:w="15" w:type="dxa"/>
              <w:right w:w="15" w:type="dxa"/>
            </w:tcMar>
          </w:tcPr>
          <w:p w:rsidRPr="005555C6" w:rsidR="00315371" w:rsidP="005555C6" w:rsidRDefault="00315371">
            <w:pPr>
              <w:ind w:firstLine="320" w:firstLineChars="200"/>
              <w:rPr>
                <w:rFonts w:ascii="Verdana" w:hAnsi="Verdana" w:cs="Courier New"/>
                <w:sz w:val="16"/>
                <w:szCs w:val="16"/>
              </w:rPr>
            </w:pPr>
            <w:r w:rsidRPr="005555C6">
              <w:rPr>
                <w:rFonts w:ascii="Verdana" w:hAnsi="Verdana" w:cs="Courier New"/>
                <w:sz w:val="16"/>
                <w:szCs w:val="16"/>
              </w:rPr>
              <w:t>Diversen</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0,7</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c>
          <w:tcPr>
            <w:tcW w:w="589"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0,7</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c>
          <w:tcPr>
            <w:tcW w:w="589"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0,6</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p>
        </w:tc>
        <w:tc>
          <w:tcPr>
            <w:tcW w:w="590" w:type="pct"/>
            <w:vAlign w:val="center"/>
          </w:tcPr>
          <w:p w:rsidRPr="005555C6" w:rsidR="00315371" w:rsidP="006576B5" w:rsidRDefault="00315371">
            <w:pPr>
              <w:rPr>
                <w:rFonts w:ascii="Verdana" w:hAnsi="Verdana"/>
                <w:sz w:val="16"/>
                <w:szCs w:val="16"/>
              </w:rPr>
            </w:pPr>
          </w:p>
        </w:tc>
        <w:tc>
          <w:tcPr>
            <w:tcW w:w="590" w:type="pct"/>
            <w:vAlign w:val="center"/>
          </w:tcPr>
          <w:p w:rsidRPr="005555C6" w:rsidR="00315371" w:rsidP="006576B5" w:rsidRDefault="00315371">
            <w:pPr>
              <w:rPr>
                <w:rFonts w:ascii="Verdana" w:hAnsi="Verdana"/>
                <w:sz w:val="16"/>
                <w:szCs w:val="16"/>
              </w:rPr>
            </w:pPr>
          </w:p>
        </w:tc>
        <w:tc>
          <w:tcPr>
            <w:tcW w:w="590" w:type="pct"/>
            <w:vAlign w:val="center"/>
          </w:tcPr>
          <w:p w:rsidRPr="005555C6" w:rsidR="00315371" w:rsidP="006576B5" w:rsidRDefault="00315371">
            <w:pPr>
              <w:rPr>
                <w:rFonts w:ascii="Verdana" w:hAnsi="Verdana"/>
                <w:sz w:val="16"/>
                <w:szCs w:val="16"/>
              </w:rPr>
            </w:pPr>
          </w:p>
        </w:tc>
        <w:tc>
          <w:tcPr>
            <w:tcW w:w="590" w:type="pct"/>
            <w:vAlign w:val="center"/>
          </w:tcPr>
          <w:p w:rsidRPr="005555C6" w:rsidR="00315371" w:rsidP="006576B5" w:rsidRDefault="00315371">
            <w:pPr>
              <w:rPr>
                <w:rFonts w:ascii="Verdana" w:hAnsi="Verdana"/>
                <w:sz w:val="16"/>
                <w:szCs w:val="16"/>
              </w:rPr>
            </w:pPr>
          </w:p>
        </w:tc>
        <w:tc>
          <w:tcPr>
            <w:tcW w:w="589" w:type="pct"/>
            <w:vAlign w:val="center"/>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Totaal mutaties sinds Miljoenennota 2012</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4,1</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1,2</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1,0</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1,0</w:t>
            </w:r>
          </w:p>
        </w:tc>
        <w:tc>
          <w:tcPr>
            <w:tcW w:w="589"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1,0</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 </w:t>
            </w: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90" w:type="pct"/>
          </w:tcPr>
          <w:p w:rsidRPr="005555C6" w:rsidR="00315371" w:rsidP="006576B5" w:rsidRDefault="00315371">
            <w:pPr>
              <w:rPr>
                <w:rFonts w:ascii="Verdana" w:hAnsi="Verdana"/>
                <w:sz w:val="16"/>
                <w:szCs w:val="16"/>
              </w:rPr>
            </w:pPr>
          </w:p>
        </w:tc>
        <w:tc>
          <w:tcPr>
            <w:tcW w:w="589" w:type="pct"/>
          </w:tcPr>
          <w:p w:rsidRPr="005555C6" w:rsidR="00315371" w:rsidP="006576B5" w:rsidRDefault="00315371">
            <w:pPr>
              <w:rPr>
                <w:rFonts w:ascii="Verdana" w:hAnsi="Verdana"/>
                <w:sz w:val="16"/>
                <w:szCs w:val="16"/>
              </w:rPr>
            </w:pP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Stand Voorjaarsnota 2012 (subtotaal)</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146,0</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135,0</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133,0</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132,0</w:t>
            </w:r>
          </w:p>
        </w:tc>
        <w:tc>
          <w:tcPr>
            <w:tcW w:w="589"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131,1</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Totaal Internationale samenwerking</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0,0</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0,0</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0,0</w:t>
            </w:r>
          </w:p>
        </w:tc>
        <w:tc>
          <w:tcPr>
            <w:tcW w:w="590"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0,0</w:t>
            </w:r>
          </w:p>
        </w:tc>
        <w:tc>
          <w:tcPr>
            <w:tcW w:w="589" w:type="pct"/>
            <w:tcBorders>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0,0</w:t>
            </w:r>
          </w:p>
        </w:tc>
      </w:tr>
      <w:tr w:rsidRPr="005555C6" w:rsidR="00315371" w:rsidTr="005555C6">
        <w:tc>
          <w:tcPr>
            <w:tcW w:w="2051" w:type="pct"/>
            <w:tcBorders>
              <w:left w:val="nil"/>
              <w:right w:val="nil"/>
            </w:tcBorders>
          </w:tcPr>
          <w:p w:rsidRPr="005555C6" w:rsidR="00315371" w:rsidP="006576B5" w:rsidRDefault="00315371">
            <w:pPr>
              <w:rPr>
                <w:rFonts w:ascii="Verdana" w:hAnsi="Verdana" w:cs="Courier New"/>
                <w:sz w:val="16"/>
                <w:szCs w:val="16"/>
              </w:rPr>
            </w:pPr>
            <w:r w:rsidRPr="005555C6">
              <w:rPr>
                <w:rFonts w:ascii="Verdana" w:hAnsi="Verdana" w:cs="Courier New"/>
                <w:sz w:val="16"/>
                <w:szCs w:val="16"/>
              </w:rPr>
              <w:t>Stand Voorjaarsnota 2012</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146,0</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135,0</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133,0</w:t>
            </w:r>
          </w:p>
        </w:tc>
        <w:tc>
          <w:tcPr>
            <w:tcW w:w="590"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132,0</w:t>
            </w:r>
          </w:p>
        </w:tc>
        <w:tc>
          <w:tcPr>
            <w:tcW w:w="589" w:type="pct"/>
            <w:tcBorders>
              <w:top w:val="single" w:color="000000" w:sz="8" w:space="0"/>
              <w:left w:val="nil"/>
              <w:right w:val="nil"/>
            </w:tcBorders>
          </w:tcPr>
          <w:p w:rsidRPr="005555C6" w:rsidR="00315371" w:rsidP="006576B5" w:rsidRDefault="00315371">
            <w:pPr>
              <w:jc w:val="right"/>
              <w:rPr>
                <w:rFonts w:ascii="Verdana" w:hAnsi="Verdana" w:cs="Courier New"/>
                <w:sz w:val="16"/>
                <w:szCs w:val="16"/>
              </w:rPr>
            </w:pPr>
            <w:r w:rsidRPr="005555C6">
              <w:rPr>
                <w:rFonts w:ascii="Verdana" w:hAnsi="Verdana" w:cs="Courier New"/>
                <w:sz w:val="16"/>
                <w:szCs w:val="16"/>
              </w:rPr>
              <w:t>131,1</w:t>
            </w:r>
          </w:p>
        </w:tc>
      </w:tr>
    </w:tbl>
    <w:p w:rsidR="00315371" w:rsidP="00CE2A5B" w:rsidRDefault="00315371">
      <w:pPr>
        <w:rPr>
          <w:rFonts w:ascii="Courier New" w:hAnsi="Courier New" w:cs="Courier New"/>
          <w:sz w:val="14"/>
          <w:szCs w:val="14"/>
        </w:rPr>
      </w:pPr>
    </w:p>
    <w:p w:rsidR="00315371" w:rsidP="00CE2A5B" w:rsidRDefault="00315371">
      <w:pPr>
        <w:rPr>
          <w:rFonts w:ascii="Courier New" w:hAnsi="Courier New" w:cs="Courier New"/>
          <w:sz w:val="14"/>
          <w:szCs w:val="14"/>
        </w:rPr>
      </w:pPr>
    </w:p>
    <w:tbl>
      <w:tblPr>
        <w:tblW w:w="5000" w:type="pct"/>
        <w:tblCellMar>
          <w:top w:w="15" w:type="dxa"/>
          <w:left w:w="15" w:type="dxa"/>
          <w:bottom w:w="15" w:type="dxa"/>
          <w:right w:w="15" w:type="dxa"/>
        </w:tblCellMar>
        <w:tblLook w:val="00A0"/>
      </w:tblPr>
      <w:tblGrid>
        <w:gridCol w:w="4104"/>
        <w:gridCol w:w="1000"/>
        <w:gridCol w:w="999"/>
        <w:gridCol w:w="999"/>
        <w:gridCol w:w="999"/>
        <w:gridCol w:w="1001"/>
      </w:tblGrid>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 </w:t>
            </w:r>
          </w:p>
        </w:tc>
        <w:tc>
          <w:tcPr>
            <w:tcW w:w="549"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 </w:t>
            </w:r>
          </w:p>
        </w:tc>
        <w:tc>
          <w:tcPr>
            <w:tcW w:w="549"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 </w:t>
            </w:r>
          </w:p>
        </w:tc>
        <w:tc>
          <w:tcPr>
            <w:tcW w:w="549"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 </w:t>
            </w:r>
          </w:p>
        </w:tc>
        <w:tc>
          <w:tcPr>
            <w:tcW w:w="549"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 </w:t>
            </w:r>
          </w:p>
        </w:tc>
        <w:tc>
          <w:tcPr>
            <w:tcW w:w="549"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 </w:t>
            </w: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IIA STATEN-GENERAAL: NIET-BELASTINGONTVANGSTEN</w:t>
            </w:r>
          </w:p>
        </w:tc>
        <w:tc>
          <w:tcPr>
            <w:tcW w:w="2746" w:type="pct"/>
            <w:gridSpan w:val="5"/>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bedragen in miljoenen euro's</w:t>
            </w:r>
          </w:p>
        </w:tc>
      </w:tr>
      <w:tr w:rsidRPr="00475D8F" w:rsidR="00315371" w:rsidTr="00475D8F">
        <w:tc>
          <w:tcPr>
            <w:tcW w:w="2254" w:type="pct"/>
            <w:tcBorders>
              <w:top w:val="single" w:color="000000" w:sz="8" w:space="0"/>
              <w:left w:val="nil"/>
              <w:bottom w:val="single" w:color="000000" w:sz="8" w:space="0"/>
              <w:right w:val="nil"/>
            </w:tcBorders>
          </w:tcPr>
          <w:p w:rsidRPr="00475D8F" w:rsidR="00315371" w:rsidP="006576B5" w:rsidRDefault="00315371">
            <w:pPr>
              <w:jc w:val="right"/>
              <w:rPr>
                <w:rFonts w:ascii="Verdana" w:hAnsi="Verdana" w:cs="Courier New"/>
                <w:sz w:val="16"/>
                <w:szCs w:val="16"/>
              </w:rPr>
            </w:pPr>
          </w:p>
        </w:tc>
        <w:tc>
          <w:tcPr>
            <w:tcW w:w="549" w:type="pct"/>
            <w:tcBorders>
              <w:top w:val="single" w:color="000000" w:sz="8" w:space="0"/>
              <w:left w:val="nil"/>
              <w:bottom w:val="single" w:color="000000" w:sz="8" w:space="0"/>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2012</w:t>
            </w:r>
          </w:p>
        </w:tc>
        <w:tc>
          <w:tcPr>
            <w:tcW w:w="549" w:type="pct"/>
            <w:tcBorders>
              <w:top w:val="single" w:color="000000" w:sz="8" w:space="0"/>
              <w:left w:val="nil"/>
              <w:bottom w:val="single" w:color="000000" w:sz="8" w:space="0"/>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2013</w:t>
            </w:r>
          </w:p>
        </w:tc>
        <w:tc>
          <w:tcPr>
            <w:tcW w:w="549" w:type="pct"/>
            <w:tcBorders>
              <w:top w:val="single" w:color="000000" w:sz="8" w:space="0"/>
              <w:left w:val="nil"/>
              <w:bottom w:val="single" w:color="000000" w:sz="8" w:space="0"/>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2014</w:t>
            </w:r>
          </w:p>
        </w:tc>
        <w:tc>
          <w:tcPr>
            <w:tcW w:w="549" w:type="pct"/>
            <w:tcBorders>
              <w:top w:val="single" w:color="000000" w:sz="8" w:space="0"/>
              <w:left w:val="nil"/>
              <w:bottom w:val="single" w:color="000000" w:sz="8" w:space="0"/>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2015</w:t>
            </w:r>
          </w:p>
        </w:tc>
        <w:tc>
          <w:tcPr>
            <w:tcW w:w="549" w:type="pct"/>
            <w:tcBorders>
              <w:top w:val="single" w:color="000000" w:sz="8" w:space="0"/>
              <w:left w:val="nil"/>
              <w:bottom w:val="single" w:color="000000" w:sz="8" w:space="0"/>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2016</w:t>
            </w: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Stand Miljoenennota 2012 (excl. IS)</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2,5</w:t>
            </w: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p>
        </w:tc>
        <w:tc>
          <w:tcPr>
            <w:tcW w:w="549" w:type="pct"/>
            <w:vAlign w:val="center"/>
          </w:tcPr>
          <w:p w:rsidRPr="00475D8F" w:rsidR="00315371" w:rsidP="006576B5" w:rsidRDefault="00315371">
            <w:pPr>
              <w:rPr>
                <w:rFonts w:ascii="Verdana" w:hAnsi="Verdana"/>
                <w:sz w:val="16"/>
                <w:szCs w:val="16"/>
              </w:rPr>
            </w:pPr>
          </w:p>
        </w:tc>
        <w:tc>
          <w:tcPr>
            <w:tcW w:w="549" w:type="pct"/>
            <w:vAlign w:val="center"/>
          </w:tcPr>
          <w:p w:rsidRPr="00475D8F" w:rsidR="00315371" w:rsidP="006576B5" w:rsidRDefault="00315371">
            <w:pPr>
              <w:rPr>
                <w:rFonts w:ascii="Verdana" w:hAnsi="Verdana"/>
                <w:sz w:val="16"/>
                <w:szCs w:val="16"/>
              </w:rPr>
            </w:pPr>
          </w:p>
        </w:tc>
        <w:tc>
          <w:tcPr>
            <w:tcW w:w="549" w:type="pct"/>
            <w:vAlign w:val="center"/>
          </w:tcPr>
          <w:p w:rsidRPr="00475D8F" w:rsidR="00315371" w:rsidP="006576B5" w:rsidRDefault="00315371">
            <w:pPr>
              <w:rPr>
                <w:rFonts w:ascii="Verdana" w:hAnsi="Verdana"/>
                <w:sz w:val="16"/>
                <w:szCs w:val="16"/>
              </w:rPr>
            </w:pPr>
          </w:p>
        </w:tc>
        <w:tc>
          <w:tcPr>
            <w:tcW w:w="549" w:type="pct"/>
            <w:vAlign w:val="center"/>
          </w:tcPr>
          <w:p w:rsidRPr="00475D8F" w:rsidR="00315371" w:rsidP="006576B5" w:rsidRDefault="00315371">
            <w:pPr>
              <w:rPr>
                <w:rFonts w:ascii="Verdana" w:hAnsi="Verdana"/>
                <w:sz w:val="16"/>
                <w:szCs w:val="16"/>
              </w:rPr>
            </w:pPr>
          </w:p>
        </w:tc>
        <w:tc>
          <w:tcPr>
            <w:tcW w:w="549" w:type="pct"/>
            <w:vAlign w:val="center"/>
          </w:tcPr>
          <w:p w:rsidRPr="00475D8F" w:rsidR="00315371" w:rsidP="006576B5" w:rsidRDefault="00315371">
            <w:pPr>
              <w:rPr>
                <w:rFonts w:ascii="Verdana" w:hAnsi="Verdana"/>
                <w:sz w:val="16"/>
                <w:szCs w:val="16"/>
              </w:rPr>
            </w:pP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Totaal mutaties sinds Miljoenennota 2012</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 </w:t>
            </w:r>
          </w:p>
        </w:tc>
        <w:tc>
          <w:tcPr>
            <w:tcW w:w="549" w:type="pct"/>
          </w:tcPr>
          <w:p w:rsidRPr="00475D8F" w:rsidR="00315371" w:rsidP="006576B5" w:rsidRDefault="00315371">
            <w:pPr>
              <w:rPr>
                <w:rFonts w:ascii="Verdana" w:hAnsi="Verdana"/>
                <w:sz w:val="16"/>
                <w:szCs w:val="16"/>
              </w:rPr>
            </w:pPr>
          </w:p>
        </w:tc>
        <w:tc>
          <w:tcPr>
            <w:tcW w:w="549" w:type="pct"/>
          </w:tcPr>
          <w:p w:rsidRPr="00475D8F" w:rsidR="00315371" w:rsidP="006576B5" w:rsidRDefault="00315371">
            <w:pPr>
              <w:rPr>
                <w:rFonts w:ascii="Verdana" w:hAnsi="Verdana"/>
                <w:sz w:val="16"/>
                <w:szCs w:val="16"/>
              </w:rPr>
            </w:pPr>
          </w:p>
        </w:tc>
        <w:tc>
          <w:tcPr>
            <w:tcW w:w="549" w:type="pct"/>
          </w:tcPr>
          <w:p w:rsidRPr="00475D8F" w:rsidR="00315371" w:rsidP="006576B5" w:rsidRDefault="00315371">
            <w:pPr>
              <w:rPr>
                <w:rFonts w:ascii="Verdana" w:hAnsi="Verdana"/>
                <w:sz w:val="16"/>
                <w:szCs w:val="16"/>
              </w:rPr>
            </w:pPr>
          </w:p>
        </w:tc>
        <w:tc>
          <w:tcPr>
            <w:tcW w:w="549" w:type="pct"/>
          </w:tcPr>
          <w:p w:rsidRPr="00475D8F" w:rsidR="00315371" w:rsidP="006576B5" w:rsidRDefault="00315371">
            <w:pPr>
              <w:rPr>
                <w:rFonts w:ascii="Verdana" w:hAnsi="Verdana"/>
                <w:sz w:val="16"/>
                <w:szCs w:val="16"/>
              </w:rPr>
            </w:pPr>
          </w:p>
        </w:tc>
        <w:tc>
          <w:tcPr>
            <w:tcW w:w="549" w:type="pct"/>
          </w:tcPr>
          <w:p w:rsidRPr="00475D8F" w:rsidR="00315371" w:rsidP="006576B5" w:rsidRDefault="00315371">
            <w:pPr>
              <w:rPr>
                <w:rFonts w:ascii="Verdana" w:hAnsi="Verdana"/>
                <w:sz w:val="16"/>
                <w:szCs w:val="16"/>
              </w:rPr>
            </w:pP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Stand Voorjaarsnota 2012 (subtotaal)</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2,5</w:t>
            </w: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Totaal Internationale samenwerking</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c>
          <w:tcPr>
            <w:tcW w:w="549" w:type="pct"/>
            <w:tcBorders>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0,0</w:t>
            </w:r>
          </w:p>
        </w:tc>
      </w:tr>
      <w:tr w:rsidRPr="00475D8F" w:rsidR="00315371" w:rsidTr="00475D8F">
        <w:tc>
          <w:tcPr>
            <w:tcW w:w="2254" w:type="pct"/>
            <w:tcBorders>
              <w:left w:val="nil"/>
              <w:right w:val="nil"/>
            </w:tcBorders>
          </w:tcPr>
          <w:p w:rsidRPr="00475D8F" w:rsidR="00315371" w:rsidP="006576B5" w:rsidRDefault="00315371">
            <w:pPr>
              <w:rPr>
                <w:rFonts w:ascii="Verdana" w:hAnsi="Verdana" w:cs="Courier New"/>
                <w:sz w:val="16"/>
                <w:szCs w:val="16"/>
              </w:rPr>
            </w:pPr>
            <w:r w:rsidRPr="00475D8F">
              <w:rPr>
                <w:rFonts w:ascii="Verdana" w:hAnsi="Verdana" w:cs="Courier New"/>
                <w:sz w:val="16"/>
                <w:szCs w:val="16"/>
              </w:rPr>
              <w:t>Stand Voorjaarsnota 2012</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3,0</w:t>
            </w:r>
          </w:p>
        </w:tc>
        <w:tc>
          <w:tcPr>
            <w:tcW w:w="549" w:type="pct"/>
            <w:tcBorders>
              <w:top w:val="single" w:color="000000" w:sz="8" w:space="0"/>
              <w:left w:val="nil"/>
              <w:right w:val="nil"/>
            </w:tcBorders>
          </w:tcPr>
          <w:p w:rsidRPr="00475D8F" w:rsidR="00315371" w:rsidP="006576B5" w:rsidRDefault="00315371">
            <w:pPr>
              <w:jc w:val="right"/>
              <w:rPr>
                <w:rFonts w:ascii="Verdana" w:hAnsi="Verdana" w:cs="Courier New"/>
                <w:sz w:val="16"/>
                <w:szCs w:val="16"/>
              </w:rPr>
            </w:pPr>
            <w:r w:rsidRPr="00475D8F">
              <w:rPr>
                <w:rFonts w:ascii="Verdana" w:hAnsi="Verdana" w:cs="Courier New"/>
                <w:sz w:val="16"/>
                <w:szCs w:val="16"/>
              </w:rPr>
              <w:t>2,5</w:t>
            </w:r>
          </w:p>
        </w:tc>
      </w:tr>
    </w:tbl>
    <w:p w:rsidR="00315371" w:rsidP="002065F2" w:rsidRDefault="00315371">
      <w:pPr>
        <w:spacing w:line="276" w:lineRule="auto"/>
      </w:pPr>
    </w:p>
    <w:p w:rsidR="00315371" w:rsidP="00157D55" w:rsidRDefault="00315371">
      <w:pPr>
        <w:spacing w:line="276" w:lineRule="auto"/>
        <w:rPr>
          <w:rFonts w:ascii="Verdana" w:hAnsi="Verdana"/>
          <w:i/>
          <w:sz w:val="18"/>
          <w:szCs w:val="18"/>
        </w:rPr>
      </w:pPr>
      <w:r>
        <w:rPr>
          <w:rFonts w:ascii="Verdana" w:hAnsi="Verdana"/>
          <w:i/>
          <w:sz w:val="18"/>
          <w:szCs w:val="18"/>
        </w:rPr>
        <w:t>Diversen – Beleidsmatige mutaties uitgaven</w:t>
      </w:r>
    </w:p>
    <w:p w:rsidR="00315371" w:rsidP="00157D55" w:rsidRDefault="00315371">
      <w:pPr>
        <w:spacing w:line="276" w:lineRule="auto"/>
        <w:rPr>
          <w:rFonts w:ascii="Verdana" w:hAnsi="Verdana"/>
          <w:sz w:val="18"/>
          <w:szCs w:val="18"/>
        </w:rPr>
      </w:pPr>
      <w:r>
        <w:rPr>
          <w:rFonts w:ascii="Verdana" w:hAnsi="Verdana"/>
          <w:sz w:val="18"/>
          <w:szCs w:val="18"/>
        </w:rPr>
        <w:t xml:space="preserve">Deze post bevat meerdere mutaties waaronder het terugdraaien van de aanvullende taakstelling zorg- en restproblematiek. </w:t>
      </w:r>
      <w:r w:rsidRPr="005D61D2">
        <w:rPr>
          <w:rFonts w:ascii="Verdana" w:hAnsi="Verdana"/>
          <w:sz w:val="18"/>
          <w:szCs w:val="18"/>
        </w:rPr>
        <w:t>Op basis van de Beheersafspraken is verzocht niet mee te delen in de taakstelling verwerkt bij BVM 2011.</w:t>
      </w:r>
      <w:r>
        <w:rPr>
          <w:rFonts w:ascii="Verdana" w:hAnsi="Verdana"/>
          <w:sz w:val="18"/>
          <w:szCs w:val="18"/>
        </w:rPr>
        <w:t xml:space="preserve">  </w:t>
      </w:r>
    </w:p>
    <w:p w:rsidR="00315371" w:rsidP="002065F2" w:rsidRDefault="00315371">
      <w:pPr>
        <w:spacing w:line="276" w:lineRule="auto"/>
        <w:rPr>
          <w:rFonts w:ascii="Verdana" w:hAnsi="Verdana"/>
          <w:sz w:val="18"/>
          <w:szCs w:val="18"/>
        </w:rPr>
      </w:pPr>
    </w:p>
    <w:p w:rsidR="00315371" w:rsidP="002065F2" w:rsidRDefault="00315371">
      <w:pPr>
        <w:spacing w:line="276" w:lineRule="auto"/>
        <w:rPr>
          <w:rFonts w:ascii="Courier New" w:hAnsi="Courier New" w:cs="Courier New"/>
          <w:sz w:val="14"/>
          <w:szCs w:val="14"/>
        </w:rPr>
      </w:pPr>
      <w:r>
        <w:rPr>
          <w:rFonts w:ascii="Courier New" w:hAnsi="Courier New" w:cs="Courier New"/>
          <w:sz w:val="14"/>
          <w:szCs w:val="14"/>
        </w:rPr>
        <w:t> </w:t>
      </w:r>
    </w:p>
    <w:p w:rsidR="00315371" w:rsidP="002065F2" w:rsidRDefault="00315371">
      <w:pPr>
        <w:spacing w:after="200" w:line="276" w:lineRule="auto"/>
        <w:rPr>
          <w:rFonts w:ascii="Verdana" w:hAnsi="Verdana"/>
          <w:b/>
          <w:sz w:val="18"/>
          <w:szCs w:val="18"/>
        </w:rPr>
      </w:pPr>
    </w:p>
    <w:p w:rsidR="00315371" w:rsidP="002065F2"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after="200" w:line="276" w:lineRule="auto"/>
        <w:rPr>
          <w:rFonts w:ascii="Verdana" w:hAnsi="Verdana"/>
          <w:b/>
          <w:sz w:val="18"/>
          <w:szCs w:val="18"/>
        </w:rPr>
      </w:pPr>
    </w:p>
    <w:p w:rsidR="00315371" w:rsidRDefault="00315371">
      <w:pPr>
        <w:spacing w:line="276" w:lineRule="auto"/>
        <w:rPr>
          <w:rFonts w:ascii="Verdana" w:hAnsi="Verdana"/>
          <w:b/>
          <w:sz w:val="18"/>
          <w:szCs w:val="18"/>
        </w:rPr>
      </w:pPr>
      <w:r>
        <w:rPr>
          <w:rFonts w:ascii="Verdana" w:hAnsi="Verdana"/>
          <w:b/>
          <w:sz w:val="18"/>
          <w:szCs w:val="18"/>
        </w:rPr>
        <w:t>Overige Hoge Colleges van Staat</w:t>
      </w:r>
    </w:p>
    <w:tbl>
      <w:tblPr>
        <w:tblW w:w="0" w:type="auto"/>
        <w:tblCellMar>
          <w:top w:w="15" w:type="dxa"/>
          <w:left w:w="15" w:type="dxa"/>
          <w:bottom w:w="15" w:type="dxa"/>
          <w:right w:w="15" w:type="dxa"/>
        </w:tblCellMar>
        <w:tblLook w:val="00A0"/>
      </w:tblPr>
      <w:tblGrid>
        <w:gridCol w:w="4873"/>
        <w:gridCol w:w="845"/>
        <w:gridCol w:w="846"/>
        <w:gridCol w:w="846"/>
        <w:gridCol w:w="846"/>
        <w:gridCol w:w="846"/>
      </w:tblGrid>
      <w:tr w:rsidRPr="00D43FD0" w:rsidR="00315371" w:rsidTr="00D43FD0">
        <w:tc>
          <w:tcPr>
            <w:tcW w:w="3560" w:type="dxa"/>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946" w:type="dxa"/>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946" w:type="dxa"/>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946" w:type="dxa"/>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946" w:type="dxa"/>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946" w:type="dxa"/>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IIB OVERIGE HOGE COLLEGES VAN STAAT EN KABINETTEN: UITGAVEN</w:t>
            </w:r>
          </w:p>
        </w:tc>
        <w:tc>
          <w:tcPr>
            <w:tcW w:w="0" w:type="auto"/>
            <w:gridSpan w:val="5"/>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bedragen in miljoenen euro's</w:t>
            </w:r>
          </w:p>
        </w:tc>
      </w:tr>
      <w:tr w:rsidRPr="00D43FD0" w:rsidR="00315371" w:rsidTr="006576B5">
        <w:tc>
          <w:tcPr>
            <w:tcW w:w="0" w:type="auto"/>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p>
        </w:tc>
        <w:tc>
          <w:tcPr>
            <w:tcW w:w="0" w:type="auto"/>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2012</w:t>
            </w:r>
          </w:p>
        </w:tc>
        <w:tc>
          <w:tcPr>
            <w:tcW w:w="0" w:type="auto"/>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2013</w:t>
            </w:r>
          </w:p>
        </w:tc>
        <w:tc>
          <w:tcPr>
            <w:tcW w:w="0" w:type="auto"/>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2014</w:t>
            </w:r>
          </w:p>
        </w:tc>
        <w:tc>
          <w:tcPr>
            <w:tcW w:w="0" w:type="auto"/>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2015</w:t>
            </w:r>
          </w:p>
        </w:tc>
        <w:tc>
          <w:tcPr>
            <w:tcW w:w="0" w:type="auto"/>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2016</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Miljoenennota 2012 (excl. IS)</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111,4</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107,2</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106,3</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104,1</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103,7</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Mee- en tegenvallers</w:t>
            </w: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0,6</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0,6</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Beleidsmatige mutaties</w:t>
            </w: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3,3</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1,5</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0,5</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0,5</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0,5</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3,3</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1,5</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0,5</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0,5</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0,5</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Technische mutaties</w:t>
            </w: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1,6</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2,3</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2,3</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0,8</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0,8</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1,6</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2,3</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2,3</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0,8</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0,8</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p>
        </w:tc>
        <w:tc>
          <w:tcPr>
            <w:tcW w:w="0" w:type="auto"/>
            <w:vAlign w:val="center"/>
          </w:tcPr>
          <w:p w:rsidRPr="00D43FD0" w:rsidR="00315371" w:rsidP="006576B5" w:rsidRDefault="00315371">
            <w:pPr>
              <w:rPr>
                <w:rFonts w:ascii="Verdana" w:hAnsi="Verdana"/>
                <w:sz w:val="16"/>
                <w:szCs w:val="16"/>
              </w:rPr>
            </w:pPr>
          </w:p>
        </w:tc>
        <w:tc>
          <w:tcPr>
            <w:tcW w:w="0" w:type="auto"/>
            <w:vAlign w:val="center"/>
          </w:tcPr>
          <w:p w:rsidRPr="00D43FD0" w:rsidR="00315371" w:rsidP="006576B5" w:rsidRDefault="00315371">
            <w:pPr>
              <w:rPr>
                <w:rFonts w:ascii="Verdana" w:hAnsi="Verdana"/>
                <w:sz w:val="16"/>
                <w:szCs w:val="16"/>
              </w:rPr>
            </w:pPr>
          </w:p>
        </w:tc>
        <w:tc>
          <w:tcPr>
            <w:tcW w:w="0" w:type="auto"/>
            <w:vAlign w:val="center"/>
          </w:tcPr>
          <w:p w:rsidRPr="00D43FD0" w:rsidR="00315371" w:rsidP="006576B5" w:rsidRDefault="00315371">
            <w:pPr>
              <w:rPr>
                <w:rFonts w:ascii="Verdana" w:hAnsi="Verdana"/>
                <w:sz w:val="16"/>
                <w:szCs w:val="16"/>
              </w:rPr>
            </w:pPr>
          </w:p>
        </w:tc>
        <w:tc>
          <w:tcPr>
            <w:tcW w:w="0" w:type="auto"/>
            <w:vAlign w:val="center"/>
          </w:tcPr>
          <w:p w:rsidRPr="00D43FD0" w:rsidR="00315371" w:rsidP="006576B5" w:rsidRDefault="00315371">
            <w:pPr>
              <w:rPr>
                <w:rFonts w:ascii="Verdana" w:hAnsi="Verdana"/>
                <w:sz w:val="16"/>
                <w:szCs w:val="16"/>
              </w:rPr>
            </w:pPr>
          </w:p>
        </w:tc>
        <w:tc>
          <w:tcPr>
            <w:tcW w:w="0" w:type="auto"/>
            <w:vAlign w:val="center"/>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mutaties sinds Miljoenennota 2012</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5,5</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3,8</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2,8</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1,3</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1,3</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c>
          <w:tcPr>
            <w:tcW w:w="0" w:type="auto"/>
          </w:tcPr>
          <w:p w:rsidRPr="00D43FD0" w:rsidR="00315371" w:rsidP="006576B5" w:rsidRDefault="00315371">
            <w:pPr>
              <w:rPr>
                <w:rFonts w:ascii="Verdana" w:hAnsi="Verdana"/>
                <w:sz w:val="16"/>
                <w:szCs w:val="16"/>
              </w:rPr>
            </w:pP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 (subtotaal)</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116,8</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111,0</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109,1</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105,4</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105,0</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Internationale samenwerking</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0" w:type="auto"/>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6576B5">
        <w:tc>
          <w:tcPr>
            <w:tcW w:w="0" w:type="auto"/>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116,8</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111,0</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109,1</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105,4</w:t>
            </w:r>
          </w:p>
        </w:tc>
        <w:tc>
          <w:tcPr>
            <w:tcW w:w="0" w:type="auto"/>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105,0</w:t>
            </w:r>
          </w:p>
        </w:tc>
      </w:tr>
    </w:tbl>
    <w:p w:rsidR="00315371" w:rsidP="00CE2A5B" w:rsidRDefault="00315371">
      <w:pPr>
        <w:rPr>
          <w:rFonts w:ascii="Courier New" w:hAnsi="Courier New" w:cs="Courier New"/>
          <w:sz w:val="14"/>
          <w:szCs w:val="14"/>
        </w:rPr>
      </w:pPr>
    </w:p>
    <w:p w:rsidR="00315371" w:rsidP="00CE2A5B" w:rsidRDefault="00315371">
      <w:pPr>
        <w:rPr>
          <w:rFonts w:ascii="Courier New" w:hAnsi="Courier New" w:cs="Courier New"/>
          <w:sz w:val="14"/>
          <w:szCs w:val="14"/>
        </w:rPr>
      </w:pPr>
    </w:p>
    <w:tbl>
      <w:tblPr>
        <w:tblW w:w="5000" w:type="pct"/>
        <w:tblCellMar>
          <w:top w:w="15" w:type="dxa"/>
          <w:left w:w="15" w:type="dxa"/>
          <w:bottom w:w="15" w:type="dxa"/>
          <w:right w:w="15" w:type="dxa"/>
        </w:tblCellMar>
        <w:tblLook w:val="00A0"/>
      </w:tblPr>
      <w:tblGrid>
        <w:gridCol w:w="5401"/>
        <w:gridCol w:w="741"/>
        <w:gridCol w:w="741"/>
        <w:gridCol w:w="741"/>
        <w:gridCol w:w="741"/>
        <w:gridCol w:w="737"/>
      </w:tblGrid>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40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40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40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40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40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IIB OVERIGE HOGE COLLEGES VAN STAAT EN KABINETTEN: NIET-BELASTINGONTVANGSTEN</w:t>
            </w:r>
          </w:p>
        </w:tc>
        <w:tc>
          <w:tcPr>
            <w:tcW w:w="2033" w:type="pct"/>
            <w:gridSpan w:val="5"/>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bedragen in miljoenen euro's</w:t>
            </w:r>
          </w:p>
        </w:tc>
      </w:tr>
      <w:tr w:rsidRPr="00D43FD0" w:rsidR="00315371" w:rsidTr="00D43FD0">
        <w:tc>
          <w:tcPr>
            <w:tcW w:w="296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p>
        </w:tc>
        <w:tc>
          <w:tcPr>
            <w:tcW w:w="40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2012</w:t>
            </w:r>
          </w:p>
        </w:tc>
        <w:tc>
          <w:tcPr>
            <w:tcW w:w="40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2013</w:t>
            </w:r>
          </w:p>
        </w:tc>
        <w:tc>
          <w:tcPr>
            <w:tcW w:w="40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2014</w:t>
            </w:r>
          </w:p>
        </w:tc>
        <w:tc>
          <w:tcPr>
            <w:tcW w:w="40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2015</w:t>
            </w:r>
          </w:p>
        </w:tc>
        <w:tc>
          <w:tcPr>
            <w:tcW w:w="40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2016</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Miljoenennota 2012 (excl. IS)</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5,2</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5,4</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5,4</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5,2</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Technische mutaties</w:t>
            </w: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r>
      <w:tr w:rsidRPr="00D43FD0" w:rsidR="00315371" w:rsidTr="00D43FD0">
        <w:tc>
          <w:tcPr>
            <w:tcW w:w="2967"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r>
      <w:tr w:rsidRPr="00D43FD0" w:rsidR="00315371" w:rsidTr="00D43FD0">
        <w:tc>
          <w:tcPr>
            <w:tcW w:w="2967"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0,3</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p>
        </w:tc>
        <w:tc>
          <w:tcPr>
            <w:tcW w:w="407" w:type="pct"/>
            <w:vAlign w:val="center"/>
          </w:tcPr>
          <w:p w:rsidRPr="00D43FD0" w:rsidR="00315371" w:rsidP="006576B5" w:rsidRDefault="00315371">
            <w:pPr>
              <w:rPr>
                <w:rFonts w:ascii="Verdana" w:hAnsi="Verdana"/>
                <w:sz w:val="16"/>
                <w:szCs w:val="16"/>
              </w:rPr>
            </w:pPr>
          </w:p>
        </w:tc>
        <w:tc>
          <w:tcPr>
            <w:tcW w:w="407" w:type="pct"/>
            <w:vAlign w:val="center"/>
          </w:tcPr>
          <w:p w:rsidRPr="00D43FD0" w:rsidR="00315371" w:rsidP="006576B5" w:rsidRDefault="00315371">
            <w:pPr>
              <w:rPr>
                <w:rFonts w:ascii="Verdana" w:hAnsi="Verdana"/>
                <w:sz w:val="16"/>
                <w:szCs w:val="16"/>
              </w:rPr>
            </w:pPr>
          </w:p>
        </w:tc>
        <w:tc>
          <w:tcPr>
            <w:tcW w:w="407" w:type="pct"/>
            <w:vAlign w:val="center"/>
          </w:tcPr>
          <w:p w:rsidRPr="00D43FD0" w:rsidR="00315371" w:rsidP="006576B5" w:rsidRDefault="00315371">
            <w:pPr>
              <w:rPr>
                <w:rFonts w:ascii="Verdana" w:hAnsi="Verdana"/>
                <w:sz w:val="16"/>
                <w:szCs w:val="16"/>
              </w:rPr>
            </w:pPr>
          </w:p>
        </w:tc>
        <w:tc>
          <w:tcPr>
            <w:tcW w:w="407" w:type="pct"/>
            <w:vAlign w:val="center"/>
          </w:tcPr>
          <w:p w:rsidRPr="00D43FD0" w:rsidR="00315371" w:rsidP="006576B5" w:rsidRDefault="00315371">
            <w:pPr>
              <w:rPr>
                <w:rFonts w:ascii="Verdana" w:hAnsi="Verdana"/>
                <w:sz w:val="16"/>
                <w:szCs w:val="16"/>
              </w:rPr>
            </w:pPr>
          </w:p>
        </w:tc>
        <w:tc>
          <w:tcPr>
            <w:tcW w:w="407" w:type="pct"/>
            <w:vAlign w:val="center"/>
          </w:tcPr>
          <w:p w:rsidRPr="00D43FD0" w:rsidR="00315371" w:rsidP="006576B5" w:rsidRDefault="00315371">
            <w:pPr>
              <w:rPr>
                <w:rFonts w:ascii="Verdana" w:hAnsi="Verdana"/>
                <w:sz w:val="16"/>
                <w:szCs w:val="16"/>
              </w:rPr>
            </w:pP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mutaties sinds Miljoenennota 2012</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0,3</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c>
          <w:tcPr>
            <w:tcW w:w="407" w:type="pct"/>
          </w:tcPr>
          <w:p w:rsidRPr="00D43FD0" w:rsidR="00315371" w:rsidP="006576B5" w:rsidRDefault="00315371">
            <w:pPr>
              <w:rPr>
                <w:rFonts w:ascii="Verdana" w:hAnsi="Verdana"/>
                <w:sz w:val="16"/>
                <w:szCs w:val="16"/>
              </w:rPr>
            </w:pP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 (subtotaal)</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5,5</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5,2</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Internationale samenwerking</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40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96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5,5</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5,3</w:t>
            </w:r>
          </w:p>
        </w:tc>
        <w:tc>
          <w:tcPr>
            <w:tcW w:w="40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5,2</w:t>
            </w:r>
          </w:p>
        </w:tc>
      </w:tr>
    </w:tbl>
    <w:p w:rsidR="00315371" w:rsidP="00CE2A5B" w:rsidRDefault="00315371">
      <w:pPr>
        <w:rPr>
          <w:rFonts w:ascii="Courier New" w:hAnsi="Courier New" w:cs="Courier New"/>
          <w:sz w:val="14"/>
          <w:szCs w:val="14"/>
        </w:rPr>
      </w:pPr>
    </w:p>
    <w:p w:rsidRPr="00FB16C3" w:rsidR="00315371" w:rsidP="00CE2A5B" w:rsidRDefault="00315371">
      <w:pPr>
        <w:rPr>
          <w:rFonts w:ascii="Courier New" w:hAnsi="Courier New" w:cs="Courier New"/>
          <w:sz w:val="14"/>
          <w:szCs w:val="14"/>
        </w:rPr>
      </w:pPr>
    </w:p>
    <w:p w:rsidR="00315371" w:rsidP="00CE2A5B" w:rsidRDefault="00315371"/>
    <w:p w:rsidRPr="00BC49E1" w:rsidR="00315371" w:rsidP="00800DE7" w:rsidRDefault="00315371">
      <w:pPr>
        <w:spacing w:line="276" w:lineRule="auto"/>
        <w:rPr>
          <w:rFonts w:ascii="Verdana" w:hAnsi="Verdana"/>
          <w:i/>
          <w:sz w:val="18"/>
          <w:szCs w:val="18"/>
        </w:rPr>
      </w:pPr>
      <w:r w:rsidRPr="00BC49E1">
        <w:rPr>
          <w:rFonts w:ascii="Verdana" w:hAnsi="Verdana"/>
          <w:i/>
          <w:sz w:val="18"/>
          <w:szCs w:val="18"/>
        </w:rPr>
        <w:t>Diversen – Beleidsmatige mutaties uitgaven</w:t>
      </w:r>
    </w:p>
    <w:p w:rsidR="00315371" w:rsidP="00800DE7" w:rsidRDefault="00315371">
      <w:pPr>
        <w:spacing w:line="276" w:lineRule="auto"/>
        <w:rPr>
          <w:rFonts w:ascii="Verdana" w:hAnsi="Verdana"/>
          <w:sz w:val="18"/>
          <w:szCs w:val="18"/>
        </w:rPr>
      </w:pPr>
      <w:r w:rsidRPr="00BC49E1">
        <w:rPr>
          <w:rFonts w:ascii="Verdana" w:hAnsi="Verdana"/>
          <w:sz w:val="18"/>
          <w:szCs w:val="18"/>
        </w:rPr>
        <w:t>Op basis van de Beheersafspraken is verzocht om geen aandeel te leveren aan de aanvullende taakstelling zorg- en restproblematiek verwerkt bij BVM 2011 en de ingehouden prijsbijstelling verwerkt bij ABK terug te draaien.</w:t>
      </w:r>
      <w:r>
        <w:rPr>
          <w:rFonts w:ascii="Verdana" w:hAnsi="Verdana"/>
          <w:sz w:val="18"/>
          <w:szCs w:val="18"/>
        </w:rPr>
        <w:t xml:space="preserve"> </w:t>
      </w:r>
    </w:p>
    <w:p w:rsidR="00315371" w:rsidP="00800DE7" w:rsidRDefault="00315371">
      <w:pPr>
        <w:spacing w:line="276" w:lineRule="auto"/>
        <w:rPr>
          <w:rFonts w:ascii="Verdana" w:hAnsi="Verdana"/>
          <w:sz w:val="18"/>
          <w:szCs w:val="18"/>
        </w:rPr>
      </w:pPr>
    </w:p>
    <w:p w:rsidR="00315371" w:rsidP="00800DE7" w:rsidRDefault="00315371">
      <w:pPr>
        <w:spacing w:line="276" w:lineRule="auto"/>
        <w:rPr>
          <w:rFonts w:ascii="Verdana" w:hAnsi="Verdana"/>
          <w:i/>
          <w:sz w:val="18"/>
          <w:szCs w:val="18"/>
        </w:rPr>
      </w:pPr>
      <w:r>
        <w:rPr>
          <w:rFonts w:ascii="Verdana" w:hAnsi="Verdana"/>
          <w:i/>
          <w:sz w:val="18"/>
          <w:szCs w:val="18"/>
        </w:rPr>
        <w:t>Diversen – Technische mutaties uitgaven</w:t>
      </w:r>
    </w:p>
    <w:p w:rsidRPr="0081744C" w:rsidR="00315371" w:rsidP="00800DE7" w:rsidRDefault="00315371">
      <w:pPr>
        <w:spacing w:line="276" w:lineRule="auto"/>
        <w:rPr>
          <w:rFonts w:ascii="Verdana" w:hAnsi="Verdana"/>
          <w:b/>
          <w:sz w:val="18"/>
          <w:szCs w:val="18"/>
        </w:rPr>
      </w:pPr>
      <w:r>
        <w:rPr>
          <w:rFonts w:ascii="Verdana" w:hAnsi="Verdana"/>
          <w:sz w:val="18"/>
          <w:szCs w:val="18"/>
        </w:rPr>
        <w:t xml:space="preserve">De Hoge Colleges van Staat worden gecompenseerd voor de gemaakte extra kosten als gevolg van de tijdelijke Crisis- en Herstelwet. De Raad van State moet de zaken die onder de Crisis- en Herstelwet vallen sneller afhandelen en heeft hiervoor extra capaciteit nodig. </w:t>
      </w:r>
    </w:p>
    <w:p w:rsidR="00315371" w:rsidP="00CE2A5B" w:rsidRDefault="00315371"/>
    <w:p w:rsidR="00315371" w:rsidP="00CE2A5B" w:rsidRDefault="00315371">
      <w:r>
        <w:br w:type="page"/>
      </w:r>
    </w:p>
    <w:p w:rsidRPr="00457E12" w:rsidR="00315371" w:rsidRDefault="00315371">
      <w:pPr>
        <w:rPr>
          <w:rFonts w:ascii="Verdana" w:hAnsi="Verdana"/>
          <w:b/>
          <w:sz w:val="18"/>
          <w:szCs w:val="18"/>
        </w:rPr>
      </w:pPr>
      <w:r w:rsidRPr="00457E12">
        <w:rPr>
          <w:rFonts w:ascii="Verdana" w:hAnsi="Verdana"/>
          <w:b/>
          <w:sz w:val="18"/>
          <w:szCs w:val="18"/>
        </w:rPr>
        <w:t>Algemene Zaken</w:t>
      </w:r>
    </w:p>
    <w:tbl>
      <w:tblPr>
        <w:tblW w:w="5000" w:type="pct"/>
        <w:tblCellMar>
          <w:top w:w="15" w:type="dxa"/>
          <w:left w:w="15" w:type="dxa"/>
          <w:bottom w:w="15" w:type="dxa"/>
          <w:right w:w="15" w:type="dxa"/>
        </w:tblCellMar>
        <w:tblLook w:val="00A0"/>
      </w:tblPr>
      <w:tblGrid>
        <w:gridCol w:w="3797"/>
        <w:gridCol w:w="1061"/>
        <w:gridCol w:w="1061"/>
        <w:gridCol w:w="1061"/>
        <w:gridCol w:w="1061"/>
        <w:gridCol w:w="1061"/>
      </w:tblGrid>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4"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III ALGEMENE ZAKEN: UITGAVEN</w:t>
            </w:r>
          </w:p>
        </w:tc>
        <w:tc>
          <w:tcPr>
            <w:tcW w:w="2915" w:type="pct"/>
            <w:gridSpan w:val="5"/>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bedragen in miljoenen euro's</w:t>
            </w:r>
          </w:p>
        </w:tc>
      </w:tr>
      <w:tr w:rsidRPr="00D43FD0" w:rsidR="00315371" w:rsidTr="00D43FD0">
        <w:tc>
          <w:tcPr>
            <w:tcW w:w="2085"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p>
        </w:tc>
        <w:tc>
          <w:tcPr>
            <w:tcW w:w="583"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2012</w:t>
            </w:r>
          </w:p>
        </w:tc>
        <w:tc>
          <w:tcPr>
            <w:tcW w:w="583"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2013</w:t>
            </w:r>
          </w:p>
        </w:tc>
        <w:tc>
          <w:tcPr>
            <w:tcW w:w="583"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2014</w:t>
            </w:r>
          </w:p>
        </w:tc>
        <w:tc>
          <w:tcPr>
            <w:tcW w:w="583"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2015</w:t>
            </w:r>
          </w:p>
        </w:tc>
        <w:tc>
          <w:tcPr>
            <w:tcW w:w="584"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2016</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Miljoenennota 2012 (excl. IS)</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60,3</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61,0</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59,8</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61,1</w:t>
            </w:r>
          </w:p>
        </w:tc>
        <w:tc>
          <w:tcPr>
            <w:tcW w:w="58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60,7</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Beleidsmatige mutaties</w:t>
            </w: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4" w:type="pct"/>
          </w:tcPr>
          <w:p w:rsidRPr="00D43FD0" w:rsidR="00315371" w:rsidP="006576B5" w:rsidRDefault="00315371">
            <w:pPr>
              <w:rPr>
                <w:rFonts w:ascii="Verdana" w:hAnsi="Verdana"/>
                <w:sz w:val="16"/>
                <w:szCs w:val="16"/>
              </w:rPr>
            </w:pPr>
          </w:p>
        </w:tc>
      </w:tr>
      <w:tr w:rsidRPr="00D43FD0" w:rsidR="00315371" w:rsidTr="00D43FD0">
        <w:tc>
          <w:tcPr>
            <w:tcW w:w="2085"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4" w:type="pct"/>
          </w:tcPr>
          <w:p w:rsidRPr="00D43FD0" w:rsidR="00315371" w:rsidP="006576B5" w:rsidRDefault="00315371">
            <w:pPr>
              <w:rPr>
                <w:rFonts w:ascii="Verdana" w:hAnsi="Verdana"/>
                <w:sz w:val="16"/>
                <w:szCs w:val="16"/>
              </w:rPr>
            </w:pPr>
          </w:p>
        </w:tc>
      </w:tr>
      <w:tr w:rsidRPr="00D43FD0" w:rsidR="00315371" w:rsidTr="00D43FD0">
        <w:tc>
          <w:tcPr>
            <w:tcW w:w="2085"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Technische mutaties</w:t>
            </w: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4" w:type="pct"/>
          </w:tcPr>
          <w:p w:rsidRPr="00D43FD0" w:rsidR="00315371" w:rsidP="006576B5" w:rsidRDefault="00315371">
            <w:pPr>
              <w:rPr>
                <w:rFonts w:ascii="Verdana" w:hAnsi="Verdana"/>
                <w:sz w:val="16"/>
                <w:szCs w:val="16"/>
              </w:rPr>
            </w:pPr>
          </w:p>
        </w:tc>
      </w:tr>
      <w:tr w:rsidRPr="00D43FD0" w:rsidR="00315371" w:rsidTr="00D43FD0">
        <w:tc>
          <w:tcPr>
            <w:tcW w:w="2085"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4" w:type="pct"/>
          </w:tcPr>
          <w:p w:rsidRPr="00D43FD0" w:rsidR="00315371" w:rsidP="006576B5" w:rsidRDefault="00315371">
            <w:pPr>
              <w:rPr>
                <w:rFonts w:ascii="Verdana" w:hAnsi="Verdana"/>
                <w:sz w:val="16"/>
                <w:szCs w:val="16"/>
              </w:rPr>
            </w:pPr>
          </w:p>
        </w:tc>
      </w:tr>
      <w:tr w:rsidRPr="00D43FD0" w:rsidR="00315371" w:rsidTr="00D43FD0">
        <w:tc>
          <w:tcPr>
            <w:tcW w:w="2085"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p>
        </w:tc>
        <w:tc>
          <w:tcPr>
            <w:tcW w:w="583" w:type="pct"/>
            <w:vAlign w:val="center"/>
          </w:tcPr>
          <w:p w:rsidRPr="00D43FD0" w:rsidR="00315371" w:rsidP="006576B5" w:rsidRDefault="00315371">
            <w:pPr>
              <w:rPr>
                <w:rFonts w:ascii="Verdana" w:hAnsi="Verdana"/>
                <w:sz w:val="16"/>
                <w:szCs w:val="16"/>
              </w:rPr>
            </w:pPr>
          </w:p>
        </w:tc>
        <w:tc>
          <w:tcPr>
            <w:tcW w:w="583" w:type="pct"/>
            <w:vAlign w:val="center"/>
          </w:tcPr>
          <w:p w:rsidRPr="00D43FD0" w:rsidR="00315371" w:rsidP="006576B5" w:rsidRDefault="00315371">
            <w:pPr>
              <w:rPr>
                <w:rFonts w:ascii="Verdana" w:hAnsi="Verdana"/>
                <w:sz w:val="16"/>
                <w:szCs w:val="16"/>
              </w:rPr>
            </w:pPr>
          </w:p>
        </w:tc>
        <w:tc>
          <w:tcPr>
            <w:tcW w:w="583" w:type="pct"/>
            <w:vAlign w:val="center"/>
          </w:tcPr>
          <w:p w:rsidRPr="00D43FD0" w:rsidR="00315371" w:rsidP="006576B5" w:rsidRDefault="00315371">
            <w:pPr>
              <w:rPr>
                <w:rFonts w:ascii="Verdana" w:hAnsi="Verdana"/>
                <w:sz w:val="16"/>
                <w:szCs w:val="16"/>
              </w:rPr>
            </w:pPr>
          </w:p>
        </w:tc>
        <w:tc>
          <w:tcPr>
            <w:tcW w:w="583" w:type="pct"/>
            <w:vAlign w:val="center"/>
          </w:tcPr>
          <w:p w:rsidRPr="00D43FD0" w:rsidR="00315371" w:rsidP="006576B5" w:rsidRDefault="00315371">
            <w:pPr>
              <w:rPr>
                <w:rFonts w:ascii="Verdana" w:hAnsi="Verdana"/>
                <w:sz w:val="16"/>
                <w:szCs w:val="16"/>
              </w:rPr>
            </w:pPr>
          </w:p>
        </w:tc>
        <w:tc>
          <w:tcPr>
            <w:tcW w:w="584" w:type="pct"/>
            <w:vAlign w:val="center"/>
          </w:tcPr>
          <w:p w:rsidRPr="00D43FD0" w:rsidR="00315371" w:rsidP="006576B5" w:rsidRDefault="00315371">
            <w:pPr>
              <w:rPr>
                <w:rFonts w:ascii="Verdana" w:hAnsi="Verdana"/>
                <w:sz w:val="16"/>
                <w:szCs w:val="16"/>
              </w:rPr>
            </w:pP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mutaties sinds Miljoenennota 2012</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1,4</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c>
          <w:tcPr>
            <w:tcW w:w="58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0,7</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3" w:type="pct"/>
          </w:tcPr>
          <w:p w:rsidRPr="00D43FD0" w:rsidR="00315371" w:rsidP="006576B5" w:rsidRDefault="00315371">
            <w:pPr>
              <w:rPr>
                <w:rFonts w:ascii="Verdana" w:hAnsi="Verdana"/>
                <w:sz w:val="16"/>
                <w:szCs w:val="16"/>
              </w:rPr>
            </w:pPr>
          </w:p>
        </w:tc>
        <w:tc>
          <w:tcPr>
            <w:tcW w:w="584" w:type="pct"/>
          </w:tcPr>
          <w:p w:rsidRPr="00D43FD0" w:rsidR="00315371" w:rsidP="006576B5" w:rsidRDefault="00315371">
            <w:pPr>
              <w:rPr>
                <w:rFonts w:ascii="Verdana" w:hAnsi="Verdana"/>
                <w:sz w:val="16"/>
                <w:szCs w:val="16"/>
              </w:rPr>
            </w:pP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 (subtotaal)</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61,7</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61,8</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60,5</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61,8</w:t>
            </w:r>
          </w:p>
        </w:tc>
        <w:tc>
          <w:tcPr>
            <w:tcW w:w="58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61,4</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Internationale samenwerking</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3"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8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08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61,7</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61,8</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60,5</w:t>
            </w:r>
          </w:p>
        </w:tc>
        <w:tc>
          <w:tcPr>
            <w:tcW w:w="583"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61,8</w:t>
            </w:r>
          </w:p>
        </w:tc>
        <w:tc>
          <w:tcPr>
            <w:tcW w:w="58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61,4</w:t>
            </w:r>
          </w:p>
        </w:tc>
      </w:tr>
    </w:tbl>
    <w:p w:rsidR="00315371" w:rsidP="00457E12" w:rsidRDefault="00315371">
      <w:pPr>
        <w:pStyle w:val="NoSpacing"/>
        <w:rPr>
          <w:sz w:val="16"/>
          <w:szCs w:val="16"/>
        </w:rPr>
      </w:pPr>
    </w:p>
    <w:p w:rsidR="00315371" w:rsidP="00457E12" w:rsidRDefault="00315371">
      <w:pPr>
        <w:pStyle w:val="NoSpacing"/>
        <w:rPr>
          <w:sz w:val="16"/>
          <w:szCs w:val="16"/>
        </w:rPr>
      </w:pPr>
    </w:p>
    <w:tbl>
      <w:tblPr>
        <w:tblW w:w="5000" w:type="pct"/>
        <w:tblCellMar>
          <w:top w:w="15" w:type="dxa"/>
          <w:left w:w="15" w:type="dxa"/>
          <w:bottom w:w="15" w:type="dxa"/>
          <w:right w:w="15" w:type="dxa"/>
        </w:tblCellMar>
        <w:tblLook w:val="00A0"/>
      </w:tblPr>
      <w:tblGrid>
        <w:gridCol w:w="4055"/>
        <w:gridCol w:w="1010"/>
        <w:gridCol w:w="1010"/>
        <w:gridCol w:w="1010"/>
        <w:gridCol w:w="1010"/>
        <w:gridCol w:w="1007"/>
      </w:tblGrid>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5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5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5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5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5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III ALGEMENE ZAKEN: NIET-BELASTINGONTVANGSTEN</w:t>
            </w:r>
          </w:p>
        </w:tc>
        <w:tc>
          <w:tcPr>
            <w:tcW w:w="2773" w:type="pct"/>
            <w:gridSpan w:val="5"/>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bedragen in miljoenen euro's</w:t>
            </w:r>
          </w:p>
        </w:tc>
      </w:tr>
      <w:tr w:rsidRPr="00D43FD0" w:rsidR="00315371" w:rsidTr="00D43FD0">
        <w:tc>
          <w:tcPr>
            <w:tcW w:w="222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p>
        </w:tc>
        <w:tc>
          <w:tcPr>
            <w:tcW w:w="555"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2012</w:t>
            </w:r>
          </w:p>
        </w:tc>
        <w:tc>
          <w:tcPr>
            <w:tcW w:w="555"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2013</w:t>
            </w:r>
          </w:p>
        </w:tc>
        <w:tc>
          <w:tcPr>
            <w:tcW w:w="555"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2014</w:t>
            </w:r>
          </w:p>
        </w:tc>
        <w:tc>
          <w:tcPr>
            <w:tcW w:w="555"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2015</w:t>
            </w:r>
          </w:p>
        </w:tc>
        <w:tc>
          <w:tcPr>
            <w:tcW w:w="555"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2016</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Miljoenennota 2012 (excl. IS)</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Beleidsmatige mutaties</w:t>
            </w: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r>
      <w:tr w:rsidRPr="00D43FD0" w:rsidR="00315371" w:rsidTr="00D43FD0">
        <w:tc>
          <w:tcPr>
            <w:tcW w:w="2227"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r>
      <w:tr w:rsidRPr="00D43FD0" w:rsidR="00315371" w:rsidTr="00D43FD0">
        <w:tc>
          <w:tcPr>
            <w:tcW w:w="2227"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p>
        </w:tc>
        <w:tc>
          <w:tcPr>
            <w:tcW w:w="555" w:type="pct"/>
            <w:vAlign w:val="center"/>
          </w:tcPr>
          <w:p w:rsidRPr="00D43FD0" w:rsidR="00315371" w:rsidP="006576B5" w:rsidRDefault="00315371">
            <w:pPr>
              <w:rPr>
                <w:rFonts w:ascii="Verdana" w:hAnsi="Verdana"/>
                <w:sz w:val="16"/>
                <w:szCs w:val="16"/>
              </w:rPr>
            </w:pPr>
          </w:p>
        </w:tc>
        <w:tc>
          <w:tcPr>
            <w:tcW w:w="555" w:type="pct"/>
            <w:vAlign w:val="center"/>
          </w:tcPr>
          <w:p w:rsidRPr="00D43FD0" w:rsidR="00315371" w:rsidP="006576B5" w:rsidRDefault="00315371">
            <w:pPr>
              <w:rPr>
                <w:rFonts w:ascii="Verdana" w:hAnsi="Verdana"/>
                <w:sz w:val="16"/>
                <w:szCs w:val="16"/>
              </w:rPr>
            </w:pPr>
          </w:p>
        </w:tc>
        <w:tc>
          <w:tcPr>
            <w:tcW w:w="555" w:type="pct"/>
            <w:vAlign w:val="center"/>
          </w:tcPr>
          <w:p w:rsidRPr="00D43FD0" w:rsidR="00315371" w:rsidP="006576B5" w:rsidRDefault="00315371">
            <w:pPr>
              <w:rPr>
                <w:rFonts w:ascii="Verdana" w:hAnsi="Verdana"/>
                <w:sz w:val="16"/>
                <w:szCs w:val="16"/>
              </w:rPr>
            </w:pPr>
          </w:p>
        </w:tc>
        <w:tc>
          <w:tcPr>
            <w:tcW w:w="555" w:type="pct"/>
            <w:vAlign w:val="center"/>
          </w:tcPr>
          <w:p w:rsidRPr="00D43FD0" w:rsidR="00315371" w:rsidP="006576B5" w:rsidRDefault="00315371">
            <w:pPr>
              <w:rPr>
                <w:rFonts w:ascii="Verdana" w:hAnsi="Verdana"/>
                <w:sz w:val="16"/>
                <w:szCs w:val="16"/>
              </w:rPr>
            </w:pPr>
          </w:p>
        </w:tc>
        <w:tc>
          <w:tcPr>
            <w:tcW w:w="555" w:type="pct"/>
            <w:vAlign w:val="center"/>
          </w:tcPr>
          <w:p w:rsidRPr="00D43FD0" w:rsidR="00315371" w:rsidP="006576B5" w:rsidRDefault="00315371">
            <w:pPr>
              <w:rPr>
                <w:rFonts w:ascii="Verdana" w:hAnsi="Verdana"/>
                <w:sz w:val="16"/>
                <w:szCs w:val="16"/>
              </w:rPr>
            </w:pP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mutaties sinds Miljoenennota 2012</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c>
          <w:tcPr>
            <w:tcW w:w="555" w:type="pct"/>
          </w:tcPr>
          <w:p w:rsidRPr="00D43FD0" w:rsidR="00315371" w:rsidP="006576B5" w:rsidRDefault="00315371">
            <w:pPr>
              <w:rPr>
                <w:rFonts w:ascii="Verdana" w:hAnsi="Verdana"/>
                <w:sz w:val="16"/>
                <w:szCs w:val="16"/>
              </w:rPr>
            </w:pP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 (subtotaal)</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7,8</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Internationale samenwerking</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55"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2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7,8</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c>
          <w:tcPr>
            <w:tcW w:w="555"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6,7</w:t>
            </w:r>
          </w:p>
        </w:tc>
      </w:tr>
    </w:tbl>
    <w:p w:rsidRPr="003E1EAA" w:rsidR="00315371" w:rsidP="00457E12" w:rsidRDefault="00315371">
      <w:pPr>
        <w:pStyle w:val="NoSpacing"/>
        <w:rPr>
          <w:sz w:val="16"/>
          <w:szCs w:val="16"/>
        </w:rPr>
      </w:pPr>
    </w:p>
    <w:p w:rsidRPr="003E1EAA" w:rsidR="00315371" w:rsidP="00457E12" w:rsidRDefault="00315371">
      <w:pPr>
        <w:pStyle w:val="NoSpacing"/>
        <w:rPr>
          <w:sz w:val="16"/>
          <w:szCs w:val="16"/>
        </w:rPr>
      </w:pPr>
    </w:p>
    <w:p w:rsidRPr="005B131E" w:rsidR="00315371" w:rsidP="00212995" w:rsidRDefault="00315371">
      <w:pPr>
        <w:pStyle w:val="NoSpacing"/>
        <w:spacing w:line="276" w:lineRule="auto"/>
        <w:rPr>
          <w:i/>
          <w:szCs w:val="18"/>
        </w:rPr>
      </w:pPr>
      <w:r w:rsidRPr="005B131E">
        <w:rPr>
          <w:i/>
          <w:szCs w:val="18"/>
        </w:rPr>
        <w:t>Diversen</w:t>
      </w:r>
    </w:p>
    <w:p w:rsidRPr="005B131E" w:rsidR="00315371" w:rsidP="00212995" w:rsidRDefault="00315371">
      <w:pPr>
        <w:pStyle w:val="NoSpacing"/>
        <w:spacing w:line="276" w:lineRule="auto"/>
        <w:rPr>
          <w:szCs w:val="18"/>
        </w:rPr>
      </w:pPr>
      <w:r>
        <w:rPr>
          <w:szCs w:val="18"/>
        </w:rPr>
        <w:t xml:space="preserve">De post diversen bestaat voornamelijk uit de toevoeging van de eindejaarsmarge. </w:t>
      </w:r>
    </w:p>
    <w:p w:rsidR="00315371" w:rsidP="00212995" w:rsidRDefault="00315371">
      <w:pPr>
        <w:spacing w:after="200" w:line="276" w:lineRule="auto"/>
        <w:rPr>
          <w:rFonts w:ascii="Verdana" w:hAnsi="Verdana"/>
          <w:b/>
          <w:sz w:val="18"/>
          <w:szCs w:val="18"/>
        </w:rPr>
      </w:pPr>
      <w:r>
        <w:rPr>
          <w:rFonts w:ascii="Verdana" w:hAnsi="Verdana"/>
          <w:b/>
          <w:sz w:val="18"/>
          <w:szCs w:val="18"/>
        </w:rPr>
        <w:br w:type="page"/>
      </w:r>
    </w:p>
    <w:p w:rsidR="00315371" w:rsidP="00174971" w:rsidRDefault="00315371">
      <w:pPr>
        <w:rPr>
          <w:rFonts w:ascii="Verdana" w:hAnsi="Verdana"/>
          <w:b/>
          <w:sz w:val="18"/>
          <w:szCs w:val="18"/>
        </w:rPr>
      </w:pPr>
      <w:r>
        <w:rPr>
          <w:rFonts w:ascii="Verdana" w:hAnsi="Verdana"/>
          <w:b/>
          <w:sz w:val="18"/>
          <w:szCs w:val="18"/>
        </w:rPr>
        <w:t>Koninkrijksrelaties</w:t>
      </w:r>
    </w:p>
    <w:tbl>
      <w:tblPr>
        <w:tblW w:w="5000" w:type="pct"/>
        <w:tblCellMar>
          <w:top w:w="15" w:type="dxa"/>
          <w:left w:w="15" w:type="dxa"/>
          <w:bottom w:w="15" w:type="dxa"/>
          <w:right w:w="15" w:type="dxa"/>
        </w:tblCellMar>
        <w:tblLook w:val="00A0"/>
      </w:tblPr>
      <w:tblGrid>
        <w:gridCol w:w="3957"/>
        <w:gridCol w:w="1030"/>
        <w:gridCol w:w="1030"/>
        <w:gridCol w:w="1030"/>
        <w:gridCol w:w="1030"/>
        <w:gridCol w:w="1025"/>
      </w:tblGrid>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4"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IV KONINKRIJKSRELATIES: UITGAVEN</w:t>
            </w:r>
          </w:p>
        </w:tc>
        <w:tc>
          <w:tcPr>
            <w:tcW w:w="2827" w:type="pct"/>
            <w:gridSpan w:val="5"/>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bedragen in miljoenen euro's</w:t>
            </w:r>
          </w:p>
        </w:tc>
      </w:tr>
      <w:tr w:rsidRPr="00D43FD0" w:rsidR="00315371" w:rsidTr="00D43FD0">
        <w:tc>
          <w:tcPr>
            <w:tcW w:w="2173"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p>
        </w:tc>
        <w:tc>
          <w:tcPr>
            <w:tcW w:w="566"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2012</w:t>
            </w:r>
          </w:p>
        </w:tc>
        <w:tc>
          <w:tcPr>
            <w:tcW w:w="566"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2013</w:t>
            </w:r>
          </w:p>
        </w:tc>
        <w:tc>
          <w:tcPr>
            <w:tcW w:w="566"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2014</w:t>
            </w:r>
          </w:p>
        </w:tc>
        <w:tc>
          <w:tcPr>
            <w:tcW w:w="566"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2015</w:t>
            </w:r>
          </w:p>
        </w:tc>
        <w:tc>
          <w:tcPr>
            <w:tcW w:w="564"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2016</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Miljoenennota 2012 (excl. IS)</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428,1</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277,5</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256,6</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256,6</w:t>
            </w:r>
          </w:p>
        </w:tc>
        <w:tc>
          <w:tcPr>
            <w:tcW w:w="56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237,6</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Mee- en tegenvallers</w:t>
            </w: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4" w:type="pct"/>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4" w:type="pct"/>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Arubadeal</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9,6</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9,6</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Beleidsmatige mutaties</w:t>
            </w: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4" w:type="pct"/>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4" w:type="pct"/>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Vrijval betalingsachterstanden</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-36,0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173"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-5,8</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1,2</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1,2</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0,6</w:t>
            </w:r>
          </w:p>
        </w:tc>
        <w:tc>
          <w:tcPr>
            <w:tcW w:w="56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-41,8</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1,2</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1,2</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0,6</w:t>
            </w:r>
          </w:p>
        </w:tc>
        <w:tc>
          <w:tcPr>
            <w:tcW w:w="56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Technische mutaties</w:t>
            </w: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4" w:type="pct"/>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4" w:type="pct"/>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Vrijval betalingsachterstanden</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36,0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173"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7,7</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-1,6</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w:t>
            </w:r>
          </w:p>
        </w:tc>
        <w:tc>
          <w:tcPr>
            <w:tcW w:w="56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43,7</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-1,6</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w:t>
            </w:r>
          </w:p>
        </w:tc>
        <w:tc>
          <w:tcPr>
            <w:tcW w:w="56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p>
        </w:tc>
        <w:tc>
          <w:tcPr>
            <w:tcW w:w="566" w:type="pct"/>
            <w:vAlign w:val="center"/>
          </w:tcPr>
          <w:p w:rsidRPr="00D43FD0" w:rsidR="00315371" w:rsidP="006576B5" w:rsidRDefault="00315371">
            <w:pPr>
              <w:rPr>
                <w:rFonts w:ascii="Verdana" w:hAnsi="Verdana"/>
                <w:sz w:val="16"/>
                <w:szCs w:val="16"/>
              </w:rPr>
            </w:pPr>
          </w:p>
        </w:tc>
        <w:tc>
          <w:tcPr>
            <w:tcW w:w="566" w:type="pct"/>
            <w:vAlign w:val="center"/>
          </w:tcPr>
          <w:p w:rsidRPr="00D43FD0" w:rsidR="00315371" w:rsidP="006576B5" w:rsidRDefault="00315371">
            <w:pPr>
              <w:rPr>
                <w:rFonts w:ascii="Verdana" w:hAnsi="Verdana"/>
                <w:sz w:val="16"/>
                <w:szCs w:val="16"/>
              </w:rPr>
            </w:pPr>
          </w:p>
        </w:tc>
        <w:tc>
          <w:tcPr>
            <w:tcW w:w="566" w:type="pct"/>
            <w:vAlign w:val="center"/>
          </w:tcPr>
          <w:p w:rsidRPr="00D43FD0" w:rsidR="00315371" w:rsidP="006576B5" w:rsidRDefault="00315371">
            <w:pPr>
              <w:rPr>
                <w:rFonts w:ascii="Verdana" w:hAnsi="Verdana"/>
                <w:sz w:val="16"/>
                <w:szCs w:val="16"/>
              </w:rPr>
            </w:pPr>
          </w:p>
        </w:tc>
        <w:tc>
          <w:tcPr>
            <w:tcW w:w="566" w:type="pct"/>
            <w:vAlign w:val="center"/>
          </w:tcPr>
          <w:p w:rsidRPr="00D43FD0" w:rsidR="00315371" w:rsidP="006576B5" w:rsidRDefault="00315371">
            <w:pPr>
              <w:rPr>
                <w:rFonts w:ascii="Verdana" w:hAnsi="Verdana"/>
                <w:sz w:val="16"/>
                <w:szCs w:val="16"/>
              </w:rPr>
            </w:pPr>
          </w:p>
        </w:tc>
        <w:tc>
          <w:tcPr>
            <w:tcW w:w="564" w:type="pct"/>
            <w:vAlign w:val="center"/>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mutaties sinds Miljoenennota 2012</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11,4</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-0,4</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0,1</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-0,5</w:t>
            </w:r>
          </w:p>
        </w:tc>
        <w:tc>
          <w:tcPr>
            <w:tcW w:w="56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-1,1</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6" w:type="pct"/>
          </w:tcPr>
          <w:p w:rsidRPr="00D43FD0" w:rsidR="00315371" w:rsidP="006576B5" w:rsidRDefault="00315371">
            <w:pPr>
              <w:rPr>
                <w:rFonts w:ascii="Verdana" w:hAnsi="Verdana"/>
                <w:sz w:val="16"/>
                <w:szCs w:val="16"/>
              </w:rPr>
            </w:pPr>
          </w:p>
        </w:tc>
        <w:tc>
          <w:tcPr>
            <w:tcW w:w="564" w:type="pct"/>
          </w:tcPr>
          <w:p w:rsidRPr="00D43FD0" w:rsidR="00315371" w:rsidP="006576B5" w:rsidRDefault="00315371">
            <w:pPr>
              <w:rPr>
                <w:rFonts w:ascii="Verdana" w:hAnsi="Verdana"/>
                <w:sz w:val="16"/>
                <w:szCs w:val="16"/>
              </w:rPr>
            </w:pP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 (subtotaal)</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439,6</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277,1</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256,6</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256,1</w:t>
            </w:r>
          </w:p>
        </w:tc>
        <w:tc>
          <w:tcPr>
            <w:tcW w:w="56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236,4</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Internationale samenwerking</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6"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64"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173"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439,6</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277,1</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256,6</w:t>
            </w:r>
          </w:p>
        </w:tc>
        <w:tc>
          <w:tcPr>
            <w:tcW w:w="566"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256,1</w:t>
            </w:r>
          </w:p>
        </w:tc>
        <w:tc>
          <w:tcPr>
            <w:tcW w:w="564"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236,4</w:t>
            </w:r>
          </w:p>
        </w:tc>
      </w:tr>
    </w:tbl>
    <w:p w:rsidR="00315371" w:rsidP="0017300C" w:rsidRDefault="00315371">
      <w:pPr>
        <w:spacing w:line="240" w:lineRule="atLeast"/>
        <w:rPr>
          <w:rFonts w:ascii="Verdana" w:hAnsi="Verdana" w:cs="Arial"/>
          <w:i/>
          <w:sz w:val="20"/>
          <w:szCs w:val="20"/>
        </w:rPr>
      </w:pPr>
    </w:p>
    <w:tbl>
      <w:tblPr>
        <w:tblW w:w="5000" w:type="pct"/>
        <w:tblCellMar>
          <w:top w:w="15" w:type="dxa"/>
          <w:left w:w="15" w:type="dxa"/>
          <w:bottom w:w="15" w:type="dxa"/>
          <w:right w:w="15" w:type="dxa"/>
        </w:tblCellMar>
        <w:tblLook w:val="00A0"/>
      </w:tblPr>
      <w:tblGrid>
        <w:gridCol w:w="4306"/>
        <w:gridCol w:w="960"/>
        <w:gridCol w:w="959"/>
        <w:gridCol w:w="959"/>
        <w:gridCol w:w="959"/>
        <w:gridCol w:w="959"/>
      </w:tblGrid>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27"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IV KONINKRIJKSRELATIES: NIET-BELASTINGONTVANGSTEN</w:t>
            </w:r>
          </w:p>
        </w:tc>
        <w:tc>
          <w:tcPr>
            <w:tcW w:w="2635" w:type="pct"/>
            <w:gridSpan w:val="5"/>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bedragen in miljoenen euro's</w:t>
            </w:r>
          </w:p>
        </w:tc>
      </w:tr>
      <w:tr w:rsidRPr="00D43FD0" w:rsidR="00315371" w:rsidTr="00D43FD0">
        <w:tc>
          <w:tcPr>
            <w:tcW w:w="2365"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p>
        </w:tc>
        <w:tc>
          <w:tcPr>
            <w:tcW w:w="52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2012</w:t>
            </w:r>
          </w:p>
        </w:tc>
        <w:tc>
          <w:tcPr>
            <w:tcW w:w="52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2013</w:t>
            </w:r>
          </w:p>
        </w:tc>
        <w:tc>
          <w:tcPr>
            <w:tcW w:w="52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2014</w:t>
            </w:r>
          </w:p>
        </w:tc>
        <w:tc>
          <w:tcPr>
            <w:tcW w:w="52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2015</w:t>
            </w:r>
          </w:p>
        </w:tc>
        <w:tc>
          <w:tcPr>
            <w:tcW w:w="527" w:type="pct"/>
            <w:tcBorders>
              <w:top w:val="single" w:color="000000" w:sz="8" w:space="0"/>
              <w:left w:val="nil"/>
              <w:bottom w:val="single" w:color="000000" w:sz="8" w:space="0"/>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2016</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Miljoenennota 2012 (excl. IS)</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33,4</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32,9</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32,2</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31,8</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31,8</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Technische mutaties</w:t>
            </w: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r>
      <w:tr w:rsidRPr="00D43FD0" w:rsidR="00315371" w:rsidTr="00D43FD0">
        <w:tc>
          <w:tcPr>
            <w:tcW w:w="2365" w:type="pct"/>
            <w:tcBorders>
              <w:left w:val="nil"/>
              <w:right w:val="nil"/>
            </w:tcBorders>
            <w:tcMar>
              <w:top w:w="15" w:type="dxa"/>
              <w:left w:w="224" w:type="dxa"/>
              <w:bottom w:w="15" w:type="dxa"/>
              <w:right w:w="15" w:type="dxa"/>
            </w:tcMar>
          </w:tcPr>
          <w:p w:rsidRPr="00D43FD0" w:rsidR="00315371" w:rsidP="00D43FD0" w:rsidRDefault="00315371">
            <w:pPr>
              <w:ind w:firstLine="160" w:firstLineChars="100"/>
              <w:rPr>
                <w:rFonts w:ascii="Verdana" w:hAnsi="Verdana" w:cs="Courier New"/>
                <w:sz w:val="16"/>
                <w:szCs w:val="16"/>
              </w:rPr>
            </w:pPr>
            <w:r w:rsidRPr="00D43FD0">
              <w:rPr>
                <w:rFonts w:ascii="Verdana" w:hAnsi="Verdana" w:cs="Courier New"/>
                <w:sz w:val="16"/>
                <w:szCs w:val="16"/>
              </w:rPr>
              <w:t>Rijksbegroting in enge zin</w:t>
            </w: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r>
      <w:tr w:rsidRPr="00D43FD0" w:rsidR="00315371" w:rsidTr="00D43FD0">
        <w:tc>
          <w:tcPr>
            <w:tcW w:w="2365"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Vrijval betalingsachterstanden</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36,0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365" w:type="pct"/>
            <w:tcBorders>
              <w:left w:val="nil"/>
              <w:right w:val="nil"/>
            </w:tcBorders>
            <w:tcMar>
              <w:top w:w="15" w:type="dxa"/>
              <w:left w:w="449" w:type="dxa"/>
              <w:bottom w:w="15" w:type="dxa"/>
              <w:right w:w="15" w:type="dxa"/>
            </w:tcMar>
          </w:tcPr>
          <w:p w:rsidRPr="00D43FD0" w:rsidR="00315371" w:rsidP="00D43FD0" w:rsidRDefault="00315371">
            <w:pPr>
              <w:ind w:firstLine="320" w:firstLineChars="200"/>
              <w:rPr>
                <w:rFonts w:ascii="Verdana" w:hAnsi="Verdana" w:cs="Courier New"/>
                <w:sz w:val="16"/>
                <w:szCs w:val="16"/>
              </w:rPr>
            </w:pPr>
            <w:r w:rsidRPr="00D43FD0">
              <w:rPr>
                <w:rFonts w:ascii="Verdana" w:hAnsi="Verdana" w:cs="Courier New"/>
                <w:sz w:val="16"/>
                <w:szCs w:val="16"/>
              </w:rPr>
              <w:t>Diversen</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9,3</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45,3</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p>
        </w:tc>
        <w:tc>
          <w:tcPr>
            <w:tcW w:w="527" w:type="pct"/>
            <w:vAlign w:val="center"/>
          </w:tcPr>
          <w:p w:rsidRPr="00D43FD0" w:rsidR="00315371" w:rsidP="006576B5" w:rsidRDefault="00315371">
            <w:pPr>
              <w:rPr>
                <w:rFonts w:ascii="Verdana" w:hAnsi="Verdana"/>
                <w:sz w:val="16"/>
                <w:szCs w:val="16"/>
              </w:rPr>
            </w:pPr>
          </w:p>
        </w:tc>
        <w:tc>
          <w:tcPr>
            <w:tcW w:w="527" w:type="pct"/>
            <w:vAlign w:val="center"/>
          </w:tcPr>
          <w:p w:rsidRPr="00D43FD0" w:rsidR="00315371" w:rsidP="006576B5" w:rsidRDefault="00315371">
            <w:pPr>
              <w:rPr>
                <w:rFonts w:ascii="Verdana" w:hAnsi="Verdana"/>
                <w:sz w:val="16"/>
                <w:szCs w:val="16"/>
              </w:rPr>
            </w:pPr>
          </w:p>
        </w:tc>
        <w:tc>
          <w:tcPr>
            <w:tcW w:w="527" w:type="pct"/>
            <w:vAlign w:val="center"/>
          </w:tcPr>
          <w:p w:rsidRPr="00D43FD0" w:rsidR="00315371" w:rsidP="006576B5" w:rsidRDefault="00315371">
            <w:pPr>
              <w:rPr>
                <w:rFonts w:ascii="Verdana" w:hAnsi="Verdana"/>
                <w:sz w:val="16"/>
                <w:szCs w:val="16"/>
              </w:rPr>
            </w:pPr>
          </w:p>
        </w:tc>
        <w:tc>
          <w:tcPr>
            <w:tcW w:w="527" w:type="pct"/>
            <w:vAlign w:val="center"/>
          </w:tcPr>
          <w:p w:rsidRPr="00D43FD0" w:rsidR="00315371" w:rsidP="006576B5" w:rsidRDefault="00315371">
            <w:pPr>
              <w:rPr>
                <w:rFonts w:ascii="Verdana" w:hAnsi="Verdana"/>
                <w:sz w:val="16"/>
                <w:szCs w:val="16"/>
              </w:rPr>
            </w:pPr>
          </w:p>
        </w:tc>
        <w:tc>
          <w:tcPr>
            <w:tcW w:w="527" w:type="pct"/>
            <w:vAlign w:val="center"/>
          </w:tcPr>
          <w:p w:rsidRPr="00D43FD0" w:rsidR="00315371" w:rsidP="006576B5" w:rsidRDefault="00315371">
            <w:pPr>
              <w:rPr>
                <w:rFonts w:ascii="Verdana" w:hAnsi="Verdana"/>
                <w:sz w:val="16"/>
                <w:szCs w:val="16"/>
              </w:rPr>
            </w:pP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mutaties sinds Miljoenennota 2012</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45,3</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 </w:t>
            </w: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c>
          <w:tcPr>
            <w:tcW w:w="527" w:type="pct"/>
          </w:tcPr>
          <w:p w:rsidRPr="00D43FD0" w:rsidR="00315371" w:rsidP="006576B5" w:rsidRDefault="00315371">
            <w:pPr>
              <w:rPr>
                <w:rFonts w:ascii="Verdana" w:hAnsi="Verdana"/>
                <w:sz w:val="16"/>
                <w:szCs w:val="16"/>
              </w:rPr>
            </w:pP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 (subtotaal)</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78,7</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32,9</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32,2</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31,8</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31,8</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Totaal Internationale samenwerking</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c>
          <w:tcPr>
            <w:tcW w:w="527" w:type="pct"/>
            <w:tcBorders>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0,0</w:t>
            </w:r>
          </w:p>
        </w:tc>
      </w:tr>
      <w:tr w:rsidRPr="00D43FD0" w:rsidR="00315371" w:rsidTr="00D43FD0">
        <w:tc>
          <w:tcPr>
            <w:tcW w:w="2365" w:type="pct"/>
            <w:tcBorders>
              <w:left w:val="nil"/>
              <w:right w:val="nil"/>
            </w:tcBorders>
          </w:tcPr>
          <w:p w:rsidRPr="00D43FD0" w:rsidR="00315371" w:rsidP="006576B5" w:rsidRDefault="00315371">
            <w:pPr>
              <w:rPr>
                <w:rFonts w:ascii="Verdana" w:hAnsi="Verdana" w:cs="Courier New"/>
                <w:sz w:val="16"/>
                <w:szCs w:val="16"/>
              </w:rPr>
            </w:pPr>
            <w:r w:rsidRPr="00D43FD0">
              <w:rPr>
                <w:rFonts w:ascii="Verdana" w:hAnsi="Verdana" w:cs="Courier New"/>
                <w:sz w:val="16"/>
                <w:szCs w:val="16"/>
              </w:rPr>
              <w:t>Stand Voorjaarsnota 2012</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78,7</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32,9</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32,2</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31,8</w:t>
            </w:r>
          </w:p>
        </w:tc>
        <w:tc>
          <w:tcPr>
            <w:tcW w:w="527" w:type="pct"/>
            <w:tcBorders>
              <w:top w:val="single" w:color="000000" w:sz="8" w:space="0"/>
              <w:left w:val="nil"/>
              <w:right w:val="nil"/>
            </w:tcBorders>
          </w:tcPr>
          <w:p w:rsidRPr="00D43FD0" w:rsidR="00315371" w:rsidP="006576B5" w:rsidRDefault="00315371">
            <w:pPr>
              <w:jc w:val="right"/>
              <w:rPr>
                <w:rFonts w:ascii="Verdana" w:hAnsi="Verdana" w:cs="Courier New"/>
                <w:sz w:val="16"/>
                <w:szCs w:val="16"/>
              </w:rPr>
            </w:pPr>
            <w:r w:rsidRPr="00D43FD0">
              <w:rPr>
                <w:rFonts w:ascii="Verdana" w:hAnsi="Verdana" w:cs="Courier New"/>
                <w:sz w:val="16"/>
                <w:szCs w:val="16"/>
              </w:rPr>
              <w:t>31,8</w:t>
            </w:r>
          </w:p>
        </w:tc>
      </w:tr>
    </w:tbl>
    <w:p w:rsidRPr="00580C7F" w:rsidR="00315371" w:rsidP="0017300C" w:rsidRDefault="00315371">
      <w:pPr>
        <w:spacing w:line="240" w:lineRule="atLeast"/>
        <w:rPr>
          <w:rFonts w:ascii="Verdana" w:hAnsi="Verdana" w:cs="Arial"/>
          <w:i/>
          <w:sz w:val="20"/>
          <w:szCs w:val="20"/>
        </w:rPr>
      </w:pPr>
    </w:p>
    <w:p w:rsidRPr="00580C7F" w:rsidR="00315371" w:rsidP="0017300C" w:rsidRDefault="00315371">
      <w:pPr>
        <w:spacing w:line="240" w:lineRule="atLeast"/>
        <w:rPr>
          <w:rFonts w:ascii="Verdana" w:hAnsi="Verdana" w:cs="Arial"/>
          <w:i/>
          <w:sz w:val="20"/>
          <w:szCs w:val="20"/>
        </w:rPr>
      </w:pPr>
    </w:p>
    <w:p w:rsidRPr="00BC49E1" w:rsidR="00315371" w:rsidP="00800DE7" w:rsidRDefault="00315371">
      <w:pPr>
        <w:spacing w:line="276" w:lineRule="auto"/>
        <w:rPr>
          <w:rFonts w:ascii="Verdana" w:hAnsi="Verdana"/>
          <w:i/>
          <w:iCs/>
          <w:sz w:val="18"/>
          <w:szCs w:val="18"/>
        </w:rPr>
      </w:pPr>
      <w:r w:rsidRPr="00BC49E1">
        <w:rPr>
          <w:rFonts w:ascii="Verdana" w:hAnsi="Verdana"/>
          <w:i/>
          <w:iCs/>
          <w:sz w:val="18"/>
          <w:szCs w:val="18"/>
        </w:rPr>
        <w:t>Arubadeal</w:t>
      </w:r>
    </w:p>
    <w:p w:rsidRPr="00BC49E1" w:rsidR="00315371" w:rsidP="00800DE7" w:rsidRDefault="00315371">
      <w:pPr>
        <w:spacing w:line="276" w:lineRule="auto"/>
        <w:rPr>
          <w:rFonts w:ascii="Verdana" w:hAnsi="Verdana"/>
          <w:sz w:val="18"/>
          <w:szCs w:val="18"/>
        </w:rPr>
      </w:pPr>
      <w:r w:rsidRPr="00BC49E1">
        <w:rPr>
          <w:rFonts w:ascii="Verdana" w:hAnsi="Verdana"/>
          <w:sz w:val="18"/>
          <w:szCs w:val="18"/>
        </w:rPr>
        <w:t>De Arubadeal geeft uitvoering aan het traject om de schulden van Aruba aan Nederland te saneren. De beschikbare middelen voor het programma Rechtshandhaving kunnen tot en met 2012 worden gebruikt. Ook in 2011 kwamen niet alle middelen tot besteding, deze worden doorgeschoven naar 2012. Wat dit jaar niet zal worden benut, zal vrijvallen.</w:t>
      </w:r>
    </w:p>
    <w:p w:rsidRPr="00BC49E1" w:rsidR="00315371" w:rsidP="00800DE7" w:rsidRDefault="00315371">
      <w:pPr>
        <w:spacing w:line="276" w:lineRule="auto"/>
        <w:rPr>
          <w:rFonts w:ascii="Verdana" w:hAnsi="Verdana"/>
          <w:sz w:val="18"/>
          <w:szCs w:val="18"/>
        </w:rPr>
      </w:pPr>
    </w:p>
    <w:p w:rsidRPr="00BC49E1" w:rsidR="00315371" w:rsidP="00800DE7" w:rsidRDefault="00315371">
      <w:pPr>
        <w:spacing w:line="276" w:lineRule="auto"/>
        <w:rPr>
          <w:rFonts w:ascii="Verdana" w:hAnsi="Verdana"/>
          <w:i/>
          <w:iCs/>
          <w:sz w:val="18"/>
          <w:szCs w:val="18"/>
        </w:rPr>
      </w:pPr>
      <w:r w:rsidRPr="00BC49E1">
        <w:rPr>
          <w:rFonts w:ascii="Verdana" w:hAnsi="Verdana"/>
          <w:i/>
          <w:iCs/>
          <w:sz w:val="18"/>
          <w:szCs w:val="18"/>
        </w:rPr>
        <w:t>Diversen – Beleidsmatige mutaties</w:t>
      </w:r>
    </w:p>
    <w:p w:rsidRPr="00BC49E1" w:rsidR="00315371" w:rsidP="00800DE7" w:rsidRDefault="00315371">
      <w:pPr>
        <w:spacing w:line="276" w:lineRule="auto"/>
        <w:rPr>
          <w:rFonts w:ascii="Verdana" w:hAnsi="Verdana"/>
          <w:i/>
          <w:iCs/>
          <w:color w:val="000000"/>
          <w:sz w:val="18"/>
          <w:szCs w:val="18"/>
        </w:rPr>
      </w:pPr>
      <w:r w:rsidRPr="00BC49E1">
        <w:rPr>
          <w:rFonts w:ascii="Verdana" w:hAnsi="Verdana"/>
          <w:sz w:val="18"/>
          <w:szCs w:val="18"/>
        </w:rPr>
        <w:t>In 2011 bleken de uitgaven hoger dan begroot, onder meer door de problematiek bij het Pensioenfonds Caribisch Nederland, dat in 2011 zwaar op de begroting van Koninkrijksrelaties drukte. De raming voor 2012 wordt hiervoor gecorrigeerd</w:t>
      </w:r>
    </w:p>
    <w:p w:rsidRPr="00BC49E1" w:rsidR="00315371" w:rsidP="00800DE7" w:rsidRDefault="00315371">
      <w:pPr>
        <w:spacing w:line="276" w:lineRule="auto"/>
        <w:rPr>
          <w:rFonts w:ascii="Verdana" w:hAnsi="Verdana"/>
          <w:sz w:val="18"/>
          <w:szCs w:val="18"/>
        </w:rPr>
      </w:pPr>
    </w:p>
    <w:p w:rsidRPr="00BC49E1" w:rsidR="00315371" w:rsidP="00800DE7" w:rsidRDefault="00315371">
      <w:pPr>
        <w:spacing w:line="276" w:lineRule="auto"/>
        <w:rPr>
          <w:rFonts w:ascii="Verdana" w:hAnsi="Verdana"/>
          <w:i/>
          <w:iCs/>
          <w:sz w:val="18"/>
          <w:szCs w:val="18"/>
        </w:rPr>
      </w:pPr>
      <w:r w:rsidRPr="00BC49E1">
        <w:rPr>
          <w:rFonts w:ascii="Verdana" w:hAnsi="Verdana"/>
          <w:i/>
          <w:iCs/>
          <w:color w:val="000000"/>
          <w:sz w:val="18"/>
          <w:szCs w:val="18"/>
        </w:rPr>
        <w:t>Vrijval betalingsachterstanden</w:t>
      </w:r>
      <w:r w:rsidRPr="00BC49E1">
        <w:rPr>
          <w:rFonts w:ascii="Verdana" w:hAnsi="Verdana"/>
          <w:i/>
          <w:iCs/>
          <w:sz w:val="18"/>
          <w:szCs w:val="18"/>
        </w:rPr>
        <w:t xml:space="preserve"> </w:t>
      </w:r>
    </w:p>
    <w:p w:rsidR="00315371" w:rsidP="00800DE7" w:rsidRDefault="00315371">
      <w:pPr>
        <w:spacing w:line="276" w:lineRule="auto"/>
        <w:rPr>
          <w:rFonts w:ascii="Verdana" w:hAnsi="Verdana"/>
          <w:b/>
          <w:sz w:val="18"/>
          <w:szCs w:val="18"/>
        </w:rPr>
      </w:pPr>
      <w:r w:rsidRPr="00BC49E1">
        <w:rPr>
          <w:rFonts w:ascii="Verdana" w:hAnsi="Verdana"/>
          <w:sz w:val="18"/>
          <w:szCs w:val="18"/>
        </w:rPr>
        <w:t>In 2007 is ten behoeve van het saneren van de betalingsachterstanden van de landen Curaçao en Sint Maarten een begrotingsreserve aangemaakt. De loketten voor het saneren van betalingsachterstanden zijn in oktober 2011 gesloten. De binnengekomen aanvragen zijn inmiddels beoordeeld. Hetgeen ten behoeve hiervan bij de Centrale Bank Curaçao en Sint Maarten gereserveerd stond en niet tot besteding kwam, valt nu vrij.</w:t>
      </w:r>
    </w:p>
    <w:p w:rsidR="00315371" w:rsidP="00174971" w:rsidRDefault="00315371">
      <w:pPr>
        <w:rPr>
          <w:rFonts w:ascii="Verdana" w:hAnsi="Verdana"/>
          <w:b/>
          <w:sz w:val="18"/>
          <w:szCs w:val="18"/>
        </w:rPr>
      </w:pPr>
      <w:r w:rsidRPr="00174971">
        <w:rPr>
          <w:rFonts w:ascii="Verdana" w:hAnsi="Verdana"/>
          <w:b/>
          <w:sz w:val="18"/>
          <w:szCs w:val="18"/>
        </w:rPr>
        <w:t>Buitenlandse Zaken</w:t>
      </w:r>
    </w:p>
    <w:tbl>
      <w:tblPr>
        <w:tblW w:w="5000" w:type="pct"/>
        <w:tblCellMar>
          <w:top w:w="15" w:type="dxa"/>
          <w:left w:w="15" w:type="dxa"/>
          <w:bottom w:w="15" w:type="dxa"/>
          <w:right w:w="15" w:type="dxa"/>
        </w:tblCellMar>
        <w:tblLook w:val="00A0"/>
      </w:tblPr>
      <w:tblGrid>
        <w:gridCol w:w="3587"/>
        <w:gridCol w:w="1105"/>
        <w:gridCol w:w="1101"/>
        <w:gridCol w:w="1101"/>
        <w:gridCol w:w="1101"/>
        <w:gridCol w:w="1107"/>
      </w:tblGrid>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V BUITENLANDSE ZAKEN: UITGAVEN</w:t>
            </w:r>
          </w:p>
        </w:tc>
        <w:tc>
          <w:tcPr>
            <w:tcW w:w="3030" w:type="pct"/>
            <w:gridSpan w:val="5"/>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bedragen in miljoenen euro's</w:t>
            </w:r>
          </w:p>
        </w:tc>
      </w:tr>
      <w:tr w:rsidRPr="00E12684" w:rsidR="00315371" w:rsidTr="00E12684">
        <w:tc>
          <w:tcPr>
            <w:tcW w:w="1970"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p>
        </w:tc>
        <w:tc>
          <w:tcPr>
            <w:tcW w:w="607"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2012</w:t>
            </w:r>
          </w:p>
        </w:tc>
        <w:tc>
          <w:tcPr>
            <w:tcW w:w="60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2013</w:t>
            </w:r>
          </w:p>
        </w:tc>
        <w:tc>
          <w:tcPr>
            <w:tcW w:w="60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2014</w:t>
            </w:r>
          </w:p>
        </w:tc>
        <w:tc>
          <w:tcPr>
            <w:tcW w:w="60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2015</w:t>
            </w:r>
          </w:p>
        </w:tc>
        <w:tc>
          <w:tcPr>
            <w:tcW w:w="609"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2016</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Miljoenennota 2012 (excl. IS)</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7.340,0</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7.505,8</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7.905,3</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8.119,8</w:t>
            </w:r>
          </w:p>
        </w:tc>
        <w:tc>
          <w:tcPr>
            <w:tcW w:w="609"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8.119,8</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Beleidsmatige mutaties</w:t>
            </w:r>
          </w:p>
        </w:tc>
        <w:tc>
          <w:tcPr>
            <w:tcW w:w="607"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9" w:type="pct"/>
          </w:tcPr>
          <w:p w:rsidRPr="00E12684" w:rsidR="00315371" w:rsidP="00E12684" w:rsidRDefault="00315371">
            <w:pPr>
              <w:rPr>
                <w:rFonts w:ascii="Verdana" w:hAnsi="Verdana"/>
                <w:sz w:val="16"/>
                <w:szCs w:val="16"/>
              </w:rPr>
            </w:pPr>
          </w:p>
        </w:tc>
      </w:tr>
      <w:tr w:rsidRPr="00E12684" w:rsidR="00315371" w:rsidTr="00E12684">
        <w:tc>
          <w:tcPr>
            <w:tcW w:w="1970" w:type="pct"/>
            <w:tcBorders>
              <w:left w:val="nil"/>
              <w:right w:val="nil"/>
            </w:tcBorders>
            <w:tcMar>
              <w:top w:w="15" w:type="dxa"/>
              <w:left w:w="240" w:type="dxa"/>
              <w:bottom w:w="15" w:type="dxa"/>
              <w:right w:w="15" w:type="dxa"/>
            </w:tcMar>
          </w:tcPr>
          <w:p w:rsidRPr="00E12684" w:rsidR="00315371" w:rsidP="00E12684" w:rsidRDefault="00315371">
            <w:pPr>
              <w:ind w:firstLine="160" w:firstLineChars="100"/>
              <w:rPr>
                <w:rFonts w:ascii="Verdana" w:hAnsi="Verdana" w:cs="Courier New"/>
                <w:sz w:val="16"/>
                <w:szCs w:val="16"/>
              </w:rPr>
            </w:pPr>
            <w:r w:rsidRPr="00E12684">
              <w:rPr>
                <w:rFonts w:ascii="Verdana" w:hAnsi="Verdana" w:cs="Courier New"/>
                <w:sz w:val="16"/>
                <w:szCs w:val="16"/>
              </w:rPr>
              <w:t>Rijksbegroting in enge zin</w:t>
            </w:r>
          </w:p>
        </w:tc>
        <w:tc>
          <w:tcPr>
            <w:tcW w:w="607"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9" w:type="pct"/>
          </w:tcPr>
          <w:p w:rsidRPr="00E12684" w:rsidR="00315371" w:rsidP="00E12684" w:rsidRDefault="00315371">
            <w:pPr>
              <w:rPr>
                <w:rFonts w:ascii="Verdana" w:hAnsi="Verdana"/>
                <w:sz w:val="16"/>
                <w:szCs w:val="16"/>
              </w:rPr>
            </w:pPr>
          </w:p>
        </w:tc>
      </w:tr>
      <w:tr w:rsidRPr="00E12684" w:rsidR="00315371" w:rsidTr="00E12684">
        <w:tc>
          <w:tcPr>
            <w:tcW w:w="1970"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Eu-afdrachten</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-52,0</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9"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-52,0</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9"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p>
        </w:tc>
        <w:tc>
          <w:tcPr>
            <w:tcW w:w="607" w:type="pct"/>
            <w:vAlign w:val="center"/>
          </w:tcPr>
          <w:p w:rsidRPr="00E12684" w:rsidR="00315371" w:rsidP="00E12684" w:rsidRDefault="00315371">
            <w:pPr>
              <w:rPr>
                <w:rFonts w:ascii="Verdana" w:hAnsi="Verdana"/>
                <w:sz w:val="16"/>
                <w:szCs w:val="16"/>
              </w:rPr>
            </w:pPr>
          </w:p>
        </w:tc>
        <w:tc>
          <w:tcPr>
            <w:tcW w:w="605" w:type="pct"/>
            <w:vAlign w:val="center"/>
          </w:tcPr>
          <w:p w:rsidRPr="00E12684" w:rsidR="00315371" w:rsidP="00E12684" w:rsidRDefault="00315371">
            <w:pPr>
              <w:rPr>
                <w:rFonts w:ascii="Verdana" w:hAnsi="Verdana"/>
                <w:sz w:val="16"/>
                <w:szCs w:val="16"/>
              </w:rPr>
            </w:pPr>
          </w:p>
        </w:tc>
        <w:tc>
          <w:tcPr>
            <w:tcW w:w="605" w:type="pct"/>
            <w:vAlign w:val="center"/>
          </w:tcPr>
          <w:p w:rsidRPr="00E12684" w:rsidR="00315371" w:rsidP="00E12684" w:rsidRDefault="00315371">
            <w:pPr>
              <w:rPr>
                <w:rFonts w:ascii="Verdana" w:hAnsi="Verdana"/>
                <w:sz w:val="16"/>
                <w:szCs w:val="16"/>
              </w:rPr>
            </w:pPr>
          </w:p>
        </w:tc>
        <w:tc>
          <w:tcPr>
            <w:tcW w:w="605" w:type="pct"/>
            <w:vAlign w:val="center"/>
          </w:tcPr>
          <w:p w:rsidRPr="00E12684" w:rsidR="00315371" w:rsidP="00E12684" w:rsidRDefault="00315371">
            <w:pPr>
              <w:rPr>
                <w:rFonts w:ascii="Verdana" w:hAnsi="Verdana"/>
                <w:sz w:val="16"/>
                <w:szCs w:val="16"/>
              </w:rPr>
            </w:pPr>
          </w:p>
        </w:tc>
        <w:tc>
          <w:tcPr>
            <w:tcW w:w="609" w:type="pct"/>
            <w:vAlign w:val="center"/>
          </w:tcPr>
          <w:p w:rsidRPr="00E12684" w:rsidR="00315371" w:rsidP="00E12684" w:rsidRDefault="00315371">
            <w:pPr>
              <w:rPr>
                <w:rFonts w:ascii="Verdana" w:hAnsi="Verdana"/>
                <w:sz w:val="16"/>
                <w:szCs w:val="16"/>
              </w:rPr>
            </w:pP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mutaties sinds Miljoenennota 2012</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-52,0</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9"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7"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5" w:type="pct"/>
          </w:tcPr>
          <w:p w:rsidRPr="00E12684" w:rsidR="00315371" w:rsidP="00E12684" w:rsidRDefault="00315371">
            <w:pPr>
              <w:rPr>
                <w:rFonts w:ascii="Verdana" w:hAnsi="Verdana"/>
                <w:sz w:val="16"/>
                <w:szCs w:val="16"/>
              </w:rPr>
            </w:pPr>
          </w:p>
        </w:tc>
        <w:tc>
          <w:tcPr>
            <w:tcW w:w="609" w:type="pct"/>
          </w:tcPr>
          <w:p w:rsidRPr="00E12684" w:rsidR="00315371" w:rsidP="00E12684" w:rsidRDefault="00315371">
            <w:pPr>
              <w:rPr>
                <w:rFonts w:ascii="Verdana" w:hAnsi="Verdana"/>
                <w:sz w:val="16"/>
                <w:szCs w:val="16"/>
              </w:rPr>
            </w:pP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 (subtotaal)</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7.288,1</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7.505,8</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7.905,3</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8.119,8</w:t>
            </w:r>
          </w:p>
        </w:tc>
        <w:tc>
          <w:tcPr>
            <w:tcW w:w="609"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8.119,8</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Internationale samenwerking</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4.255,1</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4.408,1</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4.597,6</w:t>
            </w:r>
          </w:p>
        </w:tc>
        <w:tc>
          <w:tcPr>
            <w:tcW w:w="60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4.753,6</w:t>
            </w:r>
          </w:p>
        </w:tc>
        <w:tc>
          <w:tcPr>
            <w:tcW w:w="609"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4.756,9</w:t>
            </w:r>
          </w:p>
        </w:tc>
      </w:tr>
      <w:tr w:rsidRPr="00E12684" w:rsidR="00315371" w:rsidTr="00E12684">
        <w:tc>
          <w:tcPr>
            <w:tcW w:w="197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11.543,2</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11.913,9</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12.502,9</w:t>
            </w:r>
          </w:p>
        </w:tc>
        <w:tc>
          <w:tcPr>
            <w:tcW w:w="60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12.873,4</w:t>
            </w:r>
          </w:p>
        </w:tc>
        <w:tc>
          <w:tcPr>
            <w:tcW w:w="609"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12.876,7</w:t>
            </w:r>
          </w:p>
        </w:tc>
      </w:tr>
    </w:tbl>
    <w:p w:rsidR="00315371" w:rsidP="00E12684" w:rsidRDefault="00315371">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0A0"/>
      </w:tblPr>
      <w:tblGrid>
        <w:gridCol w:w="4691"/>
        <w:gridCol w:w="883"/>
        <w:gridCol w:w="883"/>
        <w:gridCol w:w="883"/>
        <w:gridCol w:w="883"/>
        <w:gridCol w:w="879"/>
      </w:tblGrid>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48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48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48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48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485"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V BUITENLANDSE ZAKEN: NIET-BELASTINGONTVANGSTEN</w:t>
            </w:r>
          </w:p>
        </w:tc>
        <w:tc>
          <w:tcPr>
            <w:tcW w:w="2423" w:type="pct"/>
            <w:gridSpan w:val="5"/>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bedragen in miljoenen euro's</w:t>
            </w:r>
          </w:p>
        </w:tc>
      </w:tr>
      <w:tr w:rsidRPr="00E12684" w:rsidR="00315371" w:rsidTr="00E12684">
        <w:tc>
          <w:tcPr>
            <w:tcW w:w="2577"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p>
        </w:tc>
        <w:tc>
          <w:tcPr>
            <w:tcW w:w="48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2012</w:t>
            </w:r>
          </w:p>
        </w:tc>
        <w:tc>
          <w:tcPr>
            <w:tcW w:w="48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2013</w:t>
            </w:r>
          </w:p>
        </w:tc>
        <w:tc>
          <w:tcPr>
            <w:tcW w:w="48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2014</w:t>
            </w:r>
          </w:p>
        </w:tc>
        <w:tc>
          <w:tcPr>
            <w:tcW w:w="48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2015</w:t>
            </w:r>
          </w:p>
        </w:tc>
        <w:tc>
          <w:tcPr>
            <w:tcW w:w="485"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2016</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Miljoenennota 2012 (excl. IS)</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620,3</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631,2</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642,3</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653,7</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653,7</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Technische mutaties</w:t>
            </w: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r>
      <w:tr w:rsidRPr="00E12684" w:rsidR="00315371" w:rsidTr="00E12684">
        <w:tc>
          <w:tcPr>
            <w:tcW w:w="2577" w:type="pct"/>
            <w:tcBorders>
              <w:left w:val="nil"/>
              <w:right w:val="nil"/>
            </w:tcBorders>
            <w:tcMar>
              <w:top w:w="15" w:type="dxa"/>
              <w:left w:w="240" w:type="dxa"/>
              <w:bottom w:w="15" w:type="dxa"/>
              <w:right w:w="15" w:type="dxa"/>
            </w:tcMar>
          </w:tcPr>
          <w:p w:rsidRPr="00E12684" w:rsidR="00315371" w:rsidP="00E12684" w:rsidRDefault="00315371">
            <w:pPr>
              <w:ind w:firstLine="160" w:firstLineChars="100"/>
              <w:rPr>
                <w:rFonts w:ascii="Verdana" w:hAnsi="Verdana" w:cs="Courier New"/>
                <w:sz w:val="16"/>
                <w:szCs w:val="16"/>
              </w:rPr>
            </w:pPr>
            <w:r w:rsidRPr="00E12684">
              <w:rPr>
                <w:rFonts w:ascii="Verdana" w:hAnsi="Verdana" w:cs="Courier New"/>
                <w:sz w:val="16"/>
                <w:szCs w:val="16"/>
              </w:rPr>
              <w:t>Niet tot een ijklijn behorend</w:t>
            </w: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r>
      <w:tr w:rsidRPr="00E12684" w:rsidR="00315371" w:rsidTr="00E12684">
        <w:tc>
          <w:tcPr>
            <w:tcW w:w="2577"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Ontvangsten en restituties met betrekking tot leningen</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5,2</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33,2</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27,5</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20,9</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16,4</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5,2</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33,2</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27,5</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20,9</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16,4</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p>
        </w:tc>
        <w:tc>
          <w:tcPr>
            <w:tcW w:w="485" w:type="pct"/>
            <w:vAlign w:val="center"/>
          </w:tcPr>
          <w:p w:rsidRPr="00E12684" w:rsidR="00315371" w:rsidP="00E12684" w:rsidRDefault="00315371">
            <w:pPr>
              <w:rPr>
                <w:rFonts w:ascii="Verdana" w:hAnsi="Verdana"/>
                <w:sz w:val="16"/>
                <w:szCs w:val="16"/>
              </w:rPr>
            </w:pPr>
          </w:p>
        </w:tc>
        <w:tc>
          <w:tcPr>
            <w:tcW w:w="485" w:type="pct"/>
            <w:vAlign w:val="center"/>
          </w:tcPr>
          <w:p w:rsidRPr="00E12684" w:rsidR="00315371" w:rsidP="00E12684" w:rsidRDefault="00315371">
            <w:pPr>
              <w:rPr>
                <w:rFonts w:ascii="Verdana" w:hAnsi="Verdana"/>
                <w:sz w:val="16"/>
                <w:szCs w:val="16"/>
              </w:rPr>
            </w:pPr>
          </w:p>
        </w:tc>
        <w:tc>
          <w:tcPr>
            <w:tcW w:w="485" w:type="pct"/>
            <w:vAlign w:val="center"/>
          </w:tcPr>
          <w:p w:rsidRPr="00E12684" w:rsidR="00315371" w:rsidP="00E12684" w:rsidRDefault="00315371">
            <w:pPr>
              <w:rPr>
                <w:rFonts w:ascii="Verdana" w:hAnsi="Verdana"/>
                <w:sz w:val="16"/>
                <w:szCs w:val="16"/>
              </w:rPr>
            </w:pPr>
          </w:p>
        </w:tc>
        <w:tc>
          <w:tcPr>
            <w:tcW w:w="485" w:type="pct"/>
            <w:vAlign w:val="center"/>
          </w:tcPr>
          <w:p w:rsidRPr="00E12684" w:rsidR="00315371" w:rsidP="00E12684" w:rsidRDefault="00315371">
            <w:pPr>
              <w:rPr>
                <w:rFonts w:ascii="Verdana" w:hAnsi="Verdana"/>
                <w:sz w:val="16"/>
                <w:szCs w:val="16"/>
              </w:rPr>
            </w:pPr>
          </w:p>
        </w:tc>
        <w:tc>
          <w:tcPr>
            <w:tcW w:w="485" w:type="pct"/>
            <w:vAlign w:val="center"/>
          </w:tcPr>
          <w:p w:rsidRPr="00E12684" w:rsidR="00315371" w:rsidP="00E12684" w:rsidRDefault="00315371">
            <w:pPr>
              <w:rPr>
                <w:rFonts w:ascii="Verdana" w:hAnsi="Verdana"/>
                <w:sz w:val="16"/>
                <w:szCs w:val="16"/>
              </w:rPr>
            </w:pP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mutaties sinds Miljoenennota 2012</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5,2</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33,2</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27,5</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20,9</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16,4</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c>
          <w:tcPr>
            <w:tcW w:w="485" w:type="pct"/>
          </w:tcPr>
          <w:p w:rsidRPr="00E12684" w:rsidR="00315371" w:rsidP="00E12684" w:rsidRDefault="00315371">
            <w:pPr>
              <w:rPr>
                <w:rFonts w:ascii="Verdana" w:hAnsi="Verdana"/>
                <w:sz w:val="16"/>
                <w:szCs w:val="16"/>
              </w:rPr>
            </w:pP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 (subtotaal)</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625,5</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664,4</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669,8</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674,6</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670,1</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Internationale samenwerking</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120,2</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126,0</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130,0</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130,0</w:t>
            </w:r>
          </w:p>
        </w:tc>
        <w:tc>
          <w:tcPr>
            <w:tcW w:w="485"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130,0</w:t>
            </w:r>
          </w:p>
        </w:tc>
      </w:tr>
      <w:tr w:rsidRPr="00E12684" w:rsidR="00315371" w:rsidTr="00E12684">
        <w:tc>
          <w:tcPr>
            <w:tcW w:w="257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745,7</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790,5</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799,8</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804,5</w:t>
            </w:r>
          </w:p>
        </w:tc>
        <w:tc>
          <w:tcPr>
            <w:tcW w:w="485"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800,1</w:t>
            </w:r>
          </w:p>
        </w:tc>
      </w:tr>
    </w:tbl>
    <w:p w:rsidR="00315371" w:rsidP="00435346" w:rsidRDefault="00315371">
      <w:pPr>
        <w:spacing w:line="240" w:lineRule="exact"/>
        <w:rPr>
          <w:rFonts w:ascii="Verdana" w:hAnsi="Verdana"/>
          <w:i/>
          <w:sz w:val="18"/>
          <w:szCs w:val="18"/>
        </w:rPr>
      </w:pPr>
    </w:p>
    <w:p w:rsidRPr="00435346" w:rsidR="00315371" w:rsidP="000D477A" w:rsidRDefault="00315371">
      <w:pPr>
        <w:spacing w:line="276" w:lineRule="auto"/>
        <w:rPr>
          <w:rFonts w:ascii="Verdana" w:hAnsi="Verdana"/>
          <w:i/>
          <w:sz w:val="18"/>
          <w:szCs w:val="18"/>
        </w:rPr>
      </w:pPr>
      <w:r w:rsidRPr="00435346">
        <w:rPr>
          <w:rFonts w:ascii="Verdana" w:hAnsi="Verdana"/>
          <w:i/>
          <w:sz w:val="18"/>
          <w:szCs w:val="18"/>
        </w:rPr>
        <w:t>Relatie begroting Buitenlandse Zaken en de Homogene groep internationale samenwerking (HGIS)</w:t>
      </w:r>
    </w:p>
    <w:p w:rsidRPr="00435346" w:rsidR="00315371" w:rsidP="000D477A" w:rsidRDefault="00315371">
      <w:pPr>
        <w:spacing w:line="276" w:lineRule="auto"/>
        <w:rPr>
          <w:rFonts w:ascii="Verdana" w:hAnsi="Verdana"/>
          <w:sz w:val="18"/>
          <w:szCs w:val="18"/>
        </w:rPr>
      </w:pPr>
      <w:r w:rsidRPr="00435346">
        <w:rPr>
          <w:rFonts w:ascii="Verdana" w:hAnsi="Verdana"/>
          <w:sz w:val="18"/>
          <w:szCs w:val="18"/>
        </w:rPr>
        <w:t>Er zijn twee soorten uitgaven op de begroting van Buitenlandse Zaken: HGIS en niet-HGIS. Niet-HGIS uitgaven zijn de afdrachten aan de Europese Unie. HGIS-uitgaven zijn alle andere buitenlanduitgaven. De HGIS-uitgaven staan op diverse begrotingen en worden elders toegelicht; hier wordt alleen ontwikkeling van de EU-afdrachten belicht.</w:t>
      </w:r>
    </w:p>
    <w:p w:rsidRPr="00435346" w:rsidR="00315371" w:rsidP="000D477A" w:rsidRDefault="00315371">
      <w:pPr>
        <w:spacing w:line="276" w:lineRule="auto"/>
        <w:rPr>
          <w:rFonts w:ascii="Verdana" w:hAnsi="Verdana"/>
          <w:i/>
          <w:sz w:val="18"/>
          <w:szCs w:val="18"/>
        </w:rPr>
      </w:pPr>
    </w:p>
    <w:p w:rsidRPr="00435346" w:rsidR="00315371" w:rsidP="000D477A" w:rsidRDefault="00315371">
      <w:pPr>
        <w:spacing w:line="276" w:lineRule="auto"/>
        <w:rPr>
          <w:rFonts w:ascii="Verdana" w:hAnsi="Verdana"/>
          <w:i/>
          <w:sz w:val="18"/>
          <w:szCs w:val="18"/>
        </w:rPr>
      </w:pPr>
      <w:r w:rsidRPr="00435346">
        <w:rPr>
          <w:rFonts w:ascii="Verdana" w:hAnsi="Verdana"/>
          <w:i/>
          <w:sz w:val="18"/>
          <w:szCs w:val="18"/>
        </w:rPr>
        <w:t xml:space="preserve">EU-afdrachten </w:t>
      </w:r>
    </w:p>
    <w:p w:rsidRPr="00435346" w:rsidR="00315371" w:rsidP="000D477A" w:rsidRDefault="00315371">
      <w:pPr>
        <w:spacing w:line="276" w:lineRule="auto"/>
        <w:rPr>
          <w:rFonts w:ascii="Verdana" w:hAnsi="Verdana"/>
          <w:sz w:val="18"/>
          <w:szCs w:val="18"/>
        </w:rPr>
      </w:pPr>
      <w:r w:rsidRPr="00435346">
        <w:rPr>
          <w:rFonts w:ascii="Verdana" w:hAnsi="Verdana"/>
          <w:sz w:val="18"/>
          <w:szCs w:val="18"/>
        </w:rPr>
        <w:t>Eind november heeft de Begrotingsraad de geamendeerde begroting nr. 6 aangenomen over 2011. Hieruit bleek dat sprake was van enkele meevallers (uit geïnde boetes en traditionele eigen middelen) en een tegenvaller. Het gesaldeerde effect voor de Nederlandse afdracht aan de EU was een meevaller van 52 mln. De meevaller is verwerkt in de afdracht van januari 2012 en wordt om die reden bij VJN verwerkt.</w:t>
      </w:r>
    </w:p>
    <w:p w:rsidRPr="00435346" w:rsidR="00315371" w:rsidP="000D477A" w:rsidRDefault="00315371">
      <w:pPr>
        <w:spacing w:line="276" w:lineRule="auto"/>
        <w:rPr>
          <w:rFonts w:ascii="Verdana" w:hAnsi="Verdana"/>
          <w:sz w:val="18"/>
          <w:szCs w:val="18"/>
        </w:rPr>
      </w:pPr>
    </w:p>
    <w:p w:rsidRPr="00435346" w:rsidR="00315371" w:rsidP="000D477A" w:rsidRDefault="00315371">
      <w:pPr>
        <w:spacing w:line="276" w:lineRule="auto"/>
        <w:rPr>
          <w:rFonts w:ascii="Verdana" w:hAnsi="Verdana"/>
          <w:i/>
          <w:sz w:val="18"/>
          <w:szCs w:val="18"/>
        </w:rPr>
      </w:pPr>
      <w:r w:rsidRPr="00435346">
        <w:rPr>
          <w:rFonts w:ascii="Verdana" w:hAnsi="Verdana"/>
          <w:i/>
          <w:sz w:val="18"/>
          <w:szCs w:val="18"/>
        </w:rPr>
        <w:t>Ontvangsten en restituties met betrekking tot leningen</w:t>
      </w:r>
    </w:p>
    <w:p w:rsidRPr="00435346" w:rsidR="00315371" w:rsidP="000D477A" w:rsidRDefault="00315371">
      <w:pPr>
        <w:spacing w:line="276" w:lineRule="auto"/>
        <w:rPr>
          <w:rFonts w:ascii="Verdana" w:hAnsi="Verdana"/>
          <w:sz w:val="18"/>
          <w:szCs w:val="18"/>
        </w:rPr>
      </w:pPr>
      <w:r w:rsidRPr="00435346">
        <w:rPr>
          <w:rFonts w:ascii="Verdana" w:hAnsi="Verdana"/>
          <w:sz w:val="18"/>
          <w:szCs w:val="18"/>
        </w:rPr>
        <w:t xml:space="preserve">Ontvangsten en restituties mbt leningen: De mutatie wordt veroorzaakt door hogere ontvangsten voor rente en aflossing op de begrotingslening van de NIO. Dit als gevolg van de overgang van het beheer van de NIO-leningenportefeuille van de FMO naar Atradius. </w:t>
      </w:r>
    </w:p>
    <w:p w:rsidRPr="00435346" w:rsidR="00315371" w:rsidP="000D477A" w:rsidRDefault="00315371">
      <w:pPr>
        <w:spacing w:line="276" w:lineRule="auto"/>
        <w:rPr>
          <w:rFonts w:ascii="Verdana" w:hAnsi="Verdana"/>
          <w:sz w:val="18"/>
          <w:szCs w:val="18"/>
        </w:rPr>
      </w:pPr>
    </w:p>
    <w:p w:rsidRPr="00435346" w:rsidR="00315371" w:rsidP="000D477A" w:rsidRDefault="00315371">
      <w:pPr>
        <w:spacing w:line="276" w:lineRule="auto"/>
        <w:rPr>
          <w:rFonts w:ascii="Verdana" w:hAnsi="Verdana"/>
          <w:sz w:val="18"/>
          <w:szCs w:val="18"/>
        </w:rPr>
      </w:pPr>
    </w:p>
    <w:p w:rsidR="00315371" w:rsidP="000D477A" w:rsidRDefault="00315371">
      <w:pPr>
        <w:spacing w:line="276" w:lineRule="auto"/>
      </w:pPr>
    </w:p>
    <w:p w:rsidR="00315371" w:rsidP="000D477A" w:rsidRDefault="00315371">
      <w:pPr>
        <w:spacing w:line="276" w:lineRule="auto"/>
      </w:pPr>
    </w:p>
    <w:p w:rsidR="00315371" w:rsidRDefault="00315371"/>
    <w:p w:rsidR="00315371" w:rsidRDefault="00315371"/>
    <w:p w:rsidR="00315371" w:rsidRDefault="00315371"/>
    <w:p w:rsidR="00315371" w:rsidRDefault="00315371"/>
    <w:p w:rsidR="00315371" w:rsidRDefault="00315371"/>
    <w:p w:rsidR="00315371" w:rsidRDefault="00315371">
      <w:pPr>
        <w:rPr>
          <w:rFonts w:ascii="Verdana" w:hAnsi="Verdana"/>
          <w:b/>
          <w:sz w:val="18"/>
          <w:szCs w:val="18"/>
        </w:rPr>
      </w:pPr>
      <w:r>
        <w:rPr>
          <w:rFonts w:ascii="Verdana" w:hAnsi="Verdana"/>
          <w:b/>
          <w:sz w:val="18"/>
          <w:szCs w:val="18"/>
        </w:rPr>
        <w:t>Veiligheid en Justitie</w:t>
      </w:r>
    </w:p>
    <w:tbl>
      <w:tblPr>
        <w:tblW w:w="5000" w:type="pct"/>
        <w:tblCellMar>
          <w:top w:w="15" w:type="dxa"/>
          <w:left w:w="15" w:type="dxa"/>
          <w:bottom w:w="15" w:type="dxa"/>
          <w:right w:w="15" w:type="dxa"/>
        </w:tblCellMar>
        <w:tblLook w:val="00A0"/>
      </w:tblPr>
      <w:tblGrid>
        <w:gridCol w:w="4776"/>
        <w:gridCol w:w="864"/>
        <w:gridCol w:w="865"/>
        <w:gridCol w:w="865"/>
        <w:gridCol w:w="865"/>
        <w:gridCol w:w="867"/>
      </w:tblGrid>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Pr>
                <w:rFonts w:ascii="Courier New" w:hAnsi="Courier New" w:cs="Courier New"/>
                <w:sz w:val="14"/>
                <w:szCs w:val="14"/>
              </w:rPr>
              <w:t> </w:t>
            </w:r>
            <w:r w:rsidRPr="00FB221E">
              <w:rPr>
                <w:rFonts w:ascii="Verdana" w:hAnsi="Verdana" w:cs="Courier New"/>
                <w:sz w:val="16"/>
                <w:szCs w:val="16"/>
              </w:rPr>
              <w:t> </w:t>
            </w:r>
          </w:p>
        </w:tc>
        <w:tc>
          <w:tcPr>
            <w:tcW w:w="475"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475"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475"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475"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476"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r>
      <w:tr w:rsidRPr="00FB221E" w:rsidR="00315371" w:rsidTr="00FB221E">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VI VEILIGHEID EN JUSTITIE: UITGAVEN</w:t>
            </w:r>
          </w:p>
        </w:tc>
        <w:tc>
          <w:tcPr>
            <w:tcW w:w="2376" w:type="pct"/>
            <w:gridSpan w:val="5"/>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bedragen in miljoenen euro's</w:t>
            </w:r>
          </w:p>
        </w:tc>
      </w:tr>
      <w:tr w:rsidRPr="00FB221E" w:rsidR="00315371" w:rsidTr="002144DB">
        <w:tc>
          <w:tcPr>
            <w:tcW w:w="2624"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p>
        </w:tc>
        <w:tc>
          <w:tcPr>
            <w:tcW w:w="475"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2012</w:t>
            </w:r>
          </w:p>
        </w:tc>
        <w:tc>
          <w:tcPr>
            <w:tcW w:w="475"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2013</w:t>
            </w:r>
          </w:p>
        </w:tc>
        <w:tc>
          <w:tcPr>
            <w:tcW w:w="475"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2014</w:t>
            </w:r>
          </w:p>
        </w:tc>
        <w:tc>
          <w:tcPr>
            <w:tcW w:w="475"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2015</w:t>
            </w:r>
          </w:p>
        </w:tc>
        <w:tc>
          <w:tcPr>
            <w:tcW w:w="476"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2016</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Stand Miljoenennota 2012 (excl. IS)</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11.380,8</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11.184,8</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10.959,7</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10.810,2</w:t>
            </w:r>
          </w:p>
        </w:tc>
        <w:tc>
          <w:tcPr>
            <w:tcW w:w="476"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10.776,7</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Beleidsmatige mutaties</w:t>
            </w: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6" w:type="pct"/>
          </w:tcPr>
          <w:p w:rsidRPr="00FB221E" w:rsidR="00315371" w:rsidP="006576B5" w:rsidRDefault="00315371">
            <w:pPr>
              <w:rPr>
                <w:rFonts w:ascii="Verdana" w:hAnsi="Verdana"/>
                <w:sz w:val="16"/>
                <w:szCs w:val="16"/>
              </w:rPr>
            </w:pPr>
          </w:p>
        </w:tc>
      </w:tr>
      <w:tr w:rsidRPr="00FB221E" w:rsidR="00315371" w:rsidTr="002144DB">
        <w:tc>
          <w:tcPr>
            <w:tcW w:w="2624" w:type="pct"/>
            <w:tcBorders>
              <w:left w:val="nil"/>
              <w:right w:val="nil"/>
            </w:tcBorders>
            <w:tcMar>
              <w:top w:w="15" w:type="dxa"/>
              <w:left w:w="224" w:type="dxa"/>
              <w:bottom w:w="15" w:type="dxa"/>
              <w:right w:w="15" w:type="dxa"/>
            </w:tcMar>
          </w:tcPr>
          <w:p w:rsidRPr="00FB221E" w:rsidR="00315371" w:rsidP="00FB221E" w:rsidRDefault="00315371">
            <w:pPr>
              <w:ind w:firstLine="160" w:firstLineChars="100"/>
              <w:rPr>
                <w:rFonts w:ascii="Verdana" w:hAnsi="Verdana" w:cs="Courier New"/>
                <w:sz w:val="16"/>
                <w:szCs w:val="16"/>
              </w:rPr>
            </w:pPr>
            <w:r w:rsidRPr="00FB221E">
              <w:rPr>
                <w:rFonts w:ascii="Verdana" w:hAnsi="Verdana" w:cs="Courier New"/>
                <w:sz w:val="16"/>
                <w:szCs w:val="16"/>
              </w:rPr>
              <w:t>Rijksbegroting in enge zin</w:t>
            </w: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6" w:type="pct"/>
          </w:tcPr>
          <w:p w:rsidRPr="00FB221E" w:rsidR="00315371" w:rsidP="006576B5" w:rsidRDefault="00315371">
            <w:pPr>
              <w:rPr>
                <w:rFonts w:ascii="Verdana" w:hAnsi="Verdana"/>
                <w:sz w:val="16"/>
                <w:szCs w:val="16"/>
              </w:rPr>
            </w:pP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Dekking -prijsbijstelling 2011</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-21,2</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-5,9</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-6,2</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-3,5</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-3,8</w:t>
            </w: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Eindejaarsmarge 2011</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17,4</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Griffierechten</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-46,0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Interne herverdeling veiligheid en justitie (begrotingsrapport 2012)</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-81,7</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-4,9</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-10,5</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-10,5</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-10,5</w:t>
            </w: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Pr>
                <w:rFonts w:ascii="Verdana" w:hAnsi="Verdana" w:cs="Courier New"/>
                <w:sz w:val="16"/>
                <w:szCs w:val="16"/>
              </w:rPr>
              <w:t>PMJ</w:t>
            </w:r>
            <w:r w:rsidRPr="00FB221E">
              <w:rPr>
                <w:rFonts w:ascii="Verdana" w:hAnsi="Verdana" w:cs="Courier New"/>
                <w:sz w:val="16"/>
                <w:szCs w:val="16"/>
              </w:rPr>
              <w:t xml:space="preserve"> straf forensische zorg</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4,6</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17,0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17,0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17,0</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17,0</w:t>
            </w: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Diversen</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17,9</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3,2</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23,5</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23,7</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23,4</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-109,0</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9,4</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23,8</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26,7</w:t>
            </w:r>
          </w:p>
        </w:tc>
        <w:tc>
          <w:tcPr>
            <w:tcW w:w="476"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26,1</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Technische mutaties</w:t>
            </w: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6" w:type="pct"/>
          </w:tcPr>
          <w:p w:rsidRPr="00FB221E" w:rsidR="00315371" w:rsidP="006576B5" w:rsidRDefault="00315371">
            <w:pPr>
              <w:rPr>
                <w:rFonts w:ascii="Verdana" w:hAnsi="Verdana"/>
                <w:sz w:val="16"/>
                <w:szCs w:val="16"/>
              </w:rPr>
            </w:pPr>
          </w:p>
        </w:tc>
      </w:tr>
      <w:tr w:rsidRPr="00FB221E" w:rsidR="00315371" w:rsidTr="002144DB">
        <w:tc>
          <w:tcPr>
            <w:tcW w:w="2624" w:type="pct"/>
            <w:tcBorders>
              <w:left w:val="nil"/>
              <w:right w:val="nil"/>
            </w:tcBorders>
            <w:tcMar>
              <w:top w:w="15" w:type="dxa"/>
              <w:left w:w="224" w:type="dxa"/>
              <w:bottom w:w="15" w:type="dxa"/>
              <w:right w:w="15" w:type="dxa"/>
            </w:tcMar>
          </w:tcPr>
          <w:p w:rsidRPr="00FB221E" w:rsidR="00315371" w:rsidP="00FB221E" w:rsidRDefault="00315371">
            <w:pPr>
              <w:ind w:firstLine="160" w:firstLineChars="100"/>
              <w:rPr>
                <w:rFonts w:ascii="Verdana" w:hAnsi="Verdana" w:cs="Courier New"/>
                <w:sz w:val="16"/>
                <w:szCs w:val="16"/>
              </w:rPr>
            </w:pPr>
            <w:r w:rsidRPr="00FB221E">
              <w:rPr>
                <w:rFonts w:ascii="Verdana" w:hAnsi="Verdana" w:cs="Courier New"/>
                <w:sz w:val="16"/>
                <w:szCs w:val="16"/>
              </w:rPr>
              <w:t>Rijksbegroting in enge zin</w:t>
            </w: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6" w:type="pct"/>
          </w:tcPr>
          <w:p w:rsidRPr="00FB221E" w:rsidR="00315371" w:rsidP="006576B5" w:rsidRDefault="00315371">
            <w:pPr>
              <w:rPr>
                <w:rFonts w:ascii="Verdana" w:hAnsi="Verdana"/>
                <w:sz w:val="16"/>
                <w:szCs w:val="16"/>
              </w:rPr>
            </w:pP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Loonbijstelling tranche 2012-2017</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59,5</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58,9</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57,7</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57,5</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57,4</w:t>
            </w:r>
          </w:p>
        </w:tc>
      </w:tr>
      <w:tr w:rsidRPr="00FB221E" w:rsidR="00315371" w:rsidTr="002144DB">
        <w:tc>
          <w:tcPr>
            <w:tcW w:w="2624"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Diversen</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7,3</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-4,0</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-0,4</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0,4</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66,8</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54,9</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57,3</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57,9</w:t>
            </w:r>
          </w:p>
        </w:tc>
        <w:tc>
          <w:tcPr>
            <w:tcW w:w="476"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58,6</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p>
        </w:tc>
        <w:tc>
          <w:tcPr>
            <w:tcW w:w="475" w:type="pct"/>
            <w:vAlign w:val="center"/>
          </w:tcPr>
          <w:p w:rsidRPr="00FB221E" w:rsidR="00315371" w:rsidP="006576B5" w:rsidRDefault="00315371">
            <w:pPr>
              <w:rPr>
                <w:rFonts w:ascii="Verdana" w:hAnsi="Verdana"/>
                <w:sz w:val="16"/>
                <w:szCs w:val="16"/>
              </w:rPr>
            </w:pPr>
          </w:p>
        </w:tc>
        <w:tc>
          <w:tcPr>
            <w:tcW w:w="475" w:type="pct"/>
            <w:vAlign w:val="center"/>
          </w:tcPr>
          <w:p w:rsidRPr="00FB221E" w:rsidR="00315371" w:rsidP="006576B5" w:rsidRDefault="00315371">
            <w:pPr>
              <w:rPr>
                <w:rFonts w:ascii="Verdana" w:hAnsi="Verdana"/>
                <w:sz w:val="16"/>
                <w:szCs w:val="16"/>
              </w:rPr>
            </w:pPr>
          </w:p>
        </w:tc>
        <w:tc>
          <w:tcPr>
            <w:tcW w:w="475" w:type="pct"/>
            <w:vAlign w:val="center"/>
          </w:tcPr>
          <w:p w:rsidRPr="00FB221E" w:rsidR="00315371" w:rsidP="006576B5" w:rsidRDefault="00315371">
            <w:pPr>
              <w:rPr>
                <w:rFonts w:ascii="Verdana" w:hAnsi="Verdana"/>
                <w:sz w:val="16"/>
                <w:szCs w:val="16"/>
              </w:rPr>
            </w:pPr>
          </w:p>
        </w:tc>
        <w:tc>
          <w:tcPr>
            <w:tcW w:w="475" w:type="pct"/>
            <w:vAlign w:val="center"/>
          </w:tcPr>
          <w:p w:rsidRPr="00FB221E" w:rsidR="00315371" w:rsidP="006576B5" w:rsidRDefault="00315371">
            <w:pPr>
              <w:rPr>
                <w:rFonts w:ascii="Verdana" w:hAnsi="Verdana"/>
                <w:sz w:val="16"/>
                <w:szCs w:val="16"/>
              </w:rPr>
            </w:pPr>
          </w:p>
        </w:tc>
        <w:tc>
          <w:tcPr>
            <w:tcW w:w="476" w:type="pct"/>
            <w:vAlign w:val="center"/>
          </w:tcPr>
          <w:p w:rsidRPr="00FB221E" w:rsidR="00315371" w:rsidP="006576B5" w:rsidRDefault="00315371">
            <w:pPr>
              <w:rPr>
                <w:rFonts w:ascii="Verdana" w:hAnsi="Verdana"/>
                <w:sz w:val="16"/>
                <w:szCs w:val="16"/>
              </w:rPr>
            </w:pP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Totaal mutaties sinds Miljoenennota 2012</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-42,3</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64,3</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81,2</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84,6</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84,6</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5" w:type="pct"/>
          </w:tcPr>
          <w:p w:rsidRPr="00FB221E" w:rsidR="00315371" w:rsidP="006576B5" w:rsidRDefault="00315371">
            <w:pPr>
              <w:rPr>
                <w:rFonts w:ascii="Verdana" w:hAnsi="Verdana"/>
                <w:sz w:val="16"/>
                <w:szCs w:val="16"/>
              </w:rPr>
            </w:pPr>
          </w:p>
        </w:tc>
        <w:tc>
          <w:tcPr>
            <w:tcW w:w="476" w:type="pct"/>
          </w:tcPr>
          <w:p w:rsidRPr="00FB221E" w:rsidR="00315371" w:rsidP="006576B5" w:rsidRDefault="00315371">
            <w:pPr>
              <w:rPr>
                <w:rFonts w:ascii="Verdana" w:hAnsi="Verdana"/>
                <w:sz w:val="16"/>
                <w:szCs w:val="16"/>
              </w:rPr>
            </w:pP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Stand Voorjaarsnota 2012 (subtotaal)</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11.338,5</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11.249,1</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11.040,9</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10.894,7</w:t>
            </w:r>
          </w:p>
        </w:tc>
        <w:tc>
          <w:tcPr>
            <w:tcW w:w="476"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10.861,4</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Totaal Internationale samenwerking</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33,2</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37,9</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36,7</w:t>
            </w:r>
          </w:p>
        </w:tc>
        <w:tc>
          <w:tcPr>
            <w:tcW w:w="475"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41,7</w:t>
            </w:r>
          </w:p>
        </w:tc>
        <w:tc>
          <w:tcPr>
            <w:tcW w:w="476"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39,8</w:t>
            </w:r>
          </w:p>
        </w:tc>
      </w:tr>
      <w:tr w:rsidRPr="00FB221E" w:rsidR="00315371" w:rsidTr="002144DB">
        <w:tc>
          <w:tcPr>
            <w:tcW w:w="2624"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Stand Voorjaarsnota 2012</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11.371,7</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11.286,9</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11.077,6</w:t>
            </w:r>
          </w:p>
        </w:tc>
        <w:tc>
          <w:tcPr>
            <w:tcW w:w="475"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10.936,4</w:t>
            </w:r>
          </w:p>
        </w:tc>
        <w:tc>
          <w:tcPr>
            <w:tcW w:w="476"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10.901,1</w:t>
            </w:r>
          </w:p>
        </w:tc>
      </w:tr>
    </w:tbl>
    <w:p w:rsidR="00315371" w:rsidP="00CE2A5B" w:rsidRDefault="00315371">
      <w:pPr>
        <w:rPr>
          <w:rFonts w:ascii="Courier New" w:hAnsi="Courier New" w:cs="Courier New"/>
          <w:sz w:val="14"/>
          <w:szCs w:val="14"/>
        </w:rPr>
      </w:pPr>
    </w:p>
    <w:p w:rsidR="00315371" w:rsidP="00CE2A5B" w:rsidRDefault="00315371">
      <w:pPr>
        <w:rPr>
          <w:rFonts w:ascii="Courier New" w:hAnsi="Courier New" w:cs="Courier New"/>
          <w:sz w:val="14"/>
          <w:szCs w:val="14"/>
        </w:rPr>
      </w:pPr>
    </w:p>
    <w:tbl>
      <w:tblPr>
        <w:tblW w:w="5000" w:type="pct"/>
        <w:tblCellMar>
          <w:top w:w="15" w:type="dxa"/>
          <w:left w:w="15" w:type="dxa"/>
          <w:bottom w:w="15" w:type="dxa"/>
          <w:right w:w="15" w:type="dxa"/>
        </w:tblCellMar>
        <w:tblLook w:val="00A0"/>
      </w:tblPr>
      <w:tblGrid>
        <w:gridCol w:w="4264"/>
        <w:gridCol w:w="967"/>
        <w:gridCol w:w="968"/>
        <w:gridCol w:w="968"/>
        <w:gridCol w:w="968"/>
        <w:gridCol w:w="967"/>
      </w:tblGrid>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1"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VI VEILIGHEID EN JUSTITIE: NIET-BELASTINGONTVANGSTEN</w:t>
            </w:r>
          </w:p>
        </w:tc>
        <w:tc>
          <w:tcPr>
            <w:tcW w:w="2658" w:type="pct"/>
            <w:gridSpan w:val="5"/>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bedragen in miljoenen euro's</w:t>
            </w:r>
          </w:p>
        </w:tc>
      </w:tr>
      <w:tr w:rsidRPr="00FB221E" w:rsidR="00315371" w:rsidTr="00FB221E">
        <w:tc>
          <w:tcPr>
            <w:tcW w:w="2342"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p>
        </w:tc>
        <w:tc>
          <w:tcPr>
            <w:tcW w:w="531"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2012</w:t>
            </w:r>
          </w:p>
        </w:tc>
        <w:tc>
          <w:tcPr>
            <w:tcW w:w="532"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2013</w:t>
            </w:r>
          </w:p>
        </w:tc>
        <w:tc>
          <w:tcPr>
            <w:tcW w:w="532"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2014</w:t>
            </w:r>
          </w:p>
        </w:tc>
        <w:tc>
          <w:tcPr>
            <w:tcW w:w="532"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2015</w:t>
            </w:r>
          </w:p>
        </w:tc>
        <w:tc>
          <w:tcPr>
            <w:tcW w:w="532" w:type="pct"/>
            <w:tcBorders>
              <w:top w:val="single" w:color="000000" w:sz="8" w:space="0"/>
              <w:left w:val="nil"/>
              <w:bottom w:val="single" w:color="000000" w:sz="8" w:space="0"/>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2016</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Stand Miljoenennota 2012 (excl. IS)</w:t>
            </w:r>
          </w:p>
        </w:tc>
        <w:tc>
          <w:tcPr>
            <w:tcW w:w="531"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1.350,6</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1.560,4</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1.556,4</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1.520,3</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1.532,3</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Beleidsmatige mutaties</w:t>
            </w:r>
          </w:p>
        </w:tc>
        <w:tc>
          <w:tcPr>
            <w:tcW w:w="531"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r>
      <w:tr w:rsidRPr="00FB221E" w:rsidR="00315371" w:rsidTr="00FB221E">
        <w:tc>
          <w:tcPr>
            <w:tcW w:w="2342" w:type="pct"/>
            <w:tcBorders>
              <w:left w:val="nil"/>
              <w:right w:val="nil"/>
            </w:tcBorders>
            <w:tcMar>
              <w:top w:w="15" w:type="dxa"/>
              <w:left w:w="224" w:type="dxa"/>
              <w:bottom w:w="15" w:type="dxa"/>
              <w:right w:w="15" w:type="dxa"/>
            </w:tcMar>
          </w:tcPr>
          <w:p w:rsidRPr="00FB221E" w:rsidR="00315371" w:rsidP="00FB221E" w:rsidRDefault="00315371">
            <w:pPr>
              <w:ind w:firstLine="160" w:firstLineChars="100"/>
              <w:rPr>
                <w:rFonts w:ascii="Verdana" w:hAnsi="Verdana" w:cs="Courier New"/>
                <w:sz w:val="16"/>
                <w:szCs w:val="16"/>
              </w:rPr>
            </w:pPr>
            <w:r w:rsidRPr="00FB221E">
              <w:rPr>
                <w:rFonts w:ascii="Verdana" w:hAnsi="Verdana" w:cs="Courier New"/>
                <w:sz w:val="16"/>
                <w:szCs w:val="16"/>
              </w:rPr>
              <w:t>Rijksbegroting in enge zin</w:t>
            </w:r>
          </w:p>
        </w:tc>
        <w:tc>
          <w:tcPr>
            <w:tcW w:w="531"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r>
      <w:tr w:rsidRPr="00FB221E" w:rsidR="00315371" w:rsidTr="00FB221E">
        <w:tc>
          <w:tcPr>
            <w:tcW w:w="2342"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 xml:space="preserve">Afrekening outputfinanciering </w:t>
            </w:r>
            <w:r>
              <w:rPr>
                <w:rFonts w:ascii="Verdana" w:hAnsi="Verdana" w:cs="Courier New"/>
                <w:sz w:val="16"/>
                <w:szCs w:val="16"/>
              </w:rPr>
              <w:t>DJI</w:t>
            </w:r>
          </w:p>
        </w:tc>
        <w:tc>
          <w:tcPr>
            <w:tcW w:w="531"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22,3</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FB221E">
        <w:tc>
          <w:tcPr>
            <w:tcW w:w="2342"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Boeten en transacties</w:t>
            </w:r>
          </w:p>
        </w:tc>
        <w:tc>
          <w:tcPr>
            <w:tcW w:w="531"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-102,0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-31,2</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-15,5</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FB221E">
        <w:tc>
          <w:tcPr>
            <w:tcW w:w="2342"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Griffierechten</w:t>
            </w:r>
          </w:p>
        </w:tc>
        <w:tc>
          <w:tcPr>
            <w:tcW w:w="531"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-46,0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FB221E">
        <w:tc>
          <w:tcPr>
            <w:tcW w:w="2342"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Diversen</w:t>
            </w:r>
          </w:p>
        </w:tc>
        <w:tc>
          <w:tcPr>
            <w:tcW w:w="531"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0,4</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1"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-125,3</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-31,2</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-15,5</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Technische mutaties</w:t>
            </w:r>
          </w:p>
        </w:tc>
        <w:tc>
          <w:tcPr>
            <w:tcW w:w="531"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r>
      <w:tr w:rsidRPr="00FB221E" w:rsidR="00315371" w:rsidTr="00FB221E">
        <w:tc>
          <w:tcPr>
            <w:tcW w:w="2342" w:type="pct"/>
            <w:tcBorders>
              <w:left w:val="nil"/>
              <w:right w:val="nil"/>
            </w:tcBorders>
            <w:tcMar>
              <w:top w:w="15" w:type="dxa"/>
              <w:left w:w="224" w:type="dxa"/>
              <w:bottom w:w="15" w:type="dxa"/>
              <w:right w:w="15" w:type="dxa"/>
            </w:tcMar>
          </w:tcPr>
          <w:p w:rsidRPr="00FB221E" w:rsidR="00315371" w:rsidP="00FB221E" w:rsidRDefault="00315371">
            <w:pPr>
              <w:ind w:firstLine="160" w:firstLineChars="100"/>
              <w:rPr>
                <w:rFonts w:ascii="Verdana" w:hAnsi="Verdana" w:cs="Courier New"/>
                <w:sz w:val="16"/>
                <w:szCs w:val="16"/>
              </w:rPr>
            </w:pPr>
            <w:r w:rsidRPr="00FB221E">
              <w:rPr>
                <w:rFonts w:ascii="Verdana" w:hAnsi="Verdana" w:cs="Courier New"/>
                <w:sz w:val="16"/>
                <w:szCs w:val="16"/>
              </w:rPr>
              <w:t>Rijksbegroting in enge zin</w:t>
            </w:r>
          </w:p>
        </w:tc>
        <w:tc>
          <w:tcPr>
            <w:tcW w:w="531"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r>
      <w:tr w:rsidRPr="00FB221E" w:rsidR="00315371" w:rsidTr="00FB221E">
        <w:tc>
          <w:tcPr>
            <w:tcW w:w="2342" w:type="pct"/>
            <w:tcBorders>
              <w:left w:val="nil"/>
              <w:right w:val="nil"/>
            </w:tcBorders>
            <w:tcMar>
              <w:top w:w="15" w:type="dxa"/>
              <w:left w:w="449" w:type="dxa"/>
              <w:bottom w:w="15" w:type="dxa"/>
              <w:right w:w="15" w:type="dxa"/>
            </w:tcMar>
          </w:tcPr>
          <w:p w:rsidRPr="00FB221E" w:rsidR="00315371" w:rsidP="00FB221E" w:rsidRDefault="00315371">
            <w:pPr>
              <w:ind w:firstLine="320" w:firstLineChars="200"/>
              <w:rPr>
                <w:rFonts w:ascii="Verdana" w:hAnsi="Verdana" w:cs="Courier New"/>
                <w:sz w:val="16"/>
                <w:szCs w:val="16"/>
              </w:rPr>
            </w:pPr>
            <w:r w:rsidRPr="00FB221E">
              <w:rPr>
                <w:rFonts w:ascii="Verdana" w:hAnsi="Verdana" w:cs="Courier New"/>
                <w:sz w:val="16"/>
                <w:szCs w:val="16"/>
              </w:rPr>
              <w:t>Diversen</w:t>
            </w:r>
          </w:p>
        </w:tc>
        <w:tc>
          <w:tcPr>
            <w:tcW w:w="531"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-0,3</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1"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-0,3</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p>
        </w:tc>
        <w:tc>
          <w:tcPr>
            <w:tcW w:w="531" w:type="pct"/>
            <w:vAlign w:val="center"/>
          </w:tcPr>
          <w:p w:rsidRPr="00FB221E" w:rsidR="00315371" w:rsidP="006576B5" w:rsidRDefault="00315371">
            <w:pPr>
              <w:rPr>
                <w:rFonts w:ascii="Verdana" w:hAnsi="Verdana"/>
                <w:sz w:val="16"/>
                <w:szCs w:val="16"/>
              </w:rPr>
            </w:pPr>
          </w:p>
        </w:tc>
        <w:tc>
          <w:tcPr>
            <w:tcW w:w="532" w:type="pct"/>
            <w:vAlign w:val="center"/>
          </w:tcPr>
          <w:p w:rsidRPr="00FB221E" w:rsidR="00315371" w:rsidP="006576B5" w:rsidRDefault="00315371">
            <w:pPr>
              <w:rPr>
                <w:rFonts w:ascii="Verdana" w:hAnsi="Verdana"/>
                <w:sz w:val="16"/>
                <w:szCs w:val="16"/>
              </w:rPr>
            </w:pPr>
          </w:p>
        </w:tc>
        <w:tc>
          <w:tcPr>
            <w:tcW w:w="532" w:type="pct"/>
            <w:vAlign w:val="center"/>
          </w:tcPr>
          <w:p w:rsidRPr="00FB221E" w:rsidR="00315371" w:rsidP="006576B5" w:rsidRDefault="00315371">
            <w:pPr>
              <w:rPr>
                <w:rFonts w:ascii="Verdana" w:hAnsi="Verdana"/>
                <w:sz w:val="16"/>
                <w:szCs w:val="16"/>
              </w:rPr>
            </w:pPr>
          </w:p>
        </w:tc>
        <w:tc>
          <w:tcPr>
            <w:tcW w:w="532" w:type="pct"/>
            <w:vAlign w:val="center"/>
          </w:tcPr>
          <w:p w:rsidRPr="00FB221E" w:rsidR="00315371" w:rsidP="006576B5" w:rsidRDefault="00315371">
            <w:pPr>
              <w:rPr>
                <w:rFonts w:ascii="Verdana" w:hAnsi="Verdana"/>
                <w:sz w:val="16"/>
                <w:szCs w:val="16"/>
              </w:rPr>
            </w:pPr>
          </w:p>
        </w:tc>
        <w:tc>
          <w:tcPr>
            <w:tcW w:w="532" w:type="pct"/>
            <w:vAlign w:val="center"/>
          </w:tcPr>
          <w:p w:rsidRPr="00FB221E" w:rsidR="00315371" w:rsidP="006576B5" w:rsidRDefault="00315371">
            <w:pPr>
              <w:rPr>
                <w:rFonts w:ascii="Verdana" w:hAnsi="Verdana"/>
                <w:sz w:val="16"/>
                <w:szCs w:val="16"/>
              </w:rPr>
            </w:pP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Totaal mutaties sinds Miljoenennota 2012</w:t>
            </w:r>
          </w:p>
        </w:tc>
        <w:tc>
          <w:tcPr>
            <w:tcW w:w="531"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-125,5</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-32,4</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-16,7</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 </w:t>
            </w:r>
          </w:p>
        </w:tc>
        <w:tc>
          <w:tcPr>
            <w:tcW w:w="531"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c>
          <w:tcPr>
            <w:tcW w:w="532" w:type="pct"/>
          </w:tcPr>
          <w:p w:rsidRPr="00FB221E" w:rsidR="00315371" w:rsidP="006576B5" w:rsidRDefault="00315371">
            <w:pPr>
              <w:rPr>
                <w:rFonts w:ascii="Verdana" w:hAnsi="Verdana"/>
                <w:sz w:val="16"/>
                <w:szCs w:val="16"/>
              </w:rPr>
            </w:pP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Stand Voorjaarsnota 2012 (subtotaal)</w:t>
            </w:r>
          </w:p>
        </w:tc>
        <w:tc>
          <w:tcPr>
            <w:tcW w:w="531"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1.225,0</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1.528,0</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1.539,7</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1.519,1</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1.531,1</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Totaal Internationale samenwerking</w:t>
            </w:r>
          </w:p>
        </w:tc>
        <w:tc>
          <w:tcPr>
            <w:tcW w:w="531"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c>
          <w:tcPr>
            <w:tcW w:w="532" w:type="pct"/>
            <w:tcBorders>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0,0</w:t>
            </w:r>
          </w:p>
        </w:tc>
      </w:tr>
      <w:tr w:rsidRPr="00FB221E" w:rsidR="00315371" w:rsidTr="00FB221E">
        <w:tc>
          <w:tcPr>
            <w:tcW w:w="2342" w:type="pct"/>
            <w:tcBorders>
              <w:left w:val="nil"/>
              <w:right w:val="nil"/>
            </w:tcBorders>
          </w:tcPr>
          <w:p w:rsidRPr="00FB221E" w:rsidR="00315371" w:rsidP="006576B5" w:rsidRDefault="00315371">
            <w:pPr>
              <w:rPr>
                <w:rFonts w:ascii="Verdana" w:hAnsi="Verdana" w:cs="Courier New"/>
                <w:sz w:val="16"/>
                <w:szCs w:val="16"/>
              </w:rPr>
            </w:pPr>
            <w:r w:rsidRPr="00FB221E">
              <w:rPr>
                <w:rFonts w:ascii="Verdana" w:hAnsi="Verdana" w:cs="Courier New"/>
                <w:sz w:val="16"/>
                <w:szCs w:val="16"/>
              </w:rPr>
              <w:t>Stand Voorjaarsnota 2012</w:t>
            </w:r>
          </w:p>
        </w:tc>
        <w:tc>
          <w:tcPr>
            <w:tcW w:w="531"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1.225,0</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1.528,0</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1.539,7</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1.519,1</w:t>
            </w:r>
          </w:p>
        </w:tc>
        <w:tc>
          <w:tcPr>
            <w:tcW w:w="532" w:type="pct"/>
            <w:tcBorders>
              <w:top w:val="single" w:color="000000" w:sz="8" w:space="0"/>
              <w:left w:val="nil"/>
              <w:right w:val="nil"/>
            </w:tcBorders>
          </w:tcPr>
          <w:p w:rsidRPr="00FB221E" w:rsidR="00315371" w:rsidP="006576B5" w:rsidRDefault="00315371">
            <w:pPr>
              <w:jc w:val="right"/>
              <w:rPr>
                <w:rFonts w:ascii="Verdana" w:hAnsi="Verdana" w:cs="Courier New"/>
                <w:sz w:val="16"/>
                <w:szCs w:val="16"/>
              </w:rPr>
            </w:pPr>
            <w:r w:rsidRPr="00FB221E">
              <w:rPr>
                <w:rFonts w:ascii="Verdana" w:hAnsi="Verdana" w:cs="Courier New"/>
                <w:sz w:val="16"/>
                <w:szCs w:val="16"/>
              </w:rPr>
              <w:t>1.531,1</w:t>
            </w:r>
          </w:p>
        </w:tc>
      </w:tr>
    </w:tbl>
    <w:p w:rsidR="00315371" w:rsidP="00CE2A5B" w:rsidRDefault="00315371">
      <w:pPr>
        <w:rPr>
          <w:rFonts w:ascii="Courier New" w:hAnsi="Courier New" w:cs="Courier New"/>
          <w:sz w:val="14"/>
          <w:szCs w:val="14"/>
        </w:rPr>
      </w:pPr>
    </w:p>
    <w:p w:rsidR="00315371" w:rsidP="00212995" w:rsidRDefault="00315371">
      <w:pPr>
        <w:spacing w:line="276" w:lineRule="auto"/>
        <w:rPr>
          <w:rFonts w:ascii="Courier New" w:hAnsi="Courier New" w:cs="Courier New"/>
          <w:sz w:val="14"/>
          <w:szCs w:val="14"/>
        </w:rPr>
      </w:pPr>
    </w:p>
    <w:p w:rsidR="00315371" w:rsidP="000D477A" w:rsidRDefault="00315371">
      <w:pPr>
        <w:spacing w:line="276" w:lineRule="auto"/>
        <w:rPr>
          <w:rFonts w:ascii="Verdana" w:hAnsi="Verdana" w:cs="Courier New"/>
          <w:i/>
          <w:sz w:val="18"/>
          <w:szCs w:val="18"/>
        </w:rPr>
      </w:pPr>
    </w:p>
    <w:p w:rsidRPr="00091536" w:rsidR="00315371" w:rsidP="00FA36B4" w:rsidRDefault="00315371">
      <w:pPr>
        <w:spacing w:line="276" w:lineRule="auto"/>
        <w:rPr>
          <w:rFonts w:ascii="Verdana" w:hAnsi="Verdana" w:cs="Courier New"/>
          <w:i/>
          <w:sz w:val="18"/>
          <w:szCs w:val="18"/>
        </w:rPr>
      </w:pPr>
      <w:r w:rsidRPr="00091536">
        <w:rPr>
          <w:rFonts w:ascii="Verdana" w:hAnsi="Verdana" w:cs="Courier New"/>
          <w:i/>
          <w:sz w:val="18"/>
          <w:szCs w:val="18"/>
        </w:rPr>
        <w:t>Dekking –prijsbijstelling 2011</w:t>
      </w:r>
    </w:p>
    <w:p w:rsidRPr="00091536" w:rsidR="00315371" w:rsidP="00FA36B4" w:rsidRDefault="00315371">
      <w:pPr>
        <w:spacing w:line="276" w:lineRule="auto"/>
        <w:rPr>
          <w:rFonts w:ascii="Verdana" w:hAnsi="Verdana" w:cs="Courier New"/>
          <w:sz w:val="18"/>
          <w:szCs w:val="18"/>
        </w:rPr>
      </w:pPr>
      <w:r w:rsidRPr="00091536">
        <w:rPr>
          <w:rFonts w:ascii="Verdana" w:hAnsi="Verdana" w:cs="Courier New"/>
          <w:sz w:val="18"/>
          <w:szCs w:val="18"/>
        </w:rPr>
        <w:t xml:space="preserve">De prijsbijstelling voor 2011 is door VenJ nog niet volledig doorverdeeld naar de diverse onderdelen van de begroting. Deze wordt nu deels ingezet ter dekking van de VenJ problematiek. </w:t>
      </w:r>
    </w:p>
    <w:p w:rsidRPr="00091536" w:rsidR="00315371" w:rsidP="00FA36B4" w:rsidRDefault="00315371">
      <w:pPr>
        <w:spacing w:line="276" w:lineRule="auto"/>
        <w:rPr>
          <w:rFonts w:ascii="Verdana" w:hAnsi="Verdana" w:cs="Courier New"/>
          <w:sz w:val="18"/>
          <w:szCs w:val="18"/>
        </w:rPr>
      </w:pPr>
    </w:p>
    <w:p w:rsidRPr="00091536" w:rsidR="00315371" w:rsidP="00FA36B4" w:rsidRDefault="00315371">
      <w:pPr>
        <w:spacing w:line="276" w:lineRule="auto"/>
        <w:rPr>
          <w:rFonts w:ascii="Verdana" w:hAnsi="Verdana" w:cs="Courier New"/>
          <w:i/>
          <w:sz w:val="18"/>
          <w:szCs w:val="18"/>
        </w:rPr>
      </w:pPr>
      <w:r w:rsidRPr="00091536">
        <w:rPr>
          <w:rFonts w:ascii="Verdana" w:hAnsi="Verdana" w:cs="Courier New"/>
          <w:i/>
          <w:sz w:val="18"/>
          <w:szCs w:val="18"/>
        </w:rPr>
        <w:t>Eindejaarsmarge 2011</w:t>
      </w:r>
    </w:p>
    <w:p w:rsidR="00315371" w:rsidP="00FA36B4" w:rsidRDefault="00315371">
      <w:pPr>
        <w:spacing w:line="276" w:lineRule="auto"/>
        <w:rPr>
          <w:rFonts w:ascii="Verdana" w:hAnsi="Verdana" w:cs="Courier New"/>
          <w:sz w:val="18"/>
          <w:szCs w:val="18"/>
        </w:rPr>
      </w:pPr>
      <w:r>
        <w:rPr>
          <w:rFonts w:ascii="Verdana" w:hAnsi="Verdana" w:cs="Courier New"/>
          <w:sz w:val="18"/>
          <w:szCs w:val="18"/>
        </w:rPr>
        <w:t xml:space="preserve">Bij Voorjaarsnota 2012 wordt de eindejaarsmarge van 2011 uitgedeeld. </w:t>
      </w:r>
    </w:p>
    <w:p w:rsidR="00315371" w:rsidP="00FA36B4" w:rsidRDefault="00315371">
      <w:pPr>
        <w:spacing w:line="276" w:lineRule="auto"/>
        <w:rPr>
          <w:rFonts w:ascii="Verdana" w:hAnsi="Verdana" w:cs="Courier New"/>
          <w:sz w:val="18"/>
          <w:szCs w:val="18"/>
        </w:rPr>
      </w:pPr>
    </w:p>
    <w:p w:rsidRPr="002E345F" w:rsidR="00315371" w:rsidP="00FA36B4" w:rsidRDefault="00315371">
      <w:pPr>
        <w:spacing w:line="276" w:lineRule="auto"/>
        <w:rPr>
          <w:rFonts w:ascii="Verdana" w:hAnsi="Verdana" w:cs="Courier New"/>
          <w:i/>
          <w:sz w:val="18"/>
          <w:szCs w:val="18"/>
        </w:rPr>
      </w:pPr>
      <w:r w:rsidRPr="002E345F">
        <w:rPr>
          <w:rFonts w:ascii="Verdana" w:hAnsi="Verdana" w:cs="Courier New"/>
          <w:i/>
          <w:sz w:val="18"/>
          <w:szCs w:val="18"/>
        </w:rPr>
        <w:t>Griffierechten</w:t>
      </w:r>
    </w:p>
    <w:p w:rsidR="00315371" w:rsidP="00FA36B4" w:rsidRDefault="00315371">
      <w:pPr>
        <w:spacing w:line="276" w:lineRule="auto"/>
        <w:rPr>
          <w:rFonts w:ascii="Verdana" w:hAnsi="Verdana" w:cs="Courier New"/>
          <w:sz w:val="18"/>
          <w:szCs w:val="18"/>
        </w:rPr>
      </w:pPr>
      <w:r w:rsidRPr="00131397">
        <w:rPr>
          <w:rFonts w:ascii="Verdana" w:hAnsi="Verdana" w:cs="Courier New"/>
          <w:sz w:val="18"/>
          <w:szCs w:val="18"/>
        </w:rPr>
        <w:t xml:space="preserve">De bij Regeerakkoord voorgenomen verhoging van de griffierechten gaat niet door. Om tekorten bij de rechtspraak op te lossen was de datum van inwerkingtreding van de verhoging vervroegd van 1 januari 2013 naar 1 juli 2012. Het niet doorgaan van de verhoging zorgt in 2012 voor </w:t>
      </w:r>
      <w:r>
        <w:rPr>
          <w:rFonts w:ascii="Verdana" w:hAnsi="Verdana" w:cs="Courier New"/>
          <w:sz w:val="18"/>
          <w:szCs w:val="18"/>
        </w:rPr>
        <w:t xml:space="preserve">een </w:t>
      </w:r>
      <w:r w:rsidRPr="00131397">
        <w:rPr>
          <w:rFonts w:ascii="Verdana" w:hAnsi="Verdana" w:cs="Courier New"/>
          <w:sz w:val="18"/>
          <w:szCs w:val="18"/>
        </w:rPr>
        <w:t>tekort van 46 mln aan de ontvangstenkant van de begroting, vanwege minder ontvangsten griffierechten. Ook zorgt dit voor een additioneel tekort van 2 mln</w:t>
      </w:r>
      <w:r>
        <w:rPr>
          <w:rFonts w:ascii="Verdana" w:hAnsi="Verdana" w:cs="Courier New"/>
          <w:sz w:val="18"/>
          <w:szCs w:val="18"/>
        </w:rPr>
        <w:t>.</w:t>
      </w:r>
      <w:r w:rsidRPr="00131397">
        <w:rPr>
          <w:rFonts w:ascii="Verdana" w:hAnsi="Verdana" w:cs="Courier New"/>
          <w:sz w:val="18"/>
          <w:szCs w:val="18"/>
        </w:rPr>
        <w:t xml:space="preserve"> bij de rechtspraak, vanwege het uitblijven van het instroombeperkende effect dat met de verhoging gepaard zou gaan. Het tekort wordt door de Raad voor de Rechtspraak opgevangen. Voor een deel (circa 29 mln</w:t>
      </w:r>
      <w:r>
        <w:rPr>
          <w:rFonts w:ascii="Verdana" w:hAnsi="Verdana" w:cs="Courier New"/>
          <w:sz w:val="18"/>
          <w:szCs w:val="18"/>
        </w:rPr>
        <w:t>.</w:t>
      </w:r>
      <w:r w:rsidRPr="00131397">
        <w:rPr>
          <w:rFonts w:ascii="Verdana" w:hAnsi="Verdana" w:cs="Courier New"/>
          <w:sz w:val="18"/>
          <w:szCs w:val="18"/>
        </w:rPr>
        <w:t>) is dat mogelijk doordat de recent bijgestelde prognose van de instroom (PMJ) voor het jaar 2012 lager is dan de beschikbare capaciteit. Voor het overige deel wordt een beroep gedaan op de aanwezige reserves bij de Raad voor de Rechtspraak.</w:t>
      </w:r>
    </w:p>
    <w:p w:rsidRPr="00091536" w:rsidR="00315371" w:rsidP="00FA36B4" w:rsidRDefault="00315371">
      <w:pPr>
        <w:spacing w:line="276" w:lineRule="auto"/>
        <w:rPr>
          <w:rFonts w:ascii="Verdana" w:hAnsi="Verdana" w:cs="Courier New"/>
          <w:sz w:val="18"/>
          <w:szCs w:val="18"/>
        </w:rPr>
      </w:pPr>
    </w:p>
    <w:p w:rsidRPr="00091536" w:rsidR="00315371" w:rsidP="00FA36B4" w:rsidRDefault="00315371">
      <w:pPr>
        <w:spacing w:line="276" w:lineRule="auto"/>
        <w:rPr>
          <w:rFonts w:ascii="Verdana" w:hAnsi="Verdana" w:cs="Courier New"/>
          <w:i/>
          <w:sz w:val="18"/>
          <w:szCs w:val="18"/>
        </w:rPr>
      </w:pPr>
      <w:r w:rsidRPr="00091536">
        <w:rPr>
          <w:rFonts w:ascii="Verdana" w:hAnsi="Verdana" w:cs="Courier New"/>
          <w:i/>
          <w:sz w:val="18"/>
          <w:szCs w:val="18"/>
        </w:rPr>
        <w:t>Interne Herverdeling Veiligheid en Justitie (begrotingsrapport 2012)</w:t>
      </w:r>
    </w:p>
    <w:p w:rsidRPr="00946554" w:rsidR="00315371" w:rsidP="00FA36B4" w:rsidRDefault="00315371">
      <w:pPr>
        <w:spacing w:line="276" w:lineRule="auto"/>
        <w:rPr>
          <w:rFonts w:ascii="Verdana" w:hAnsi="Verdana" w:cs="Courier New"/>
          <w:sz w:val="18"/>
          <w:szCs w:val="18"/>
        </w:rPr>
      </w:pPr>
      <w:r>
        <w:rPr>
          <w:rFonts w:ascii="Verdana" w:hAnsi="Verdana" w:cs="Courier New"/>
          <w:sz w:val="18"/>
          <w:szCs w:val="18"/>
        </w:rPr>
        <w:t xml:space="preserve">VenJ heeft over de gehele linie van de begroting de budgetten taakstellend verlaagd. Hiermee is dekking gevonden voor de problematiek die op de begroting is ontstaan. </w:t>
      </w:r>
    </w:p>
    <w:p w:rsidR="00315371" w:rsidP="00FA36B4" w:rsidRDefault="00315371">
      <w:pPr>
        <w:spacing w:line="276" w:lineRule="auto"/>
        <w:rPr>
          <w:rFonts w:ascii="Verdana" w:hAnsi="Verdana" w:cs="Courier New"/>
          <w:sz w:val="18"/>
          <w:szCs w:val="18"/>
        </w:rPr>
      </w:pPr>
    </w:p>
    <w:p w:rsidRPr="00091536" w:rsidR="00315371" w:rsidP="00FA36B4" w:rsidRDefault="00315371">
      <w:pPr>
        <w:spacing w:line="276" w:lineRule="auto"/>
        <w:rPr>
          <w:rFonts w:ascii="Verdana" w:hAnsi="Verdana" w:cs="Courier New"/>
          <w:i/>
          <w:sz w:val="18"/>
          <w:szCs w:val="18"/>
        </w:rPr>
      </w:pPr>
      <w:r w:rsidRPr="00091536">
        <w:rPr>
          <w:rFonts w:ascii="Verdana" w:hAnsi="Verdana" w:cs="Courier New"/>
          <w:i/>
          <w:sz w:val="18"/>
          <w:szCs w:val="18"/>
        </w:rPr>
        <w:t>PMJ straf Forensische zorg</w:t>
      </w:r>
    </w:p>
    <w:p w:rsidR="00315371" w:rsidP="00FA36B4" w:rsidRDefault="00315371">
      <w:pPr>
        <w:spacing w:line="276" w:lineRule="auto"/>
        <w:rPr>
          <w:rFonts w:ascii="Verdana" w:hAnsi="Verdana" w:cs="Courier New"/>
          <w:sz w:val="18"/>
          <w:szCs w:val="18"/>
        </w:rPr>
      </w:pPr>
      <w:r>
        <w:rPr>
          <w:rFonts w:ascii="Verdana" w:hAnsi="Verdana" w:cs="Courier New"/>
          <w:sz w:val="18"/>
          <w:szCs w:val="18"/>
        </w:rPr>
        <w:t xml:space="preserve">De ramingen van de budgetten voor de forensische zorg laten een stijging zien van 4,6 mln. euro in 2012. Uit de realisatiecijfers blijkt dat de vraag naar forensische zorg overeenkomt met de vraag naar gezondheidszorg. Uit historische gegevens van het CBS blijkt dat deze de afgelopen tijd jaarlijks 6% is gegroeid. </w:t>
      </w:r>
    </w:p>
    <w:p w:rsidRPr="00535B2B" w:rsidR="00315371" w:rsidP="00FA36B4" w:rsidRDefault="00315371">
      <w:pPr>
        <w:spacing w:line="276" w:lineRule="auto"/>
        <w:rPr>
          <w:rFonts w:ascii="Verdana" w:hAnsi="Verdana" w:cs="Courier New"/>
          <w:sz w:val="18"/>
          <w:szCs w:val="18"/>
        </w:rPr>
      </w:pPr>
    </w:p>
    <w:p w:rsidRPr="00091536" w:rsidR="00315371" w:rsidP="00FA36B4" w:rsidRDefault="00315371">
      <w:pPr>
        <w:spacing w:line="276" w:lineRule="auto"/>
        <w:rPr>
          <w:rFonts w:ascii="Verdana" w:hAnsi="Verdana" w:cs="Courier New"/>
          <w:i/>
          <w:sz w:val="18"/>
          <w:szCs w:val="18"/>
        </w:rPr>
      </w:pPr>
      <w:r w:rsidRPr="00091536">
        <w:rPr>
          <w:rFonts w:ascii="Verdana" w:hAnsi="Verdana" w:cs="Courier New"/>
          <w:i/>
          <w:sz w:val="18"/>
          <w:szCs w:val="18"/>
        </w:rPr>
        <w:t>Diversen</w:t>
      </w:r>
    </w:p>
    <w:p w:rsidRPr="00091536" w:rsidR="00315371" w:rsidP="00FA36B4" w:rsidRDefault="00315371">
      <w:pPr>
        <w:autoSpaceDE w:val="0"/>
        <w:autoSpaceDN w:val="0"/>
        <w:spacing w:line="276" w:lineRule="auto"/>
        <w:rPr>
          <w:rFonts w:ascii="Verdana" w:hAnsi="Verdana" w:cs="Courier New"/>
          <w:sz w:val="18"/>
          <w:szCs w:val="18"/>
        </w:rPr>
      </w:pPr>
      <w:r>
        <w:rPr>
          <w:rFonts w:ascii="Verdana" w:hAnsi="Verdana" w:cs="Courier New"/>
          <w:sz w:val="18"/>
          <w:szCs w:val="18"/>
        </w:rPr>
        <w:t>De post diversen is een saldo van verschillende plussen en minnen. De grootste plussen betreffen rechtsbijstand civiel en rechtsbijstand straf, samen 21,1 mln. Deze komen naar voren in het Prognosemodel Justitiële ketens (PMJ).</w:t>
      </w:r>
      <w:r w:rsidRPr="00091536">
        <w:rPr>
          <w:rFonts w:ascii="Verdana" w:hAnsi="Verdana" w:cs="Courier New"/>
          <w:sz w:val="18"/>
          <w:szCs w:val="18"/>
        </w:rPr>
        <w:t xml:space="preserve"> De rechtsbijstand civiel en bestuur laat een afname zien van het aantal toevoegingen t.o.v de beschikbare capaciteit. Ook de invoering van de korting van 5 % op het tarief voor de gesubsidieerde rechtsbijstand per 1 januari 2012 leidt tot een kostendaling. Als gevolg van de verhoging van de eigen bijdrage die moet worden betaald is het aantal lichte adviestoevoegingen afgenomen. De capaciteitsbehoefte voor de civiele toevoegingen laat de komende jaren een stijging zien.</w:t>
      </w:r>
      <w:r>
        <w:rPr>
          <w:rFonts w:ascii="Verdana" w:hAnsi="Verdana" w:cs="Courier New"/>
          <w:sz w:val="18"/>
          <w:szCs w:val="18"/>
        </w:rPr>
        <w:t xml:space="preserve"> Daarnaast laat het PMJ met betrekking tot het gevangeniswezen een stijging in de capaciteitsbehoefte zien van 14,9 mln. in 2012, veroorzaakt door een combinatie van bestaand en nieuw beleid. Tenslotte zijn bij</w:t>
      </w:r>
      <w:r w:rsidRPr="001B2A57">
        <w:rPr>
          <w:rFonts w:ascii="Verdana" w:hAnsi="Verdana" w:cs="Courier New"/>
          <w:sz w:val="18"/>
          <w:szCs w:val="18"/>
        </w:rPr>
        <w:t xml:space="preserve"> </w:t>
      </w:r>
      <w:r>
        <w:rPr>
          <w:rFonts w:ascii="Verdana" w:hAnsi="Verdana" w:cs="Courier New"/>
          <w:sz w:val="18"/>
          <w:szCs w:val="18"/>
        </w:rPr>
        <w:t>de Dienst Justitiële Inrichtingen (</w:t>
      </w:r>
      <w:r w:rsidRPr="001B2A57">
        <w:rPr>
          <w:rFonts w:ascii="Verdana" w:hAnsi="Verdana" w:cs="Courier New"/>
          <w:sz w:val="18"/>
          <w:szCs w:val="18"/>
        </w:rPr>
        <w:t>DJI</w:t>
      </w:r>
      <w:r>
        <w:rPr>
          <w:rFonts w:ascii="Verdana" w:hAnsi="Verdana" w:cs="Courier New"/>
          <w:sz w:val="18"/>
          <w:szCs w:val="18"/>
        </w:rPr>
        <w:t>)</w:t>
      </w:r>
      <w:r w:rsidRPr="001B2A57">
        <w:rPr>
          <w:rFonts w:ascii="Verdana" w:hAnsi="Verdana" w:cs="Courier New"/>
          <w:sz w:val="18"/>
          <w:szCs w:val="18"/>
        </w:rPr>
        <w:t xml:space="preserve"> </w:t>
      </w:r>
      <w:r>
        <w:rPr>
          <w:rFonts w:ascii="Verdana" w:hAnsi="Verdana" w:cs="Courier New"/>
          <w:sz w:val="18"/>
          <w:szCs w:val="18"/>
        </w:rPr>
        <w:t>d</w:t>
      </w:r>
      <w:r w:rsidRPr="001B2A57">
        <w:rPr>
          <w:rFonts w:ascii="Verdana" w:hAnsi="Verdana" w:cs="Courier New"/>
          <w:sz w:val="18"/>
          <w:szCs w:val="18"/>
        </w:rPr>
        <w:t xml:space="preserve">e </w:t>
      </w:r>
      <w:r>
        <w:rPr>
          <w:rFonts w:ascii="Verdana" w:hAnsi="Verdana" w:cs="Courier New"/>
          <w:sz w:val="18"/>
          <w:szCs w:val="18"/>
        </w:rPr>
        <w:t>kosten</w:t>
      </w:r>
      <w:r w:rsidRPr="001B2A57">
        <w:rPr>
          <w:rFonts w:ascii="Verdana" w:hAnsi="Verdana" w:cs="Courier New"/>
          <w:sz w:val="18"/>
          <w:szCs w:val="18"/>
        </w:rPr>
        <w:t xml:space="preserve"> de regeling </w:t>
      </w:r>
      <w:r>
        <w:rPr>
          <w:rFonts w:ascii="Verdana" w:hAnsi="Verdana" w:cs="Courier New"/>
          <w:sz w:val="18"/>
          <w:szCs w:val="18"/>
        </w:rPr>
        <w:t>‘</w:t>
      </w:r>
      <w:r w:rsidRPr="001B2A57">
        <w:rPr>
          <w:rFonts w:ascii="Verdana" w:hAnsi="Verdana" w:cs="Courier New"/>
          <w:sz w:val="18"/>
          <w:szCs w:val="18"/>
        </w:rPr>
        <w:t>substantieel bezwarende functies</w:t>
      </w:r>
      <w:r>
        <w:rPr>
          <w:rFonts w:ascii="Verdana" w:hAnsi="Verdana" w:cs="Courier New"/>
          <w:sz w:val="18"/>
          <w:szCs w:val="18"/>
        </w:rPr>
        <w:t>’</w:t>
      </w:r>
      <w:r w:rsidRPr="001B2A57">
        <w:rPr>
          <w:rFonts w:ascii="Verdana" w:hAnsi="Verdana" w:cs="Courier New"/>
          <w:sz w:val="18"/>
          <w:szCs w:val="18"/>
        </w:rPr>
        <w:t xml:space="preserve"> </w:t>
      </w:r>
      <w:r>
        <w:rPr>
          <w:rFonts w:ascii="Verdana" w:hAnsi="Verdana" w:cs="Courier New"/>
          <w:sz w:val="18"/>
          <w:szCs w:val="18"/>
        </w:rPr>
        <w:t xml:space="preserve">en </w:t>
      </w:r>
      <w:r w:rsidRPr="001B2A57">
        <w:rPr>
          <w:rFonts w:ascii="Verdana" w:hAnsi="Verdana" w:cs="Courier New"/>
          <w:sz w:val="18"/>
          <w:szCs w:val="18"/>
        </w:rPr>
        <w:t>de omscholingsregeling ‘tweede carrière’ veel hoger</w:t>
      </w:r>
      <w:r>
        <w:rPr>
          <w:rFonts w:ascii="Verdana" w:hAnsi="Verdana" w:cs="Courier New"/>
          <w:sz w:val="18"/>
          <w:szCs w:val="18"/>
        </w:rPr>
        <w:t xml:space="preserve"> dan</w:t>
      </w:r>
      <w:r w:rsidRPr="001B2A57">
        <w:rPr>
          <w:rFonts w:ascii="Verdana" w:hAnsi="Verdana" w:cs="Courier New"/>
          <w:sz w:val="18"/>
          <w:szCs w:val="18"/>
        </w:rPr>
        <w:t xml:space="preserve"> </w:t>
      </w:r>
      <w:r>
        <w:rPr>
          <w:rFonts w:ascii="Verdana" w:hAnsi="Verdana" w:cs="Courier New"/>
          <w:sz w:val="18"/>
          <w:szCs w:val="18"/>
        </w:rPr>
        <w:t>eerder</w:t>
      </w:r>
      <w:r w:rsidRPr="001B2A57">
        <w:rPr>
          <w:rFonts w:ascii="Verdana" w:hAnsi="Verdana" w:cs="Courier New"/>
          <w:sz w:val="18"/>
          <w:szCs w:val="18"/>
        </w:rPr>
        <w:t xml:space="preserve"> voorzien. In het jaar 2012 is de tegenvaller in totaal 22,2 </w:t>
      </w:r>
      <w:r>
        <w:rPr>
          <w:rFonts w:ascii="Verdana" w:hAnsi="Verdana" w:cs="Courier New"/>
          <w:sz w:val="18"/>
          <w:szCs w:val="18"/>
        </w:rPr>
        <w:t>mln</w:t>
      </w:r>
      <w:r w:rsidRPr="001B2A57">
        <w:rPr>
          <w:rFonts w:ascii="Verdana" w:hAnsi="Verdana" w:cs="Courier New"/>
          <w:sz w:val="18"/>
          <w:szCs w:val="18"/>
        </w:rPr>
        <w:t>.</w:t>
      </w:r>
    </w:p>
    <w:p w:rsidRPr="00091536" w:rsidR="00315371" w:rsidP="00FA36B4" w:rsidRDefault="00315371">
      <w:pPr>
        <w:spacing w:line="276" w:lineRule="auto"/>
        <w:rPr>
          <w:rFonts w:ascii="Verdana" w:hAnsi="Verdana" w:cs="Courier New"/>
          <w:sz w:val="18"/>
          <w:szCs w:val="18"/>
        </w:rPr>
      </w:pPr>
    </w:p>
    <w:p w:rsidRPr="00091536" w:rsidR="00315371" w:rsidP="00FA36B4" w:rsidRDefault="00315371">
      <w:pPr>
        <w:spacing w:line="276" w:lineRule="auto"/>
        <w:rPr>
          <w:rFonts w:ascii="Verdana" w:hAnsi="Verdana" w:cs="Courier New"/>
          <w:i/>
          <w:sz w:val="18"/>
          <w:szCs w:val="18"/>
        </w:rPr>
      </w:pPr>
      <w:r w:rsidRPr="00091536">
        <w:rPr>
          <w:rFonts w:ascii="Verdana" w:hAnsi="Verdana" w:cs="Courier New"/>
          <w:i/>
          <w:sz w:val="18"/>
          <w:szCs w:val="18"/>
        </w:rPr>
        <w:t>Afrekening outputfinanciering DJI</w:t>
      </w:r>
    </w:p>
    <w:p w:rsidR="00315371" w:rsidP="00FA36B4" w:rsidRDefault="00315371">
      <w:pPr>
        <w:spacing w:line="276" w:lineRule="auto"/>
        <w:rPr>
          <w:rFonts w:ascii="Verdana" w:hAnsi="Verdana" w:cs="Courier New"/>
          <w:sz w:val="18"/>
          <w:szCs w:val="18"/>
        </w:rPr>
      </w:pPr>
      <w:r w:rsidRPr="00091536">
        <w:rPr>
          <w:rFonts w:ascii="Verdana" w:hAnsi="Verdana" w:cs="Courier New"/>
          <w:sz w:val="18"/>
          <w:szCs w:val="18"/>
        </w:rPr>
        <w:t>De bijdrage aan de Dienst Justitiële Inrichtingen (DJI) wordt vastgesteld op basis van outputfinanciering (OPF). Dit betekent dat productie- en bezettingsverschillen met het moederdepartement worden afgerekend op basis van de afgesproken OPF-spelregels. In 2011 is er sprake van een lagere productie en/of bezetting dan eerder geraamd, waardoor de DJI deze middelen terugbetaalt aan het moederdepartement.</w:t>
      </w:r>
    </w:p>
    <w:p w:rsidRPr="00091536" w:rsidR="00315371" w:rsidP="00FA36B4" w:rsidRDefault="00315371">
      <w:pPr>
        <w:spacing w:line="276" w:lineRule="auto"/>
        <w:rPr>
          <w:rFonts w:ascii="Verdana" w:hAnsi="Verdana" w:cs="Courier New"/>
          <w:sz w:val="18"/>
          <w:szCs w:val="18"/>
        </w:rPr>
      </w:pPr>
    </w:p>
    <w:p w:rsidRPr="00091536" w:rsidR="00315371" w:rsidP="00FA36B4" w:rsidRDefault="00315371">
      <w:pPr>
        <w:spacing w:line="276" w:lineRule="auto"/>
        <w:rPr>
          <w:rFonts w:ascii="Verdana" w:hAnsi="Verdana" w:cs="Courier New"/>
          <w:i/>
          <w:sz w:val="18"/>
          <w:szCs w:val="18"/>
        </w:rPr>
      </w:pPr>
      <w:r w:rsidRPr="00091536">
        <w:rPr>
          <w:rFonts w:ascii="Verdana" w:hAnsi="Verdana" w:cs="Courier New"/>
          <w:i/>
          <w:sz w:val="18"/>
          <w:szCs w:val="18"/>
        </w:rPr>
        <w:t>Boeten en transacties</w:t>
      </w:r>
    </w:p>
    <w:p w:rsidR="00315371" w:rsidP="00FA36B4" w:rsidRDefault="00315371">
      <w:pPr>
        <w:spacing w:line="276" w:lineRule="auto"/>
        <w:rPr>
          <w:rFonts w:ascii="Verdana" w:hAnsi="Verdana" w:cs="Courier New"/>
          <w:sz w:val="18"/>
          <w:szCs w:val="18"/>
        </w:rPr>
      </w:pPr>
      <w:r w:rsidRPr="00091536">
        <w:rPr>
          <w:rFonts w:ascii="Verdana" w:hAnsi="Verdana" w:cs="Courier New"/>
          <w:sz w:val="18"/>
          <w:szCs w:val="18"/>
        </w:rPr>
        <w:t xml:space="preserve">De ontvangsten uit boeten en transacties vallen in 2012 naar verwachting 102 miljoen euro lager uit dan eerder was geraamd. Ten opzichte van 2010 is er sprake van een fors dalende instroom van zaken, vooral op het gebied van snelheidsovertredingen en staandehoudingen. Ook door vertraging van het in 2009 in gang gezette maatregelen ter dekking van de tegenvallers op boete en transacties heeft een negatief gevolg voor de ontvangsten. Tenslotte doet zich een daling van het aantal passanten voor, wat een daling in het aantal boetes door trajectcontroles tot gevolg heeft. </w:t>
      </w:r>
    </w:p>
    <w:p w:rsidRPr="00091536" w:rsidR="00315371" w:rsidP="00FA36B4" w:rsidRDefault="00315371">
      <w:pPr>
        <w:spacing w:line="276" w:lineRule="auto"/>
        <w:rPr>
          <w:rFonts w:ascii="Verdana" w:hAnsi="Verdana" w:cs="Courier New"/>
          <w:sz w:val="18"/>
          <w:szCs w:val="18"/>
        </w:rPr>
      </w:pPr>
    </w:p>
    <w:p w:rsidRPr="002E345F" w:rsidR="00315371" w:rsidP="00FA36B4" w:rsidRDefault="00315371">
      <w:pPr>
        <w:spacing w:line="276" w:lineRule="auto"/>
        <w:rPr>
          <w:rFonts w:ascii="Verdana" w:hAnsi="Verdana" w:cs="Courier New"/>
          <w:i/>
          <w:sz w:val="18"/>
          <w:szCs w:val="18"/>
        </w:rPr>
      </w:pPr>
      <w:r w:rsidRPr="002E345F">
        <w:rPr>
          <w:rFonts w:ascii="Verdana" w:hAnsi="Verdana" w:cs="Courier New"/>
          <w:i/>
          <w:sz w:val="18"/>
          <w:szCs w:val="18"/>
        </w:rPr>
        <w:t>Griffierechten</w:t>
      </w:r>
    </w:p>
    <w:p w:rsidR="00315371" w:rsidP="00FA36B4" w:rsidRDefault="00315371">
      <w:pPr>
        <w:spacing w:line="276" w:lineRule="auto"/>
        <w:rPr>
          <w:rFonts w:ascii="Verdana" w:hAnsi="Verdana" w:cs="Courier New"/>
          <w:sz w:val="18"/>
          <w:szCs w:val="18"/>
        </w:rPr>
      </w:pPr>
      <w:r>
        <w:rPr>
          <w:rFonts w:ascii="Verdana" w:hAnsi="Verdana" w:cs="Courier New"/>
          <w:sz w:val="18"/>
          <w:szCs w:val="18"/>
        </w:rPr>
        <w:t xml:space="preserve">Zie toelichting bij uitgaven. </w:t>
      </w:r>
    </w:p>
    <w:p w:rsidR="00315371" w:rsidP="000D477A" w:rsidRDefault="00315371">
      <w:pPr>
        <w:spacing w:line="276" w:lineRule="auto"/>
        <w:rPr>
          <w:rFonts w:ascii="Verdana" w:hAnsi="Verdana" w:cs="Courier New"/>
          <w:sz w:val="18"/>
          <w:szCs w:val="18"/>
        </w:rPr>
      </w:pPr>
    </w:p>
    <w:p w:rsidR="00315371" w:rsidP="00FB221E" w:rsidRDefault="00315371">
      <w:pPr>
        <w:rPr>
          <w:rFonts w:ascii="Courier New" w:hAnsi="Courier New" w:cs="Courier New"/>
          <w:sz w:val="14"/>
          <w:szCs w:val="14"/>
        </w:rPr>
      </w:pPr>
      <w:r w:rsidRPr="00091536">
        <w:rPr>
          <w:rFonts w:ascii="Verdana" w:hAnsi="Verdana" w:cs="Courier New"/>
          <w:sz w:val="18"/>
          <w:szCs w:val="18"/>
        </w:rPr>
        <w:t xml:space="preserve"> </w:t>
      </w:r>
    </w:p>
    <w:p w:rsidR="00315371" w:rsidRDefault="00315371">
      <w:pPr>
        <w:spacing w:after="200" w:line="276" w:lineRule="auto"/>
        <w:rPr>
          <w:rFonts w:ascii="Verdana" w:hAnsi="Verdana" w:cs="Courier New"/>
          <w:b/>
          <w:sz w:val="18"/>
          <w:szCs w:val="18"/>
        </w:rPr>
      </w:pPr>
      <w:r>
        <w:rPr>
          <w:rFonts w:ascii="Verdana" w:hAnsi="Verdana" w:cs="Courier New"/>
          <w:b/>
          <w:sz w:val="18"/>
          <w:szCs w:val="18"/>
        </w:rPr>
        <w:br w:type="page"/>
      </w:r>
    </w:p>
    <w:p w:rsidR="00315371" w:rsidP="00CE2A5B" w:rsidRDefault="00315371">
      <w:pPr>
        <w:spacing w:line="240" w:lineRule="exact"/>
        <w:rPr>
          <w:rFonts w:ascii="Verdana" w:hAnsi="Verdana" w:cs="Courier New"/>
          <w:b/>
          <w:sz w:val="18"/>
          <w:szCs w:val="18"/>
        </w:rPr>
      </w:pPr>
      <w:r w:rsidRPr="00CE2A5B">
        <w:rPr>
          <w:rFonts w:ascii="Verdana" w:hAnsi="Verdana" w:cs="Courier New"/>
          <w:b/>
          <w:sz w:val="18"/>
          <w:szCs w:val="18"/>
        </w:rPr>
        <w:t>Binnenlandse Zaken</w:t>
      </w:r>
    </w:p>
    <w:tbl>
      <w:tblPr>
        <w:tblW w:w="0" w:type="auto"/>
        <w:tblCellMar>
          <w:top w:w="15" w:type="dxa"/>
          <w:left w:w="15" w:type="dxa"/>
          <w:bottom w:w="15" w:type="dxa"/>
          <w:right w:w="15" w:type="dxa"/>
        </w:tblCellMar>
        <w:tblLook w:val="00A0"/>
      </w:tblPr>
      <w:tblGrid>
        <w:gridCol w:w="4924"/>
        <w:gridCol w:w="835"/>
        <w:gridCol w:w="835"/>
        <w:gridCol w:w="836"/>
        <w:gridCol w:w="836"/>
        <w:gridCol w:w="836"/>
      </w:tblGrid>
      <w:tr w:rsidRPr="00FA36B4" w:rsidR="00315371" w:rsidTr="00485A82">
        <w:tc>
          <w:tcPr>
            <w:tcW w:w="4699" w:type="dxa"/>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880" w:type="dxa"/>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880" w:type="dxa"/>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881" w:type="dxa"/>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881" w:type="dxa"/>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881" w:type="dxa"/>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VII BINNENLANDSE ZAKEN EN KONINKRIJKSRELATIES: UITGAVEN</w:t>
            </w:r>
          </w:p>
        </w:tc>
        <w:tc>
          <w:tcPr>
            <w:tcW w:w="0" w:type="auto"/>
            <w:gridSpan w:val="5"/>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bedragen in miljoenen euro's</w:t>
            </w:r>
          </w:p>
        </w:tc>
      </w:tr>
      <w:tr w:rsidRPr="00FA36B4" w:rsidR="00315371" w:rsidTr="006576B5">
        <w:tc>
          <w:tcPr>
            <w:tcW w:w="0" w:type="auto"/>
            <w:tcBorders>
              <w:top w:val="single" w:color="000000" w:sz="8" w:space="0"/>
              <w:left w:val="nil"/>
              <w:bottom w:val="single" w:color="000000" w:sz="8" w:space="0"/>
              <w:right w:val="nil"/>
            </w:tcBorders>
          </w:tcPr>
          <w:p w:rsidRPr="00FA36B4" w:rsidR="00315371" w:rsidP="006576B5" w:rsidRDefault="00315371">
            <w:pPr>
              <w:jc w:val="right"/>
              <w:rPr>
                <w:rFonts w:ascii="Verdana" w:hAnsi="Verdana" w:cs="Courier New"/>
                <w:sz w:val="16"/>
                <w:szCs w:val="16"/>
              </w:rPr>
            </w:pPr>
          </w:p>
        </w:tc>
        <w:tc>
          <w:tcPr>
            <w:tcW w:w="0" w:type="auto"/>
            <w:tcBorders>
              <w:top w:val="single" w:color="000000" w:sz="8" w:space="0"/>
              <w:left w:val="nil"/>
              <w:bottom w:val="single" w:color="000000" w:sz="8" w:space="0"/>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2012</w:t>
            </w:r>
          </w:p>
        </w:tc>
        <w:tc>
          <w:tcPr>
            <w:tcW w:w="0" w:type="auto"/>
            <w:tcBorders>
              <w:top w:val="single" w:color="000000" w:sz="8" w:space="0"/>
              <w:left w:val="nil"/>
              <w:bottom w:val="single" w:color="000000" w:sz="8" w:space="0"/>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2013</w:t>
            </w:r>
          </w:p>
        </w:tc>
        <w:tc>
          <w:tcPr>
            <w:tcW w:w="0" w:type="auto"/>
            <w:tcBorders>
              <w:top w:val="single" w:color="000000" w:sz="8" w:space="0"/>
              <w:left w:val="nil"/>
              <w:bottom w:val="single" w:color="000000" w:sz="8" w:space="0"/>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2014</w:t>
            </w:r>
          </w:p>
        </w:tc>
        <w:tc>
          <w:tcPr>
            <w:tcW w:w="0" w:type="auto"/>
            <w:tcBorders>
              <w:top w:val="single" w:color="000000" w:sz="8" w:space="0"/>
              <w:left w:val="nil"/>
              <w:bottom w:val="single" w:color="000000" w:sz="8" w:space="0"/>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2015</w:t>
            </w:r>
          </w:p>
        </w:tc>
        <w:tc>
          <w:tcPr>
            <w:tcW w:w="0" w:type="auto"/>
            <w:tcBorders>
              <w:top w:val="single" w:color="000000" w:sz="8" w:space="0"/>
              <w:left w:val="nil"/>
              <w:bottom w:val="single" w:color="000000" w:sz="8" w:space="0"/>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2016</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Stand Miljoenennota 2012 (excl. IS)</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4.808,8</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4.858,4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4.399,5</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4.326,3</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4.353,2</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Mee- en tegenvallers</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Mar>
              <w:top w:w="15" w:type="dxa"/>
              <w:left w:w="224" w:type="dxa"/>
              <w:bottom w:w="15" w:type="dxa"/>
              <w:right w:w="15" w:type="dxa"/>
            </w:tcMar>
          </w:tcPr>
          <w:p w:rsidRPr="00FA36B4" w:rsidR="00315371" w:rsidP="00FA36B4" w:rsidRDefault="00315371">
            <w:pPr>
              <w:ind w:firstLine="160" w:firstLineChars="100"/>
              <w:rPr>
                <w:rFonts w:ascii="Verdana" w:hAnsi="Verdana" w:cs="Courier New"/>
                <w:sz w:val="16"/>
                <w:szCs w:val="16"/>
              </w:rPr>
            </w:pPr>
            <w:r w:rsidRPr="00FA36B4">
              <w:rPr>
                <w:rFonts w:ascii="Verdana" w:hAnsi="Verdana" w:cs="Courier New"/>
                <w:sz w:val="16"/>
                <w:szCs w:val="16"/>
              </w:rPr>
              <w:t>Rijksbegroting in enge zin</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Huurtoeslag problematiek</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20,9</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Diversen</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13,5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34,4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Beleidsmatige mutaties</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Mar>
              <w:top w:w="15" w:type="dxa"/>
              <w:left w:w="224" w:type="dxa"/>
              <w:bottom w:w="15" w:type="dxa"/>
              <w:right w:w="15" w:type="dxa"/>
            </w:tcMar>
          </w:tcPr>
          <w:p w:rsidRPr="00FA36B4" w:rsidR="00315371" w:rsidP="00FA36B4" w:rsidRDefault="00315371">
            <w:pPr>
              <w:ind w:firstLine="160" w:firstLineChars="100"/>
              <w:rPr>
                <w:rFonts w:ascii="Verdana" w:hAnsi="Verdana" w:cs="Courier New"/>
                <w:sz w:val="16"/>
                <w:szCs w:val="16"/>
              </w:rPr>
            </w:pPr>
            <w:r w:rsidRPr="00FA36B4">
              <w:rPr>
                <w:rFonts w:ascii="Verdana" w:hAnsi="Verdana" w:cs="Courier New"/>
                <w:sz w:val="16"/>
                <w:szCs w:val="16"/>
              </w:rPr>
              <w:t>Rijksbegroting in enge zin</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Huurtoeslag dekking</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-20,9</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Mgba/orra</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-14,5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25,0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-10,5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Oda-toerekening</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-35,0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-15,9</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-8,2</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-12,2</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-12,5</w:t>
            </w: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Diversen</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19,0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-1,7</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-51,4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7,4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-18,7</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-12,2</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-12,5</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Technische mutaties</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Mar>
              <w:top w:w="15" w:type="dxa"/>
              <w:left w:w="224" w:type="dxa"/>
              <w:bottom w:w="15" w:type="dxa"/>
              <w:right w:w="15" w:type="dxa"/>
            </w:tcMar>
          </w:tcPr>
          <w:p w:rsidRPr="00FA36B4" w:rsidR="00315371" w:rsidP="00FA36B4" w:rsidRDefault="00315371">
            <w:pPr>
              <w:ind w:firstLine="160" w:firstLineChars="100"/>
              <w:rPr>
                <w:rFonts w:ascii="Verdana" w:hAnsi="Verdana" w:cs="Courier New"/>
                <w:sz w:val="16"/>
                <w:szCs w:val="16"/>
              </w:rPr>
            </w:pPr>
            <w:r w:rsidRPr="00FA36B4">
              <w:rPr>
                <w:rFonts w:ascii="Verdana" w:hAnsi="Verdana" w:cs="Courier New"/>
                <w:sz w:val="16"/>
                <w:szCs w:val="16"/>
              </w:rPr>
              <w:t>Rijksbegroting in enge zin</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Dienstverleningafspraken</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30,0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sidRPr="00FA36B4">
              <w:rPr>
                <w:rFonts w:ascii="Verdana" w:hAnsi="Verdana" w:cs="Courier New"/>
                <w:sz w:val="16"/>
                <w:szCs w:val="16"/>
              </w:rPr>
              <w:t>Diversen</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40,4</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-1,9</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-2,4</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-2,4</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-2,1</w:t>
            </w:r>
          </w:p>
        </w:tc>
      </w:tr>
      <w:tr w:rsidRPr="00FA36B4" w:rsidR="00315371" w:rsidTr="006576B5">
        <w:tc>
          <w:tcPr>
            <w:tcW w:w="0" w:type="auto"/>
            <w:tcBorders>
              <w:left w:val="nil"/>
              <w:right w:val="nil"/>
            </w:tcBorders>
            <w:tcMar>
              <w:top w:w="15" w:type="dxa"/>
              <w:left w:w="224" w:type="dxa"/>
              <w:bottom w:w="15" w:type="dxa"/>
              <w:right w:w="15" w:type="dxa"/>
            </w:tcMar>
          </w:tcPr>
          <w:p w:rsidRPr="00FA36B4" w:rsidR="00315371" w:rsidP="00FA36B4" w:rsidRDefault="00315371">
            <w:pPr>
              <w:ind w:firstLine="160" w:firstLineChars="100"/>
              <w:rPr>
                <w:rFonts w:ascii="Verdana" w:hAnsi="Verdana" w:cs="Courier New"/>
                <w:sz w:val="16"/>
                <w:szCs w:val="16"/>
              </w:rPr>
            </w:pPr>
            <w:r w:rsidRPr="00FA36B4">
              <w:rPr>
                <w:rFonts w:ascii="Verdana" w:hAnsi="Verdana" w:cs="Courier New"/>
                <w:sz w:val="16"/>
                <w:szCs w:val="16"/>
              </w:rPr>
              <w:t>Niet tot een ijklijn behorend</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Mar>
              <w:top w:w="15" w:type="dxa"/>
              <w:left w:w="449" w:type="dxa"/>
              <w:bottom w:w="15" w:type="dxa"/>
              <w:right w:w="15" w:type="dxa"/>
            </w:tcMar>
          </w:tcPr>
          <w:p w:rsidRPr="00FA36B4" w:rsidR="00315371" w:rsidP="00FA36B4" w:rsidRDefault="00315371">
            <w:pPr>
              <w:ind w:firstLine="320" w:firstLineChars="200"/>
              <w:rPr>
                <w:rFonts w:ascii="Verdana" w:hAnsi="Verdana" w:cs="Courier New"/>
                <w:sz w:val="16"/>
                <w:szCs w:val="16"/>
              </w:rPr>
            </w:pPr>
            <w:r>
              <w:rPr>
                <w:rFonts w:ascii="Verdana" w:hAnsi="Verdana" w:cs="Courier New"/>
                <w:sz w:val="16"/>
                <w:szCs w:val="16"/>
              </w:rPr>
              <w:t>Liquiditeitsbehoefte VUT</w:t>
            </w:r>
            <w:r w:rsidRPr="00FA36B4">
              <w:rPr>
                <w:rFonts w:ascii="Verdana" w:hAnsi="Verdana" w:cs="Courier New"/>
                <w:sz w:val="16"/>
                <w:szCs w:val="16"/>
              </w:rPr>
              <w:t>-fonds</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70,0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-210,0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0,0</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140,4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-211,9</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-2,1</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p>
        </w:tc>
        <w:tc>
          <w:tcPr>
            <w:tcW w:w="0" w:type="auto"/>
            <w:vAlign w:val="center"/>
          </w:tcPr>
          <w:p w:rsidRPr="00FA36B4" w:rsidR="00315371" w:rsidP="006576B5" w:rsidRDefault="00315371">
            <w:pPr>
              <w:rPr>
                <w:rFonts w:ascii="Verdana" w:hAnsi="Verdana"/>
                <w:sz w:val="16"/>
                <w:szCs w:val="16"/>
              </w:rPr>
            </w:pPr>
          </w:p>
        </w:tc>
        <w:tc>
          <w:tcPr>
            <w:tcW w:w="0" w:type="auto"/>
            <w:vAlign w:val="center"/>
          </w:tcPr>
          <w:p w:rsidRPr="00FA36B4" w:rsidR="00315371" w:rsidP="006576B5" w:rsidRDefault="00315371">
            <w:pPr>
              <w:rPr>
                <w:rFonts w:ascii="Verdana" w:hAnsi="Verdana"/>
                <w:sz w:val="16"/>
                <w:szCs w:val="16"/>
              </w:rPr>
            </w:pPr>
          </w:p>
        </w:tc>
        <w:tc>
          <w:tcPr>
            <w:tcW w:w="0" w:type="auto"/>
            <w:vAlign w:val="center"/>
          </w:tcPr>
          <w:p w:rsidRPr="00FA36B4" w:rsidR="00315371" w:rsidP="006576B5" w:rsidRDefault="00315371">
            <w:pPr>
              <w:rPr>
                <w:rFonts w:ascii="Verdana" w:hAnsi="Verdana"/>
                <w:sz w:val="16"/>
                <w:szCs w:val="16"/>
              </w:rPr>
            </w:pPr>
          </w:p>
        </w:tc>
        <w:tc>
          <w:tcPr>
            <w:tcW w:w="0" w:type="auto"/>
            <w:vAlign w:val="center"/>
          </w:tcPr>
          <w:p w:rsidRPr="00FA36B4" w:rsidR="00315371" w:rsidP="006576B5" w:rsidRDefault="00315371">
            <w:pPr>
              <w:rPr>
                <w:rFonts w:ascii="Verdana" w:hAnsi="Verdana"/>
                <w:sz w:val="16"/>
                <w:szCs w:val="16"/>
              </w:rPr>
            </w:pPr>
          </w:p>
        </w:tc>
        <w:tc>
          <w:tcPr>
            <w:tcW w:w="0" w:type="auto"/>
            <w:vAlign w:val="center"/>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Totaal mutaties sinds Miljoenennota 2012</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123,4</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-204,5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-21,1</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-14,5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-14,6</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 </w:t>
            </w: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c>
          <w:tcPr>
            <w:tcW w:w="0" w:type="auto"/>
          </w:tcPr>
          <w:p w:rsidRPr="00FA36B4" w:rsidR="00315371" w:rsidP="006576B5" w:rsidRDefault="00315371">
            <w:pPr>
              <w:rPr>
                <w:rFonts w:ascii="Verdana" w:hAnsi="Verdana"/>
                <w:sz w:val="16"/>
                <w:szCs w:val="16"/>
              </w:rPr>
            </w:pP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Stand Voorjaarsnota 2012 (subtotaal)</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4.932,3</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4.653,9</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4.378,3</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4.311,8</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4.338,7</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Totaal Internationale samenwerking</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0,5</w:t>
            </w:r>
          </w:p>
        </w:tc>
        <w:tc>
          <w:tcPr>
            <w:tcW w:w="0" w:type="auto"/>
            <w:tcBorders>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0,5</w:t>
            </w:r>
          </w:p>
        </w:tc>
      </w:tr>
      <w:tr w:rsidRPr="00FA36B4" w:rsidR="00315371" w:rsidTr="006576B5">
        <w:tc>
          <w:tcPr>
            <w:tcW w:w="0" w:type="auto"/>
            <w:tcBorders>
              <w:left w:val="nil"/>
              <w:right w:val="nil"/>
            </w:tcBorders>
          </w:tcPr>
          <w:p w:rsidRPr="00FA36B4" w:rsidR="00315371" w:rsidP="006576B5" w:rsidRDefault="00315371">
            <w:pPr>
              <w:rPr>
                <w:rFonts w:ascii="Verdana" w:hAnsi="Verdana" w:cs="Courier New"/>
                <w:sz w:val="16"/>
                <w:szCs w:val="16"/>
              </w:rPr>
            </w:pPr>
            <w:r w:rsidRPr="00FA36B4">
              <w:rPr>
                <w:rFonts w:ascii="Verdana" w:hAnsi="Verdana" w:cs="Courier New"/>
                <w:sz w:val="16"/>
                <w:szCs w:val="16"/>
              </w:rPr>
              <w:t>Stand Voorjaarsnota 2012</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4.932,8</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4.654,4</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4.378,8</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4.312,2</w:t>
            </w:r>
          </w:p>
        </w:tc>
        <w:tc>
          <w:tcPr>
            <w:tcW w:w="0" w:type="auto"/>
            <w:tcBorders>
              <w:top w:val="single" w:color="000000" w:sz="8" w:space="0"/>
              <w:left w:val="nil"/>
              <w:right w:val="nil"/>
            </w:tcBorders>
          </w:tcPr>
          <w:p w:rsidRPr="00FA36B4" w:rsidR="00315371" w:rsidP="006576B5" w:rsidRDefault="00315371">
            <w:pPr>
              <w:jc w:val="right"/>
              <w:rPr>
                <w:rFonts w:ascii="Verdana" w:hAnsi="Verdana" w:cs="Courier New"/>
                <w:sz w:val="16"/>
                <w:szCs w:val="16"/>
              </w:rPr>
            </w:pPr>
            <w:r w:rsidRPr="00FA36B4">
              <w:rPr>
                <w:rFonts w:ascii="Verdana" w:hAnsi="Verdana" w:cs="Courier New"/>
                <w:sz w:val="16"/>
                <w:szCs w:val="16"/>
              </w:rPr>
              <w:t>4.339,1</w:t>
            </w:r>
          </w:p>
        </w:tc>
      </w:tr>
    </w:tbl>
    <w:p w:rsidR="00315371" w:rsidP="002B2CBC" w:rsidRDefault="00315371">
      <w:pPr>
        <w:rPr>
          <w:rFonts w:ascii="Courier New" w:hAnsi="Courier New" w:cs="Courier New"/>
          <w:sz w:val="14"/>
          <w:szCs w:val="14"/>
        </w:rPr>
      </w:pPr>
      <w:r>
        <w:rPr>
          <w:rFonts w:ascii="Courier New" w:hAnsi="Courier New" w:cs="Courier New"/>
          <w:sz w:val="14"/>
          <w:szCs w:val="14"/>
        </w:rPr>
        <w:t> </w:t>
      </w:r>
    </w:p>
    <w:tbl>
      <w:tblPr>
        <w:tblW w:w="0" w:type="auto"/>
        <w:tblCellMar>
          <w:top w:w="15" w:type="dxa"/>
          <w:left w:w="15" w:type="dxa"/>
          <w:bottom w:w="15" w:type="dxa"/>
          <w:right w:w="15" w:type="dxa"/>
        </w:tblCellMar>
        <w:tblLook w:val="00A0"/>
      </w:tblPr>
      <w:tblGrid>
        <w:gridCol w:w="5573"/>
        <w:gridCol w:w="626"/>
        <w:gridCol w:w="626"/>
        <w:gridCol w:w="759"/>
        <w:gridCol w:w="759"/>
        <w:gridCol w:w="759"/>
      </w:tblGrid>
      <w:tr w:rsidRPr="002B2CBC" w:rsidR="00315371" w:rsidTr="002B2CBC">
        <w:tc>
          <w:tcPr>
            <w:tcW w:w="4786" w:type="dxa"/>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700" w:type="dxa"/>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700" w:type="dxa"/>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817" w:type="dxa"/>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817" w:type="dxa"/>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817" w:type="dxa"/>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VII BINNENLANDSE ZAKEN EN KONINKRIJKSRELATIES: NIET-BELASTINGONTVANGSTEN</w:t>
            </w:r>
          </w:p>
        </w:tc>
        <w:tc>
          <w:tcPr>
            <w:tcW w:w="0" w:type="auto"/>
            <w:gridSpan w:val="5"/>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bedragen in miljoenen euro's</w:t>
            </w:r>
          </w:p>
        </w:tc>
      </w:tr>
      <w:tr w:rsidRPr="002B2CBC" w:rsidR="00315371" w:rsidTr="002B2CBC">
        <w:tc>
          <w:tcPr>
            <w:tcW w:w="0" w:type="auto"/>
            <w:tcBorders>
              <w:top w:val="single" w:color="000000" w:sz="6" w:space="0"/>
              <w:left w:val="nil"/>
              <w:bottom w:val="single" w:color="000000" w:sz="6" w:space="0"/>
              <w:right w:val="nil"/>
            </w:tcBorders>
          </w:tcPr>
          <w:p w:rsidRPr="002B2CBC" w:rsidR="00315371" w:rsidP="002B2CBC" w:rsidRDefault="00315371">
            <w:pPr>
              <w:jc w:val="right"/>
              <w:rPr>
                <w:rFonts w:ascii="Verdana" w:hAnsi="Verdana" w:cs="Courier New"/>
                <w:sz w:val="16"/>
                <w:szCs w:val="16"/>
              </w:rPr>
            </w:pPr>
          </w:p>
        </w:tc>
        <w:tc>
          <w:tcPr>
            <w:tcW w:w="0" w:type="auto"/>
            <w:tcBorders>
              <w:top w:val="single" w:color="000000" w:sz="6" w:space="0"/>
              <w:left w:val="nil"/>
              <w:bottom w:val="single" w:color="000000" w:sz="6" w:space="0"/>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2012</w:t>
            </w:r>
          </w:p>
        </w:tc>
        <w:tc>
          <w:tcPr>
            <w:tcW w:w="0" w:type="auto"/>
            <w:tcBorders>
              <w:top w:val="single" w:color="000000" w:sz="6" w:space="0"/>
              <w:left w:val="nil"/>
              <w:bottom w:val="single" w:color="000000" w:sz="6" w:space="0"/>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2013</w:t>
            </w:r>
          </w:p>
        </w:tc>
        <w:tc>
          <w:tcPr>
            <w:tcW w:w="0" w:type="auto"/>
            <w:tcBorders>
              <w:top w:val="single" w:color="000000" w:sz="6" w:space="0"/>
              <w:left w:val="nil"/>
              <w:bottom w:val="single" w:color="000000" w:sz="6" w:space="0"/>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2014</w:t>
            </w:r>
          </w:p>
        </w:tc>
        <w:tc>
          <w:tcPr>
            <w:tcW w:w="0" w:type="auto"/>
            <w:tcBorders>
              <w:top w:val="single" w:color="000000" w:sz="6" w:space="0"/>
              <w:left w:val="nil"/>
              <w:bottom w:val="single" w:color="000000" w:sz="6" w:space="0"/>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2015</w:t>
            </w:r>
          </w:p>
        </w:tc>
        <w:tc>
          <w:tcPr>
            <w:tcW w:w="0" w:type="auto"/>
            <w:tcBorders>
              <w:top w:val="single" w:color="000000" w:sz="6" w:space="0"/>
              <w:left w:val="nil"/>
              <w:bottom w:val="single" w:color="000000" w:sz="6" w:space="0"/>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2016</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Stand Miljoenennota 2012 (excl. IS)</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665,6</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664,5</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1.611,2</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2.123,7</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1.549,7</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Mee- en tegenvallers</w:t>
            </w: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r>
      <w:tr w:rsidRPr="002B2CBC" w:rsidR="00315371" w:rsidTr="002B2CBC">
        <w:tc>
          <w:tcPr>
            <w:tcW w:w="0" w:type="auto"/>
            <w:tcBorders>
              <w:left w:val="nil"/>
              <w:right w:val="nil"/>
            </w:tcBorders>
            <w:tcMar>
              <w:top w:w="15" w:type="dxa"/>
              <w:left w:w="180" w:type="dxa"/>
              <w:bottom w:w="15" w:type="dxa"/>
              <w:right w:w="15" w:type="dxa"/>
            </w:tcMar>
          </w:tcPr>
          <w:p w:rsidRPr="002B2CBC" w:rsidR="00315371" w:rsidP="002B2CBC" w:rsidRDefault="00315371">
            <w:pPr>
              <w:ind w:firstLine="160" w:firstLineChars="100"/>
              <w:rPr>
                <w:rFonts w:ascii="Verdana" w:hAnsi="Verdana" w:cs="Courier New"/>
                <w:sz w:val="16"/>
                <w:szCs w:val="16"/>
              </w:rPr>
            </w:pPr>
            <w:r w:rsidRPr="002B2CBC">
              <w:rPr>
                <w:rFonts w:ascii="Verdana" w:hAnsi="Verdana" w:cs="Courier New"/>
                <w:sz w:val="16"/>
                <w:szCs w:val="16"/>
              </w:rPr>
              <w:t>Rijksbegroting in enge zin</w:t>
            </w: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r>
      <w:tr w:rsidRPr="002B2CBC" w:rsidR="00315371" w:rsidTr="002B2CBC">
        <w:tc>
          <w:tcPr>
            <w:tcW w:w="0" w:type="auto"/>
            <w:tcBorders>
              <w:left w:val="nil"/>
              <w:right w:val="nil"/>
            </w:tcBorders>
            <w:tcMar>
              <w:top w:w="15" w:type="dxa"/>
              <w:left w:w="360" w:type="dxa"/>
              <w:bottom w:w="15" w:type="dxa"/>
              <w:right w:w="15" w:type="dxa"/>
            </w:tcMar>
          </w:tcPr>
          <w:p w:rsidRPr="002B2CBC" w:rsidR="00315371" w:rsidP="002B2CBC" w:rsidRDefault="00315371">
            <w:pPr>
              <w:ind w:firstLine="320" w:firstLineChars="200"/>
              <w:rPr>
                <w:rFonts w:ascii="Verdana" w:hAnsi="Verdana" w:cs="Courier New"/>
                <w:sz w:val="16"/>
                <w:szCs w:val="16"/>
              </w:rPr>
            </w:pPr>
            <w:r w:rsidRPr="002B2CBC">
              <w:rPr>
                <w:rFonts w:ascii="Verdana" w:hAnsi="Verdana" w:cs="Courier New"/>
                <w:sz w:val="16"/>
                <w:szCs w:val="16"/>
              </w:rPr>
              <w:t>Diversen</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5,5</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3,9</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4,1</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-1,3</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5,5</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3,9</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4,1</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-1,0</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-1,3</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Technische mutaties</w:t>
            </w: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r>
      <w:tr w:rsidRPr="002B2CBC" w:rsidR="00315371" w:rsidTr="002B2CBC">
        <w:tc>
          <w:tcPr>
            <w:tcW w:w="0" w:type="auto"/>
            <w:tcBorders>
              <w:left w:val="nil"/>
              <w:right w:val="nil"/>
            </w:tcBorders>
            <w:tcMar>
              <w:top w:w="15" w:type="dxa"/>
              <w:left w:w="180" w:type="dxa"/>
              <w:bottom w:w="15" w:type="dxa"/>
              <w:right w:w="15" w:type="dxa"/>
            </w:tcMar>
          </w:tcPr>
          <w:p w:rsidRPr="002B2CBC" w:rsidR="00315371" w:rsidP="002B2CBC" w:rsidRDefault="00315371">
            <w:pPr>
              <w:ind w:firstLine="160" w:firstLineChars="100"/>
              <w:rPr>
                <w:rFonts w:ascii="Verdana" w:hAnsi="Verdana" w:cs="Courier New"/>
                <w:sz w:val="16"/>
                <w:szCs w:val="16"/>
              </w:rPr>
            </w:pPr>
            <w:r w:rsidRPr="002B2CBC">
              <w:rPr>
                <w:rFonts w:ascii="Verdana" w:hAnsi="Verdana" w:cs="Courier New"/>
                <w:sz w:val="16"/>
                <w:szCs w:val="16"/>
              </w:rPr>
              <w:t>Rijksbegroting in enge zin</w:t>
            </w: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r>
      <w:tr w:rsidRPr="002B2CBC" w:rsidR="00315371" w:rsidTr="002B2CBC">
        <w:tc>
          <w:tcPr>
            <w:tcW w:w="0" w:type="auto"/>
            <w:tcBorders>
              <w:left w:val="nil"/>
              <w:right w:val="nil"/>
            </w:tcBorders>
            <w:tcMar>
              <w:top w:w="15" w:type="dxa"/>
              <w:left w:w="360" w:type="dxa"/>
              <w:bottom w:w="15" w:type="dxa"/>
              <w:right w:w="15" w:type="dxa"/>
            </w:tcMar>
          </w:tcPr>
          <w:p w:rsidRPr="002B2CBC" w:rsidR="00315371" w:rsidP="002B2CBC" w:rsidRDefault="00315371">
            <w:pPr>
              <w:ind w:firstLine="320" w:firstLineChars="200"/>
              <w:rPr>
                <w:rFonts w:ascii="Verdana" w:hAnsi="Verdana" w:cs="Courier New"/>
                <w:sz w:val="16"/>
                <w:szCs w:val="16"/>
              </w:rPr>
            </w:pPr>
            <w:r w:rsidRPr="002B2CBC">
              <w:rPr>
                <w:rFonts w:ascii="Verdana" w:hAnsi="Verdana" w:cs="Courier New"/>
                <w:sz w:val="16"/>
                <w:szCs w:val="16"/>
              </w:rPr>
              <w:t>Dienstverleninafspraken</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30,0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r>
      <w:tr w:rsidRPr="002B2CBC" w:rsidR="00315371" w:rsidTr="002B2CBC">
        <w:tc>
          <w:tcPr>
            <w:tcW w:w="0" w:type="auto"/>
            <w:tcBorders>
              <w:left w:val="nil"/>
              <w:right w:val="nil"/>
            </w:tcBorders>
            <w:tcMar>
              <w:top w:w="15" w:type="dxa"/>
              <w:left w:w="360" w:type="dxa"/>
              <w:bottom w:w="15" w:type="dxa"/>
              <w:right w:w="15" w:type="dxa"/>
            </w:tcMar>
          </w:tcPr>
          <w:p w:rsidRPr="002B2CBC" w:rsidR="00315371" w:rsidP="002B2CBC" w:rsidRDefault="00315371">
            <w:pPr>
              <w:ind w:firstLine="320" w:firstLineChars="200"/>
              <w:rPr>
                <w:rFonts w:ascii="Verdana" w:hAnsi="Verdana" w:cs="Courier New"/>
                <w:sz w:val="16"/>
                <w:szCs w:val="16"/>
              </w:rPr>
            </w:pPr>
            <w:r w:rsidRPr="002B2CBC">
              <w:rPr>
                <w:rFonts w:ascii="Verdana" w:hAnsi="Verdana" w:cs="Courier New"/>
                <w:sz w:val="16"/>
                <w:szCs w:val="16"/>
              </w:rPr>
              <w:t>Diversen</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25,6</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55,6</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p>
        </w:tc>
        <w:tc>
          <w:tcPr>
            <w:tcW w:w="0" w:type="auto"/>
            <w:vAlign w:val="center"/>
          </w:tcPr>
          <w:p w:rsidRPr="002B2CBC" w:rsidR="00315371" w:rsidP="002B2CBC" w:rsidRDefault="00315371">
            <w:pPr>
              <w:rPr>
                <w:rFonts w:ascii="Verdana" w:hAnsi="Verdana"/>
                <w:sz w:val="16"/>
                <w:szCs w:val="16"/>
              </w:rPr>
            </w:pPr>
          </w:p>
        </w:tc>
        <w:tc>
          <w:tcPr>
            <w:tcW w:w="0" w:type="auto"/>
            <w:vAlign w:val="center"/>
          </w:tcPr>
          <w:p w:rsidRPr="002B2CBC" w:rsidR="00315371" w:rsidP="002B2CBC" w:rsidRDefault="00315371">
            <w:pPr>
              <w:rPr>
                <w:rFonts w:ascii="Verdana" w:hAnsi="Verdana"/>
                <w:sz w:val="16"/>
                <w:szCs w:val="16"/>
              </w:rPr>
            </w:pPr>
          </w:p>
        </w:tc>
        <w:tc>
          <w:tcPr>
            <w:tcW w:w="0" w:type="auto"/>
            <w:vAlign w:val="center"/>
          </w:tcPr>
          <w:p w:rsidRPr="002B2CBC" w:rsidR="00315371" w:rsidP="002B2CBC" w:rsidRDefault="00315371">
            <w:pPr>
              <w:rPr>
                <w:rFonts w:ascii="Verdana" w:hAnsi="Verdana"/>
                <w:sz w:val="16"/>
                <w:szCs w:val="16"/>
              </w:rPr>
            </w:pPr>
          </w:p>
        </w:tc>
        <w:tc>
          <w:tcPr>
            <w:tcW w:w="0" w:type="auto"/>
            <w:vAlign w:val="center"/>
          </w:tcPr>
          <w:p w:rsidRPr="002B2CBC" w:rsidR="00315371" w:rsidP="002B2CBC" w:rsidRDefault="00315371">
            <w:pPr>
              <w:rPr>
                <w:rFonts w:ascii="Verdana" w:hAnsi="Verdana"/>
                <w:sz w:val="16"/>
                <w:szCs w:val="16"/>
              </w:rPr>
            </w:pPr>
          </w:p>
        </w:tc>
        <w:tc>
          <w:tcPr>
            <w:tcW w:w="0" w:type="auto"/>
            <w:vAlign w:val="center"/>
          </w:tcPr>
          <w:p w:rsidRPr="002B2CBC" w:rsidR="00315371" w:rsidP="002B2CBC" w:rsidRDefault="00315371">
            <w:pPr>
              <w:rPr>
                <w:rFonts w:ascii="Verdana" w:hAnsi="Verdana"/>
                <w:sz w:val="16"/>
                <w:szCs w:val="16"/>
              </w:rPr>
            </w:pP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Totaal mutaties sinds Miljoenennota 2012</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61,1</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3,9</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4,1</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-1,3</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 </w:t>
            </w: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c>
          <w:tcPr>
            <w:tcW w:w="0" w:type="auto"/>
          </w:tcPr>
          <w:p w:rsidRPr="002B2CBC" w:rsidR="00315371" w:rsidP="002B2CBC" w:rsidRDefault="00315371">
            <w:pPr>
              <w:rPr>
                <w:rFonts w:ascii="Verdana" w:hAnsi="Verdana"/>
                <w:sz w:val="16"/>
                <w:szCs w:val="16"/>
              </w:rPr>
            </w:pP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Stand Voorjaarsnota 2012 (subtotaal)</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726,7</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668,4</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1.615,3</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2.122,7</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1.548,4</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Totaal Internationale samenwerking</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c>
          <w:tcPr>
            <w:tcW w:w="0" w:type="auto"/>
            <w:tcBorders>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0,0</w:t>
            </w:r>
          </w:p>
        </w:tc>
      </w:tr>
      <w:tr w:rsidRPr="002B2CBC" w:rsidR="00315371" w:rsidTr="002B2CBC">
        <w:tc>
          <w:tcPr>
            <w:tcW w:w="0" w:type="auto"/>
            <w:tcBorders>
              <w:left w:val="nil"/>
              <w:right w:val="nil"/>
            </w:tcBorders>
          </w:tcPr>
          <w:p w:rsidRPr="002B2CBC" w:rsidR="00315371" w:rsidP="002B2CBC" w:rsidRDefault="00315371">
            <w:pPr>
              <w:rPr>
                <w:rFonts w:ascii="Verdana" w:hAnsi="Verdana" w:cs="Courier New"/>
                <w:sz w:val="16"/>
                <w:szCs w:val="16"/>
              </w:rPr>
            </w:pPr>
            <w:r w:rsidRPr="002B2CBC">
              <w:rPr>
                <w:rFonts w:ascii="Verdana" w:hAnsi="Verdana" w:cs="Courier New"/>
                <w:sz w:val="16"/>
                <w:szCs w:val="16"/>
              </w:rPr>
              <w:t>Stand Voorjaarsnota 2012</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726,7</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668,4</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1.615,3</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2.122,7</w:t>
            </w:r>
          </w:p>
        </w:tc>
        <w:tc>
          <w:tcPr>
            <w:tcW w:w="0" w:type="auto"/>
            <w:tcBorders>
              <w:top w:val="single" w:color="000000" w:sz="6" w:space="0"/>
              <w:left w:val="nil"/>
              <w:right w:val="nil"/>
            </w:tcBorders>
          </w:tcPr>
          <w:p w:rsidRPr="002B2CBC" w:rsidR="00315371" w:rsidP="002B2CBC" w:rsidRDefault="00315371">
            <w:pPr>
              <w:jc w:val="right"/>
              <w:rPr>
                <w:rFonts w:ascii="Verdana" w:hAnsi="Verdana" w:cs="Courier New"/>
                <w:sz w:val="16"/>
                <w:szCs w:val="16"/>
              </w:rPr>
            </w:pPr>
            <w:r w:rsidRPr="002B2CBC">
              <w:rPr>
                <w:rFonts w:ascii="Verdana" w:hAnsi="Verdana" w:cs="Courier New"/>
                <w:sz w:val="16"/>
                <w:szCs w:val="16"/>
              </w:rPr>
              <w:t>1.548,4</w:t>
            </w:r>
          </w:p>
        </w:tc>
      </w:tr>
    </w:tbl>
    <w:p w:rsidR="00315371" w:rsidP="002B2CBC" w:rsidRDefault="00315371">
      <w:pPr>
        <w:rPr>
          <w:rFonts w:ascii="Verdana" w:hAnsi="Verdana"/>
          <w:i/>
          <w:sz w:val="18"/>
          <w:szCs w:val="18"/>
        </w:rPr>
      </w:pPr>
    </w:p>
    <w:p w:rsidR="00315371" w:rsidP="009A5BAD" w:rsidRDefault="00315371">
      <w:pPr>
        <w:spacing w:line="276" w:lineRule="auto"/>
        <w:rPr>
          <w:rFonts w:ascii="Verdana" w:hAnsi="Verdana"/>
          <w:i/>
          <w:iCs/>
          <w:color w:val="000000"/>
          <w:sz w:val="18"/>
          <w:szCs w:val="18"/>
        </w:rPr>
      </w:pPr>
      <w:r>
        <w:rPr>
          <w:rFonts w:ascii="Verdana" w:hAnsi="Verdana"/>
          <w:i/>
          <w:iCs/>
          <w:color w:val="000000"/>
          <w:sz w:val="18"/>
          <w:szCs w:val="18"/>
        </w:rPr>
        <w:t>Huurtoeslag problematiek/dekking</w:t>
      </w:r>
    </w:p>
    <w:p w:rsidR="00315371" w:rsidP="009A5BAD" w:rsidRDefault="00315371">
      <w:pPr>
        <w:spacing w:line="276" w:lineRule="auto"/>
        <w:rPr>
          <w:rFonts w:ascii="Verdana" w:hAnsi="Verdana"/>
          <w:sz w:val="18"/>
          <w:szCs w:val="18"/>
        </w:rPr>
      </w:pPr>
      <w:r w:rsidRPr="00064DE5">
        <w:rPr>
          <w:rFonts w:ascii="Verdana" w:hAnsi="Verdana"/>
          <w:sz w:val="18"/>
          <w:szCs w:val="18"/>
        </w:rPr>
        <w:t>De geraamde tegenvaller in de huurtoeslag wordt o.a. veroorzaakt door een stijging van het aantal bijstandsgerechtigden. De problematiek in 2012 wordt gedekt door een meevaller in de uitvoeringskosten voor de inkomensafhankelijke huurprijsstijging.</w:t>
      </w:r>
    </w:p>
    <w:p w:rsidR="00315371" w:rsidP="009A5BAD"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Diversen – Mee- en tegenvallers uitgaven</w:t>
      </w:r>
    </w:p>
    <w:p w:rsidRPr="00980437" w:rsidR="00315371" w:rsidP="00212995" w:rsidRDefault="00315371">
      <w:pPr>
        <w:spacing w:line="276" w:lineRule="auto"/>
        <w:rPr>
          <w:rFonts w:ascii="Verdana" w:hAnsi="Verdana"/>
          <w:sz w:val="18"/>
          <w:szCs w:val="18"/>
        </w:rPr>
      </w:pPr>
      <w:r>
        <w:rPr>
          <w:rFonts w:ascii="Verdana" w:hAnsi="Verdana"/>
          <w:sz w:val="18"/>
          <w:szCs w:val="18"/>
        </w:rPr>
        <w:t xml:space="preserve">In 2011 zijn diverse budgetten niet volledig tot besteding gekomen. Deze middelen gaan via de eindejaarsmarge over naar 2012. </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Mgba/orra</w:t>
      </w:r>
    </w:p>
    <w:p w:rsidRPr="00980437" w:rsidR="00315371" w:rsidP="00212995" w:rsidRDefault="00315371">
      <w:pPr>
        <w:spacing w:line="276" w:lineRule="auto"/>
        <w:rPr>
          <w:rFonts w:ascii="Verdana" w:hAnsi="Verdana"/>
          <w:sz w:val="18"/>
          <w:szCs w:val="18"/>
        </w:rPr>
      </w:pPr>
      <w:r>
        <w:rPr>
          <w:rFonts w:ascii="Verdana" w:hAnsi="Verdana"/>
          <w:sz w:val="18"/>
          <w:szCs w:val="18"/>
        </w:rPr>
        <w:t xml:space="preserve">De oplevering van de </w:t>
      </w:r>
      <w:r w:rsidRPr="00F23944">
        <w:rPr>
          <w:rFonts w:ascii="Verdana" w:hAnsi="Verdana"/>
          <w:sz w:val="18"/>
          <w:szCs w:val="18"/>
        </w:rPr>
        <w:t xml:space="preserve">online raadpleegbare reisdocumentenadministratie </w:t>
      </w:r>
      <w:r>
        <w:rPr>
          <w:rFonts w:ascii="Verdana" w:hAnsi="Verdana"/>
          <w:sz w:val="18"/>
          <w:szCs w:val="18"/>
        </w:rPr>
        <w:t>(ORRA) is vertraagd, waardoor</w:t>
      </w:r>
      <w:r w:rsidRPr="00980437">
        <w:rPr>
          <w:rFonts w:ascii="Verdana" w:hAnsi="Verdana"/>
          <w:sz w:val="18"/>
          <w:szCs w:val="18"/>
        </w:rPr>
        <w:t xml:space="preserve"> de baten- en lastendienst Basisadministratie Persoonsgegevens en Reisdocumenten (BPR) </w:t>
      </w:r>
      <w:r>
        <w:rPr>
          <w:rFonts w:ascii="Verdana" w:hAnsi="Verdana"/>
          <w:sz w:val="18"/>
          <w:szCs w:val="18"/>
        </w:rPr>
        <w:t xml:space="preserve">de </w:t>
      </w:r>
      <w:r w:rsidRPr="00980437">
        <w:rPr>
          <w:rFonts w:ascii="Verdana" w:hAnsi="Verdana"/>
          <w:sz w:val="18"/>
          <w:szCs w:val="18"/>
        </w:rPr>
        <w:t>ORRA niet in gebruik</w:t>
      </w:r>
      <w:r>
        <w:rPr>
          <w:rFonts w:ascii="Verdana" w:hAnsi="Verdana"/>
          <w:sz w:val="18"/>
          <w:szCs w:val="18"/>
        </w:rPr>
        <w:t xml:space="preserve"> kan</w:t>
      </w:r>
      <w:r w:rsidRPr="00980437">
        <w:rPr>
          <w:rFonts w:ascii="Verdana" w:hAnsi="Verdana"/>
          <w:sz w:val="18"/>
          <w:szCs w:val="18"/>
        </w:rPr>
        <w:t xml:space="preserve"> nemen. </w:t>
      </w:r>
      <w:r>
        <w:rPr>
          <w:rFonts w:ascii="Verdana" w:hAnsi="Verdana"/>
          <w:sz w:val="18"/>
          <w:szCs w:val="18"/>
        </w:rPr>
        <w:t xml:space="preserve">Met de opbrengst van de in beheer name had BZK de lening van 25 mln. uit het Gemeentefonds terug moeten betalen. </w:t>
      </w:r>
      <w:r w:rsidRPr="00980437">
        <w:rPr>
          <w:rFonts w:ascii="Verdana" w:hAnsi="Verdana"/>
          <w:sz w:val="18"/>
          <w:szCs w:val="18"/>
        </w:rPr>
        <w:t xml:space="preserve">Door </w:t>
      </w:r>
      <w:r>
        <w:rPr>
          <w:rFonts w:ascii="Verdana" w:hAnsi="Verdana"/>
          <w:sz w:val="18"/>
          <w:szCs w:val="18"/>
        </w:rPr>
        <w:t>een</w:t>
      </w:r>
      <w:r w:rsidRPr="00980437">
        <w:rPr>
          <w:rFonts w:ascii="Verdana" w:hAnsi="Verdana"/>
          <w:sz w:val="18"/>
          <w:szCs w:val="18"/>
        </w:rPr>
        <w:t xml:space="preserve"> </w:t>
      </w:r>
      <w:r>
        <w:rPr>
          <w:rFonts w:ascii="Verdana" w:hAnsi="Verdana"/>
          <w:sz w:val="18"/>
          <w:szCs w:val="18"/>
        </w:rPr>
        <w:t>kasschuif</w:t>
      </w:r>
      <w:r w:rsidRPr="00980437">
        <w:rPr>
          <w:rFonts w:ascii="Verdana" w:hAnsi="Verdana"/>
          <w:sz w:val="18"/>
          <w:szCs w:val="18"/>
        </w:rPr>
        <w:t xml:space="preserve"> van een deel van de voor ORRA beschikbare middelen van 2012 en 2014 naar 2013, kan het Gemeentefonds </w:t>
      </w:r>
      <w:r>
        <w:rPr>
          <w:rFonts w:ascii="Verdana" w:hAnsi="Verdana"/>
          <w:sz w:val="18"/>
          <w:szCs w:val="18"/>
        </w:rPr>
        <w:t xml:space="preserve">alsnog </w:t>
      </w:r>
      <w:r w:rsidRPr="00980437">
        <w:rPr>
          <w:rFonts w:ascii="Verdana" w:hAnsi="Verdana"/>
          <w:sz w:val="18"/>
          <w:szCs w:val="18"/>
        </w:rPr>
        <w:t>tijdig worden terugbetaald</w:t>
      </w:r>
      <w:r>
        <w:rPr>
          <w:rFonts w:ascii="Verdana" w:hAnsi="Verdana"/>
          <w:sz w:val="18"/>
          <w:szCs w:val="18"/>
        </w:rPr>
        <w:t xml:space="preserve">. </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ODA-toerekening</w:t>
      </w:r>
    </w:p>
    <w:p w:rsidRPr="0090380C" w:rsidR="00315371" w:rsidP="00212995" w:rsidRDefault="00315371">
      <w:pPr>
        <w:spacing w:line="276" w:lineRule="auto"/>
        <w:rPr>
          <w:rFonts w:ascii="Verdana" w:hAnsi="Verdana"/>
          <w:sz w:val="18"/>
          <w:szCs w:val="18"/>
        </w:rPr>
      </w:pPr>
      <w:r w:rsidRPr="0090380C">
        <w:rPr>
          <w:rFonts w:ascii="Verdana" w:hAnsi="Verdana"/>
          <w:sz w:val="18"/>
          <w:szCs w:val="18"/>
        </w:rPr>
        <w:t>Conform de internationale criteria worden de kosten die zijn gemaakt voor de eerstejaarsopvang van asielzoekers uit de DAC-landen toegerekend aan het ODA-budget. De</w:t>
      </w:r>
      <w:r>
        <w:rPr>
          <w:rFonts w:ascii="Verdana" w:hAnsi="Verdana"/>
          <w:sz w:val="18"/>
          <w:szCs w:val="18"/>
        </w:rPr>
        <w:t xml:space="preserve"> lagere</w:t>
      </w:r>
      <w:r w:rsidRPr="0090380C">
        <w:rPr>
          <w:rFonts w:ascii="Verdana" w:hAnsi="Verdana"/>
          <w:sz w:val="18"/>
          <w:szCs w:val="18"/>
        </w:rPr>
        <w:t xml:space="preserve"> instroom van asielzoekers </w:t>
      </w:r>
      <w:r>
        <w:rPr>
          <w:rFonts w:ascii="Verdana" w:hAnsi="Verdana"/>
          <w:sz w:val="18"/>
          <w:szCs w:val="18"/>
        </w:rPr>
        <w:t xml:space="preserve">en de actualisatie van de overige relevante variabelen leiden tot een structurele </w:t>
      </w:r>
      <w:r w:rsidRPr="0090380C">
        <w:rPr>
          <w:rFonts w:ascii="Verdana" w:hAnsi="Verdana"/>
          <w:sz w:val="18"/>
          <w:szCs w:val="18"/>
        </w:rPr>
        <w:t>neerwaartse bijstelling van de ODA-toerekening.</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Diversen – Beleidsmatige mutaties uitgaven</w:t>
      </w:r>
    </w:p>
    <w:p w:rsidR="00315371" w:rsidP="00212995" w:rsidRDefault="00315371">
      <w:pPr>
        <w:spacing w:line="276" w:lineRule="auto"/>
        <w:rPr>
          <w:rFonts w:ascii="Verdana" w:hAnsi="Verdana"/>
          <w:sz w:val="18"/>
          <w:szCs w:val="18"/>
        </w:rPr>
      </w:pPr>
      <w:r>
        <w:rPr>
          <w:rFonts w:ascii="Verdana" w:hAnsi="Verdana"/>
          <w:sz w:val="18"/>
          <w:szCs w:val="18"/>
        </w:rPr>
        <w:t xml:space="preserve">Door de aangekondigde prijsstijging van de Nederlandse Identiteitskaart voor jeugdigen (jeugd-NIK’s) zijn in 2011 extra uitgaven gemaakt. Een deel van de extra uitgaven loopt over de jaargrens heen. Tevens wordt een reservering aangehouden voor de verwachte extra uitgaven door de verplichting van een identiteitskaart voor jeugdigen bij een reis naar het buitenland per juni 2012. </w:t>
      </w:r>
    </w:p>
    <w:p w:rsidR="00315371" w:rsidP="00212995" w:rsidRDefault="00315371">
      <w:pPr>
        <w:spacing w:line="276" w:lineRule="auto"/>
        <w:rPr>
          <w:rFonts w:ascii="Verdana" w:hAnsi="Verdana"/>
          <w:i/>
          <w:sz w:val="18"/>
          <w:szCs w:val="18"/>
        </w:rPr>
      </w:pPr>
    </w:p>
    <w:p w:rsidR="00315371" w:rsidP="00800DE7" w:rsidRDefault="00315371">
      <w:pPr>
        <w:spacing w:line="276" w:lineRule="auto"/>
        <w:rPr>
          <w:rFonts w:ascii="Verdana" w:hAnsi="Verdana"/>
          <w:i/>
          <w:sz w:val="18"/>
          <w:szCs w:val="18"/>
        </w:rPr>
      </w:pPr>
      <w:r>
        <w:rPr>
          <w:rFonts w:ascii="Verdana" w:hAnsi="Verdana"/>
          <w:i/>
          <w:sz w:val="18"/>
          <w:szCs w:val="18"/>
        </w:rPr>
        <w:t>Dienstverleningsafspraken</w:t>
      </w:r>
    </w:p>
    <w:p w:rsidRPr="00F45413" w:rsidR="00315371" w:rsidP="00800DE7" w:rsidRDefault="00315371">
      <w:pPr>
        <w:spacing w:line="276" w:lineRule="auto"/>
        <w:rPr>
          <w:rFonts w:ascii="Verdana" w:hAnsi="Verdana"/>
          <w:b/>
          <w:sz w:val="18"/>
          <w:szCs w:val="18"/>
        </w:rPr>
      </w:pPr>
      <w:r>
        <w:rPr>
          <w:rFonts w:ascii="Verdana" w:hAnsi="Verdana"/>
          <w:sz w:val="18"/>
          <w:szCs w:val="18"/>
        </w:rPr>
        <w:t xml:space="preserve">De raming wordt aangepast voor de jaarlijkse dienstverleningafspraken met de Baten- en </w:t>
      </w:r>
      <w:r w:rsidRPr="00BC49E1">
        <w:rPr>
          <w:rFonts w:ascii="Verdana" w:hAnsi="Verdana"/>
          <w:sz w:val="18"/>
          <w:szCs w:val="18"/>
        </w:rPr>
        <w:t>Lastendiensten Doc-Direkt, Logius, P-Direkt en De Werkmaatschappij. De</w:t>
      </w:r>
      <w:r>
        <w:rPr>
          <w:rFonts w:ascii="Verdana" w:hAnsi="Verdana"/>
          <w:sz w:val="18"/>
          <w:szCs w:val="18"/>
        </w:rPr>
        <w:t xml:space="preserve"> geraamde uitgaven zijn in lijn met de geraamde ontvangsten. </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Diversen – Technische mutaties</w:t>
      </w:r>
    </w:p>
    <w:p w:rsidR="00315371" w:rsidP="00212995" w:rsidRDefault="00315371">
      <w:pPr>
        <w:spacing w:line="276" w:lineRule="auto"/>
        <w:rPr>
          <w:rFonts w:ascii="Verdana" w:hAnsi="Verdana"/>
          <w:i/>
          <w:sz w:val="18"/>
          <w:szCs w:val="18"/>
        </w:rPr>
      </w:pPr>
      <w:r>
        <w:rPr>
          <w:rFonts w:ascii="Verdana" w:hAnsi="Verdana"/>
          <w:sz w:val="18"/>
          <w:szCs w:val="18"/>
        </w:rPr>
        <w:t xml:space="preserve">Het personeels- en bedrijfsvoeringsbudget van het voormalig Shared Service ICT van het Ministerie van Infrastructuur en Milieu wordt toegevoegd aan het apparaatbudget van BZK, en wordt een onderdeel van SSC ICT.  </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Liquiditeitsbehoefte VUT-fonds</w:t>
      </w:r>
    </w:p>
    <w:p w:rsidRPr="005C1001" w:rsidR="00315371" w:rsidP="00212995" w:rsidRDefault="00315371">
      <w:pPr>
        <w:spacing w:line="276" w:lineRule="auto"/>
        <w:rPr>
          <w:rFonts w:ascii="Verdana" w:hAnsi="Verdana"/>
          <w:sz w:val="18"/>
          <w:szCs w:val="18"/>
        </w:rPr>
      </w:pPr>
      <w:r>
        <w:rPr>
          <w:rFonts w:ascii="Verdana" w:hAnsi="Verdana"/>
          <w:sz w:val="18"/>
          <w:szCs w:val="18"/>
        </w:rPr>
        <w:t>De leenbehoefte van het VUT-fonds is gewijzigd, omdat o</w:t>
      </w:r>
      <w:r w:rsidRPr="005C1001">
        <w:rPr>
          <w:rFonts w:ascii="Verdana" w:hAnsi="Verdana"/>
          <w:sz w:val="18"/>
          <w:szCs w:val="18"/>
        </w:rPr>
        <w:t>p grond van nadere analyses blijkt dat steeds meer mensen besluiten later gebruik te maken van het Flexibel Pensioen en Uittreding regeling (FPU). Dit leidt tot een ramingsbijstelling.</w:t>
      </w:r>
    </w:p>
    <w:p w:rsidR="00315371" w:rsidP="00212995" w:rsidRDefault="00315371">
      <w:pPr>
        <w:spacing w:line="276" w:lineRule="auto"/>
        <w:rPr>
          <w:rFonts w:ascii="Courier New" w:hAnsi="Courier New" w:cs="Courier New"/>
          <w:sz w:val="14"/>
          <w:szCs w:val="14"/>
        </w:rPr>
      </w:pPr>
    </w:p>
    <w:p w:rsidR="00315371" w:rsidP="00212995" w:rsidRDefault="00315371">
      <w:pPr>
        <w:spacing w:line="276" w:lineRule="auto"/>
        <w:rPr>
          <w:rFonts w:ascii="Verdana" w:hAnsi="Verdana"/>
          <w:i/>
          <w:sz w:val="18"/>
          <w:szCs w:val="18"/>
        </w:rPr>
      </w:pPr>
      <w:r>
        <w:rPr>
          <w:rFonts w:ascii="Verdana" w:hAnsi="Verdana"/>
          <w:i/>
          <w:sz w:val="18"/>
          <w:szCs w:val="18"/>
        </w:rPr>
        <w:t>Diversen – Mee- en tegenvallers uitgaven</w:t>
      </w:r>
    </w:p>
    <w:p w:rsidRPr="00F23944" w:rsidR="00315371" w:rsidP="00212995" w:rsidRDefault="00315371">
      <w:pPr>
        <w:pStyle w:val="Heading4"/>
        <w:spacing w:before="0" w:beforeAutospacing="0" w:after="0" w:afterAutospacing="0" w:line="276" w:lineRule="auto"/>
        <w:rPr>
          <w:rFonts w:ascii="Verdana" w:hAnsi="Verdana"/>
          <w:b w:val="0"/>
          <w:sz w:val="18"/>
          <w:szCs w:val="18"/>
        </w:rPr>
      </w:pPr>
      <w:r w:rsidRPr="00F23944">
        <w:rPr>
          <w:rFonts w:ascii="Verdana" w:hAnsi="Verdana"/>
          <w:b w:val="0"/>
          <w:sz w:val="18"/>
          <w:szCs w:val="18"/>
        </w:rPr>
        <w:t xml:space="preserve">Het Rijk heeft tot 1 januari 2011 de woningbouw (via gemeenten) ondersteund met de Tijdelijke Stimuleringsregeling Woningbouwprojecten. Voor zover gemeenten een bijdrage </w:t>
      </w:r>
      <w:r>
        <w:rPr>
          <w:rFonts w:ascii="Verdana" w:hAnsi="Verdana"/>
          <w:b w:val="0"/>
          <w:sz w:val="18"/>
          <w:szCs w:val="18"/>
        </w:rPr>
        <w:t>hebben ontvangen voor projecten,</w:t>
      </w:r>
      <w:r w:rsidRPr="00F23944">
        <w:rPr>
          <w:rFonts w:ascii="Verdana" w:hAnsi="Verdana"/>
          <w:b w:val="0"/>
          <w:sz w:val="18"/>
          <w:szCs w:val="18"/>
        </w:rPr>
        <w:t xml:space="preserve"> die niet vóór 1 januari 2011 van start zijn gegaan, is dat terugbetaald aan het Rijk. </w:t>
      </w:r>
      <w:r>
        <w:rPr>
          <w:rFonts w:ascii="Verdana" w:hAnsi="Verdana"/>
          <w:b w:val="0"/>
          <w:sz w:val="18"/>
          <w:szCs w:val="18"/>
        </w:rPr>
        <w:t>In 2012 gaat het om in totaal circa 4,2 mln</w:t>
      </w:r>
      <w:r w:rsidRPr="00F23944">
        <w:rPr>
          <w:rFonts w:ascii="Verdana" w:hAnsi="Verdana"/>
          <w:b w:val="0"/>
          <w:sz w:val="18"/>
          <w:szCs w:val="18"/>
        </w:rPr>
        <w:t>.</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Diversen – Technische mutaties</w:t>
      </w:r>
    </w:p>
    <w:p w:rsidR="00315371" w:rsidP="00212995" w:rsidRDefault="00315371">
      <w:pPr>
        <w:spacing w:line="276" w:lineRule="auto"/>
      </w:pPr>
      <w:r>
        <w:rPr>
          <w:rFonts w:ascii="Verdana" w:hAnsi="Verdana"/>
          <w:sz w:val="18"/>
          <w:szCs w:val="18"/>
        </w:rPr>
        <w:t>De ontvangsten gegenereerd uit de door de Basisadministratie Persoonsgegevens en Reisdocumenten (BPR) geheven leges worden ingezet voor het Reisdocumentenprogramma.</w:t>
      </w:r>
    </w:p>
    <w:p w:rsidR="00315371" w:rsidP="00212995" w:rsidRDefault="00315371">
      <w:pPr>
        <w:spacing w:after="200" w:line="276" w:lineRule="auto"/>
        <w:rPr>
          <w:rFonts w:ascii="Verdana" w:hAnsi="Verdana"/>
          <w:b/>
          <w:sz w:val="18"/>
          <w:szCs w:val="18"/>
        </w:rPr>
      </w:pPr>
      <w:r>
        <w:rPr>
          <w:rFonts w:ascii="Verdana" w:hAnsi="Verdana"/>
          <w:b/>
          <w:sz w:val="18"/>
          <w:szCs w:val="18"/>
        </w:rPr>
        <w:br w:type="page"/>
      </w:r>
    </w:p>
    <w:p w:rsidRPr="00383EE3" w:rsidR="00315371" w:rsidP="00CE2A5B" w:rsidRDefault="00315371">
      <w:pPr>
        <w:spacing w:line="240" w:lineRule="exact"/>
        <w:rPr>
          <w:rFonts w:ascii="Verdana" w:hAnsi="Verdana"/>
          <w:b/>
          <w:sz w:val="18"/>
          <w:szCs w:val="18"/>
        </w:rPr>
      </w:pPr>
      <w:r w:rsidRPr="00383EE3">
        <w:rPr>
          <w:rFonts w:ascii="Verdana" w:hAnsi="Verdana"/>
          <w:b/>
          <w:sz w:val="18"/>
          <w:szCs w:val="18"/>
        </w:rPr>
        <w:t>Onderwijs, Cultuur en Wetenschap</w:t>
      </w:r>
    </w:p>
    <w:tbl>
      <w:tblPr>
        <w:tblW w:w="5000" w:type="pct"/>
        <w:tblCellMar>
          <w:top w:w="15" w:type="dxa"/>
          <w:left w:w="15" w:type="dxa"/>
          <w:bottom w:w="15" w:type="dxa"/>
          <w:right w:w="15" w:type="dxa"/>
        </w:tblCellMar>
        <w:tblLook w:val="00A0"/>
      </w:tblPr>
      <w:tblGrid>
        <w:gridCol w:w="4250"/>
        <w:gridCol w:w="970"/>
        <w:gridCol w:w="970"/>
        <w:gridCol w:w="970"/>
        <w:gridCol w:w="970"/>
        <w:gridCol w:w="972"/>
      </w:tblGrid>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5"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VIII ONDERWIJS, CULTUUR EN WETENSCHAP: UITGAVEN</w:t>
            </w:r>
          </w:p>
        </w:tc>
        <w:tc>
          <w:tcPr>
            <w:tcW w:w="2666" w:type="pct"/>
            <w:gridSpan w:val="5"/>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bedragen in miljoenen euro's</w:t>
            </w:r>
          </w:p>
        </w:tc>
      </w:tr>
      <w:tr w:rsidRPr="00212995" w:rsidR="00315371" w:rsidTr="00212995">
        <w:tc>
          <w:tcPr>
            <w:tcW w:w="2334"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p>
        </w:tc>
        <w:tc>
          <w:tcPr>
            <w:tcW w:w="533"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2012</w:t>
            </w:r>
          </w:p>
        </w:tc>
        <w:tc>
          <w:tcPr>
            <w:tcW w:w="533"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2013</w:t>
            </w:r>
          </w:p>
        </w:tc>
        <w:tc>
          <w:tcPr>
            <w:tcW w:w="533"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2014</w:t>
            </w:r>
          </w:p>
        </w:tc>
        <w:tc>
          <w:tcPr>
            <w:tcW w:w="533"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2015</w:t>
            </w:r>
          </w:p>
        </w:tc>
        <w:tc>
          <w:tcPr>
            <w:tcW w:w="535"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2016</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Miljoenennota 2012 (excl. IS)</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33.625,5</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33.975,8</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33.875,2</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33.502,8</w:t>
            </w:r>
          </w:p>
        </w:tc>
        <w:tc>
          <w:tcPr>
            <w:tcW w:w="53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33.689,3</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Mee- en tegenvallers</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Mar>
              <w:top w:w="15" w:type="dxa"/>
              <w:left w:w="180"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Leerlingen volume referentieraming 2012</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-73,0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-222,0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-224,8</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-207,6</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-180,7</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Raming studiefinanciering</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-70,5</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-53,1</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-53,7</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-47,4</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-76,8</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-143,5</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-275,1</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-278,5</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-255,0</w:t>
            </w:r>
          </w:p>
        </w:tc>
        <w:tc>
          <w:tcPr>
            <w:tcW w:w="53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-257,5</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Beleidsmatige mutaties</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Mar>
              <w:top w:w="15" w:type="dxa"/>
              <w:left w:w="180"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Eindejaarsmarge</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219,0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Incidentele taakstelling</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59,1</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Intertemporele compensatie cao vo</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56,0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-56,0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Intertemporele compensatie convenanten rmc-regio's</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0,7</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-35,2</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8,6</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8,3</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8,3</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Ophoging ovsk-norm</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-42,1</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-29,4</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-17,8</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-14,5</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-13,8</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Reservering op nominaal en onvoorzien</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136,3</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258,5</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258,7</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234,5</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174,3</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-20,9</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31,0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37,5</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42,4</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34,4</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349,0</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168,9</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287,0</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270,7</w:t>
            </w:r>
          </w:p>
        </w:tc>
        <w:tc>
          <w:tcPr>
            <w:tcW w:w="53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262,3</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Technische mutaties</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Mar>
              <w:top w:w="15" w:type="dxa"/>
              <w:left w:w="180"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Loonbijstelling tranche 2012 (werkgeverslasten)</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110,9</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110,7</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109,8</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108,8</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109,3</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3,6</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6,7</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9,9</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4,2</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6,5</w:t>
            </w:r>
          </w:p>
        </w:tc>
      </w:tr>
      <w:tr w:rsidRPr="00212995" w:rsidR="00315371" w:rsidTr="00212995">
        <w:tc>
          <w:tcPr>
            <w:tcW w:w="2334" w:type="pct"/>
            <w:tcBorders>
              <w:left w:val="nil"/>
              <w:right w:val="nil"/>
            </w:tcBorders>
            <w:tcMar>
              <w:top w:w="15" w:type="dxa"/>
              <w:left w:w="180"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Niet tot een ijklijn behorend</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Niet-relevante ophoging ovsk-norm</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-42,8</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-58,4</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-71,8</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-52,0</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-47,1</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Niet-relevante raming studiefinanciering</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95,3</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105,5</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95,3</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112,4</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172,9</w:t>
            </w:r>
          </w:p>
        </w:tc>
      </w:tr>
      <w:tr w:rsidRPr="00212995" w:rsidR="00315371" w:rsidTr="00212995">
        <w:tc>
          <w:tcPr>
            <w:tcW w:w="2334"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-41,2</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-40,0</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-3,1</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19,6</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19,9</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125,8</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124,5</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140,1</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193,0</w:t>
            </w:r>
          </w:p>
        </w:tc>
        <w:tc>
          <w:tcPr>
            <w:tcW w:w="53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261,5</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p>
        </w:tc>
        <w:tc>
          <w:tcPr>
            <w:tcW w:w="533" w:type="pct"/>
            <w:vAlign w:val="center"/>
          </w:tcPr>
          <w:p w:rsidRPr="00212995" w:rsidR="00315371" w:rsidP="00435346" w:rsidRDefault="00315371">
            <w:pPr>
              <w:rPr>
                <w:rFonts w:ascii="Verdana" w:hAnsi="Verdana"/>
                <w:sz w:val="16"/>
                <w:szCs w:val="16"/>
              </w:rPr>
            </w:pPr>
          </w:p>
        </w:tc>
        <w:tc>
          <w:tcPr>
            <w:tcW w:w="533" w:type="pct"/>
            <w:vAlign w:val="center"/>
          </w:tcPr>
          <w:p w:rsidRPr="00212995" w:rsidR="00315371" w:rsidP="00435346" w:rsidRDefault="00315371">
            <w:pPr>
              <w:rPr>
                <w:rFonts w:ascii="Verdana" w:hAnsi="Verdana"/>
                <w:sz w:val="16"/>
                <w:szCs w:val="16"/>
              </w:rPr>
            </w:pPr>
          </w:p>
        </w:tc>
        <w:tc>
          <w:tcPr>
            <w:tcW w:w="533" w:type="pct"/>
            <w:vAlign w:val="center"/>
          </w:tcPr>
          <w:p w:rsidRPr="00212995" w:rsidR="00315371" w:rsidP="00435346" w:rsidRDefault="00315371">
            <w:pPr>
              <w:rPr>
                <w:rFonts w:ascii="Verdana" w:hAnsi="Verdana"/>
                <w:sz w:val="16"/>
                <w:szCs w:val="16"/>
              </w:rPr>
            </w:pPr>
          </w:p>
        </w:tc>
        <w:tc>
          <w:tcPr>
            <w:tcW w:w="533" w:type="pct"/>
            <w:vAlign w:val="center"/>
          </w:tcPr>
          <w:p w:rsidRPr="00212995" w:rsidR="00315371" w:rsidP="00435346" w:rsidRDefault="00315371">
            <w:pPr>
              <w:rPr>
                <w:rFonts w:ascii="Verdana" w:hAnsi="Verdana"/>
                <w:sz w:val="16"/>
                <w:szCs w:val="16"/>
              </w:rPr>
            </w:pPr>
          </w:p>
        </w:tc>
        <w:tc>
          <w:tcPr>
            <w:tcW w:w="535" w:type="pct"/>
            <w:vAlign w:val="center"/>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mutaties sinds Miljoenennota 2012</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331,4</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18,3</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148,7</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208,8</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266,5</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3" w:type="pct"/>
          </w:tcPr>
          <w:p w:rsidRPr="00212995" w:rsidR="00315371" w:rsidP="00435346" w:rsidRDefault="00315371">
            <w:pPr>
              <w:rPr>
                <w:rFonts w:ascii="Verdana" w:hAnsi="Verdana"/>
                <w:sz w:val="16"/>
                <w:szCs w:val="16"/>
              </w:rPr>
            </w:pPr>
          </w:p>
        </w:tc>
        <w:tc>
          <w:tcPr>
            <w:tcW w:w="535" w:type="pct"/>
          </w:tcPr>
          <w:p w:rsidRPr="00212995" w:rsidR="00315371" w:rsidP="00435346" w:rsidRDefault="00315371">
            <w:pPr>
              <w:rPr>
                <w:rFonts w:ascii="Verdana" w:hAnsi="Verdana"/>
                <w:sz w:val="16"/>
                <w:szCs w:val="16"/>
              </w:rPr>
            </w:pP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 (subtotaal)</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33.956,9</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33.994,0</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34.023,9</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33.711,6</w:t>
            </w:r>
          </w:p>
        </w:tc>
        <w:tc>
          <w:tcPr>
            <w:tcW w:w="53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33.955,8</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Internationale samenwerking</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69,5</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67,4</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67,1</w:t>
            </w:r>
          </w:p>
        </w:tc>
        <w:tc>
          <w:tcPr>
            <w:tcW w:w="53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67,1</w:t>
            </w:r>
          </w:p>
        </w:tc>
        <w:tc>
          <w:tcPr>
            <w:tcW w:w="53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67,1</w:t>
            </w:r>
          </w:p>
        </w:tc>
      </w:tr>
      <w:tr w:rsidRPr="00212995" w:rsidR="00315371" w:rsidTr="00212995">
        <w:tc>
          <w:tcPr>
            <w:tcW w:w="2334"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34.026,4</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34.061,4</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34.091,0</w:t>
            </w:r>
          </w:p>
        </w:tc>
        <w:tc>
          <w:tcPr>
            <w:tcW w:w="533"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33.778,7</w:t>
            </w:r>
          </w:p>
        </w:tc>
        <w:tc>
          <w:tcPr>
            <w:tcW w:w="53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34.022,9</w:t>
            </w:r>
          </w:p>
        </w:tc>
      </w:tr>
    </w:tbl>
    <w:p w:rsidR="00315371" w:rsidP="00697641" w:rsidRDefault="00315371">
      <w:pPr>
        <w:spacing w:line="240" w:lineRule="exact"/>
        <w:rPr>
          <w:rFonts w:ascii="Verdana" w:hAnsi="Verdana"/>
          <w:b/>
          <w:sz w:val="18"/>
          <w:szCs w:val="18"/>
        </w:rPr>
      </w:pPr>
    </w:p>
    <w:p w:rsidR="00315371" w:rsidP="00697641" w:rsidRDefault="00315371">
      <w:pPr>
        <w:spacing w:line="240" w:lineRule="exact"/>
        <w:rPr>
          <w:rFonts w:ascii="Verdana" w:hAnsi="Verdana"/>
          <w:b/>
          <w:sz w:val="18"/>
          <w:szCs w:val="18"/>
        </w:rPr>
      </w:pPr>
    </w:p>
    <w:tbl>
      <w:tblPr>
        <w:tblW w:w="5000" w:type="pct"/>
        <w:tblCellMar>
          <w:top w:w="15" w:type="dxa"/>
          <w:left w:w="15" w:type="dxa"/>
          <w:bottom w:w="15" w:type="dxa"/>
          <w:right w:w="15" w:type="dxa"/>
        </w:tblCellMar>
        <w:tblLook w:val="00A0"/>
      </w:tblPr>
      <w:tblGrid>
        <w:gridCol w:w="4691"/>
        <w:gridCol w:w="883"/>
        <w:gridCol w:w="883"/>
        <w:gridCol w:w="883"/>
        <w:gridCol w:w="883"/>
        <w:gridCol w:w="879"/>
      </w:tblGrid>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VIII ONDERWIJS, CULTUUR EN WETENSCHAP: NIET-BELASTINGONTVANGSTEN</w:t>
            </w:r>
          </w:p>
        </w:tc>
        <w:tc>
          <w:tcPr>
            <w:tcW w:w="2423" w:type="pct"/>
            <w:gridSpan w:val="5"/>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bedragen in miljoenen euro's</w:t>
            </w:r>
          </w:p>
        </w:tc>
      </w:tr>
      <w:tr w:rsidRPr="00212995" w:rsidR="00315371" w:rsidTr="00212995">
        <w:tc>
          <w:tcPr>
            <w:tcW w:w="2577"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p>
        </w:tc>
        <w:tc>
          <w:tcPr>
            <w:tcW w:w="485"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2012</w:t>
            </w:r>
          </w:p>
        </w:tc>
        <w:tc>
          <w:tcPr>
            <w:tcW w:w="485"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2013</w:t>
            </w:r>
          </w:p>
        </w:tc>
        <w:tc>
          <w:tcPr>
            <w:tcW w:w="485"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2014</w:t>
            </w:r>
          </w:p>
        </w:tc>
        <w:tc>
          <w:tcPr>
            <w:tcW w:w="485"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2015</w:t>
            </w:r>
          </w:p>
        </w:tc>
        <w:tc>
          <w:tcPr>
            <w:tcW w:w="485" w:type="pct"/>
            <w:tcBorders>
              <w:top w:val="single" w:color="000000" w:sz="6" w:space="0"/>
              <w:left w:val="nil"/>
              <w:bottom w:val="single" w:color="000000" w:sz="6"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2016</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Miljoenennota 2012 (excl. IS)</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1.197,6</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1.267,4</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1.345,3</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1.415,7</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1.499,5</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Mee- en tegenvallers</w:t>
            </w: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r>
      <w:tr w:rsidRPr="00212995" w:rsidR="00315371" w:rsidTr="00212995">
        <w:tc>
          <w:tcPr>
            <w:tcW w:w="2577" w:type="pct"/>
            <w:tcBorders>
              <w:left w:val="nil"/>
              <w:right w:val="nil"/>
            </w:tcBorders>
            <w:tcMar>
              <w:top w:w="15" w:type="dxa"/>
              <w:left w:w="180"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r>
      <w:tr w:rsidRPr="00212995" w:rsidR="00315371" w:rsidTr="00212995">
        <w:tc>
          <w:tcPr>
            <w:tcW w:w="2577"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Raming studiefinanciering</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-15,7</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-25,2</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-30,0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-33,3</w:t>
            </w:r>
          </w:p>
        </w:tc>
      </w:tr>
      <w:tr w:rsidRPr="00212995" w:rsidR="00315371" w:rsidTr="00212995">
        <w:tc>
          <w:tcPr>
            <w:tcW w:w="2577"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Rente studiefinanciering</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-20,5</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-24,6</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-26,4</w:t>
            </w:r>
          </w:p>
        </w:tc>
      </w:tr>
      <w:tr w:rsidRPr="00212995" w:rsidR="00315371" w:rsidTr="00212995">
        <w:tc>
          <w:tcPr>
            <w:tcW w:w="2577"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-4,2</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-0,9</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5,4</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9,6</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9,2</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-27,7</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-36,6</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-39,9</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-45,0</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-50,5</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Technische mutaties</w:t>
            </w: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r>
      <w:tr w:rsidRPr="00212995" w:rsidR="00315371" w:rsidTr="00212995">
        <w:tc>
          <w:tcPr>
            <w:tcW w:w="2577" w:type="pct"/>
            <w:tcBorders>
              <w:left w:val="nil"/>
              <w:right w:val="nil"/>
            </w:tcBorders>
            <w:tcMar>
              <w:top w:w="15" w:type="dxa"/>
              <w:left w:w="180"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r>
      <w:tr w:rsidRPr="00212995" w:rsidR="00315371" w:rsidTr="00212995">
        <w:tc>
          <w:tcPr>
            <w:tcW w:w="2577"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6,8</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0,8</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0,4</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0,2</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0,2</w:t>
            </w:r>
          </w:p>
        </w:tc>
      </w:tr>
      <w:tr w:rsidRPr="00212995" w:rsidR="00315371" w:rsidTr="00212995">
        <w:tc>
          <w:tcPr>
            <w:tcW w:w="2577" w:type="pct"/>
            <w:tcBorders>
              <w:left w:val="nil"/>
              <w:right w:val="nil"/>
            </w:tcBorders>
            <w:tcMar>
              <w:top w:w="15" w:type="dxa"/>
              <w:left w:w="180"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Niet tot een ijklijn behorend</w:t>
            </w: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r>
      <w:tr w:rsidRPr="00212995" w:rsidR="00315371" w:rsidTr="00212995">
        <w:tc>
          <w:tcPr>
            <w:tcW w:w="2577" w:type="pct"/>
            <w:tcBorders>
              <w:left w:val="nil"/>
              <w:right w:val="nil"/>
            </w:tcBorders>
            <w:tcMar>
              <w:top w:w="15" w:type="dxa"/>
              <w:left w:w="360"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Niet-relevante raming studiefinanciering</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-28,7</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-42,0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-54,8</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-74,6</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-93,1</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-21,9</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-41,2</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-54,4</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-74,4</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-92,9</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p>
        </w:tc>
        <w:tc>
          <w:tcPr>
            <w:tcW w:w="485" w:type="pct"/>
            <w:vAlign w:val="center"/>
          </w:tcPr>
          <w:p w:rsidRPr="00212995" w:rsidR="00315371" w:rsidP="00435346" w:rsidRDefault="00315371">
            <w:pPr>
              <w:rPr>
                <w:rFonts w:ascii="Verdana" w:hAnsi="Verdana"/>
                <w:sz w:val="16"/>
                <w:szCs w:val="16"/>
              </w:rPr>
            </w:pPr>
          </w:p>
        </w:tc>
        <w:tc>
          <w:tcPr>
            <w:tcW w:w="485" w:type="pct"/>
            <w:vAlign w:val="center"/>
          </w:tcPr>
          <w:p w:rsidRPr="00212995" w:rsidR="00315371" w:rsidP="00435346" w:rsidRDefault="00315371">
            <w:pPr>
              <w:rPr>
                <w:rFonts w:ascii="Verdana" w:hAnsi="Verdana"/>
                <w:sz w:val="16"/>
                <w:szCs w:val="16"/>
              </w:rPr>
            </w:pPr>
          </w:p>
        </w:tc>
        <w:tc>
          <w:tcPr>
            <w:tcW w:w="485" w:type="pct"/>
            <w:vAlign w:val="center"/>
          </w:tcPr>
          <w:p w:rsidRPr="00212995" w:rsidR="00315371" w:rsidP="00435346" w:rsidRDefault="00315371">
            <w:pPr>
              <w:rPr>
                <w:rFonts w:ascii="Verdana" w:hAnsi="Verdana"/>
                <w:sz w:val="16"/>
                <w:szCs w:val="16"/>
              </w:rPr>
            </w:pPr>
          </w:p>
        </w:tc>
        <w:tc>
          <w:tcPr>
            <w:tcW w:w="485" w:type="pct"/>
            <w:vAlign w:val="center"/>
          </w:tcPr>
          <w:p w:rsidRPr="00212995" w:rsidR="00315371" w:rsidP="00435346" w:rsidRDefault="00315371">
            <w:pPr>
              <w:rPr>
                <w:rFonts w:ascii="Verdana" w:hAnsi="Verdana"/>
                <w:sz w:val="16"/>
                <w:szCs w:val="16"/>
              </w:rPr>
            </w:pPr>
          </w:p>
        </w:tc>
        <w:tc>
          <w:tcPr>
            <w:tcW w:w="485" w:type="pct"/>
            <w:vAlign w:val="center"/>
          </w:tcPr>
          <w:p w:rsidRPr="00212995" w:rsidR="00315371" w:rsidP="00435346" w:rsidRDefault="00315371">
            <w:pPr>
              <w:rPr>
                <w:rFonts w:ascii="Verdana" w:hAnsi="Verdana"/>
                <w:sz w:val="16"/>
                <w:szCs w:val="16"/>
              </w:rPr>
            </w:pP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mutaties sinds Miljoenennota 2012</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-49,5</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-77,8</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-94,3</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-119,5</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-143,4</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c>
          <w:tcPr>
            <w:tcW w:w="485" w:type="pct"/>
          </w:tcPr>
          <w:p w:rsidRPr="00212995" w:rsidR="00315371" w:rsidP="00435346" w:rsidRDefault="00315371">
            <w:pPr>
              <w:rPr>
                <w:rFonts w:ascii="Verdana" w:hAnsi="Verdana"/>
                <w:sz w:val="16"/>
                <w:szCs w:val="16"/>
              </w:rPr>
            </w:pP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 (subtotaal)</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1.148,0</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1.189,6</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1.251,0</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1.296,2</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1.356,2</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Internationale samenwerking</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85"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212995">
        <w:tc>
          <w:tcPr>
            <w:tcW w:w="2577"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1.148,0</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1.189,6</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1.251,0</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1.296,2</w:t>
            </w:r>
          </w:p>
        </w:tc>
        <w:tc>
          <w:tcPr>
            <w:tcW w:w="485" w:type="pct"/>
            <w:tcBorders>
              <w:top w:val="single" w:color="000000" w:sz="6"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1.356,2</w:t>
            </w:r>
          </w:p>
        </w:tc>
      </w:tr>
    </w:tbl>
    <w:p w:rsidR="00315371" w:rsidP="00697641" w:rsidRDefault="00315371">
      <w:pPr>
        <w:spacing w:line="240" w:lineRule="exact"/>
        <w:rPr>
          <w:rFonts w:ascii="Verdana" w:hAnsi="Verdana"/>
          <w:b/>
          <w:sz w:val="18"/>
          <w:szCs w:val="18"/>
        </w:rPr>
      </w:pPr>
    </w:p>
    <w:p w:rsidR="00315371" w:rsidP="00212995" w:rsidRDefault="00315371">
      <w:pPr>
        <w:spacing w:line="276" w:lineRule="auto"/>
        <w:rPr>
          <w:rFonts w:ascii="Verdana" w:hAnsi="Verdana" w:cs="Arial"/>
          <w:bCs/>
          <w:i/>
          <w:sz w:val="18"/>
          <w:szCs w:val="18"/>
        </w:rPr>
      </w:pPr>
    </w:p>
    <w:p w:rsidRPr="00B92032" w:rsidR="00315371" w:rsidP="00212995" w:rsidRDefault="00315371">
      <w:pPr>
        <w:spacing w:line="276" w:lineRule="auto"/>
        <w:rPr>
          <w:rFonts w:ascii="Verdana" w:hAnsi="Verdana" w:cs="Arial"/>
          <w:bCs/>
          <w:i/>
          <w:sz w:val="18"/>
          <w:szCs w:val="18"/>
        </w:rPr>
      </w:pPr>
      <w:r w:rsidRPr="00B92032">
        <w:rPr>
          <w:rFonts w:ascii="Verdana" w:hAnsi="Verdana" w:cs="Arial"/>
          <w:bCs/>
          <w:i/>
          <w:sz w:val="18"/>
          <w:szCs w:val="18"/>
        </w:rPr>
        <w:t>Leerlingen volume referentieraming 2012</w:t>
      </w:r>
    </w:p>
    <w:p w:rsidRPr="00B92032" w:rsidR="00315371" w:rsidP="00212995" w:rsidRDefault="00315371">
      <w:pPr>
        <w:spacing w:line="276" w:lineRule="auto"/>
        <w:rPr>
          <w:rFonts w:ascii="Verdana" w:hAnsi="Verdana" w:cs="Arial"/>
          <w:bCs/>
          <w:sz w:val="18"/>
          <w:szCs w:val="18"/>
        </w:rPr>
      </w:pPr>
      <w:r w:rsidRPr="00B92032">
        <w:rPr>
          <w:rFonts w:ascii="Verdana" w:hAnsi="Verdana" w:cs="Arial"/>
          <w:bCs/>
          <w:sz w:val="18"/>
          <w:szCs w:val="18"/>
        </w:rPr>
        <w:t>Uit de referentieraming leerlingen- en studentenaantallen 2012 blijkt dat in verschillende onderwijssectoren het aantal leerlingen en studenten per saldo lager is dan de in de OCW-begroting 2012 verwerkte referentieraming leerlingen- en studentenaantallen 2011.</w:t>
      </w:r>
    </w:p>
    <w:p w:rsidR="00315371" w:rsidP="00212995" w:rsidRDefault="00315371">
      <w:pPr>
        <w:spacing w:line="276" w:lineRule="auto"/>
        <w:rPr>
          <w:rFonts w:ascii="Verdana" w:hAnsi="Verdana" w:cs="Courier New"/>
          <w:sz w:val="18"/>
          <w:szCs w:val="18"/>
          <w:highlight w:val="yellow"/>
        </w:rPr>
      </w:pPr>
    </w:p>
    <w:p w:rsidRPr="006D254B" w:rsidR="00315371" w:rsidP="00212995" w:rsidRDefault="00315371">
      <w:pPr>
        <w:spacing w:line="276" w:lineRule="auto"/>
        <w:rPr>
          <w:rFonts w:ascii="Verdana" w:hAnsi="Verdana" w:cs="Arial"/>
          <w:bCs/>
          <w:i/>
          <w:sz w:val="18"/>
          <w:szCs w:val="18"/>
        </w:rPr>
      </w:pPr>
      <w:r w:rsidRPr="006D254B">
        <w:rPr>
          <w:rFonts w:ascii="Verdana" w:hAnsi="Verdana" w:cs="Arial"/>
          <w:bCs/>
          <w:i/>
          <w:sz w:val="18"/>
          <w:szCs w:val="18"/>
        </w:rPr>
        <w:t>Raming studiefinanciering</w:t>
      </w:r>
      <w:r>
        <w:rPr>
          <w:rFonts w:ascii="Verdana" w:hAnsi="Verdana" w:cs="Arial"/>
          <w:bCs/>
          <w:i/>
          <w:sz w:val="18"/>
          <w:szCs w:val="18"/>
        </w:rPr>
        <w:t xml:space="preserve"> </w:t>
      </w:r>
      <w:r w:rsidRPr="006D254B">
        <w:rPr>
          <w:rFonts w:ascii="Verdana" w:hAnsi="Verdana" w:cs="Arial"/>
          <w:bCs/>
          <w:i/>
          <w:sz w:val="18"/>
          <w:szCs w:val="18"/>
        </w:rPr>
        <w:t>(uitgaven &amp; niet-belastingontvangsten)</w:t>
      </w:r>
    </w:p>
    <w:p w:rsidRPr="006D254B" w:rsidR="00315371" w:rsidP="00212995" w:rsidRDefault="00315371">
      <w:pPr>
        <w:spacing w:line="276" w:lineRule="auto"/>
        <w:rPr>
          <w:rFonts w:ascii="Verdana" w:hAnsi="Verdana" w:cs="Arial"/>
          <w:bCs/>
          <w:sz w:val="18"/>
          <w:szCs w:val="18"/>
        </w:rPr>
      </w:pPr>
      <w:r w:rsidRPr="006D254B">
        <w:rPr>
          <w:rFonts w:ascii="Verdana" w:hAnsi="Verdana" w:cs="Arial"/>
          <w:bCs/>
          <w:sz w:val="18"/>
          <w:szCs w:val="18"/>
        </w:rPr>
        <w:t>De raming voor studiefinanciering laat een meevaller zien. De meevaller komt voornamelijk voort uit minder geraamd gebruik van de aanvullende beurs, een lager geraamd bedrag aan omzettingen van prestatiebeurs in gift en een meevaller bij de WTOS.</w:t>
      </w:r>
    </w:p>
    <w:p w:rsidR="00315371" w:rsidP="00212995" w:rsidRDefault="00315371">
      <w:pPr>
        <w:spacing w:line="276" w:lineRule="auto"/>
        <w:rPr>
          <w:rFonts w:ascii="Verdana" w:hAnsi="Verdana" w:cs="Arial"/>
          <w:bCs/>
          <w:i/>
          <w:sz w:val="18"/>
          <w:szCs w:val="18"/>
        </w:rPr>
      </w:pPr>
    </w:p>
    <w:p w:rsidR="00315371" w:rsidP="00212995" w:rsidRDefault="00315371">
      <w:pPr>
        <w:spacing w:line="276" w:lineRule="auto"/>
        <w:rPr>
          <w:rFonts w:ascii="Verdana" w:hAnsi="Verdana" w:cs="Arial"/>
          <w:bCs/>
          <w:i/>
          <w:sz w:val="18"/>
          <w:szCs w:val="18"/>
        </w:rPr>
      </w:pPr>
      <w:r w:rsidRPr="00224099">
        <w:rPr>
          <w:rFonts w:ascii="Verdana" w:hAnsi="Verdana" w:cs="Arial"/>
          <w:bCs/>
          <w:i/>
          <w:sz w:val="18"/>
          <w:szCs w:val="18"/>
        </w:rPr>
        <w:t>Eindejaarsmarge</w:t>
      </w:r>
    </w:p>
    <w:p w:rsidRPr="00224099" w:rsidR="00315371" w:rsidP="00212995" w:rsidRDefault="00315371">
      <w:pPr>
        <w:spacing w:line="276" w:lineRule="auto"/>
        <w:rPr>
          <w:rFonts w:ascii="Verdana" w:hAnsi="Verdana" w:cs="Arial"/>
          <w:bCs/>
          <w:i/>
          <w:sz w:val="18"/>
          <w:szCs w:val="18"/>
        </w:rPr>
      </w:pPr>
      <w:r w:rsidRPr="00FA7B4F">
        <w:rPr>
          <w:rFonts w:ascii="Verdana" w:hAnsi="Verdana" w:cs="Arial"/>
          <w:bCs/>
          <w:sz w:val="18"/>
          <w:szCs w:val="18"/>
        </w:rPr>
        <w:t>In 201</w:t>
      </w:r>
      <w:r>
        <w:rPr>
          <w:rFonts w:ascii="Verdana" w:hAnsi="Verdana" w:cs="Arial"/>
          <w:bCs/>
          <w:sz w:val="18"/>
          <w:szCs w:val="18"/>
        </w:rPr>
        <w:t>1</w:t>
      </w:r>
      <w:r w:rsidRPr="00FA7B4F">
        <w:rPr>
          <w:rFonts w:ascii="Verdana" w:hAnsi="Verdana" w:cs="Arial"/>
          <w:bCs/>
          <w:sz w:val="18"/>
          <w:szCs w:val="18"/>
        </w:rPr>
        <w:t xml:space="preserve"> zijn diverse budgetten niet volledig tot besteding gekomen. Deze middelen gaan via de eindejaarsmarge over naar 201</w:t>
      </w:r>
      <w:r>
        <w:rPr>
          <w:rFonts w:ascii="Verdana" w:hAnsi="Verdana" w:cs="Arial"/>
          <w:bCs/>
          <w:sz w:val="18"/>
          <w:szCs w:val="18"/>
        </w:rPr>
        <w:t>2</w:t>
      </w:r>
      <w:r w:rsidRPr="00FA7B4F">
        <w:rPr>
          <w:rFonts w:ascii="Verdana" w:hAnsi="Verdana" w:cs="Arial"/>
          <w:bCs/>
          <w:sz w:val="18"/>
          <w:szCs w:val="18"/>
        </w:rPr>
        <w:t>.</w:t>
      </w:r>
      <w:r>
        <w:rPr>
          <w:rFonts w:ascii="Verdana" w:hAnsi="Verdana" w:cs="Arial"/>
          <w:bCs/>
          <w:sz w:val="18"/>
          <w:szCs w:val="18"/>
        </w:rPr>
        <w:t xml:space="preserve"> Vanuit het verdeelartikel 91 is 90 mln. van de doorgeschoven middelen overgeboekt naar beleidsartikelen.</w:t>
      </w:r>
    </w:p>
    <w:p w:rsidR="00315371" w:rsidP="00212995" w:rsidRDefault="00315371">
      <w:pPr>
        <w:spacing w:line="276" w:lineRule="auto"/>
        <w:rPr>
          <w:rFonts w:ascii="Verdana" w:hAnsi="Verdana" w:cs="Arial"/>
          <w:bCs/>
          <w:i/>
          <w:sz w:val="18"/>
          <w:szCs w:val="18"/>
        </w:rPr>
      </w:pPr>
    </w:p>
    <w:p w:rsidRPr="006D254B" w:rsidR="00315371" w:rsidP="00212995" w:rsidRDefault="00315371">
      <w:pPr>
        <w:spacing w:line="276" w:lineRule="auto"/>
        <w:rPr>
          <w:rFonts w:ascii="Verdana" w:hAnsi="Verdana" w:cs="Arial"/>
          <w:bCs/>
          <w:i/>
          <w:sz w:val="18"/>
          <w:szCs w:val="18"/>
        </w:rPr>
      </w:pPr>
      <w:r w:rsidRPr="006D254B">
        <w:rPr>
          <w:rFonts w:ascii="Verdana" w:hAnsi="Verdana" w:cs="Arial"/>
          <w:bCs/>
          <w:i/>
          <w:sz w:val="18"/>
          <w:szCs w:val="18"/>
        </w:rPr>
        <w:t>Incidentele taakstelling</w:t>
      </w:r>
    </w:p>
    <w:p w:rsidRPr="006D254B" w:rsidR="00315371" w:rsidP="00212995" w:rsidRDefault="00315371">
      <w:pPr>
        <w:spacing w:line="276" w:lineRule="auto"/>
        <w:rPr>
          <w:rFonts w:ascii="Verdana" w:hAnsi="Verdana" w:cs="Arial"/>
          <w:bCs/>
          <w:sz w:val="18"/>
          <w:szCs w:val="18"/>
        </w:rPr>
      </w:pPr>
      <w:r w:rsidRPr="006D254B">
        <w:rPr>
          <w:rFonts w:ascii="Verdana" w:hAnsi="Verdana" w:cs="Arial"/>
          <w:bCs/>
          <w:sz w:val="18"/>
          <w:szCs w:val="18"/>
        </w:rPr>
        <w:t>De openstaande incidentele taakstelling vanwege de restproblematiek van de begroting 2012 wordt budgettair gedekt.</w:t>
      </w:r>
    </w:p>
    <w:p w:rsidRPr="0050026F" w:rsidR="00315371" w:rsidP="00212995" w:rsidRDefault="00315371">
      <w:pPr>
        <w:spacing w:line="276" w:lineRule="auto"/>
        <w:rPr>
          <w:rFonts w:ascii="Verdana" w:hAnsi="Verdana" w:cs="Arial"/>
          <w:bCs/>
          <w:i/>
          <w:sz w:val="18"/>
          <w:szCs w:val="18"/>
        </w:rPr>
      </w:pPr>
    </w:p>
    <w:p w:rsidRPr="00224099" w:rsidR="00315371" w:rsidP="00212995" w:rsidRDefault="00315371">
      <w:pPr>
        <w:spacing w:line="276" w:lineRule="auto"/>
        <w:rPr>
          <w:rFonts w:ascii="Verdana" w:hAnsi="Verdana" w:cs="Arial"/>
          <w:bCs/>
          <w:i/>
          <w:sz w:val="18"/>
          <w:szCs w:val="18"/>
        </w:rPr>
      </w:pPr>
      <w:r>
        <w:rPr>
          <w:rFonts w:ascii="Verdana" w:hAnsi="Verdana" w:cs="Arial"/>
          <w:bCs/>
          <w:i/>
          <w:sz w:val="18"/>
          <w:szCs w:val="18"/>
        </w:rPr>
        <w:t>Intertemporele compensatie cao voortgezet onderwijs</w:t>
      </w:r>
      <w:r w:rsidRPr="00224099">
        <w:rPr>
          <w:rFonts w:ascii="Verdana" w:hAnsi="Verdana" w:cs="Arial"/>
          <w:bCs/>
          <w:i/>
          <w:sz w:val="18"/>
          <w:szCs w:val="18"/>
        </w:rPr>
        <w:t xml:space="preserve"> </w:t>
      </w:r>
      <w:r>
        <w:rPr>
          <w:rFonts w:ascii="Verdana" w:hAnsi="Verdana" w:cs="Arial"/>
          <w:bCs/>
          <w:i/>
          <w:sz w:val="18"/>
          <w:szCs w:val="18"/>
        </w:rPr>
        <w:t>(</w:t>
      </w:r>
      <w:r w:rsidRPr="00224099">
        <w:rPr>
          <w:rFonts w:ascii="Verdana" w:hAnsi="Verdana" w:cs="Arial"/>
          <w:bCs/>
          <w:i/>
          <w:sz w:val="18"/>
          <w:szCs w:val="18"/>
        </w:rPr>
        <w:t>vo</w:t>
      </w:r>
      <w:r>
        <w:rPr>
          <w:rFonts w:ascii="Verdana" w:hAnsi="Verdana" w:cs="Arial"/>
          <w:bCs/>
          <w:i/>
          <w:sz w:val="18"/>
          <w:szCs w:val="18"/>
        </w:rPr>
        <w:t>)</w:t>
      </w:r>
    </w:p>
    <w:p w:rsidRPr="00FA7B4F" w:rsidR="00315371" w:rsidP="00212995" w:rsidRDefault="00315371">
      <w:pPr>
        <w:autoSpaceDE w:val="0"/>
        <w:autoSpaceDN w:val="0"/>
        <w:adjustRightInd w:val="0"/>
        <w:spacing w:line="276" w:lineRule="auto"/>
        <w:rPr>
          <w:rFonts w:ascii="Verdana" w:hAnsi="Verdana"/>
          <w:sz w:val="18"/>
          <w:szCs w:val="18"/>
        </w:rPr>
      </w:pPr>
      <w:r>
        <w:rPr>
          <w:rFonts w:ascii="Verdana" w:hAnsi="Verdana" w:cs="Arial"/>
          <w:bCs/>
          <w:sz w:val="18"/>
          <w:szCs w:val="18"/>
        </w:rPr>
        <w:t xml:space="preserve">Er is voor de arbeidsvoorwaarden in het VO een liquiditeitsprobleem. </w:t>
      </w:r>
      <w:r>
        <w:rPr>
          <w:rFonts w:ascii="Verdana" w:hAnsi="Verdana"/>
          <w:sz w:val="18"/>
          <w:szCs w:val="18"/>
        </w:rPr>
        <w:t xml:space="preserve">Ter dekking hiervan wordt het budget van 2012 verhoogd, ten laste van 2013, in de veronderstelling dat in 2013 dekking kan plaatsvinden uit de loonbijstelling 2013. In het geval dat </w:t>
      </w:r>
      <w:r w:rsidRPr="000B4E38">
        <w:rPr>
          <w:rFonts w:ascii="Verdana" w:hAnsi="Verdana"/>
          <w:sz w:val="18"/>
          <w:szCs w:val="18"/>
        </w:rPr>
        <w:t>loonbijstelling</w:t>
      </w:r>
      <w:r>
        <w:rPr>
          <w:rFonts w:ascii="Verdana" w:hAnsi="Verdana"/>
          <w:sz w:val="18"/>
          <w:szCs w:val="18"/>
        </w:rPr>
        <w:t xml:space="preserve"> 2013</w:t>
      </w:r>
      <w:r w:rsidRPr="000B4E38">
        <w:rPr>
          <w:rFonts w:ascii="Verdana" w:hAnsi="Verdana"/>
          <w:sz w:val="18"/>
          <w:szCs w:val="18"/>
        </w:rPr>
        <w:t xml:space="preserve"> niet bes</w:t>
      </w:r>
      <w:r>
        <w:rPr>
          <w:rFonts w:ascii="Verdana" w:hAnsi="Verdana"/>
          <w:sz w:val="18"/>
          <w:szCs w:val="18"/>
        </w:rPr>
        <w:t>chikbaar komt, buigt OCW in 2013</w:t>
      </w:r>
      <w:r w:rsidRPr="000B4E38">
        <w:rPr>
          <w:rFonts w:ascii="Verdana" w:hAnsi="Verdana"/>
          <w:sz w:val="18"/>
          <w:szCs w:val="18"/>
        </w:rPr>
        <w:t xml:space="preserve"> </w:t>
      </w:r>
      <w:r>
        <w:rPr>
          <w:rFonts w:ascii="Verdana" w:hAnsi="Verdana"/>
          <w:sz w:val="18"/>
          <w:szCs w:val="18"/>
        </w:rPr>
        <w:t>56 mln. om</w:t>
      </w:r>
      <w:r w:rsidRPr="000B4E38">
        <w:rPr>
          <w:rFonts w:ascii="Verdana" w:hAnsi="Verdana"/>
          <w:sz w:val="18"/>
          <w:szCs w:val="18"/>
        </w:rPr>
        <w:t>.</w:t>
      </w:r>
    </w:p>
    <w:p w:rsidRPr="0050026F" w:rsidR="00315371" w:rsidP="00212995" w:rsidRDefault="00315371">
      <w:pPr>
        <w:spacing w:line="276" w:lineRule="auto"/>
        <w:rPr>
          <w:rFonts w:ascii="Verdana" w:hAnsi="Verdana"/>
          <w:sz w:val="18"/>
          <w:szCs w:val="18"/>
        </w:rPr>
      </w:pPr>
    </w:p>
    <w:p w:rsidR="00315371" w:rsidP="00212995" w:rsidRDefault="00315371">
      <w:pPr>
        <w:pStyle w:val="Default"/>
        <w:spacing w:line="276" w:lineRule="auto"/>
        <w:rPr>
          <w:rFonts w:cs="Arial"/>
          <w:bCs/>
          <w:i/>
          <w:color w:val="auto"/>
          <w:sz w:val="18"/>
          <w:szCs w:val="18"/>
          <w:lang w:eastAsia="nl-NL"/>
        </w:rPr>
      </w:pPr>
      <w:r w:rsidRPr="000454D7">
        <w:rPr>
          <w:rFonts w:cs="Arial"/>
          <w:bCs/>
          <w:i/>
          <w:color w:val="auto"/>
          <w:sz w:val="18"/>
          <w:szCs w:val="18"/>
          <w:lang w:eastAsia="nl-NL"/>
        </w:rPr>
        <w:t xml:space="preserve">Intertemporele compensatie convenanten </w:t>
      </w:r>
      <w:r>
        <w:rPr>
          <w:rFonts w:cs="Arial"/>
          <w:bCs/>
          <w:i/>
          <w:color w:val="auto"/>
          <w:sz w:val="18"/>
          <w:szCs w:val="18"/>
          <w:lang w:eastAsia="nl-NL"/>
        </w:rPr>
        <w:t>regionale meld- en coör</w:t>
      </w:r>
      <w:r w:rsidRPr="000454D7">
        <w:rPr>
          <w:rFonts w:cs="Arial"/>
          <w:bCs/>
          <w:i/>
          <w:color w:val="auto"/>
          <w:sz w:val="18"/>
          <w:szCs w:val="18"/>
          <w:lang w:eastAsia="nl-NL"/>
        </w:rPr>
        <w:t>dinatiefunctie voortijdig schoolverlaten-regio's (rmc-regio’s)</w:t>
      </w:r>
      <w:r w:rsidRPr="00224099">
        <w:rPr>
          <w:rFonts w:cs="Arial"/>
          <w:bCs/>
          <w:i/>
          <w:color w:val="auto"/>
          <w:sz w:val="18"/>
          <w:szCs w:val="18"/>
          <w:lang w:eastAsia="nl-NL"/>
        </w:rPr>
        <w:t xml:space="preserve"> </w:t>
      </w:r>
    </w:p>
    <w:p w:rsidR="00315371" w:rsidP="00212995" w:rsidRDefault="00315371">
      <w:pPr>
        <w:autoSpaceDE w:val="0"/>
        <w:autoSpaceDN w:val="0"/>
        <w:adjustRightInd w:val="0"/>
        <w:spacing w:line="276" w:lineRule="auto"/>
        <w:rPr>
          <w:rFonts w:ascii="Verdana" w:hAnsi="Verdana" w:cs="Verdana"/>
          <w:sz w:val="18"/>
          <w:szCs w:val="18"/>
          <w:lang w:eastAsia="en-US"/>
        </w:rPr>
      </w:pPr>
      <w:r>
        <w:rPr>
          <w:rFonts w:ascii="Verdana" w:hAnsi="Verdana" w:cs="Verdana"/>
          <w:sz w:val="18"/>
          <w:szCs w:val="18"/>
          <w:lang w:eastAsia="en-US"/>
        </w:rPr>
        <w:t>Dit</w:t>
      </w:r>
      <w:r w:rsidRPr="00224099">
        <w:rPr>
          <w:rFonts w:ascii="Verdana" w:hAnsi="Verdana" w:cs="Verdana"/>
          <w:sz w:val="18"/>
          <w:szCs w:val="18"/>
          <w:lang w:eastAsia="en-US"/>
        </w:rPr>
        <w:t xml:space="preserve"> betreft een </w:t>
      </w:r>
      <w:r>
        <w:rPr>
          <w:rFonts w:ascii="Verdana" w:hAnsi="Verdana" w:cs="Verdana"/>
          <w:sz w:val="18"/>
          <w:szCs w:val="18"/>
          <w:lang w:eastAsia="en-US"/>
        </w:rPr>
        <w:t>kasschuif om de VSV-</w:t>
      </w:r>
      <w:r w:rsidRPr="00224099">
        <w:rPr>
          <w:rFonts w:ascii="Verdana" w:hAnsi="Verdana" w:cs="Verdana"/>
          <w:sz w:val="18"/>
          <w:szCs w:val="18"/>
          <w:lang w:eastAsia="en-US"/>
        </w:rPr>
        <w:t>middelen</w:t>
      </w:r>
      <w:r>
        <w:rPr>
          <w:rFonts w:ascii="Verdana" w:hAnsi="Verdana" w:cs="Verdana"/>
          <w:sz w:val="18"/>
          <w:szCs w:val="18"/>
          <w:lang w:eastAsia="en-US"/>
        </w:rPr>
        <w:t xml:space="preserve"> (voortijdig schoolverlaten)</w:t>
      </w:r>
      <w:r w:rsidRPr="00224099">
        <w:rPr>
          <w:rFonts w:ascii="Verdana" w:hAnsi="Verdana" w:cs="Verdana"/>
          <w:sz w:val="18"/>
          <w:szCs w:val="18"/>
          <w:lang w:eastAsia="en-US"/>
        </w:rPr>
        <w:t xml:space="preserve"> over de jaren heen </w:t>
      </w:r>
      <w:r>
        <w:rPr>
          <w:rFonts w:ascii="Verdana" w:hAnsi="Verdana" w:cs="Verdana"/>
          <w:sz w:val="18"/>
          <w:szCs w:val="18"/>
          <w:lang w:eastAsia="en-US"/>
        </w:rPr>
        <w:t xml:space="preserve">zo te spreiden dat alle gewenste maatregelen op het gebied van VSV bekostigd kunnen worden. </w:t>
      </w:r>
    </w:p>
    <w:p w:rsidRPr="0050026F" w:rsidR="00315371" w:rsidP="00212995" w:rsidRDefault="00315371">
      <w:pPr>
        <w:autoSpaceDE w:val="0"/>
        <w:autoSpaceDN w:val="0"/>
        <w:adjustRightInd w:val="0"/>
        <w:spacing w:line="276" w:lineRule="auto"/>
        <w:rPr>
          <w:rFonts w:ascii="Verdana" w:hAnsi="Verdana" w:cs="OGODD K+ Univers"/>
          <w:sz w:val="18"/>
          <w:szCs w:val="18"/>
        </w:rPr>
      </w:pPr>
    </w:p>
    <w:p w:rsidRPr="006D254B" w:rsidR="00315371" w:rsidP="00212995" w:rsidRDefault="00315371">
      <w:pPr>
        <w:pStyle w:val="Default"/>
        <w:spacing w:line="276" w:lineRule="auto"/>
        <w:rPr>
          <w:rFonts w:cs="Arial"/>
          <w:bCs/>
          <w:i/>
          <w:color w:val="auto"/>
          <w:sz w:val="18"/>
          <w:szCs w:val="18"/>
          <w:lang w:eastAsia="nl-NL"/>
        </w:rPr>
      </w:pPr>
      <w:r w:rsidRPr="00E110ED">
        <w:rPr>
          <w:rFonts w:cs="Arial"/>
          <w:bCs/>
          <w:i/>
          <w:color w:val="auto"/>
          <w:sz w:val="18"/>
          <w:szCs w:val="18"/>
          <w:lang w:eastAsia="nl-NL"/>
        </w:rPr>
        <w:t xml:space="preserve">Ophoging ovsk-norm </w:t>
      </w:r>
      <w:r>
        <w:rPr>
          <w:rFonts w:cs="Arial"/>
          <w:bCs/>
          <w:i/>
          <w:color w:val="auto"/>
          <w:sz w:val="18"/>
          <w:szCs w:val="18"/>
          <w:lang w:eastAsia="nl-NL"/>
        </w:rPr>
        <w:t>&amp; Niet-</w:t>
      </w:r>
      <w:r w:rsidRPr="006D254B">
        <w:rPr>
          <w:rFonts w:cs="Arial"/>
          <w:bCs/>
          <w:i/>
          <w:color w:val="auto"/>
          <w:sz w:val="18"/>
          <w:szCs w:val="18"/>
          <w:lang w:eastAsia="nl-NL"/>
        </w:rPr>
        <w:t>relevant</w:t>
      </w:r>
      <w:r>
        <w:rPr>
          <w:rFonts w:cs="Arial"/>
          <w:bCs/>
          <w:i/>
          <w:color w:val="auto"/>
          <w:sz w:val="18"/>
          <w:szCs w:val="18"/>
          <w:lang w:eastAsia="nl-NL"/>
        </w:rPr>
        <w:t>e</w:t>
      </w:r>
      <w:r w:rsidRPr="006D254B">
        <w:rPr>
          <w:rFonts w:cs="Arial"/>
          <w:bCs/>
          <w:i/>
          <w:color w:val="auto"/>
          <w:sz w:val="18"/>
          <w:szCs w:val="18"/>
          <w:lang w:eastAsia="nl-NL"/>
        </w:rPr>
        <w:t xml:space="preserve"> ophoging ovsk-norm</w:t>
      </w:r>
    </w:p>
    <w:p w:rsidRPr="005B4FD3" w:rsidR="00315371" w:rsidP="00212995" w:rsidRDefault="00315371">
      <w:pPr>
        <w:spacing w:line="276" w:lineRule="auto"/>
        <w:contextualSpacing/>
        <w:rPr>
          <w:rFonts w:ascii="Verdana" w:hAnsi="Verdana"/>
          <w:sz w:val="18"/>
          <w:szCs w:val="18"/>
        </w:rPr>
      </w:pPr>
      <w:r>
        <w:rPr>
          <w:rFonts w:ascii="Verdana" w:hAnsi="Verdana"/>
          <w:sz w:val="18"/>
          <w:szCs w:val="18"/>
        </w:rPr>
        <w:t>H</w:t>
      </w:r>
      <w:r w:rsidRPr="005B4FD3">
        <w:rPr>
          <w:rFonts w:ascii="Verdana" w:hAnsi="Verdana"/>
          <w:sz w:val="18"/>
          <w:szCs w:val="18"/>
        </w:rPr>
        <w:t>et normbedrag voor de O</w:t>
      </w:r>
      <w:r>
        <w:rPr>
          <w:rFonts w:ascii="Verdana" w:hAnsi="Verdana"/>
          <w:sz w:val="18"/>
          <w:szCs w:val="18"/>
        </w:rPr>
        <w:t>v</w:t>
      </w:r>
      <w:r w:rsidRPr="005B4FD3">
        <w:rPr>
          <w:rFonts w:ascii="Verdana" w:hAnsi="Verdana"/>
          <w:sz w:val="18"/>
          <w:szCs w:val="18"/>
        </w:rPr>
        <w:t xml:space="preserve">-studentenkaart </w:t>
      </w:r>
      <w:r>
        <w:rPr>
          <w:rFonts w:ascii="Verdana" w:hAnsi="Verdana"/>
          <w:sz w:val="18"/>
          <w:szCs w:val="18"/>
        </w:rPr>
        <w:t>is</w:t>
      </w:r>
      <w:r w:rsidRPr="005B4FD3">
        <w:rPr>
          <w:rFonts w:ascii="Verdana" w:hAnsi="Verdana"/>
          <w:sz w:val="18"/>
          <w:szCs w:val="18"/>
        </w:rPr>
        <w:t xml:space="preserve"> verho</w:t>
      </w:r>
      <w:r>
        <w:rPr>
          <w:rFonts w:ascii="Verdana" w:hAnsi="Verdana"/>
          <w:sz w:val="18"/>
          <w:szCs w:val="18"/>
        </w:rPr>
        <w:t>ogd</w:t>
      </w:r>
      <w:r w:rsidRPr="005B4FD3">
        <w:rPr>
          <w:rFonts w:ascii="Verdana" w:hAnsi="Verdana"/>
          <w:sz w:val="18"/>
          <w:szCs w:val="18"/>
        </w:rPr>
        <w:t>. Het normbedrag is het bedrag dat een student moet terugbetalen voor de Ov-studentenkaart indien b</w:t>
      </w:r>
      <w:r>
        <w:rPr>
          <w:rFonts w:ascii="Verdana" w:hAnsi="Verdana"/>
          <w:sz w:val="18"/>
          <w:szCs w:val="18"/>
        </w:rPr>
        <w:t>ijvoorbeeld</w:t>
      </w:r>
      <w:r w:rsidRPr="005B4FD3">
        <w:rPr>
          <w:rFonts w:ascii="Verdana" w:hAnsi="Verdana"/>
          <w:sz w:val="18"/>
          <w:szCs w:val="18"/>
        </w:rPr>
        <w:t xml:space="preserve"> geen diploma wordt behaald. De </w:t>
      </w:r>
      <w:r>
        <w:rPr>
          <w:rFonts w:ascii="Verdana" w:hAnsi="Verdana"/>
          <w:sz w:val="18"/>
          <w:szCs w:val="18"/>
        </w:rPr>
        <w:t xml:space="preserve">kaderrelevante middelen die hierdoor worden vrijgespeeld worden onder andere ingezet </w:t>
      </w:r>
      <w:r w:rsidRPr="005B4FD3">
        <w:rPr>
          <w:rFonts w:ascii="Verdana" w:hAnsi="Verdana"/>
          <w:sz w:val="18"/>
          <w:szCs w:val="18"/>
        </w:rPr>
        <w:t>ter dekking van een intensivering op het Profileringsfonds, problematiek op Caribisch Nederland</w:t>
      </w:r>
      <w:r>
        <w:rPr>
          <w:rFonts w:ascii="Verdana" w:hAnsi="Verdana"/>
          <w:sz w:val="18"/>
          <w:szCs w:val="18"/>
        </w:rPr>
        <w:t xml:space="preserve"> en</w:t>
      </w:r>
      <w:r w:rsidRPr="005B4FD3">
        <w:rPr>
          <w:rFonts w:ascii="Verdana" w:hAnsi="Verdana"/>
          <w:sz w:val="18"/>
          <w:szCs w:val="18"/>
        </w:rPr>
        <w:t xml:space="preserve"> de bijdrage aan het reddingsplan van Amarantis.</w:t>
      </w:r>
    </w:p>
    <w:p w:rsidR="00315371" w:rsidP="00212995" w:rsidRDefault="00315371">
      <w:pPr>
        <w:spacing w:line="276" w:lineRule="auto"/>
        <w:rPr>
          <w:rFonts w:ascii="Verdana" w:hAnsi="Verdana" w:cs="Arial"/>
          <w:bCs/>
          <w:sz w:val="18"/>
          <w:szCs w:val="18"/>
        </w:rPr>
      </w:pPr>
    </w:p>
    <w:p w:rsidRPr="006D254B" w:rsidR="00315371" w:rsidP="00212995" w:rsidRDefault="00315371">
      <w:pPr>
        <w:pStyle w:val="Default"/>
        <w:spacing w:line="276" w:lineRule="auto"/>
        <w:rPr>
          <w:rFonts w:cs="Arial"/>
          <w:bCs/>
          <w:i/>
          <w:color w:val="auto"/>
          <w:sz w:val="18"/>
          <w:szCs w:val="18"/>
          <w:lang w:eastAsia="nl-NL"/>
        </w:rPr>
      </w:pPr>
      <w:r w:rsidRPr="006D254B">
        <w:rPr>
          <w:rFonts w:cs="Arial"/>
          <w:bCs/>
          <w:i/>
          <w:color w:val="auto"/>
          <w:sz w:val="18"/>
          <w:szCs w:val="18"/>
          <w:lang w:eastAsia="nl-NL"/>
        </w:rPr>
        <w:t>Reservering op nominaal en onvoorzien</w:t>
      </w:r>
    </w:p>
    <w:p w:rsidRPr="006D254B" w:rsidR="00315371" w:rsidP="00212995" w:rsidRDefault="00315371">
      <w:pPr>
        <w:spacing w:line="276" w:lineRule="auto"/>
        <w:contextualSpacing/>
        <w:rPr>
          <w:rFonts w:ascii="Verdana" w:hAnsi="Verdana"/>
          <w:sz w:val="18"/>
          <w:szCs w:val="18"/>
        </w:rPr>
      </w:pPr>
      <w:r w:rsidRPr="006D254B">
        <w:rPr>
          <w:rFonts w:ascii="Verdana" w:hAnsi="Verdana"/>
          <w:sz w:val="18"/>
          <w:szCs w:val="18"/>
        </w:rPr>
        <w:t>De meevallers bij de referentieraming en studiefinanciering worden na aftrek van de incidentele taakstelling (restproblematiek begroting 2012) geboekt op het artikel Nominaal en Onvoorzien.</w:t>
      </w:r>
    </w:p>
    <w:p w:rsidRPr="0050026F" w:rsidR="00315371" w:rsidP="00212995" w:rsidRDefault="00315371">
      <w:pPr>
        <w:spacing w:line="276" w:lineRule="auto"/>
        <w:rPr>
          <w:rFonts w:ascii="Verdana" w:hAnsi="Verdana" w:cs="Arial"/>
          <w:bCs/>
          <w:sz w:val="18"/>
          <w:szCs w:val="18"/>
        </w:rPr>
      </w:pPr>
    </w:p>
    <w:p w:rsidRPr="00E110ED" w:rsidR="00315371" w:rsidP="00212995" w:rsidRDefault="00315371">
      <w:pPr>
        <w:pStyle w:val="Default"/>
        <w:spacing w:line="276" w:lineRule="auto"/>
        <w:rPr>
          <w:rFonts w:cs="Arial"/>
          <w:bCs/>
          <w:i/>
          <w:color w:val="auto"/>
          <w:sz w:val="18"/>
          <w:szCs w:val="18"/>
          <w:lang w:eastAsia="nl-NL"/>
        </w:rPr>
      </w:pPr>
      <w:r w:rsidRPr="00E110ED">
        <w:rPr>
          <w:rFonts w:cs="Arial"/>
          <w:bCs/>
          <w:i/>
          <w:color w:val="auto"/>
          <w:sz w:val="18"/>
          <w:szCs w:val="18"/>
          <w:lang w:eastAsia="nl-NL"/>
        </w:rPr>
        <w:t>Loonbijstelling tranche 2012 (werkgeverslasten)</w:t>
      </w:r>
    </w:p>
    <w:p w:rsidRPr="00E110ED" w:rsidR="00315371" w:rsidP="00212995" w:rsidRDefault="00315371">
      <w:pPr>
        <w:spacing w:line="276" w:lineRule="auto"/>
        <w:rPr>
          <w:rFonts w:ascii="Verdana" w:hAnsi="Verdana" w:cs="Arial"/>
          <w:bCs/>
          <w:sz w:val="18"/>
          <w:szCs w:val="18"/>
        </w:rPr>
      </w:pPr>
      <w:r w:rsidRPr="00E110ED">
        <w:rPr>
          <w:rFonts w:ascii="Verdana" w:hAnsi="Verdana" w:cs="Arial"/>
          <w:bCs/>
          <w:sz w:val="18"/>
          <w:szCs w:val="18"/>
        </w:rPr>
        <w:t>De loonbijstelling tranche 201</w:t>
      </w:r>
      <w:r>
        <w:rPr>
          <w:rFonts w:ascii="Verdana" w:hAnsi="Verdana" w:cs="Arial"/>
          <w:bCs/>
          <w:sz w:val="18"/>
          <w:szCs w:val="18"/>
        </w:rPr>
        <w:t>2</w:t>
      </w:r>
      <w:r w:rsidRPr="00E110ED">
        <w:rPr>
          <w:rFonts w:ascii="Verdana" w:hAnsi="Verdana" w:cs="Arial"/>
          <w:bCs/>
          <w:sz w:val="18"/>
          <w:szCs w:val="18"/>
        </w:rPr>
        <w:t xml:space="preserve"> is toegevoegd aan de begroting van OCW.</w:t>
      </w:r>
      <w:r>
        <w:rPr>
          <w:rFonts w:ascii="Verdana" w:hAnsi="Verdana" w:cs="Arial"/>
          <w:bCs/>
          <w:sz w:val="18"/>
          <w:szCs w:val="18"/>
        </w:rPr>
        <w:t xml:space="preserve"> Deze loonbijstelling bestaat alleen uit een compensatie voor sociale werkgeverslasten.</w:t>
      </w:r>
    </w:p>
    <w:p w:rsidR="00315371" w:rsidP="00212995" w:rsidRDefault="00315371">
      <w:pPr>
        <w:spacing w:line="276" w:lineRule="auto"/>
        <w:rPr>
          <w:rFonts w:ascii="Verdana" w:hAnsi="Verdana" w:cs="Arial"/>
          <w:bCs/>
          <w:sz w:val="18"/>
          <w:szCs w:val="18"/>
        </w:rPr>
      </w:pPr>
    </w:p>
    <w:p w:rsidRPr="006D254B" w:rsidR="00315371" w:rsidP="00212995" w:rsidRDefault="00315371">
      <w:pPr>
        <w:pStyle w:val="Default"/>
        <w:spacing w:line="276" w:lineRule="auto"/>
        <w:rPr>
          <w:rFonts w:cs="Arial"/>
          <w:bCs/>
          <w:i/>
          <w:color w:val="auto"/>
          <w:sz w:val="18"/>
          <w:szCs w:val="18"/>
          <w:lang w:eastAsia="nl-NL"/>
        </w:rPr>
      </w:pPr>
      <w:r>
        <w:rPr>
          <w:rFonts w:cs="Arial"/>
          <w:bCs/>
          <w:i/>
          <w:color w:val="auto"/>
          <w:sz w:val="18"/>
          <w:szCs w:val="18"/>
          <w:lang w:eastAsia="nl-NL"/>
        </w:rPr>
        <w:t>Niet-</w:t>
      </w:r>
      <w:r w:rsidRPr="006D254B">
        <w:rPr>
          <w:rFonts w:cs="Arial"/>
          <w:bCs/>
          <w:i/>
          <w:color w:val="auto"/>
          <w:sz w:val="18"/>
          <w:szCs w:val="18"/>
          <w:lang w:eastAsia="nl-NL"/>
        </w:rPr>
        <w:t>relevant</w:t>
      </w:r>
      <w:r>
        <w:rPr>
          <w:rFonts w:cs="Arial"/>
          <w:bCs/>
          <w:i/>
          <w:color w:val="auto"/>
          <w:sz w:val="18"/>
          <w:szCs w:val="18"/>
          <w:lang w:eastAsia="nl-NL"/>
        </w:rPr>
        <w:t>e</w:t>
      </w:r>
      <w:r w:rsidRPr="006D254B">
        <w:rPr>
          <w:rFonts w:cs="Arial"/>
          <w:bCs/>
          <w:i/>
          <w:color w:val="auto"/>
          <w:sz w:val="18"/>
          <w:szCs w:val="18"/>
          <w:lang w:eastAsia="nl-NL"/>
        </w:rPr>
        <w:t xml:space="preserve"> raming studiefinanciering</w:t>
      </w:r>
      <w:r>
        <w:rPr>
          <w:rFonts w:cs="Arial"/>
          <w:bCs/>
          <w:i/>
          <w:color w:val="auto"/>
          <w:sz w:val="18"/>
          <w:szCs w:val="18"/>
          <w:lang w:eastAsia="nl-NL"/>
        </w:rPr>
        <w:t xml:space="preserve"> (uitgaven &amp; niet-belastingontvangsten)</w:t>
      </w:r>
    </w:p>
    <w:p w:rsidR="00315371" w:rsidP="00212995" w:rsidRDefault="00315371">
      <w:pPr>
        <w:pStyle w:val="Default"/>
        <w:spacing w:line="276" w:lineRule="auto"/>
        <w:rPr>
          <w:rFonts w:cs="Arial"/>
          <w:bCs/>
          <w:sz w:val="18"/>
          <w:szCs w:val="18"/>
        </w:rPr>
      </w:pPr>
      <w:r>
        <w:rPr>
          <w:rFonts w:cs="Arial"/>
          <w:bCs/>
          <w:sz w:val="18"/>
          <w:szCs w:val="18"/>
        </w:rPr>
        <w:t>De niet-</w:t>
      </w:r>
      <w:r w:rsidRPr="006D254B">
        <w:rPr>
          <w:rFonts w:cs="Arial"/>
          <w:bCs/>
          <w:sz w:val="18"/>
          <w:szCs w:val="18"/>
        </w:rPr>
        <w:t>relevante uitgaven bij studiefinanciering nemen per saldo toe. Op basis van realisatiecijfers worden minder spontane aflossingen verwacht, er wordt minder aanvullende beurs toegekend en er is meer onterecht uitgekeerde studiefinanciering ontdekt.</w:t>
      </w:r>
    </w:p>
    <w:p w:rsidR="00315371" w:rsidP="00212995" w:rsidRDefault="00315371">
      <w:pPr>
        <w:spacing w:line="276" w:lineRule="auto"/>
        <w:rPr>
          <w:rFonts w:ascii="Verdana" w:hAnsi="Verdana" w:cs="Arial"/>
          <w:bCs/>
          <w:sz w:val="18"/>
          <w:szCs w:val="18"/>
        </w:rPr>
      </w:pPr>
    </w:p>
    <w:p w:rsidRPr="000625B7" w:rsidR="00315371" w:rsidP="00212995" w:rsidRDefault="00315371">
      <w:pPr>
        <w:pStyle w:val="Default"/>
        <w:spacing w:line="276" w:lineRule="auto"/>
        <w:rPr>
          <w:rFonts w:cs="Arial"/>
          <w:bCs/>
          <w:i/>
          <w:color w:val="auto"/>
          <w:sz w:val="18"/>
          <w:szCs w:val="18"/>
          <w:lang w:eastAsia="nl-NL"/>
        </w:rPr>
      </w:pPr>
      <w:r>
        <w:rPr>
          <w:rFonts w:cs="Arial"/>
          <w:bCs/>
          <w:i/>
          <w:color w:val="auto"/>
          <w:sz w:val="18"/>
          <w:szCs w:val="18"/>
          <w:lang w:eastAsia="nl-NL"/>
        </w:rPr>
        <w:t>Rente studiefinanciering</w:t>
      </w:r>
    </w:p>
    <w:p w:rsidR="00315371" w:rsidP="00212995" w:rsidRDefault="00315371">
      <w:pPr>
        <w:spacing w:line="276" w:lineRule="auto"/>
        <w:rPr>
          <w:rFonts w:ascii="Verdana" w:hAnsi="Verdana" w:cs="Arial"/>
          <w:bCs/>
          <w:sz w:val="18"/>
          <w:szCs w:val="18"/>
        </w:rPr>
      </w:pPr>
      <w:r w:rsidRPr="000625B7">
        <w:rPr>
          <w:rFonts w:ascii="Verdana" w:hAnsi="Verdana" w:cs="Arial"/>
          <w:bCs/>
          <w:sz w:val="18"/>
          <w:szCs w:val="18"/>
        </w:rPr>
        <w:t>Er is een tegenvaller op de rente-inkomsten bij de studiefinanciering. De rente-inkomsten vallen met name tegen omdat er minder spontane aflossingen verwacht worden dan eerder geraamd.</w:t>
      </w:r>
    </w:p>
    <w:p w:rsidR="00315371" w:rsidP="00212995" w:rsidRDefault="00315371">
      <w:pPr>
        <w:spacing w:line="276" w:lineRule="auto"/>
        <w:rPr>
          <w:rFonts w:ascii="Verdana" w:hAnsi="Verdana" w:cs="Arial"/>
          <w:b/>
          <w:bCs/>
          <w:sz w:val="18"/>
          <w:szCs w:val="18"/>
        </w:rPr>
      </w:pPr>
      <w:r>
        <w:rPr>
          <w:rFonts w:ascii="Verdana" w:hAnsi="Verdana" w:cs="Arial"/>
          <w:b/>
          <w:bCs/>
          <w:sz w:val="18"/>
          <w:szCs w:val="18"/>
        </w:rPr>
        <w:t>Nationale schuld</w:t>
      </w:r>
    </w:p>
    <w:tbl>
      <w:tblPr>
        <w:tblW w:w="5000" w:type="pct"/>
        <w:tblCellMar>
          <w:top w:w="15" w:type="dxa"/>
          <w:left w:w="15" w:type="dxa"/>
          <w:bottom w:w="15" w:type="dxa"/>
          <w:right w:w="15" w:type="dxa"/>
        </w:tblCellMar>
        <w:tblLook w:val="00A0"/>
      </w:tblPr>
      <w:tblGrid>
        <w:gridCol w:w="4068"/>
        <w:gridCol w:w="1006"/>
        <w:gridCol w:w="1007"/>
        <w:gridCol w:w="1007"/>
        <w:gridCol w:w="1007"/>
        <w:gridCol w:w="1007"/>
      </w:tblGrid>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IXA NATIONALE SCHULD (TRANSACTIEBASIS): UITGAVEN</w:t>
            </w:r>
          </w:p>
        </w:tc>
        <w:tc>
          <w:tcPr>
            <w:tcW w:w="2765" w:type="pct"/>
            <w:gridSpan w:val="5"/>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bedragen in miljoenen euro's</w:t>
            </w:r>
          </w:p>
        </w:tc>
      </w:tr>
      <w:tr w:rsidRPr="00DD331C" w:rsidR="00315371" w:rsidTr="00DD331C">
        <w:tc>
          <w:tcPr>
            <w:tcW w:w="2235"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p>
        </w:tc>
        <w:tc>
          <w:tcPr>
            <w:tcW w:w="553"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2012</w:t>
            </w:r>
          </w:p>
        </w:tc>
        <w:tc>
          <w:tcPr>
            <w:tcW w:w="553"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2013</w:t>
            </w:r>
          </w:p>
        </w:tc>
        <w:tc>
          <w:tcPr>
            <w:tcW w:w="553"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2014</w:t>
            </w:r>
          </w:p>
        </w:tc>
        <w:tc>
          <w:tcPr>
            <w:tcW w:w="553"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2015</w:t>
            </w:r>
          </w:p>
        </w:tc>
        <w:tc>
          <w:tcPr>
            <w:tcW w:w="553"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2016</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Miljoenennota 2012 (excl. IS)</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15.636,7</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20.036,3</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25.310,8</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27.298,7</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25.619,9</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Mee- en tegenvallers</w:t>
            </w: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Rijksbegroting in enge zin</w:t>
            </w: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Rente kasbeheer</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-10,9</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-101,0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-128,5</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-138,6</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-138,6</w:t>
            </w:r>
          </w:p>
        </w:tc>
      </w:tr>
      <w:tr w:rsidRPr="00DD331C" w:rsidR="00315371" w:rsidTr="00DD331C">
        <w:tc>
          <w:tcPr>
            <w:tcW w:w="2235"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Wijziging geldmarktberoep en rente</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-783,2</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-1.649,2</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-1.711,4</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-1.574,5</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-1.562,0</w:t>
            </w:r>
          </w:p>
        </w:tc>
      </w:tr>
      <w:tr w:rsidRPr="00DD331C" w:rsidR="00315371" w:rsidTr="00DD331C">
        <w:tc>
          <w:tcPr>
            <w:tcW w:w="2235"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Wijziging kapitaalmarktberoep en rente</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-55,0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-171,3</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-1.227,7</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-1.532,7</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-1.789,5</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-849,1</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-1.921,5</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-3.067,6</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-3.245,8</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-3.490,1</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Beleidsmatige mutaties</w:t>
            </w: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Rijksbegroting in enge zin</w:t>
            </w: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Technische mutaties</w:t>
            </w: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Niet tot een ijklijn behorend</w:t>
            </w: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Mutaties rekening</w:t>
            </w:r>
            <w:r>
              <w:rPr>
                <w:rFonts w:ascii="Verdana" w:hAnsi="Verdana" w:cs="Courier New"/>
                <w:sz w:val="16"/>
                <w:szCs w:val="16"/>
              </w:rPr>
              <w:t>-</w:t>
            </w:r>
            <w:r w:rsidRPr="00DD331C">
              <w:rPr>
                <w:rFonts w:ascii="Verdana" w:hAnsi="Verdana" w:cs="Courier New"/>
                <w:sz w:val="16"/>
                <w:szCs w:val="16"/>
              </w:rPr>
              <w:t>courant</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3.018,0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6.334,3</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3.940,6</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4.398,6</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9.056,0</w:t>
            </w:r>
          </w:p>
        </w:tc>
      </w:tr>
      <w:tr w:rsidRPr="00DD331C" w:rsidR="00315371" w:rsidTr="00DD331C">
        <w:tc>
          <w:tcPr>
            <w:tcW w:w="2235"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-36,2</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2.981,8</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6.334,3</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3.940,6</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4.398,6</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9.056,0</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p>
        </w:tc>
        <w:tc>
          <w:tcPr>
            <w:tcW w:w="553" w:type="pct"/>
            <w:vAlign w:val="center"/>
          </w:tcPr>
          <w:p w:rsidRPr="00DD331C" w:rsidR="00315371" w:rsidP="00404A14" w:rsidRDefault="00315371">
            <w:pPr>
              <w:rPr>
                <w:rFonts w:ascii="Verdana" w:hAnsi="Verdana"/>
                <w:sz w:val="16"/>
                <w:szCs w:val="16"/>
              </w:rPr>
            </w:pPr>
          </w:p>
        </w:tc>
        <w:tc>
          <w:tcPr>
            <w:tcW w:w="553" w:type="pct"/>
            <w:vAlign w:val="center"/>
          </w:tcPr>
          <w:p w:rsidRPr="00DD331C" w:rsidR="00315371" w:rsidP="00404A14" w:rsidRDefault="00315371">
            <w:pPr>
              <w:rPr>
                <w:rFonts w:ascii="Verdana" w:hAnsi="Verdana"/>
                <w:sz w:val="16"/>
                <w:szCs w:val="16"/>
              </w:rPr>
            </w:pPr>
          </w:p>
        </w:tc>
        <w:tc>
          <w:tcPr>
            <w:tcW w:w="553" w:type="pct"/>
            <w:vAlign w:val="center"/>
          </w:tcPr>
          <w:p w:rsidRPr="00DD331C" w:rsidR="00315371" w:rsidP="00404A14" w:rsidRDefault="00315371">
            <w:pPr>
              <w:rPr>
                <w:rFonts w:ascii="Verdana" w:hAnsi="Verdana"/>
                <w:sz w:val="16"/>
                <w:szCs w:val="16"/>
              </w:rPr>
            </w:pPr>
          </w:p>
        </w:tc>
        <w:tc>
          <w:tcPr>
            <w:tcW w:w="553" w:type="pct"/>
            <w:vAlign w:val="center"/>
          </w:tcPr>
          <w:p w:rsidRPr="00DD331C" w:rsidR="00315371" w:rsidP="00404A14" w:rsidRDefault="00315371">
            <w:pPr>
              <w:rPr>
                <w:rFonts w:ascii="Verdana" w:hAnsi="Verdana"/>
                <w:sz w:val="16"/>
                <w:szCs w:val="16"/>
              </w:rPr>
            </w:pPr>
          </w:p>
        </w:tc>
        <w:tc>
          <w:tcPr>
            <w:tcW w:w="553" w:type="pct"/>
            <w:vAlign w:val="center"/>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mutaties sinds Miljoenennota 2012</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2.132,6</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4.412,8</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873,1</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1.152,8</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5.566,0</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c>
          <w:tcPr>
            <w:tcW w:w="553" w:type="pct"/>
          </w:tcPr>
          <w:p w:rsidRPr="00DD331C" w:rsidR="00315371" w:rsidP="00404A14" w:rsidRDefault="00315371">
            <w:pPr>
              <w:rPr>
                <w:rFonts w:ascii="Verdana" w:hAnsi="Verdana"/>
                <w:sz w:val="16"/>
                <w:szCs w:val="16"/>
              </w:rPr>
            </w:pP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 (subtotaal)</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17.769,3</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24.449,0</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26.183,9</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28.451,5</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31.185,9</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Internationale samenwerking</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53"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35"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17.769,3</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24.449,0</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26.183,9</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28.451,5</w:t>
            </w:r>
          </w:p>
        </w:tc>
        <w:tc>
          <w:tcPr>
            <w:tcW w:w="553"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31.185,9</w:t>
            </w:r>
          </w:p>
        </w:tc>
      </w:tr>
    </w:tbl>
    <w:p w:rsidR="00315371" w:rsidP="00212995" w:rsidRDefault="00315371">
      <w:pPr>
        <w:spacing w:line="276" w:lineRule="auto"/>
        <w:rPr>
          <w:rFonts w:ascii="Verdana" w:hAnsi="Verdana" w:cs="Arial"/>
          <w:b/>
          <w:bCs/>
          <w:sz w:val="18"/>
          <w:szCs w:val="18"/>
        </w:rPr>
      </w:pPr>
    </w:p>
    <w:p w:rsidR="00315371" w:rsidP="00212995" w:rsidRDefault="00315371">
      <w:pPr>
        <w:spacing w:line="276" w:lineRule="auto"/>
        <w:rPr>
          <w:rFonts w:ascii="Verdana" w:hAnsi="Verdana" w:cs="Arial"/>
          <w:b/>
          <w:bCs/>
          <w:sz w:val="18"/>
          <w:szCs w:val="18"/>
        </w:rPr>
      </w:pPr>
    </w:p>
    <w:tbl>
      <w:tblPr>
        <w:tblW w:w="0" w:type="auto"/>
        <w:tblCellMar>
          <w:top w:w="15" w:type="dxa"/>
          <w:left w:w="15" w:type="dxa"/>
          <w:bottom w:w="15" w:type="dxa"/>
          <w:right w:w="15" w:type="dxa"/>
        </w:tblCellMar>
        <w:tblLook w:val="00A0"/>
      </w:tblPr>
      <w:tblGrid>
        <w:gridCol w:w="4933"/>
        <w:gridCol w:w="833"/>
        <w:gridCol w:w="834"/>
        <w:gridCol w:w="834"/>
        <w:gridCol w:w="834"/>
        <w:gridCol w:w="834"/>
      </w:tblGrid>
      <w:tr w:rsidRPr="00DD331C" w:rsidR="00315371" w:rsidTr="00DD331C">
        <w:tc>
          <w:tcPr>
            <w:tcW w:w="3732" w:type="dxa"/>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938" w:type="dxa"/>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938" w:type="dxa"/>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938" w:type="dxa"/>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938" w:type="dxa"/>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938" w:type="dxa"/>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IXA NATIONALE SCHULD (TRANSACTIEBASIS): NIET-BELASTINGONTVANGSTEN</w:t>
            </w:r>
          </w:p>
        </w:tc>
        <w:tc>
          <w:tcPr>
            <w:tcW w:w="0" w:type="auto"/>
            <w:gridSpan w:val="5"/>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bedragen in miljoenen euro's</w:t>
            </w:r>
          </w:p>
        </w:tc>
      </w:tr>
      <w:tr w:rsidRPr="00DD331C" w:rsidR="00315371" w:rsidTr="00404A14">
        <w:tc>
          <w:tcPr>
            <w:tcW w:w="0" w:type="auto"/>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p>
        </w:tc>
        <w:tc>
          <w:tcPr>
            <w:tcW w:w="0" w:type="auto"/>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2012</w:t>
            </w:r>
          </w:p>
        </w:tc>
        <w:tc>
          <w:tcPr>
            <w:tcW w:w="0" w:type="auto"/>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2013</w:t>
            </w:r>
          </w:p>
        </w:tc>
        <w:tc>
          <w:tcPr>
            <w:tcW w:w="0" w:type="auto"/>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2014</w:t>
            </w:r>
          </w:p>
        </w:tc>
        <w:tc>
          <w:tcPr>
            <w:tcW w:w="0" w:type="auto"/>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2015</w:t>
            </w:r>
          </w:p>
        </w:tc>
        <w:tc>
          <w:tcPr>
            <w:tcW w:w="0" w:type="auto"/>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2016</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Miljoenennota 2012 (excl. IS)</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2.185,0</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1.974,7</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4.219,4</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3.465,2</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3.641,0</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Mee- en tegenvallers</w:t>
            </w: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r>
      <w:tr w:rsidRPr="00DD331C" w:rsidR="00315371" w:rsidTr="00404A14">
        <w:tc>
          <w:tcPr>
            <w:tcW w:w="0" w:type="auto"/>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Rijksbegroting in enge zin</w:t>
            </w: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r>
      <w:tr w:rsidRPr="00DD331C" w:rsidR="00315371" w:rsidTr="00404A14">
        <w:tc>
          <w:tcPr>
            <w:tcW w:w="0" w:type="auto"/>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Rente kasbeheer</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-7,4</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-30,9</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-58,9</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-85,1</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-109,6</w:t>
            </w:r>
          </w:p>
        </w:tc>
      </w:tr>
      <w:tr w:rsidRPr="00DD331C" w:rsidR="00315371" w:rsidTr="00404A14">
        <w:tc>
          <w:tcPr>
            <w:tcW w:w="0" w:type="auto"/>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Wijziging geldmarktberoep</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43,0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404A14">
        <w:tc>
          <w:tcPr>
            <w:tcW w:w="0" w:type="auto"/>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Wijziging kapitaalmarktberoep en rente</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-86,7</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-404,3</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149,7</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525,5</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35,6</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-117,6</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-463,2</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64,6</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415,9</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Technische mutaties</w:t>
            </w: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r>
      <w:tr w:rsidRPr="00DD331C" w:rsidR="00315371" w:rsidTr="00404A14">
        <w:tc>
          <w:tcPr>
            <w:tcW w:w="0" w:type="auto"/>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Niet tot een ijklijn behorend</w:t>
            </w: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r>
      <w:tr w:rsidRPr="00DD331C" w:rsidR="00315371" w:rsidTr="00404A14">
        <w:tc>
          <w:tcPr>
            <w:tcW w:w="0" w:type="auto"/>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Leningen kasbeheer</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25,3</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241,6</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-60,1</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-79,9</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-97,1</w:t>
            </w:r>
          </w:p>
        </w:tc>
      </w:tr>
      <w:tr w:rsidRPr="00DD331C" w:rsidR="00315371" w:rsidTr="00404A14">
        <w:tc>
          <w:tcPr>
            <w:tcW w:w="0" w:type="auto"/>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Rentebaten kasbeheer</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57,0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55,5</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3,7</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42,8</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-88,2</w:t>
            </w:r>
          </w:p>
        </w:tc>
      </w:tr>
      <w:tr w:rsidRPr="00DD331C" w:rsidR="00315371" w:rsidTr="00404A14">
        <w:tc>
          <w:tcPr>
            <w:tcW w:w="0" w:type="auto"/>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10,7</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-14,5</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-14,5</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-10,4</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-10,7</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93,0</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282,6</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-70,9</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-47,5</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-196,0</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p>
        </w:tc>
        <w:tc>
          <w:tcPr>
            <w:tcW w:w="0" w:type="auto"/>
            <w:vAlign w:val="center"/>
          </w:tcPr>
          <w:p w:rsidRPr="00DD331C" w:rsidR="00315371" w:rsidP="00404A14" w:rsidRDefault="00315371">
            <w:pPr>
              <w:rPr>
                <w:rFonts w:ascii="Verdana" w:hAnsi="Verdana"/>
                <w:sz w:val="16"/>
                <w:szCs w:val="16"/>
              </w:rPr>
            </w:pPr>
          </w:p>
        </w:tc>
        <w:tc>
          <w:tcPr>
            <w:tcW w:w="0" w:type="auto"/>
            <w:vAlign w:val="center"/>
          </w:tcPr>
          <w:p w:rsidRPr="00DD331C" w:rsidR="00315371" w:rsidP="00404A14" w:rsidRDefault="00315371">
            <w:pPr>
              <w:rPr>
                <w:rFonts w:ascii="Verdana" w:hAnsi="Verdana"/>
                <w:sz w:val="16"/>
                <w:szCs w:val="16"/>
              </w:rPr>
            </w:pPr>
          </w:p>
        </w:tc>
        <w:tc>
          <w:tcPr>
            <w:tcW w:w="0" w:type="auto"/>
            <w:vAlign w:val="center"/>
          </w:tcPr>
          <w:p w:rsidRPr="00DD331C" w:rsidR="00315371" w:rsidP="00404A14" w:rsidRDefault="00315371">
            <w:pPr>
              <w:rPr>
                <w:rFonts w:ascii="Verdana" w:hAnsi="Verdana"/>
                <w:sz w:val="16"/>
                <w:szCs w:val="16"/>
              </w:rPr>
            </w:pPr>
          </w:p>
        </w:tc>
        <w:tc>
          <w:tcPr>
            <w:tcW w:w="0" w:type="auto"/>
            <w:vAlign w:val="center"/>
          </w:tcPr>
          <w:p w:rsidRPr="00DD331C" w:rsidR="00315371" w:rsidP="00404A14" w:rsidRDefault="00315371">
            <w:pPr>
              <w:rPr>
                <w:rFonts w:ascii="Verdana" w:hAnsi="Verdana"/>
                <w:sz w:val="16"/>
                <w:szCs w:val="16"/>
              </w:rPr>
            </w:pPr>
          </w:p>
        </w:tc>
        <w:tc>
          <w:tcPr>
            <w:tcW w:w="0" w:type="auto"/>
            <w:vAlign w:val="center"/>
          </w:tcPr>
          <w:p w:rsidRPr="00DD331C" w:rsidR="00315371" w:rsidP="00404A14" w:rsidRDefault="00315371">
            <w:pPr>
              <w:rPr>
                <w:rFonts w:ascii="Verdana" w:hAnsi="Verdana"/>
                <w:sz w:val="16"/>
                <w:szCs w:val="16"/>
              </w:rPr>
            </w:pP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mutaties sinds Miljoenennota 2012</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128,7</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165,1</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-534,2</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17,2</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220,0</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c>
          <w:tcPr>
            <w:tcW w:w="0" w:type="auto"/>
          </w:tcPr>
          <w:p w:rsidRPr="00DD331C" w:rsidR="00315371" w:rsidP="00404A14" w:rsidRDefault="00315371">
            <w:pPr>
              <w:rPr>
                <w:rFonts w:ascii="Verdana" w:hAnsi="Verdana"/>
                <w:sz w:val="16"/>
                <w:szCs w:val="16"/>
              </w:rPr>
            </w:pP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 (subtotaal)</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2.313,7</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2.139,8</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3.685,2</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3.482,4</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3.861,0</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Internationale samenwerking</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0" w:type="auto"/>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404A14">
        <w:tc>
          <w:tcPr>
            <w:tcW w:w="0" w:type="auto"/>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2.313,7</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2.139,8</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3.685,2</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3.482,4</w:t>
            </w:r>
          </w:p>
        </w:tc>
        <w:tc>
          <w:tcPr>
            <w:tcW w:w="0" w:type="auto"/>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3.861,0</w:t>
            </w:r>
          </w:p>
        </w:tc>
      </w:tr>
    </w:tbl>
    <w:p w:rsidR="00315371" w:rsidP="00212995" w:rsidRDefault="00315371">
      <w:pPr>
        <w:spacing w:line="276" w:lineRule="auto"/>
        <w:rPr>
          <w:rFonts w:ascii="Verdana" w:hAnsi="Verdana" w:cs="Arial"/>
          <w:b/>
          <w:bCs/>
          <w:sz w:val="18"/>
          <w:szCs w:val="18"/>
        </w:rPr>
      </w:pPr>
    </w:p>
    <w:p w:rsidR="00315371" w:rsidRDefault="00315371">
      <w:pPr>
        <w:spacing w:after="200" w:line="276" w:lineRule="auto"/>
        <w:rPr>
          <w:rFonts w:ascii="Verdana" w:hAnsi="Verdana" w:cs="Arial"/>
          <w:b/>
          <w:bCs/>
          <w:sz w:val="18"/>
          <w:szCs w:val="18"/>
        </w:rPr>
      </w:pPr>
    </w:p>
    <w:p w:rsidRPr="007F2D41" w:rsidR="00315371" w:rsidP="000D477A" w:rsidRDefault="00315371">
      <w:pPr>
        <w:spacing w:after="240" w:line="276" w:lineRule="auto"/>
        <w:contextualSpacing/>
        <w:rPr>
          <w:rFonts w:ascii="Verdana" w:hAnsi="Verdana"/>
          <w:sz w:val="18"/>
          <w:szCs w:val="18"/>
          <w:lang w:eastAsia="en-US"/>
        </w:rPr>
      </w:pPr>
      <w:r w:rsidRPr="007F2D41">
        <w:rPr>
          <w:rFonts w:ascii="Verdana" w:hAnsi="Verdana"/>
          <w:i/>
          <w:sz w:val="18"/>
          <w:szCs w:val="18"/>
          <w:lang w:eastAsia="en-US"/>
        </w:rPr>
        <w:t>Rentelasten kasbeheer</w:t>
      </w:r>
      <w:r w:rsidRPr="007F2D41">
        <w:rPr>
          <w:rFonts w:ascii="Verdana" w:hAnsi="Verdana"/>
          <w:i/>
          <w:sz w:val="18"/>
          <w:szCs w:val="18"/>
          <w:lang w:eastAsia="en-US"/>
        </w:rPr>
        <w:br/>
      </w:r>
      <w:r w:rsidRPr="007F2D41">
        <w:rPr>
          <w:rFonts w:ascii="Verdana" w:hAnsi="Verdana"/>
          <w:sz w:val="18"/>
          <w:szCs w:val="18"/>
          <w:lang w:eastAsia="en-US"/>
        </w:rPr>
        <w:t>De raming voor rentelasten kasbeheer is aangepast, als gevolg van een wijziging van de rekenrente en veranderingen bij de aangehouden middelen.</w:t>
      </w:r>
    </w:p>
    <w:p w:rsidR="00315371" w:rsidP="000D477A" w:rsidRDefault="00315371">
      <w:pPr>
        <w:spacing w:after="240" w:line="276" w:lineRule="auto"/>
        <w:contextualSpacing/>
        <w:rPr>
          <w:rFonts w:ascii="Verdana" w:hAnsi="Verdana"/>
          <w:i/>
          <w:sz w:val="18"/>
          <w:szCs w:val="18"/>
          <w:lang w:eastAsia="en-US"/>
        </w:rPr>
      </w:pPr>
    </w:p>
    <w:p w:rsidRPr="007F2D41" w:rsidR="00315371" w:rsidP="000D477A" w:rsidRDefault="00315371">
      <w:pPr>
        <w:spacing w:after="240" w:line="276" w:lineRule="auto"/>
        <w:contextualSpacing/>
        <w:rPr>
          <w:rFonts w:ascii="Verdana" w:hAnsi="Verdana"/>
          <w:sz w:val="18"/>
          <w:szCs w:val="18"/>
          <w:lang w:eastAsia="en-US"/>
        </w:rPr>
      </w:pPr>
      <w:r w:rsidRPr="007F2D41">
        <w:rPr>
          <w:rFonts w:ascii="Verdana" w:hAnsi="Verdana"/>
          <w:i/>
          <w:sz w:val="18"/>
          <w:szCs w:val="18"/>
          <w:lang w:eastAsia="en-US"/>
        </w:rPr>
        <w:t>Wijziging geldmarktberoep en rente</w:t>
      </w:r>
      <w:r w:rsidRPr="007F2D41">
        <w:rPr>
          <w:rFonts w:ascii="Verdana" w:hAnsi="Verdana"/>
          <w:i/>
          <w:sz w:val="18"/>
          <w:szCs w:val="18"/>
          <w:lang w:eastAsia="en-US"/>
        </w:rPr>
        <w:br/>
      </w:r>
      <w:r w:rsidRPr="007F2D41">
        <w:rPr>
          <w:rFonts w:ascii="Verdana" w:hAnsi="Verdana"/>
          <w:sz w:val="18"/>
          <w:szCs w:val="18"/>
          <w:lang w:eastAsia="en-US"/>
        </w:rPr>
        <w:t>De geraamde rentebaten en -lasten over de vlottende schuld worden bijgesteld als gevolg van aanpassing van de korte rekenrente en wijzigingen van het verwachte beroep op de geldmarkt welke zijn gewijzigd naar aanleiding van nieuwe inzichten in het tekort.</w:t>
      </w:r>
    </w:p>
    <w:p w:rsidR="00315371" w:rsidP="000D477A" w:rsidRDefault="00315371">
      <w:pPr>
        <w:spacing w:after="240" w:line="276" w:lineRule="auto"/>
        <w:contextualSpacing/>
        <w:rPr>
          <w:rFonts w:ascii="Verdana" w:hAnsi="Verdana"/>
          <w:i/>
          <w:sz w:val="18"/>
          <w:szCs w:val="18"/>
          <w:lang w:eastAsia="en-US"/>
        </w:rPr>
      </w:pPr>
    </w:p>
    <w:p w:rsidRPr="007F2D41" w:rsidR="00315371" w:rsidP="000D477A" w:rsidRDefault="00315371">
      <w:pPr>
        <w:spacing w:after="240" w:line="276" w:lineRule="auto"/>
        <w:contextualSpacing/>
        <w:rPr>
          <w:rFonts w:ascii="Verdana" w:hAnsi="Verdana"/>
          <w:i/>
          <w:sz w:val="18"/>
          <w:szCs w:val="18"/>
          <w:lang w:eastAsia="en-US"/>
        </w:rPr>
      </w:pPr>
      <w:r w:rsidRPr="007F2D41">
        <w:rPr>
          <w:rFonts w:ascii="Verdana" w:hAnsi="Verdana"/>
          <w:i/>
          <w:sz w:val="18"/>
          <w:szCs w:val="18"/>
          <w:lang w:eastAsia="en-US"/>
        </w:rPr>
        <w:t>Wijziging kapitaalmarktberoep en rente</w:t>
      </w:r>
      <w:r w:rsidRPr="007F2D41">
        <w:rPr>
          <w:rFonts w:ascii="Verdana" w:hAnsi="Verdana"/>
          <w:i/>
          <w:sz w:val="18"/>
          <w:szCs w:val="18"/>
          <w:lang w:eastAsia="en-US"/>
        </w:rPr>
        <w:br/>
      </w:r>
      <w:r w:rsidRPr="007F2D41">
        <w:rPr>
          <w:rFonts w:ascii="Verdana" w:hAnsi="Verdana"/>
          <w:sz w:val="18"/>
          <w:szCs w:val="18"/>
          <w:lang w:eastAsia="en-US"/>
        </w:rPr>
        <w:t>Gewijzigde inzichten in de ontwikkeling van het tekort alsmede de veronderstelde lange rente leiden tot aanpassingen in de rentebaten en rentelasten op de vaste schuld.</w:t>
      </w:r>
    </w:p>
    <w:p w:rsidR="00315371" w:rsidP="000D477A" w:rsidRDefault="00315371">
      <w:pPr>
        <w:spacing w:after="240" w:line="276" w:lineRule="auto"/>
        <w:contextualSpacing/>
        <w:rPr>
          <w:rFonts w:ascii="Verdana" w:hAnsi="Verdana"/>
          <w:i/>
          <w:sz w:val="18"/>
          <w:szCs w:val="18"/>
          <w:lang w:eastAsia="en-US"/>
        </w:rPr>
      </w:pPr>
    </w:p>
    <w:p w:rsidRPr="000F3E9C" w:rsidR="00315371" w:rsidP="000D477A" w:rsidRDefault="00315371">
      <w:pPr>
        <w:spacing w:after="240" w:line="276" w:lineRule="auto"/>
        <w:contextualSpacing/>
        <w:rPr>
          <w:rFonts w:ascii="Verdana" w:hAnsi="Verdana"/>
          <w:i/>
          <w:sz w:val="18"/>
          <w:szCs w:val="18"/>
          <w:lang w:eastAsia="en-US"/>
        </w:rPr>
      </w:pPr>
      <w:r w:rsidRPr="000F3E9C">
        <w:rPr>
          <w:rFonts w:ascii="Verdana" w:hAnsi="Verdana"/>
          <w:i/>
          <w:sz w:val="18"/>
          <w:szCs w:val="18"/>
          <w:lang w:eastAsia="en-US"/>
        </w:rPr>
        <w:t>Mutaties in rekening-courant en deposito’s</w:t>
      </w:r>
    </w:p>
    <w:p w:rsidRPr="000F3E9C" w:rsidR="00315371" w:rsidP="000D477A" w:rsidRDefault="00315371">
      <w:pPr>
        <w:spacing w:after="240" w:line="276" w:lineRule="auto"/>
        <w:contextualSpacing/>
        <w:rPr>
          <w:rFonts w:ascii="Verdana" w:hAnsi="Verdana"/>
          <w:sz w:val="18"/>
          <w:szCs w:val="18"/>
          <w:lang w:eastAsia="en-US"/>
        </w:rPr>
      </w:pPr>
      <w:r w:rsidRPr="000F3E9C">
        <w:rPr>
          <w:rFonts w:ascii="Verdana" w:hAnsi="Verdana"/>
          <w:sz w:val="18"/>
          <w:szCs w:val="18"/>
          <w:lang w:eastAsia="en-US"/>
        </w:rPr>
        <w:t xml:space="preserve">Een daling van het rekening-courantsaldo van een deelnemer aan het schatkistbankieren telt als uitgave voor de Staat. De </w:t>
      </w:r>
      <w:r>
        <w:rPr>
          <w:rFonts w:ascii="Verdana" w:hAnsi="Verdana"/>
          <w:sz w:val="18"/>
          <w:szCs w:val="18"/>
          <w:lang w:eastAsia="en-US"/>
        </w:rPr>
        <w:t xml:space="preserve">verhoging </w:t>
      </w:r>
      <w:r w:rsidRPr="000F3E9C">
        <w:rPr>
          <w:rFonts w:ascii="Verdana" w:hAnsi="Verdana"/>
          <w:sz w:val="18"/>
          <w:szCs w:val="18"/>
          <w:lang w:eastAsia="en-US"/>
        </w:rPr>
        <w:t>van het rekening-courantsaldi wordt grotendeels veroorzaakt door ontwikkelingen bij sociale fondsen.</w:t>
      </w:r>
    </w:p>
    <w:p w:rsidR="00315371" w:rsidP="000D477A" w:rsidRDefault="00315371">
      <w:pPr>
        <w:spacing w:after="240" w:line="276" w:lineRule="auto"/>
        <w:contextualSpacing/>
        <w:rPr>
          <w:rFonts w:ascii="Verdana" w:hAnsi="Verdana"/>
          <w:i/>
          <w:sz w:val="18"/>
          <w:szCs w:val="18"/>
          <w:lang w:eastAsia="en-US"/>
        </w:rPr>
      </w:pPr>
    </w:p>
    <w:p w:rsidRPr="000309EB" w:rsidR="00315371" w:rsidP="000D477A" w:rsidRDefault="00315371">
      <w:pPr>
        <w:spacing w:after="240" w:line="276" w:lineRule="auto"/>
        <w:contextualSpacing/>
        <w:rPr>
          <w:rFonts w:ascii="Verdana" w:hAnsi="Verdana"/>
          <w:sz w:val="18"/>
          <w:szCs w:val="18"/>
          <w:lang w:eastAsia="en-US"/>
        </w:rPr>
      </w:pPr>
      <w:r w:rsidRPr="007F2D41">
        <w:rPr>
          <w:rFonts w:ascii="Verdana" w:hAnsi="Verdana"/>
          <w:i/>
          <w:sz w:val="18"/>
          <w:szCs w:val="18"/>
          <w:lang w:eastAsia="en-US"/>
        </w:rPr>
        <w:t>Rentebaten kasbeheer</w:t>
      </w:r>
      <w:r w:rsidRPr="007F2D41">
        <w:rPr>
          <w:rFonts w:ascii="Verdana" w:hAnsi="Verdana"/>
          <w:i/>
          <w:sz w:val="18"/>
          <w:szCs w:val="18"/>
          <w:lang w:eastAsia="en-US"/>
        </w:rPr>
        <w:br/>
      </w:r>
      <w:r w:rsidRPr="007F2D41">
        <w:rPr>
          <w:rFonts w:ascii="Verdana" w:hAnsi="Verdana"/>
          <w:sz w:val="18"/>
          <w:szCs w:val="18"/>
          <w:lang w:eastAsia="en-US"/>
        </w:rPr>
        <w:t xml:space="preserve">De raming voor rentebaten kasbeheer </w:t>
      </w:r>
      <w:r>
        <w:rPr>
          <w:rFonts w:ascii="Verdana" w:hAnsi="Verdana"/>
          <w:sz w:val="18"/>
          <w:szCs w:val="18"/>
          <w:lang w:eastAsia="en-US"/>
        </w:rPr>
        <w:t>is</w:t>
      </w:r>
      <w:r w:rsidRPr="007F2D41">
        <w:rPr>
          <w:rFonts w:ascii="Verdana" w:hAnsi="Verdana"/>
          <w:sz w:val="18"/>
          <w:szCs w:val="18"/>
          <w:lang w:eastAsia="en-US"/>
        </w:rPr>
        <w:t xml:space="preserve"> aangepast als gevolg van een wijziging van de rekenrente en een aanpassing van de verstrekte </w:t>
      </w:r>
      <w:r>
        <w:rPr>
          <w:rFonts w:ascii="Verdana" w:hAnsi="Verdana"/>
          <w:sz w:val="18"/>
          <w:szCs w:val="18"/>
          <w:lang w:eastAsia="en-US"/>
        </w:rPr>
        <w:t>middelen</w:t>
      </w:r>
      <w:r w:rsidRPr="007F2D41">
        <w:rPr>
          <w:rFonts w:ascii="Verdana" w:hAnsi="Verdana"/>
          <w:sz w:val="18"/>
          <w:szCs w:val="18"/>
          <w:lang w:eastAsia="en-US"/>
        </w:rPr>
        <w:t>.</w:t>
      </w:r>
    </w:p>
    <w:p w:rsidR="00315371" w:rsidP="000D477A" w:rsidRDefault="00315371">
      <w:pPr>
        <w:spacing w:after="200" w:line="276" w:lineRule="auto"/>
        <w:contextualSpacing/>
        <w:rPr>
          <w:rFonts w:ascii="Verdana" w:hAnsi="Verdana"/>
          <w:sz w:val="18"/>
          <w:szCs w:val="18"/>
        </w:rPr>
      </w:pPr>
    </w:p>
    <w:p w:rsidRPr="000309EB" w:rsidR="00315371" w:rsidP="000D477A" w:rsidRDefault="00315371">
      <w:pPr>
        <w:spacing w:after="240" w:line="276" w:lineRule="auto"/>
        <w:contextualSpacing/>
        <w:rPr>
          <w:rFonts w:ascii="Verdana" w:hAnsi="Verdana"/>
          <w:i/>
          <w:sz w:val="18"/>
          <w:szCs w:val="18"/>
          <w:lang w:eastAsia="en-US"/>
        </w:rPr>
      </w:pPr>
      <w:r w:rsidRPr="000309EB">
        <w:rPr>
          <w:rFonts w:ascii="Verdana" w:hAnsi="Verdana"/>
          <w:i/>
          <w:sz w:val="18"/>
          <w:szCs w:val="18"/>
          <w:lang w:eastAsia="en-US"/>
        </w:rPr>
        <w:t>Leningen Kasbeheer</w:t>
      </w:r>
    </w:p>
    <w:p w:rsidRPr="00BB553E" w:rsidR="00315371" w:rsidP="000D477A" w:rsidRDefault="00315371">
      <w:pPr>
        <w:spacing w:after="240" w:line="276" w:lineRule="auto"/>
        <w:contextualSpacing/>
        <w:rPr>
          <w:rFonts w:ascii="Verdana" w:hAnsi="Verdana"/>
          <w:sz w:val="18"/>
          <w:szCs w:val="18"/>
          <w:lang w:eastAsia="en-US"/>
        </w:rPr>
      </w:pPr>
      <w:r w:rsidRPr="00BB553E">
        <w:rPr>
          <w:rFonts w:ascii="Verdana" w:hAnsi="Verdana"/>
          <w:sz w:val="18"/>
          <w:szCs w:val="18"/>
          <w:lang w:eastAsia="en-US"/>
        </w:rPr>
        <w:t xml:space="preserve">Zowel aan baten- lastendiensten als aan rechtspersonen met wettelijke taak zijn meer leningen verstrekt. </w:t>
      </w:r>
    </w:p>
    <w:p w:rsidR="00315371" w:rsidP="000D477A" w:rsidRDefault="00315371">
      <w:pPr>
        <w:spacing w:line="276" w:lineRule="auto"/>
        <w:rPr>
          <w:rFonts w:ascii="Arial" w:hAnsi="Arial" w:cs="Arial"/>
          <w:i/>
          <w:sz w:val="18"/>
          <w:szCs w:val="18"/>
        </w:rPr>
      </w:pPr>
    </w:p>
    <w:p w:rsidRPr="000309EB" w:rsidR="00315371" w:rsidP="000D477A" w:rsidRDefault="00315371">
      <w:pPr>
        <w:spacing w:line="276" w:lineRule="auto"/>
        <w:rPr>
          <w:rFonts w:ascii="Arial" w:hAnsi="Arial" w:cs="Arial"/>
          <w:i/>
          <w:sz w:val="18"/>
          <w:szCs w:val="18"/>
        </w:rPr>
      </w:pPr>
      <w:r w:rsidRPr="000309EB">
        <w:rPr>
          <w:rFonts w:ascii="Arial" w:hAnsi="Arial" w:cs="Arial"/>
          <w:i/>
          <w:sz w:val="18"/>
          <w:szCs w:val="18"/>
        </w:rPr>
        <w:t xml:space="preserve">Diversen </w:t>
      </w:r>
    </w:p>
    <w:p w:rsidR="00315371" w:rsidP="000D477A" w:rsidRDefault="00315371">
      <w:pPr>
        <w:spacing w:after="200" w:line="276" w:lineRule="auto"/>
        <w:rPr>
          <w:rFonts w:ascii="Verdana" w:hAnsi="Verdana" w:cs="Arial"/>
          <w:b/>
          <w:bCs/>
          <w:sz w:val="18"/>
          <w:szCs w:val="18"/>
        </w:rPr>
      </w:pPr>
      <w:r>
        <w:rPr>
          <w:rFonts w:ascii="Verdana" w:hAnsi="Verdana"/>
          <w:sz w:val="18"/>
          <w:szCs w:val="18"/>
        </w:rPr>
        <w:t>De raming voor geldmarktberoep en de rekenrente is aangepast.</w:t>
      </w:r>
      <w:r>
        <w:rPr>
          <w:rFonts w:ascii="Verdana" w:hAnsi="Verdana" w:cs="Arial"/>
          <w:b/>
          <w:bCs/>
          <w:sz w:val="18"/>
          <w:szCs w:val="18"/>
        </w:rPr>
        <w:br w:type="page"/>
      </w:r>
    </w:p>
    <w:tbl>
      <w:tblPr>
        <w:tblW w:w="5000" w:type="pct"/>
        <w:tblCellMar>
          <w:top w:w="15" w:type="dxa"/>
          <w:left w:w="15" w:type="dxa"/>
          <w:bottom w:w="15" w:type="dxa"/>
          <w:right w:w="15" w:type="dxa"/>
        </w:tblCellMar>
        <w:tblLook w:val="00A0"/>
      </w:tblPr>
      <w:tblGrid>
        <w:gridCol w:w="4129"/>
        <w:gridCol w:w="1018"/>
        <w:gridCol w:w="1018"/>
        <w:gridCol w:w="979"/>
        <w:gridCol w:w="979"/>
        <w:gridCol w:w="979"/>
      </w:tblGrid>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E12684">
              <w:rPr>
                <w:rFonts w:ascii="Verdana" w:hAnsi="Verdana" w:cs="Arial"/>
                <w:b/>
                <w:bCs/>
                <w:sz w:val="18"/>
                <w:szCs w:val="18"/>
              </w:rPr>
              <w:t>Financiën</w:t>
            </w:r>
            <w:r>
              <w:rPr>
                <w:rFonts w:ascii="Courier New" w:hAnsi="Courier New" w:cs="Courier New"/>
                <w:sz w:val="14"/>
                <w:szCs w:val="14"/>
              </w:rPr>
              <w:t> </w:t>
            </w:r>
            <w:r w:rsidRPr="00DD331C">
              <w:rPr>
                <w:rFonts w:ascii="Verdana" w:hAnsi="Verdana" w:cs="Courier New"/>
                <w:sz w:val="16"/>
                <w:szCs w:val="16"/>
              </w:rPr>
              <w:t> </w:t>
            </w:r>
          </w:p>
        </w:tc>
        <w:tc>
          <w:tcPr>
            <w:tcW w:w="559"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9"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3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3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3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IXB FINANCIEN: UITGAVEN</w:t>
            </w:r>
          </w:p>
        </w:tc>
        <w:tc>
          <w:tcPr>
            <w:tcW w:w="2732" w:type="pct"/>
            <w:gridSpan w:val="5"/>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bedragen in miljoenen euro's</w:t>
            </w:r>
          </w:p>
        </w:tc>
      </w:tr>
      <w:tr w:rsidRPr="00DD331C" w:rsidR="00315371" w:rsidTr="00DD331C">
        <w:tc>
          <w:tcPr>
            <w:tcW w:w="2268"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p>
        </w:tc>
        <w:tc>
          <w:tcPr>
            <w:tcW w:w="559"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2012</w:t>
            </w:r>
          </w:p>
        </w:tc>
        <w:tc>
          <w:tcPr>
            <w:tcW w:w="559"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2013</w:t>
            </w:r>
          </w:p>
        </w:tc>
        <w:tc>
          <w:tcPr>
            <w:tcW w:w="538"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2014</w:t>
            </w:r>
          </w:p>
        </w:tc>
        <w:tc>
          <w:tcPr>
            <w:tcW w:w="538"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2015</w:t>
            </w:r>
          </w:p>
        </w:tc>
        <w:tc>
          <w:tcPr>
            <w:tcW w:w="538"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2016</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Miljoenennota 2012 (excl. IS)</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10.612,1</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9.932,2</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9.395,9</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9.160,7</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8.922,0</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Beleidsmatige mutaties</w:t>
            </w:r>
          </w:p>
        </w:tc>
        <w:tc>
          <w:tcPr>
            <w:tcW w:w="559" w:type="pct"/>
          </w:tcPr>
          <w:p w:rsidRPr="00DD331C" w:rsidR="00315371" w:rsidP="00404A14" w:rsidRDefault="00315371">
            <w:pPr>
              <w:rPr>
                <w:rFonts w:ascii="Verdana" w:hAnsi="Verdana"/>
                <w:sz w:val="16"/>
                <w:szCs w:val="16"/>
              </w:rPr>
            </w:pPr>
          </w:p>
        </w:tc>
        <w:tc>
          <w:tcPr>
            <w:tcW w:w="559"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r>
      <w:tr w:rsidRPr="00DD331C" w:rsidR="00315371" w:rsidTr="00DD331C">
        <w:tc>
          <w:tcPr>
            <w:tcW w:w="2268"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Rijksbegroting in enge zin</w:t>
            </w:r>
          </w:p>
        </w:tc>
        <w:tc>
          <w:tcPr>
            <w:tcW w:w="559" w:type="pct"/>
          </w:tcPr>
          <w:p w:rsidRPr="00DD331C" w:rsidR="00315371" w:rsidP="00404A14" w:rsidRDefault="00315371">
            <w:pPr>
              <w:rPr>
                <w:rFonts w:ascii="Verdana" w:hAnsi="Verdana"/>
                <w:sz w:val="16"/>
                <w:szCs w:val="16"/>
              </w:rPr>
            </w:pPr>
          </w:p>
        </w:tc>
        <w:tc>
          <w:tcPr>
            <w:tcW w:w="559"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Pr>
                <w:rFonts w:ascii="Verdana" w:hAnsi="Verdana" w:cs="Courier New"/>
                <w:sz w:val="16"/>
                <w:szCs w:val="16"/>
              </w:rPr>
              <w:t>ABP</w:t>
            </w:r>
            <w:r w:rsidRPr="00DD331C">
              <w:rPr>
                <w:rFonts w:ascii="Verdana" w:hAnsi="Verdana" w:cs="Courier New"/>
                <w:sz w:val="16"/>
                <w:szCs w:val="16"/>
              </w:rPr>
              <w:t>-premie</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18,8</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18,8</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Kasschuif apparaat</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-20,0</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Uitvoeringskosten fiscale wet</w:t>
            </w:r>
            <w:r>
              <w:rPr>
                <w:rFonts w:ascii="Verdana" w:hAnsi="Verdana" w:cs="Courier New"/>
                <w:sz w:val="16"/>
                <w:szCs w:val="16"/>
              </w:rPr>
              <w:t>t</w:t>
            </w:r>
            <w:r w:rsidRPr="00DD331C">
              <w:rPr>
                <w:rFonts w:ascii="Verdana" w:hAnsi="Verdana" w:cs="Courier New"/>
                <w:sz w:val="16"/>
                <w:szCs w:val="16"/>
              </w:rPr>
              <w:t>en regelgeving</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18,4</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8,5</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8,4</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8,4</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8,4</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27,7</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13,4</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6,2</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4,9</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44,9</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40,7</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22,4</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14,6</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13,3</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Technische mutaties</w:t>
            </w:r>
          </w:p>
        </w:tc>
        <w:tc>
          <w:tcPr>
            <w:tcW w:w="559" w:type="pct"/>
          </w:tcPr>
          <w:p w:rsidRPr="00DD331C" w:rsidR="00315371" w:rsidP="00404A14" w:rsidRDefault="00315371">
            <w:pPr>
              <w:rPr>
                <w:rFonts w:ascii="Verdana" w:hAnsi="Verdana"/>
                <w:sz w:val="16"/>
                <w:szCs w:val="16"/>
              </w:rPr>
            </w:pPr>
          </w:p>
        </w:tc>
        <w:tc>
          <w:tcPr>
            <w:tcW w:w="559"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r>
      <w:tr w:rsidRPr="00DD331C" w:rsidR="00315371" w:rsidTr="00DD331C">
        <w:tc>
          <w:tcPr>
            <w:tcW w:w="2268"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Rijksbegroting in enge zin</w:t>
            </w:r>
          </w:p>
        </w:tc>
        <w:tc>
          <w:tcPr>
            <w:tcW w:w="559" w:type="pct"/>
          </w:tcPr>
          <w:p w:rsidRPr="00DD331C" w:rsidR="00315371" w:rsidP="00404A14" w:rsidRDefault="00315371">
            <w:pPr>
              <w:rPr>
                <w:rFonts w:ascii="Verdana" w:hAnsi="Verdana"/>
                <w:sz w:val="16"/>
                <w:szCs w:val="16"/>
              </w:rPr>
            </w:pPr>
          </w:p>
        </w:tc>
        <w:tc>
          <w:tcPr>
            <w:tcW w:w="559"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Heffings- en invorderingsrente</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38,8</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44,3</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42,6</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42,2</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42,6</w:t>
            </w:r>
          </w:p>
        </w:tc>
      </w:tr>
      <w:tr w:rsidRPr="00DD331C" w:rsidR="00315371" w:rsidTr="00DD331C">
        <w:tc>
          <w:tcPr>
            <w:tcW w:w="2268"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Niet tot een ijklijn behorend</w:t>
            </w:r>
          </w:p>
        </w:tc>
        <w:tc>
          <w:tcPr>
            <w:tcW w:w="559" w:type="pct"/>
          </w:tcPr>
          <w:p w:rsidRPr="00DD331C" w:rsidR="00315371" w:rsidP="00404A14" w:rsidRDefault="00315371">
            <w:pPr>
              <w:rPr>
                <w:rFonts w:ascii="Verdana" w:hAnsi="Verdana"/>
                <w:sz w:val="16"/>
                <w:szCs w:val="16"/>
              </w:rPr>
            </w:pPr>
          </w:p>
        </w:tc>
        <w:tc>
          <w:tcPr>
            <w:tcW w:w="559"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Pr>
                <w:rFonts w:ascii="Verdana" w:hAnsi="Verdana" w:cs="Courier New"/>
                <w:sz w:val="16"/>
                <w:szCs w:val="16"/>
              </w:rPr>
              <w:t>Btw compensatie Fries-G</w:t>
            </w:r>
            <w:r w:rsidRPr="00DD331C">
              <w:rPr>
                <w:rFonts w:ascii="Verdana" w:hAnsi="Verdana" w:cs="Courier New"/>
                <w:sz w:val="16"/>
                <w:szCs w:val="16"/>
              </w:rPr>
              <w:t>roningse kanalen</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-54,6</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Funding fee </w:t>
            </w:r>
            <w:r>
              <w:rPr>
                <w:rFonts w:ascii="Verdana" w:hAnsi="Verdana" w:cs="Courier New"/>
                <w:sz w:val="16"/>
                <w:szCs w:val="16"/>
              </w:rPr>
              <w:t>IABF</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240,0</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28,0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54,0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74,0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62,0</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Kapitaalstorting </w:t>
            </w:r>
            <w:r>
              <w:rPr>
                <w:rFonts w:ascii="Verdana" w:hAnsi="Verdana" w:cs="Courier New"/>
                <w:sz w:val="16"/>
                <w:szCs w:val="16"/>
              </w:rPr>
              <w:t>ESM</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1.829,4</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914,2</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-0,5</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-915,2</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-915,2</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Lening </w:t>
            </w:r>
            <w:r>
              <w:rPr>
                <w:rFonts w:ascii="Verdana" w:hAnsi="Verdana" w:cs="Courier New"/>
                <w:sz w:val="16"/>
                <w:szCs w:val="16"/>
              </w:rPr>
              <w:t>G</w:t>
            </w:r>
            <w:r w:rsidRPr="00DD331C">
              <w:rPr>
                <w:rFonts w:ascii="Verdana" w:hAnsi="Verdana" w:cs="Courier New"/>
                <w:sz w:val="16"/>
                <w:szCs w:val="16"/>
              </w:rPr>
              <w:t>riekenland</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-1.086,5</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-175,0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268"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17,0</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13,0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21,3</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21,3</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734,1</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575,5</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-140,9</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-1.027,7</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-1.039,3</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p>
        </w:tc>
        <w:tc>
          <w:tcPr>
            <w:tcW w:w="559" w:type="pct"/>
            <w:vAlign w:val="center"/>
          </w:tcPr>
          <w:p w:rsidRPr="00DD331C" w:rsidR="00315371" w:rsidP="00404A14" w:rsidRDefault="00315371">
            <w:pPr>
              <w:rPr>
                <w:rFonts w:ascii="Verdana" w:hAnsi="Verdana"/>
                <w:sz w:val="16"/>
                <w:szCs w:val="16"/>
              </w:rPr>
            </w:pPr>
          </w:p>
        </w:tc>
        <w:tc>
          <w:tcPr>
            <w:tcW w:w="559" w:type="pct"/>
            <w:vAlign w:val="center"/>
          </w:tcPr>
          <w:p w:rsidRPr="00DD331C" w:rsidR="00315371" w:rsidP="00404A14" w:rsidRDefault="00315371">
            <w:pPr>
              <w:rPr>
                <w:rFonts w:ascii="Verdana" w:hAnsi="Verdana"/>
                <w:sz w:val="16"/>
                <w:szCs w:val="16"/>
              </w:rPr>
            </w:pPr>
          </w:p>
        </w:tc>
        <w:tc>
          <w:tcPr>
            <w:tcW w:w="538" w:type="pct"/>
            <w:vAlign w:val="center"/>
          </w:tcPr>
          <w:p w:rsidRPr="00DD331C" w:rsidR="00315371" w:rsidP="00404A14" w:rsidRDefault="00315371">
            <w:pPr>
              <w:rPr>
                <w:rFonts w:ascii="Verdana" w:hAnsi="Verdana"/>
                <w:sz w:val="16"/>
                <w:szCs w:val="16"/>
              </w:rPr>
            </w:pPr>
          </w:p>
        </w:tc>
        <w:tc>
          <w:tcPr>
            <w:tcW w:w="538" w:type="pct"/>
            <w:vAlign w:val="center"/>
          </w:tcPr>
          <w:p w:rsidRPr="00DD331C" w:rsidR="00315371" w:rsidP="00404A14" w:rsidRDefault="00315371">
            <w:pPr>
              <w:rPr>
                <w:rFonts w:ascii="Verdana" w:hAnsi="Verdana"/>
                <w:sz w:val="16"/>
                <w:szCs w:val="16"/>
              </w:rPr>
            </w:pPr>
          </w:p>
        </w:tc>
        <w:tc>
          <w:tcPr>
            <w:tcW w:w="538" w:type="pct"/>
            <w:vAlign w:val="center"/>
          </w:tcPr>
          <w:p w:rsidRPr="00DD331C" w:rsidR="00315371" w:rsidP="00404A14" w:rsidRDefault="00315371">
            <w:pPr>
              <w:rPr>
                <w:rFonts w:ascii="Verdana" w:hAnsi="Verdana"/>
                <w:sz w:val="16"/>
                <w:szCs w:val="16"/>
              </w:rPr>
            </w:pP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mutaties sinds Miljoenennota 2012</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779,1</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616,3</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-118,4</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-1.013,1</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-1.026,0</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59" w:type="pct"/>
          </w:tcPr>
          <w:p w:rsidRPr="00DD331C" w:rsidR="00315371" w:rsidP="00404A14" w:rsidRDefault="00315371">
            <w:pPr>
              <w:rPr>
                <w:rFonts w:ascii="Verdana" w:hAnsi="Verdana"/>
                <w:sz w:val="16"/>
                <w:szCs w:val="16"/>
              </w:rPr>
            </w:pPr>
          </w:p>
        </w:tc>
        <w:tc>
          <w:tcPr>
            <w:tcW w:w="559"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c>
          <w:tcPr>
            <w:tcW w:w="538" w:type="pct"/>
          </w:tcPr>
          <w:p w:rsidRPr="00DD331C" w:rsidR="00315371" w:rsidP="00404A14" w:rsidRDefault="00315371">
            <w:pPr>
              <w:rPr>
                <w:rFonts w:ascii="Verdana" w:hAnsi="Verdana"/>
                <w:sz w:val="16"/>
                <w:szCs w:val="16"/>
              </w:rPr>
            </w:pP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 (subtotaal)</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11.391,2</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10.548,5</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9.277,5</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8.147,5</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7.896,0</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Internationale samenwerking</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160,9</w:t>
            </w:r>
          </w:p>
        </w:tc>
        <w:tc>
          <w:tcPr>
            <w:tcW w:w="55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35,5</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262,4</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352,0</w:t>
            </w:r>
          </w:p>
        </w:tc>
        <w:tc>
          <w:tcPr>
            <w:tcW w:w="538"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355,8</w:t>
            </w:r>
          </w:p>
        </w:tc>
      </w:tr>
      <w:tr w:rsidRPr="00DD331C" w:rsidR="00315371" w:rsidTr="00DD331C">
        <w:tc>
          <w:tcPr>
            <w:tcW w:w="2268"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11.552,1</w:t>
            </w:r>
          </w:p>
        </w:tc>
        <w:tc>
          <w:tcPr>
            <w:tcW w:w="55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10.584,0</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9.539,9</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8.499,5</w:t>
            </w:r>
          </w:p>
        </w:tc>
        <w:tc>
          <w:tcPr>
            <w:tcW w:w="538"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8.251,8</w:t>
            </w:r>
          </w:p>
        </w:tc>
      </w:tr>
    </w:tbl>
    <w:p w:rsidR="00315371" w:rsidP="00E12684" w:rsidRDefault="00315371">
      <w:pPr>
        <w:spacing w:line="276" w:lineRule="auto"/>
        <w:rPr>
          <w:rFonts w:ascii="Courier New" w:hAnsi="Courier New" w:cs="Courier New"/>
          <w:sz w:val="14"/>
          <w:szCs w:val="14"/>
        </w:rPr>
      </w:pPr>
    </w:p>
    <w:tbl>
      <w:tblPr>
        <w:tblW w:w="5000" w:type="pct"/>
        <w:tblCellMar>
          <w:top w:w="15" w:type="dxa"/>
          <w:left w:w="15" w:type="dxa"/>
          <w:bottom w:w="15" w:type="dxa"/>
          <w:right w:w="15" w:type="dxa"/>
        </w:tblCellMar>
        <w:tblLook w:val="00A0"/>
      </w:tblPr>
      <w:tblGrid>
        <w:gridCol w:w="3698"/>
        <w:gridCol w:w="1114"/>
        <w:gridCol w:w="1072"/>
        <w:gridCol w:w="1072"/>
        <w:gridCol w:w="1072"/>
        <w:gridCol w:w="1074"/>
      </w:tblGrid>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612"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89"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89"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89"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589"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IXB FINANCIEN: NIET-BELASTINGONTVANGSTEN</w:t>
            </w:r>
          </w:p>
        </w:tc>
        <w:tc>
          <w:tcPr>
            <w:tcW w:w="2969" w:type="pct"/>
            <w:gridSpan w:val="5"/>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bedragen in miljoenen euro's</w:t>
            </w:r>
          </w:p>
        </w:tc>
      </w:tr>
      <w:tr w:rsidRPr="00DD331C" w:rsidR="00315371" w:rsidTr="00DD331C">
        <w:tc>
          <w:tcPr>
            <w:tcW w:w="2031"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p>
        </w:tc>
        <w:tc>
          <w:tcPr>
            <w:tcW w:w="612"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2012</w:t>
            </w:r>
          </w:p>
        </w:tc>
        <w:tc>
          <w:tcPr>
            <w:tcW w:w="589"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2013</w:t>
            </w:r>
          </w:p>
        </w:tc>
        <w:tc>
          <w:tcPr>
            <w:tcW w:w="589"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2014</w:t>
            </w:r>
          </w:p>
        </w:tc>
        <w:tc>
          <w:tcPr>
            <w:tcW w:w="589"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2015</w:t>
            </w:r>
          </w:p>
        </w:tc>
        <w:tc>
          <w:tcPr>
            <w:tcW w:w="589" w:type="pct"/>
            <w:tcBorders>
              <w:top w:val="single" w:color="000000" w:sz="8" w:space="0"/>
              <w:left w:val="nil"/>
              <w:bottom w:val="single" w:color="000000" w:sz="8" w:space="0"/>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2016</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Miljoenennota 2012 (excl. IS)</w:t>
            </w:r>
          </w:p>
        </w:tc>
        <w:tc>
          <w:tcPr>
            <w:tcW w:w="612"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9.689,8</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4.936,2</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4.663,6</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4.643,8</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4.245,0</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Beleidsmatige mutaties</w:t>
            </w:r>
          </w:p>
        </w:tc>
        <w:tc>
          <w:tcPr>
            <w:tcW w:w="612"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r>
      <w:tr w:rsidRPr="00DD331C" w:rsidR="00315371" w:rsidTr="00DD331C">
        <w:tc>
          <w:tcPr>
            <w:tcW w:w="2031"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Rijksbegroting in enge zin</w:t>
            </w:r>
          </w:p>
        </w:tc>
        <w:tc>
          <w:tcPr>
            <w:tcW w:w="612"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Dividend staatsdeelnemingen</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13,4</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12,5</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150,1</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197,5</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77,9</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Incidentele boedelontvangsten </w:t>
            </w:r>
            <w:r>
              <w:rPr>
                <w:rFonts w:ascii="Verdana" w:hAnsi="Verdana" w:cs="Courier New"/>
                <w:sz w:val="16"/>
                <w:szCs w:val="16"/>
              </w:rPr>
              <w:t>BNA</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Vrijval </w:t>
            </w:r>
            <w:r>
              <w:rPr>
                <w:rFonts w:ascii="Verdana" w:hAnsi="Verdana" w:cs="Courier New"/>
                <w:sz w:val="16"/>
                <w:szCs w:val="16"/>
              </w:rPr>
              <w:t>S</w:t>
            </w:r>
            <w:r w:rsidRPr="00DD331C">
              <w:rPr>
                <w:rFonts w:ascii="Verdana" w:hAnsi="Verdana" w:cs="Courier New"/>
                <w:sz w:val="16"/>
                <w:szCs w:val="16"/>
              </w:rPr>
              <w:t>eno-gom</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207,7</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34,5</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29,8</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12,5</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Winstafdracht </w:t>
            </w:r>
            <w:r>
              <w:rPr>
                <w:rFonts w:ascii="Verdana" w:hAnsi="Verdana" w:cs="Courier New"/>
                <w:sz w:val="16"/>
                <w:szCs w:val="16"/>
              </w:rPr>
              <w:t>DNB</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91,0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-190,0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-212,0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-117,0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-143,0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6,6</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-10,2</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-10,1</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-0,1</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612"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343,7</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-153,2</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-42,2</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94,4</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-52,6</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Technische mutaties</w:t>
            </w:r>
          </w:p>
        </w:tc>
        <w:tc>
          <w:tcPr>
            <w:tcW w:w="612"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r>
      <w:tr w:rsidRPr="00DD331C" w:rsidR="00315371" w:rsidTr="00DD331C">
        <w:tc>
          <w:tcPr>
            <w:tcW w:w="2031"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Rijksbegroting in enge zin</w:t>
            </w:r>
          </w:p>
        </w:tc>
        <w:tc>
          <w:tcPr>
            <w:tcW w:w="612"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Heffings-en invorderingsrente</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-250,0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Winstafdracht </w:t>
            </w:r>
            <w:r>
              <w:rPr>
                <w:rFonts w:ascii="Verdana" w:hAnsi="Verdana" w:cs="Courier New"/>
                <w:sz w:val="16"/>
                <w:szCs w:val="16"/>
              </w:rPr>
              <w:t>DNB</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500,0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13,6</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10,0</w:t>
            </w:r>
          </w:p>
        </w:tc>
      </w:tr>
      <w:tr w:rsidRPr="00DD331C" w:rsidR="00315371" w:rsidTr="00DD331C">
        <w:tc>
          <w:tcPr>
            <w:tcW w:w="2031" w:type="pct"/>
            <w:tcBorders>
              <w:left w:val="nil"/>
              <w:right w:val="nil"/>
            </w:tcBorders>
            <w:tcMar>
              <w:top w:w="15" w:type="dxa"/>
              <w:left w:w="224" w:type="dxa"/>
              <w:bottom w:w="15" w:type="dxa"/>
              <w:right w:w="15" w:type="dxa"/>
            </w:tcMar>
          </w:tcPr>
          <w:p w:rsidRPr="00DD331C" w:rsidR="00315371" w:rsidP="00DD331C" w:rsidRDefault="00315371">
            <w:pPr>
              <w:ind w:firstLine="160" w:firstLineChars="100"/>
              <w:rPr>
                <w:rFonts w:ascii="Verdana" w:hAnsi="Verdana" w:cs="Courier New"/>
                <w:sz w:val="16"/>
                <w:szCs w:val="16"/>
              </w:rPr>
            </w:pPr>
            <w:r w:rsidRPr="00DD331C">
              <w:rPr>
                <w:rFonts w:ascii="Verdana" w:hAnsi="Verdana" w:cs="Courier New"/>
                <w:sz w:val="16"/>
                <w:szCs w:val="16"/>
              </w:rPr>
              <w:t>Niet tot een ijklijn behorend</w:t>
            </w:r>
          </w:p>
        </w:tc>
        <w:tc>
          <w:tcPr>
            <w:tcW w:w="612"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Pr>
                <w:rFonts w:ascii="Verdana" w:hAnsi="Verdana" w:cs="Courier New"/>
                <w:sz w:val="16"/>
                <w:szCs w:val="16"/>
              </w:rPr>
              <w:t>Aflossing lening G</w:t>
            </w:r>
            <w:r w:rsidRPr="00DD331C">
              <w:rPr>
                <w:rFonts w:ascii="Verdana" w:hAnsi="Verdana" w:cs="Courier New"/>
                <w:sz w:val="16"/>
                <w:szCs w:val="16"/>
              </w:rPr>
              <w:t>riekenland</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-318,0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-669,0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Dividend </w:t>
            </w:r>
            <w:r>
              <w:rPr>
                <w:rFonts w:ascii="Verdana" w:hAnsi="Verdana" w:cs="Courier New"/>
                <w:sz w:val="16"/>
                <w:szCs w:val="16"/>
              </w:rPr>
              <w:t>ASR</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71,0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Portefeuille ontvangsten </w:t>
            </w:r>
            <w:r>
              <w:rPr>
                <w:rFonts w:ascii="Verdana" w:hAnsi="Verdana" w:cs="Courier New"/>
                <w:sz w:val="16"/>
                <w:szCs w:val="16"/>
              </w:rPr>
              <w:t>IABF</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201,0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36,0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59,0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49,0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2905DD"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Renteontvangsten </w:t>
            </w:r>
            <w:r>
              <w:rPr>
                <w:rFonts w:ascii="Verdana" w:hAnsi="Verdana" w:cs="Courier New"/>
                <w:sz w:val="16"/>
                <w:szCs w:val="16"/>
              </w:rPr>
              <w:t>G</w:t>
            </w:r>
            <w:r w:rsidRPr="00DD331C">
              <w:rPr>
                <w:rFonts w:ascii="Verdana" w:hAnsi="Verdana" w:cs="Courier New"/>
                <w:sz w:val="16"/>
                <w:szCs w:val="16"/>
              </w:rPr>
              <w:t>riekenland</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-112,0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-146,0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-174,0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-141,0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 xml:space="preserve">Winstafdracht </w:t>
            </w:r>
            <w:r>
              <w:rPr>
                <w:rFonts w:ascii="Verdana" w:hAnsi="Verdana" w:cs="Courier New"/>
                <w:sz w:val="16"/>
                <w:szCs w:val="16"/>
              </w:rPr>
              <w:t>DNB</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280,0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287,0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172,0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118,0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90,0</w:t>
            </w:r>
          </w:p>
        </w:tc>
      </w:tr>
      <w:tr w:rsidRPr="00DD331C" w:rsidR="00315371" w:rsidTr="00DD331C">
        <w:tc>
          <w:tcPr>
            <w:tcW w:w="2031" w:type="pct"/>
            <w:tcBorders>
              <w:left w:val="nil"/>
              <w:right w:val="nil"/>
            </w:tcBorders>
            <w:tcMar>
              <w:top w:w="15" w:type="dxa"/>
              <w:left w:w="449" w:type="dxa"/>
              <w:bottom w:w="15" w:type="dxa"/>
              <w:right w:w="15" w:type="dxa"/>
            </w:tcMar>
          </w:tcPr>
          <w:p w:rsidRPr="00DD331C" w:rsidR="00315371" w:rsidP="00DD331C" w:rsidRDefault="00315371">
            <w:pPr>
              <w:ind w:firstLine="320" w:firstLineChars="200"/>
              <w:rPr>
                <w:rFonts w:ascii="Verdana" w:hAnsi="Verdana" w:cs="Courier New"/>
                <w:sz w:val="16"/>
                <w:szCs w:val="16"/>
              </w:rPr>
            </w:pPr>
            <w:r w:rsidRPr="00DD331C">
              <w:rPr>
                <w:rFonts w:ascii="Verdana" w:hAnsi="Verdana" w:cs="Courier New"/>
                <w:sz w:val="16"/>
                <w:szCs w:val="16"/>
              </w:rPr>
              <w:t>Diversen</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12,4</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12,4</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16,0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14,0</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612"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723,6</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-76,6</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-235,6</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-535,0</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-897,0</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p>
        </w:tc>
        <w:tc>
          <w:tcPr>
            <w:tcW w:w="612" w:type="pct"/>
            <w:vAlign w:val="center"/>
          </w:tcPr>
          <w:p w:rsidRPr="00DD331C" w:rsidR="00315371" w:rsidP="00404A14" w:rsidRDefault="00315371">
            <w:pPr>
              <w:rPr>
                <w:rFonts w:ascii="Verdana" w:hAnsi="Verdana"/>
                <w:sz w:val="16"/>
                <w:szCs w:val="16"/>
              </w:rPr>
            </w:pPr>
          </w:p>
        </w:tc>
        <w:tc>
          <w:tcPr>
            <w:tcW w:w="589" w:type="pct"/>
            <w:vAlign w:val="center"/>
          </w:tcPr>
          <w:p w:rsidRPr="00DD331C" w:rsidR="00315371" w:rsidP="00404A14" w:rsidRDefault="00315371">
            <w:pPr>
              <w:rPr>
                <w:rFonts w:ascii="Verdana" w:hAnsi="Verdana"/>
                <w:sz w:val="16"/>
                <w:szCs w:val="16"/>
              </w:rPr>
            </w:pPr>
          </w:p>
        </w:tc>
        <w:tc>
          <w:tcPr>
            <w:tcW w:w="589" w:type="pct"/>
            <w:vAlign w:val="center"/>
          </w:tcPr>
          <w:p w:rsidRPr="00DD331C" w:rsidR="00315371" w:rsidP="00404A14" w:rsidRDefault="00315371">
            <w:pPr>
              <w:rPr>
                <w:rFonts w:ascii="Verdana" w:hAnsi="Verdana"/>
                <w:sz w:val="16"/>
                <w:szCs w:val="16"/>
              </w:rPr>
            </w:pPr>
          </w:p>
        </w:tc>
        <w:tc>
          <w:tcPr>
            <w:tcW w:w="589" w:type="pct"/>
            <w:vAlign w:val="center"/>
          </w:tcPr>
          <w:p w:rsidRPr="00DD331C" w:rsidR="00315371" w:rsidP="00404A14" w:rsidRDefault="00315371">
            <w:pPr>
              <w:rPr>
                <w:rFonts w:ascii="Verdana" w:hAnsi="Verdana"/>
                <w:sz w:val="16"/>
                <w:szCs w:val="16"/>
              </w:rPr>
            </w:pPr>
          </w:p>
        </w:tc>
        <w:tc>
          <w:tcPr>
            <w:tcW w:w="589" w:type="pct"/>
            <w:vAlign w:val="center"/>
          </w:tcPr>
          <w:p w:rsidRPr="00DD331C" w:rsidR="00315371" w:rsidP="00404A14" w:rsidRDefault="00315371">
            <w:pPr>
              <w:rPr>
                <w:rFonts w:ascii="Verdana" w:hAnsi="Verdana"/>
                <w:sz w:val="16"/>
                <w:szCs w:val="16"/>
              </w:rPr>
            </w:pP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mutaties sinds Miljoenennota 2012</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1.067,3</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-229,8</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-277,8</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-440,6</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-949,6</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 </w:t>
            </w:r>
          </w:p>
        </w:tc>
        <w:tc>
          <w:tcPr>
            <w:tcW w:w="612"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c>
          <w:tcPr>
            <w:tcW w:w="589" w:type="pct"/>
          </w:tcPr>
          <w:p w:rsidRPr="00DD331C" w:rsidR="00315371" w:rsidP="00404A14" w:rsidRDefault="00315371">
            <w:pPr>
              <w:rPr>
                <w:rFonts w:ascii="Verdana" w:hAnsi="Verdana"/>
                <w:sz w:val="16"/>
                <w:szCs w:val="16"/>
              </w:rPr>
            </w:pP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 (subtotaal)</w:t>
            </w:r>
          </w:p>
        </w:tc>
        <w:tc>
          <w:tcPr>
            <w:tcW w:w="612"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10.757,1</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4.706,4</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4.385,8</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4.203,2</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3.295,4</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Totaal Internationale samenwerking</w:t>
            </w:r>
          </w:p>
        </w:tc>
        <w:tc>
          <w:tcPr>
            <w:tcW w:w="612"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8,3</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7,8</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3,7</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c>
          <w:tcPr>
            <w:tcW w:w="589" w:type="pct"/>
            <w:tcBorders>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0,0</w:t>
            </w:r>
          </w:p>
        </w:tc>
      </w:tr>
      <w:tr w:rsidRPr="00DD331C" w:rsidR="00315371" w:rsidTr="00DD331C">
        <w:tc>
          <w:tcPr>
            <w:tcW w:w="2031" w:type="pct"/>
            <w:tcBorders>
              <w:left w:val="nil"/>
              <w:right w:val="nil"/>
            </w:tcBorders>
          </w:tcPr>
          <w:p w:rsidRPr="00DD331C" w:rsidR="00315371" w:rsidP="00404A14" w:rsidRDefault="00315371">
            <w:pPr>
              <w:rPr>
                <w:rFonts w:ascii="Verdana" w:hAnsi="Verdana" w:cs="Courier New"/>
                <w:sz w:val="16"/>
                <w:szCs w:val="16"/>
              </w:rPr>
            </w:pPr>
            <w:r w:rsidRPr="00DD331C">
              <w:rPr>
                <w:rFonts w:ascii="Verdana" w:hAnsi="Verdana" w:cs="Courier New"/>
                <w:sz w:val="16"/>
                <w:szCs w:val="16"/>
              </w:rPr>
              <w:t>Stand Voorjaarsnota 2012</w:t>
            </w:r>
          </w:p>
        </w:tc>
        <w:tc>
          <w:tcPr>
            <w:tcW w:w="612"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10.765,4</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4.714,2</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4.389,5</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4.203,2</w:t>
            </w:r>
          </w:p>
        </w:tc>
        <w:tc>
          <w:tcPr>
            <w:tcW w:w="589" w:type="pct"/>
            <w:tcBorders>
              <w:top w:val="single" w:color="000000" w:sz="8" w:space="0"/>
              <w:left w:val="nil"/>
              <w:right w:val="nil"/>
            </w:tcBorders>
          </w:tcPr>
          <w:p w:rsidRPr="00DD331C" w:rsidR="00315371" w:rsidP="00404A14" w:rsidRDefault="00315371">
            <w:pPr>
              <w:jc w:val="right"/>
              <w:rPr>
                <w:rFonts w:ascii="Verdana" w:hAnsi="Verdana" w:cs="Courier New"/>
                <w:sz w:val="16"/>
                <w:szCs w:val="16"/>
              </w:rPr>
            </w:pPr>
            <w:r w:rsidRPr="00DD331C">
              <w:rPr>
                <w:rFonts w:ascii="Verdana" w:hAnsi="Verdana" w:cs="Courier New"/>
                <w:sz w:val="16"/>
                <w:szCs w:val="16"/>
              </w:rPr>
              <w:t>3.295,4</w:t>
            </w:r>
          </w:p>
        </w:tc>
      </w:tr>
    </w:tbl>
    <w:p w:rsidRPr="00E12684" w:rsidR="00315371" w:rsidP="00E12684" w:rsidRDefault="00315371">
      <w:pPr>
        <w:spacing w:line="276" w:lineRule="auto"/>
        <w:rPr>
          <w:rFonts w:ascii="Verdana" w:hAnsi="Verdana" w:cs="Arial"/>
          <w:bCs/>
          <w:sz w:val="18"/>
          <w:szCs w:val="18"/>
        </w:rPr>
      </w:pPr>
      <w:r>
        <w:rPr>
          <w:rFonts w:ascii="Courier New" w:hAnsi="Courier New" w:cs="Courier New"/>
          <w:sz w:val="14"/>
          <w:szCs w:val="14"/>
        </w:rPr>
        <w:br w:type="page"/>
        <w:t> </w:t>
      </w:r>
    </w:p>
    <w:p w:rsidRPr="00DD331C" w:rsidR="00315371" w:rsidP="00DD331C" w:rsidRDefault="00315371">
      <w:pPr>
        <w:pStyle w:val="NoSpacing"/>
        <w:spacing w:line="276" w:lineRule="auto"/>
        <w:rPr>
          <w:i/>
          <w:szCs w:val="18"/>
        </w:rPr>
      </w:pPr>
      <w:r w:rsidRPr="00DD331C">
        <w:rPr>
          <w:i/>
          <w:szCs w:val="18"/>
        </w:rPr>
        <w:t>ABP-premie</w:t>
      </w:r>
    </w:p>
    <w:p w:rsidRPr="00DD331C" w:rsidR="00315371" w:rsidP="00DD331C" w:rsidRDefault="00315371">
      <w:pPr>
        <w:pStyle w:val="NoSpacing"/>
        <w:spacing w:line="276" w:lineRule="auto"/>
        <w:rPr>
          <w:szCs w:val="18"/>
        </w:rPr>
      </w:pPr>
      <w:r w:rsidRPr="00DD331C">
        <w:rPr>
          <w:szCs w:val="18"/>
        </w:rPr>
        <w:t>Een van de maatregelen om het herstel van de financiële positie van ABP te bevorderen is de verhoging van de tijdelijke opslag op de pensioenpremie. ABP heeft besloten de premieopslag in 2012 en 2013 van 1% naar 3% te verhogen, 70% van de pensioenpremie wordt betaald door de werkgever. Voor het Ministerie van Financiën resulteert dit in een netto-effect van 18,8 mln. per jaar.</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Kasschuif apparaat</w:t>
      </w:r>
    </w:p>
    <w:p w:rsidRPr="00DD331C" w:rsidR="00315371" w:rsidP="00DD331C" w:rsidRDefault="00315371">
      <w:pPr>
        <w:pStyle w:val="NoSpacing"/>
        <w:spacing w:line="276" w:lineRule="auto"/>
        <w:rPr>
          <w:szCs w:val="18"/>
        </w:rPr>
      </w:pPr>
      <w:r w:rsidRPr="00DD331C">
        <w:rPr>
          <w:szCs w:val="18"/>
        </w:rPr>
        <w:t>Een gedeelte van de uitgaven aan vervoerskosten (17 mln.) en administratieve personeelszaken-diensten (3 mln.) vond plaats in 2011 ipv in 2012.</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Uitvoeringskosten fiscale wet- en regelgeving</w:t>
      </w:r>
    </w:p>
    <w:p w:rsidRPr="00DD331C" w:rsidR="00315371" w:rsidP="00DD331C" w:rsidRDefault="00315371">
      <w:pPr>
        <w:pStyle w:val="NoSpacing"/>
        <w:spacing w:line="276" w:lineRule="auto"/>
        <w:rPr>
          <w:szCs w:val="18"/>
        </w:rPr>
      </w:pPr>
      <w:r w:rsidRPr="00DD331C">
        <w:rPr>
          <w:szCs w:val="18"/>
        </w:rPr>
        <w:t>De uitvoeringskosten vloeien voort uit maatregelen die in het Belastingplan 2012 en in de Overige Fiscale Maatregelen 2012 zijn opgenomen.</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Heffings- en invorderingsrente (HIR)</w:t>
      </w:r>
    </w:p>
    <w:p w:rsidRPr="00DD331C" w:rsidR="00315371" w:rsidP="00DD331C" w:rsidRDefault="00315371">
      <w:pPr>
        <w:pStyle w:val="NoSpacing"/>
        <w:spacing w:line="276" w:lineRule="auto"/>
        <w:rPr>
          <w:szCs w:val="18"/>
        </w:rPr>
      </w:pPr>
      <w:r w:rsidRPr="00DD331C">
        <w:rPr>
          <w:szCs w:val="18"/>
        </w:rPr>
        <w:t xml:space="preserve">De huidige ramingen van de uitgaven en ontvangsten zijn nog gebaseerd op hogere HIR-rentes en realisaties uit het verleden. De realisaties in 2011 zijn aanzienlijk lager dan de ramingen voor 2012. De verwachting is dat de huidige lage rente, net als in 2011, de komende tijd blijft doorwerken. </w:t>
      </w:r>
      <w:r w:rsidRPr="00DD331C">
        <w:rPr>
          <w:color w:val="000000"/>
          <w:szCs w:val="18"/>
        </w:rPr>
        <w:t>Zowel de uitgaven- als de ontvangstenraming wordt structureel met 250 mln. neerwaarts bijgesteld.</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szCs w:val="18"/>
        </w:rPr>
      </w:pPr>
      <w:r w:rsidRPr="00DD331C">
        <w:rPr>
          <w:i/>
          <w:szCs w:val="18"/>
        </w:rPr>
        <w:t>BTW compensatie Fries-Groningse Kanalen</w:t>
      </w:r>
      <w:r w:rsidRPr="00DD331C">
        <w:rPr>
          <w:i/>
          <w:szCs w:val="18"/>
        </w:rPr>
        <w:br/>
      </w:r>
      <w:r w:rsidRPr="00DD331C">
        <w:rPr>
          <w:szCs w:val="18"/>
        </w:rPr>
        <w:t>Het eigendom van de hoofdvaarweg Lemmer-Delfzijl gaat over van de provincies Friesland en Groningen naar het Rijk. Als afronding van dit deel van het convenant moet BTW aan het BTW Compensatiefonds (BCF) worden onttrokken en aan de IenM-begroting worden toegevoegd. Bij de uitname BTW uit het BTW-compensatiefonds (BCF) wordt hetzelfde rentepercentage gehanteerd voor de schatkist als reeds voor de provincie is gehanteerd (4,5%).</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rFonts w:cs="Arial"/>
          <w:bCs/>
          <w:i/>
          <w:iCs/>
          <w:szCs w:val="18"/>
          <w:lang w:val="en-US"/>
        </w:rPr>
      </w:pPr>
      <w:r w:rsidRPr="00DD331C">
        <w:rPr>
          <w:rFonts w:cs="Arial"/>
          <w:bCs/>
          <w:i/>
          <w:iCs/>
          <w:szCs w:val="18"/>
          <w:lang w:val="en-US"/>
        </w:rPr>
        <w:t>Funding fee Illiquid Asset Back-up Faciliteit (IABF)</w:t>
      </w:r>
    </w:p>
    <w:p w:rsidRPr="00DD331C" w:rsidR="00315371" w:rsidP="00DD331C" w:rsidRDefault="00315371">
      <w:pPr>
        <w:pStyle w:val="NoSpacing"/>
        <w:spacing w:line="276" w:lineRule="auto"/>
        <w:rPr>
          <w:szCs w:val="18"/>
        </w:rPr>
      </w:pPr>
      <w:r w:rsidRPr="00DD331C">
        <w:rPr>
          <w:szCs w:val="18"/>
        </w:rPr>
        <w:t>Door een daling van de eurodollar rekenkoers (depreciatie van de euro) zijn de ramingen voor de ontvangsten en uitgaven opwaarts bijgesteld.</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Kapitaalstorting Europees Stabiliteitsmechanisme (ESM)</w:t>
      </w:r>
    </w:p>
    <w:p w:rsidRPr="00DD331C" w:rsidR="00315371" w:rsidP="00DD331C" w:rsidRDefault="00315371">
      <w:pPr>
        <w:pStyle w:val="NoSpacing"/>
        <w:spacing w:line="276" w:lineRule="auto"/>
        <w:rPr>
          <w:szCs w:val="18"/>
        </w:rPr>
      </w:pPr>
      <w:r w:rsidRPr="00DD331C">
        <w:rPr>
          <w:szCs w:val="18"/>
        </w:rPr>
        <w:t>Een deel van het kapitaal ten behoeve van het ESM zal eerder gestort worden. Er vindt een verschuiving plaats van 2016 en 2017 naar 2012 van 1,8 mld. Ook zullen in 2013 twee tranches gestort worden voor in totaal 1,8 mld. Bij de ramingen in de Voorjaarsnota 2011 is uitgegaan van het afgeronde aandeelpercentage van Nederland in het ESM. Voor de jaren 2013 tot en met 2015 vindt een kleine mutatie plaats op basis van het precieze aandeel van Nederland van 5,717% conform het definitieve ESM verdrag.</w:t>
      </w:r>
    </w:p>
    <w:p w:rsidRPr="00DD331C" w:rsidR="00315371" w:rsidP="00DD331C" w:rsidRDefault="00315371">
      <w:pPr>
        <w:pStyle w:val="NoSpacing"/>
        <w:spacing w:line="276" w:lineRule="auto"/>
        <w:rPr>
          <w:i/>
          <w:szCs w:val="18"/>
        </w:rPr>
      </w:pPr>
    </w:p>
    <w:p w:rsidRPr="00DD331C" w:rsidR="00315371" w:rsidP="00DD331C" w:rsidRDefault="00315371">
      <w:pPr>
        <w:pStyle w:val="NoSpacing"/>
        <w:spacing w:line="276" w:lineRule="auto"/>
        <w:rPr>
          <w:i/>
          <w:szCs w:val="18"/>
        </w:rPr>
      </w:pPr>
      <w:r w:rsidRPr="00DD331C">
        <w:rPr>
          <w:i/>
          <w:szCs w:val="18"/>
        </w:rPr>
        <w:t>Lening Griekenland</w:t>
      </w:r>
    </w:p>
    <w:p w:rsidRPr="00DD331C" w:rsidR="00315371" w:rsidP="00DD331C" w:rsidRDefault="00315371">
      <w:pPr>
        <w:pStyle w:val="NoSpacing"/>
        <w:spacing w:line="276" w:lineRule="auto"/>
        <w:rPr>
          <w:szCs w:val="18"/>
        </w:rPr>
      </w:pPr>
      <w:r w:rsidRPr="00DD331C">
        <w:rPr>
          <w:szCs w:val="18"/>
        </w:rPr>
        <w:t>Nieuwe leningen aan Griekenland zullen allemaal door het EFSF uitgekeerd worden. De geraamde uitgaven van de bilaterale leningen komen hiermee te vervallen.</w:t>
      </w:r>
    </w:p>
    <w:p w:rsidRPr="00DD331C" w:rsidR="00315371" w:rsidP="00DD331C" w:rsidRDefault="00315371">
      <w:pPr>
        <w:pStyle w:val="NoSpacing"/>
        <w:spacing w:line="276" w:lineRule="auto"/>
        <w:rPr>
          <w:rFonts w:cs="Courier New"/>
          <w:i/>
          <w:color w:val="000000"/>
          <w:szCs w:val="18"/>
        </w:rPr>
      </w:pPr>
    </w:p>
    <w:p w:rsidRPr="00DD331C" w:rsidR="00315371" w:rsidP="00DD331C" w:rsidRDefault="00315371">
      <w:pPr>
        <w:pStyle w:val="NoSpacing"/>
        <w:spacing w:line="276" w:lineRule="auto"/>
        <w:rPr>
          <w:rFonts w:cs="Courier New"/>
          <w:i/>
          <w:color w:val="000000"/>
          <w:szCs w:val="18"/>
        </w:rPr>
      </w:pPr>
      <w:r w:rsidRPr="00DD331C">
        <w:rPr>
          <w:rFonts w:cs="Courier New"/>
          <w:i/>
          <w:color w:val="000000"/>
          <w:szCs w:val="18"/>
        </w:rPr>
        <w:t>Dividend staatsdeelnemingen</w:t>
      </w:r>
    </w:p>
    <w:p w:rsidRPr="00DD331C" w:rsidR="00315371" w:rsidP="00DD331C" w:rsidRDefault="00315371">
      <w:pPr>
        <w:pStyle w:val="NoSpacing"/>
        <w:spacing w:line="276" w:lineRule="auto"/>
        <w:rPr>
          <w:rFonts w:cs="Courier New"/>
          <w:i/>
          <w:color w:val="000000"/>
          <w:szCs w:val="18"/>
        </w:rPr>
      </w:pPr>
      <w:r w:rsidRPr="00DD331C">
        <w:rPr>
          <w:szCs w:val="18"/>
        </w:rPr>
        <w:t>Bij de te ontvangen dividenden van de staatsdeelnemingen doen zich meerjarig meevallers voor. Deze meevallers worden voornamelijk veroorzaakt door Tennet, UCN en de NS.</w:t>
      </w:r>
    </w:p>
    <w:p w:rsidRPr="00DD331C" w:rsidR="00315371" w:rsidP="00DD331C" w:rsidRDefault="00315371">
      <w:pPr>
        <w:pStyle w:val="NoSpacing"/>
        <w:spacing w:line="276" w:lineRule="auto"/>
        <w:rPr>
          <w:rFonts w:cs="Courier New"/>
          <w:i/>
          <w:color w:val="000000"/>
          <w:szCs w:val="18"/>
        </w:rPr>
      </w:pPr>
    </w:p>
    <w:p w:rsidRPr="00DD331C" w:rsidR="00315371" w:rsidP="00DD331C" w:rsidRDefault="00315371">
      <w:pPr>
        <w:pStyle w:val="NoSpacing"/>
        <w:spacing w:line="276" w:lineRule="auto"/>
        <w:rPr>
          <w:rFonts w:cs="Courier New"/>
          <w:i/>
          <w:color w:val="000000"/>
          <w:szCs w:val="18"/>
        </w:rPr>
      </w:pPr>
      <w:r w:rsidRPr="00DD331C">
        <w:rPr>
          <w:rFonts w:cs="Courier New"/>
          <w:i/>
          <w:color w:val="000000"/>
          <w:szCs w:val="18"/>
        </w:rPr>
        <w:t>Incidentele boedelontvangsten Bank Nederlandse Antillen (BNA)</w:t>
      </w:r>
    </w:p>
    <w:p w:rsidRPr="00DD331C" w:rsidR="00315371" w:rsidP="00DD331C" w:rsidRDefault="00315371">
      <w:pPr>
        <w:pStyle w:val="NoSpacing"/>
        <w:spacing w:line="276" w:lineRule="auto"/>
        <w:rPr>
          <w:rFonts w:cs="Arial"/>
          <w:bCs/>
          <w:iCs/>
          <w:szCs w:val="18"/>
        </w:rPr>
      </w:pPr>
      <w:r w:rsidRPr="00DD331C">
        <w:rPr>
          <w:rFonts w:cs="Arial"/>
          <w:bCs/>
          <w:iCs/>
          <w:szCs w:val="18"/>
        </w:rPr>
        <w:t xml:space="preserve">Bij de staatkundige hervormingen is afgesproken dat Nederland uit de boedel van de BNA het deel dat toebedeeld is aan Caribisch Nederland (25 mln.) zou ontvangen. De verwachte ontvangst is niet meer in 2011 ontvangen maar schuift naar verwachting door naar 2012. </w:t>
      </w:r>
    </w:p>
    <w:p w:rsidRPr="00DD331C" w:rsidR="00315371" w:rsidP="00DD331C" w:rsidRDefault="00315371">
      <w:pPr>
        <w:pStyle w:val="NoSpacing"/>
        <w:spacing w:line="276" w:lineRule="auto"/>
        <w:rPr>
          <w:i/>
          <w:szCs w:val="18"/>
        </w:rPr>
      </w:pPr>
    </w:p>
    <w:p w:rsidR="00315371" w:rsidP="00DD331C" w:rsidRDefault="00315371">
      <w:pPr>
        <w:pStyle w:val="NoSpacing"/>
        <w:spacing w:line="276" w:lineRule="auto"/>
        <w:rPr>
          <w:i/>
          <w:szCs w:val="18"/>
        </w:rPr>
      </w:pPr>
    </w:p>
    <w:p w:rsidRPr="00DD331C" w:rsidR="00315371" w:rsidP="00DD331C" w:rsidRDefault="00315371">
      <w:pPr>
        <w:pStyle w:val="NoSpacing"/>
        <w:spacing w:line="276" w:lineRule="auto"/>
        <w:rPr>
          <w:i/>
          <w:szCs w:val="18"/>
        </w:rPr>
      </w:pPr>
      <w:r w:rsidRPr="00DD331C">
        <w:rPr>
          <w:i/>
          <w:szCs w:val="18"/>
        </w:rPr>
        <w:t>Vrijval Seno- Gom reserve</w:t>
      </w:r>
    </w:p>
    <w:p w:rsidRPr="00DD331C" w:rsidR="00315371" w:rsidP="00DD331C" w:rsidRDefault="00315371">
      <w:pPr>
        <w:pStyle w:val="NoSpacing"/>
        <w:spacing w:line="276" w:lineRule="auto"/>
        <w:rPr>
          <w:szCs w:val="18"/>
        </w:rPr>
      </w:pPr>
      <w:r w:rsidRPr="00DD331C">
        <w:rPr>
          <w:szCs w:val="18"/>
        </w:rPr>
        <w:t xml:space="preserve">De zogeheten seno-gom portefeuille (onderdeel EKV) wordt afbeheerd en in dat kader vindt er een meerjarige vrijval plaats uit de reserve. Met de geraamde meerjarige vrijval wordt de reserve afgebouwd tot 37,9 mln., welke gereserveerd blijft voor eventuele schades die nog voortkomen uit de seno-gom portefeuille. </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 xml:space="preserve">Winstafdracht DNB (Rijksbegroting in enge zin) </w:t>
      </w:r>
    </w:p>
    <w:p w:rsidRPr="00DD331C" w:rsidR="00315371" w:rsidP="00DD331C" w:rsidRDefault="00315371">
      <w:pPr>
        <w:pStyle w:val="NoSpacing"/>
        <w:spacing w:line="276" w:lineRule="auto"/>
        <w:rPr>
          <w:szCs w:val="18"/>
        </w:rPr>
      </w:pPr>
      <w:r w:rsidRPr="00DD331C">
        <w:rPr>
          <w:szCs w:val="18"/>
        </w:rPr>
        <w:t xml:space="preserve">De winstafdracht DNB laat een meevaller zien in 2012 en tegenvallers in 2013-2017. Dalende inkomsten – voornamelijk vanwege de lage lange rente – liggen hieraan ten grondslag. </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Winstafdracht DNB (technische mutaties)</w:t>
      </w:r>
    </w:p>
    <w:p w:rsidRPr="00DD331C" w:rsidR="00315371" w:rsidP="00DD331C" w:rsidRDefault="00315371">
      <w:pPr>
        <w:pStyle w:val="NoSpacing"/>
        <w:spacing w:line="276" w:lineRule="auto"/>
        <w:rPr>
          <w:szCs w:val="18"/>
        </w:rPr>
      </w:pPr>
      <w:r w:rsidRPr="00DD331C">
        <w:rPr>
          <w:szCs w:val="18"/>
        </w:rPr>
        <w:t>Deze mutatie betreft een kadercorrectie voor de winstafdracht van DNB. Deze correctie hangt samen met de kadercorrectie in 2011 zoals omschreven in het Financieel Jaarverslag van het Rijk 2011.</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Aflossing lening Griekenland</w:t>
      </w:r>
    </w:p>
    <w:p w:rsidRPr="00DD331C" w:rsidR="00315371" w:rsidP="00DD331C" w:rsidRDefault="00315371">
      <w:pPr>
        <w:pStyle w:val="NoSpacing"/>
        <w:spacing w:line="276" w:lineRule="auto"/>
        <w:rPr>
          <w:szCs w:val="18"/>
        </w:rPr>
      </w:pPr>
      <w:r w:rsidRPr="00DD331C">
        <w:rPr>
          <w:szCs w:val="18"/>
        </w:rPr>
        <w:t>De looptijd van de bilaterale lening aan Griekenland zijn verlengd. Hierdoor vinden de aflossingen op een later moment plaats.</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Dividend ASR</w:t>
      </w:r>
    </w:p>
    <w:p w:rsidRPr="00DD331C" w:rsidR="00315371" w:rsidP="00DD331C" w:rsidRDefault="00315371">
      <w:pPr>
        <w:pStyle w:val="NoSpacing"/>
        <w:spacing w:line="276" w:lineRule="auto"/>
        <w:rPr>
          <w:szCs w:val="18"/>
        </w:rPr>
      </w:pPr>
      <w:r w:rsidRPr="00DD331C">
        <w:rPr>
          <w:szCs w:val="18"/>
        </w:rPr>
        <w:t xml:space="preserve">ASR heeft in 2012 over boekjaar 2011 een dividend van 71 mln. uitgekeerd. </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Portefeuilleontvangsten IABF</w:t>
      </w:r>
    </w:p>
    <w:p w:rsidRPr="00DD331C" w:rsidR="00315371" w:rsidP="00DD331C" w:rsidRDefault="00315371">
      <w:pPr>
        <w:pStyle w:val="NoSpacing"/>
        <w:spacing w:line="276" w:lineRule="auto"/>
        <w:rPr>
          <w:szCs w:val="18"/>
        </w:rPr>
      </w:pPr>
      <w:r w:rsidRPr="00DD331C">
        <w:rPr>
          <w:szCs w:val="18"/>
        </w:rPr>
        <w:t>De waarde van de IABF-portefeuille luidt oorspronkelijk in dollars. Door een daling van de eurodollar rekenkoers (depreciatie van de euro) zijn de ramingen voor de ontvangsten en uitgaven (in euro) opwaarts bijgesteld.</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Renteontvangsten Griekenland</w:t>
      </w:r>
    </w:p>
    <w:p w:rsidRPr="00DD331C" w:rsidR="00315371" w:rsidP="00DD331C" w:rsidRDefault="00315371">
      <w:pPr>
        <w:pStyle w:val="NoSpacing"/>
        <w:spacing w:line="276" w:lineRule="auto"/>
        <w:rPr>
          <w:szCs w:val="18"/>
        </w:rPr>
      </w:pPr>
      <w:r w:rsidRPr="00DD331C">
        <w:rPr>
          <w:szCs w:val="18"/>
        </w:rPr>
        <w:t xml:space="preserve">De renteontvangsten zijn naar beneden bijgesteld. Deze bijstelling wordt veroorzaakt door een lagere renteopslag, minder bilaterale leningen, een aanpassing van de renteraming aan de CEP-cijfers. </w:t>
      </w:r>
    </w:p>
    <w:p w:rsidRPr="00DD331C" w:rsidR="00315371" w:rsidP="00DD331C" w:rsidRDefault="00315371">
      <w:pPr>
        <w:pStyle w:val="NoSpacing"/>
        <w:spacing w:line="276" w:lineRule="auto"/>
        <w:rPr>
          <w:szCs w:val="18"/>
        </w:rPr>
      </w:pPr>
    </w:p>
    <w:p w:rsidRPr="00DD331C" w:rsidR="00315371" w:rsidP="00DD331C" w:rsidRDefault="00315371">
      <w:pPr>
        <w:pStyle w:val="NoSpacing"/>
        <w:spacing w:line="276" w:lineRule="auto"/>
        <w:rPr>
          <w:i/>
          <w:szCs w:val="18"/>
        </w:rPr>
      </w:pPr>
      <w:r w:rsidRPr="00DD331C">
        <w:rPr>
          <w:i/>
          <w:szCs w:val="18"/>
        </w:rPr>
        <w:t>Winstafdracht DNB (niet tot ijklijn behorend)</w:t>
      </w:r>
    </w:p>
    <w:p w:rsidRPr="00DD331C" w:rsidR="00315371" w:rsidP="00DD331C" w:rsidRDefault="00315371">
      <w:pPr>
        <w:autoSpaceDE w:val="0"/>
        <w:autoSpaceDN w:val="0"/>
        <w:adjustRightInd w:val="0"/>
        <w:spacing w:line="276" w:lineRule="auto"/>
        <w:rPr>
          <w:rFonts w:ascii="Verdana" w:hAnsi="Verdana"/>
          <w:sz w:val="18"/>
          <w:szCs w:val="18"/>
          <w:lang w:eastAsia="en-US"/>
        </w:rPr>
      </w:pPr>
      <w:r w:rsidRPr="00DD331C">
        <w:rPr>
          <w:rFonts w:ascii="Verdana" w:hAnsi="Verdana"/>
          <w:sz w:val="18"/>
          <w:szCs w:val="18"/>
          <w:lang w:eastAsia="en-US"/>
        </w:rPr>
        <w:t>De raming van de winstafdracht DNB – het gedeelte dat niet behoort tot de ijklijn – bestaat uit drie componenten: i) de vermogenswinsten ii) de SMP winsten en iii) de rente-inkomsten uit hoofde van de investeringsportefeuille. Ondanks dat de renteverlaging op de bilaterale leningen betrekking heeft op een langere periode, zijn de SMP-winsten in zijn totaliteit bezien voldoende om de renteverlaging te dekken. De winstafdracht ten aanzien van SMP is crisisgerelateerd. De te ontvangen rente-inkomsten uit de investeringsportefeuille worden doorgegeven aan Griekenland (uitgavenmutatie is zichtbaar op begrotingsartikel 4). De raming ten behoeve van de investeringsportefeuille betreft het disagio op de investeringsportefeuille.</w:t>
      </w:r>
    </w:p>
    <w:p w:rsidRPr="00DD331C" w:rsidR="00315371" w:rsidP="00DD331C" w:rsidRDefault="00315371">
      <w:pPr>
        <w:autoSpaceDE w:val="0"/>
        <w:autoSpaceDN w:val="0"/>
        <w:adjustRightInd w:val="0"/>
        <w:spacing w:line="276" w:lineRule="auto"/>
        <w:rPr>
          <w:rFonts w:ascii="Verdana" w:hAnsi="Verdana"/>
          <w:sz w:val="18"/>
          <w:szCs w:val="18"/>
        </w:rPr>
      </w:pPr>
      <w:r w:rsidRPr="00DD331C">
        <w:rPr>
          <w:rFonts w:ascii="Verdana" w:hAnsi="Verdana"/>
          <w:sz w:val="18"/>
          <w:szCs w:val="18"/>
          <w:lang w:eastAsia="en-US"/>
        </w:rPr>
        <w:t>PM: toelichting wordt nog geüpdate voor punt mbt EMU-saldo</w:t>
      </w:r>
    </w:p>
    <w:p w:rsidRPr="00DD331C" w:rsidR="00315371" w:rsidP="00DD331C" w:rsidRDefault="00315371">
      <w:pPr>
        <w:spacing w:after="200" w:line="276" w:lineRule="auto"/>
        <w:rPr>
          <w:rFonts w:ascii="Verdana" w:hAnsi="Verdana" w:cs="Arial"/>
          <w:b/>
          <w:bCs/>
          <w:sz w:val="18"/>
          <w:szCs w:val="18"/>
        </w:rPr>
      </w:pPr>
      <w:r w:rsidRPr="00DD331C">
        <w:rPr>
          <w:rFonts w:ascii="Verdana" w:hAnsi="Verdana" w:cs="Arial"/>
          <w:b/>
          <w:bCs/>
          <w:sz w:val="18"/>
          <w:szCs w:val="18"/>
        </w:rPr>
        <w:br w:type="page"/>
      </w:r>
    </w:p>
    <w:p w:rsidR="00315371" w:rsidRDefault="00315371">
      <w:pPr>
        <w:spacing w:line="276" w:lineRule="auto"/>
        <w:rPr>
          <w:rFonts w:ascii="Verdana" w:hAnsi="Verdana" w:cs="Arial"/>
          <w:b/>
          <w:bCs/>
          <w:sz w:val="18"/>
          <w:szCs w:val="18"/>
        </w:rPr>
      </w:pPr>
      <w:r>
        <w:rPr>
          <w:rFonts w:ascii="Verdana" w:hAnsi="Verdana" w:cs="Arial"/>
          <w:b/>
          <w:bCs/>
          <w:sz w:val="18"/>
          <w:szCs w:val="18"/>
        </w:rPr>
        <w:t>Defensie</w:t>
      </w:r>
    </w:p>
    <w:tbl>
      <w:tblPr>
        <w:tblW w:w="5000" w:type="pct"/>
        <w:tblCellMar>
          <w:top w:w="15" w:type="dxa"/>
          <w:left w:w="15" w:type="dxa"/>
          <w:bottom w:w="15" w:type="dxa"/>
          <w:right w:w="15" w:type="dxa"/>
        </w:tblCellMar>
        <w:tblLook w:val="00A0"/>
      </w:tblPr>
      <w:tblGrid>
        <w:gridCol w:w="3566"/>
        <w:gridCol w:w="1105"/>
        <w:gridCol w:w="1107"/>
        <w:gridCol w:w="1107"/>
        <w:gridCol w:w="1107"/>
        <w:gridCol w:w="1110"/>
      </w:tblGrid>
      <w:tr w:rsidRPr="00E12684" w:rsidR="00315371" w:rsidTr="00E12684">
        <w:trPr>
          <w:trHeight w:val="242"/>
        </w:trPr>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7"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8"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8"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8"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10"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X DEFENSIE: UITGAVEN</w:t>
            </w:r>
          </w:p>
        </w:tc>
        <w:tc>
          <w:tcPr>
            <w:tcW w:w="3041" w:type="pct"/>
            <w:gridSpan w:val="5"/>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bedragen in miljoenen euro's</w:t>
            </w:r>
          </w:p>
        </w:tc>
      </w:tr>
      <w:tr w:rsidRPr="00E12684" w:rsidR="00315371" w:rsidTr="00E12684">
        <w:tc>
          <w:tcPr>
            <w:tcW w:w="1959"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p>
        </w:tc>
        <w:tc>
          <w:tcPr>
            <w:tcW w:w="607"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2012</w:t>
            </w:r>
          </w:p>
        </w:tc>
        <w:tc>
          <w:tcPr>
            <w:tcW w:w="608"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2013</w:t>
            </w:r>
          </w:p>
        </w:tc>
        <w:tc>
          <w:tcPr>
            <w:tcW w:w="608"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2014</w:t>
            </w:r>
          </w:p>
        </w:tc>
        <w:tc>
          <w:tcPr>
            <w:tcW w:w="608"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2015</w:t>
            </w:r>
          </w:p>
        </w:tc>
        <w:tc>
          <w:tcPr>
            <w:tcW w:w="610"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2016</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Miljoenennota 2012 (excl. IS)</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7.655,0</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7.517,7</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7.568,8</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7.492,6</w:t>
            </w:r>
          </w:p>
        </w:tc>
        <w:tc>
          <w:tcPr>
            <w:tcW w:w="610"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7.484,2</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Beleidsmatige mutaties</w:t>
            </w:r>
          </w:p>
        </w:tc>
        <w:tc>
          <w:tcPr>
            <w:tcW w:w="607"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10" w:type="pct"/>
          </w:tcPr>
          <w:p w:rsidRPr="00E12684" w:rsidR="00315371" w:rsidP="00E12684" w:rsidRDefault="00315371">
            <w:pPr>
              <w:rPr>
                <w:rFonts w:ascii="Verdana" w:hAnsi="Verdana"/>
                <w:sz w:val="16"/>
                <w:szCs w:val="16"/>
              </w:rPr>
            </w:pPr>
          </w:p>
        </w:tc>
      </w:tr>
      <w:tr w:rsidRPr="00E12684" w:rsidR="00315371" w:rsidTr="00E12684">
        <w:tc>
          <w:tcPr>
            <w:tcW w:w="1959" w:type="pct"/>
            <w:tcBorders>
              <w:left w:val="nil"/>
              <w:right w:val="nil"/>
            </w:tcBorders>
            <w:tcMar>
              <w:top w:w="15" w:type="dxa"/>
              <w:left w:w="240" w:type="dxa"/>
              <w:bottom w:w="15" w:type="dxa"/>
              <w:right w:w="15" w:type="dxa"/>
            </w:tcMar>
          </w:tcPr>
          <w:p w:rsidRPr="00E12684" w:rsidR="00315371" w:rsidP="00E12684" w:rsidRDefault="00315371">
            <w:pPr>
              <w:ind w:firstLine="160" w:firstLineChars="100"/>
              <w:rPr>
                <w:rFonts w:ascii="Verdana" w:hAnsi="Verdana" w:cs="Courier New"/>
                <w:sz w:val="16"/>
                <w:szCs w:val="16"/>
              </w:rPr>
            </w:pPr>
            <w:r w:rsidRPr="00E12684">
              <w:rPr>
                <w:rFonts w:ascii="Verdana" w:hAnsi="Verdana" w:cs="Courier New"/>
                <w:sz w:val="16"/>
                <w:szCs w:val="16"/>
              </w:rPr>
              <w:t>Rijksbegroting in enge zin</w:t>
            </w:r>
          </w:p>
        </w:tc>
        <w:tc>
          <w:tcPr>
            <w:tcW w:w="607"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10" w:type="pct"/>
          </w:tcPr>
          <w:p w:rsidRPr="00E12684" w:rsidR="00315371" w:rsidP="00E12684" w:rsidRDefault="00315371">
            <w:pPr>
              <w:rPr>
                <w:rFonts w:ascii="Verdana" w:hAnsi="Verdana"/>
                <w:sz w:val="16"/>
                <w:szCs w:val="16"/>
              </w:rPr>
            </w:pPr>
          </w:p>
        </w:tc>
      </w:tr>
      <w:tr w:rsidRPr="00E12684" w:rsidR="00315371" w:rsidTr="00E12684">
        <w:tc>
          <w:tcPr>
            <w:tcW w:w="1959"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Pr>
                <w:rFonts w:ascii="Verdana" w:hAnsi="Verdana" w:cs="Courier New"/>
                <w:sz w:val="16"/>
                <w:szCs w:val="16"/>
              </w:rPr>
              <w:t>Bijdrage B</w:t>
            </w:r>
            <w:r w:rsidRPr="00E12684">
              <w:rPr>
                <w:rFonts w:ascii="Verdana" w:hAnsi="Verdana" w:cs="Courier New"/>
                <w:sz w:val="16"/>
                <w:szCs w:val="16"/>
              </w:rPr>
              <w:t>uza</w:t>
            </w:r>
            <w:r>
              <w:rPr>
                <w:rFonts w:ascii="Verdana" w:hAnsi="Verdana" w:cs="Courier New"/>
                <w:sz w:val="16"/>
                <w:szCs w:val="16"/>
              </w:rPr>
              <w:t xml:space="preserve"> bescherming ambassade door BSB</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16,1</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1959"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Bijstelling pensioenen</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1959"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Definitieve ejm</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186,1</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1959"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Doorwerking ontvangsten</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66,0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33,8</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1959"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Diversen</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225,5</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41,1</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c>
          <w:tcPr>
            <w:tcW w:w="610"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7,3</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Technische mutaties</w:t>
            </w:r>
          </w:p>
        </w:tc>
        <w:tc>
          <w:tcPr>
            <w:tcW w:w="607"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10" w:type="pct"/>
          </w:tcPr>
          <w:p w:rsidRPr="00E12684" w:rsidR="00315371" w:rsidP="00E12684" w:rsidRDefault="00315371">
            <w:pPr>
              <w:rPr>
                <w:rFonts w:ascii="Verdana" w:hAnsi="Verdana"/>
                <w:sz w:val="16"/>
                <w:szCs w:val="16"/>
              </w:rPr>
            </w:pPr>
          </w:p>
        </w:tc>
      </w:tr>
      <w:tr w:rsidRPr="00E12684" w:rsidR="00315371" w:rsidTr="00E12684">
        <w:tc>
          <w:tcPr>
            <w:tcW w:w="1959" w:type="pct"/>
            <w:tcBorders>
              <w:left w:val="nil"/>
              <w:right w:val="nil"/>
            </w:tcBorders>
            <w:tcMar>
              <w:top w:w="15" w:type="dxa"/>
              <w:left w:w="240" w:type="dxa"/>
              <w:bottom w:w="15" w:type="dxa"/>
              <w:right w:w="15" w:type="dxa"/>
            </w:tcMar>
          </w:tcPr>
          <w:p w:rsidRPr="00E12684" w:rsidR="00315371" w:rsidP="00E12684" w:rsidRDefault="00315371">
            <w:pPr>
              <w:ind w:firstLine="160" w:firstLineChars="100"/>
              <w:rPr>
                <w:rFonts w:ascii="Verdana" w:hAnsi="Verdana" w:cs="Courier New"/>
                <w:sz w:val="16"/>
                <w:szCs w:val="16"/>
              </w:rPr>
            </w:pPr>
            <w:r w:rsidRPr="00E12684">
              <w:rPr>
                <w:rFonts w:ascii="Verdana" w:hAnsi="Verdana" w:cs="Courier New"/>
                <w:sz w:val="16"/>
                <w:szCs w:val="16"/>
              </w:rPr>
              <w:t>Rijksbegroting in enge zin</w:t>
            </w:r>
          </w:p>
        </w:tc>
        <w:tc>
          <w:tcPr>
            <w:tcW w:w="607"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10" w:type="pct"/>
          </w:tcPr>
          <w:p w:rsidRPr="00E12684" w:rsidR="00315371" w:rsidP="00E12684" w:rsidRDefault="00315371">
            <w:pPr>
              <w:rPr>
                <w:rFonts w:ascii="Verdana" w:hAnsi="Verdana"/>
                <w:sz w:val="16"/>
                <w:szCs w:val="16"/>
              </w:rPr>
            </w:pPr>
          </w:p>
        </w:tc>
      </w:tr>
      <w:tr w:rsidRPr="00E12684" w:rsidR="00315371" w:rsidTr="00E12684">
        <w:tc>
          <w:tcPr>
            <w:tcW w:w="1959"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Diversen</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-11,2</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15,1</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14,2</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14,4</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15,1</w:t>
            </w:r>
          </w:p>
        </w:tc>
      </w:tr>
      <w:tr w:rsidRPr="00E12684" w:rsidR="00315371" w:rsidTr="00E12684">
        <w:tc>
          <w:tcPr>
            <w:tcW w:w="1959" w:type="pct"/>
            <w:tcBorders>
              <w:left w:val="nil"/>
              <w:right w:val="nil"/>
            </w:tcBorders>
            <w:tcMar>
              <w:top w:w="15" w:type="dxa"/>
              <w:left w:w="240" w:type="dxa"/>
              <w:bottom w:w="15" w:type="dxa"/>
              <w:right w:w="15" w:type="dxa"/>
            </w:tcMar>
          </w:tcPr>
          <w:p w:rsidRPr="00E12684" w:rsidR="00315371" w:rsidP="00E12684" w:rsidRDefault="00315371">
            <w:pPr>
              <w:ind w:firstLine="160" w:firstLineChars="100"/>
              <w:rPr>
                <w:rFonts w:ascii="Verdana" w:hAnsi="Verdana" w:cs="Courier New"/>
                <w:sz w:val="16"/>
                <w:szCs w:val="16"/>
              </w:rPr>
            </w:pPr>
            <w:r w:rsidRPr="00E12684">
              <w:rPr>
                <w:rFonts w:ascii="Verdana" w:hAnsi="Verdana" w:cs="Courier New"/>
                <w:sz w:val="16"/>
                <w:szCs w:val="16"/>
              </w:rPr>
              <w:t>Niet tot een ijklijn behorend</w:t>
            </w:r>
          </w:p>
        </w:tc>
        <w:tc>
          <w:tcPr>
            <w:tcW w:w="607"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10" w:type="pct"/>
          </w:tcPr>
          <w:p w:rsidRPr="00E12684" w:rsidR="00315371" w:rsidP="00E12684" w:rsidRDefault="00315371">
            <w:pPr>
              <w:rPr>
                <w:rFonts w:ascii="Verdana" w:hAnsi="Verdana"/>
                <w:sz w:val="16"/>
                <w:szCs w:val="16"/>
              </w:rPr>
            </w:pPr>
          </w:p>
        </w:tc>
      </w:tr>
      <w:tr w:rsidRPr="00E12684" w:rsidR="00315371" w:rsidTr="00E12684">
        <w:tc>
          <w:tcPr>
            <w:tcW w:w="1959"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Diversen</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0,5</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0,4</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0,4</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0,4</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0,4</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-10,7</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15,5</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14,6</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14,8</w:t>
            </w:r>
          </w:p>
        </w:tc>
        <w:tc>
          <w:tcPr>
            <w:tcW w:w="610"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15,5</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p>
        </w:tc>
        <w:tc>
          <w:tcPr>
            <w:tcW w:w="607" w:type="pct"/>
            <w:vAlign w:val="center"/>
          </w:tcPr>
          <w:p w:rsidRPr="00E12684" w:rsidR="00315371" w:rsidP="00E12684" w:rsidRDefault="00315371">
            <w:pPr>
              <w:rPr>
                <w:rFonts w:ascii="Verdana" w:hAnsi="Verdana"/>
                <w:sz w:val="16"/>
                <w:szCs w:val="16"/>
              </w:rPr>
            </w:pPr>
          </w:p>
        </w:tc>
        <w:tc>
          <w:tcPr>
            <w:tcW w:w="608" w:type="pct"/>
            <w:vAlign w:val="center"/>
          </w:tcPr>
          <w:p w:rsidRPr="00E12684" w:rsidR="00315371" w:rsidP="00E12684" w:rsidRDefault="00315371">
            <w:pPr>
              <w:rPr>
                <w:rFonts w:ascii="Verdana" w:hAnsi="Verdana"/>
                <w:sz w:val="16"/>
                <w:szCs w:val="16"/>
              </w:rPr>
            </w:pPr>
          </w:p>
        </w:tc>
        <w:tc>
          <w:tcPr>
            <w:tcW w:w="608" w:type="pct"/>
            <w:vAlign w:val="center"/>
          </w:tcPr>
          <w:p w:rsidRPr="00E12684" w:rsidR="00315371" w:rsidP="00E12684" w:rsidRDefault="00315371">
            <w:pPr>
              <w:rPr>
                <w:rFonts w:ascii="Verdana" w:hAnsi="Verdana"/>
                <w:sz w:val="16"/>
                <w:szCs w:val="16"/>
              </w:rPr>
            </w:pPr>
          </w:p>
        </w:tc>
        <w:tc>
          <w:tcPr>
            <w:tcW w:w="608" w:type="pct"/>
            <w:vAlign w:val="center"/>
          </w:tcPr>
          <w:p w:rsidRPr="00E12684" w:rsidR="00315371" w:rsidP="00E12684" w:rsidRDefault="00315371">
            <w:pPr>
              <w:rPr>
                <w:rFonts w:ascii="Verdana" w:hAnsi="Verdana"/>
                <w:sz w:val="16"/>
                <w:szCs w:val="16"/>
              </w:rPr>
            </w:pPr>
          </w:p>
        </w:tc>
        <w:tc>
          <w:tcPr>
            <w:tcW w:w="610" w:type="pct"/>
            <w:vAlign w:val="center"/>
          </w:tcPr>
          <w:p w:rsidRPr="00E12684" w:rsidR="00315371" w:rsidP="00E12684" w:rsidRDefault="00315371">
            <w:pPr>
              <w:rPr>
                <w:rFonts w:ascii="Verdana" w:hAnsi="Verdana"/>
                <w:sz w:val="16"/>
                <w:szCs w:val="16"/>
              </w:rPr>
            </w:pP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mutaties sinds Miljoenennota 2012</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214,9</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56,6</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22,0</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22,1</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22,9</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607"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08" w:type="pct"/>
          </w:tcPr>
          <w:p w:rsidRPr="00E12684" w:rsidR="00315371" w:rsidP="00E12684" w:rsidRDefault="00315371">
            <w:pPr>
              <w:rPr>
                <w:rFonts w:ascii="Verdana" w:hAnsi="Verdana"/>
                <w:sz w:val="16"/>
                <w:szCs w:val="16"/>
              </w:rPr>
            </w:pPr>
          </w:p>
        </w:tc>
        <w:tc>
          <w:tcPr>
            <w:tcW w:w="610" w:type="pct"/>
          </w:tcPr>
          <w:p w:rsidRPr="00E12684" w:rsidR="00315371" w:rsidP="00E12684" w:rsidRDefault="00315371">
            <w:pPr>
              <w:rPr>
                <w:rFonts w:ascii="Verdana" w:hAnsi="Verdana"/>
                <w:sz w:val="16"/>
                <w:szCs w:val="16"/>
              </w:rPr>
            </w:pP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 (subtotaal)</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7.869,9</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7.574,3</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7.590,7</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7.514,8</w:t>
            </w:r>
          </w:p>
        </w:tc>
        <w:tc>
          <w:tcPr>
            <w:tcW w:w="610"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7.507,0</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Internationale samenwerking</w:t>
            </w:r>
          </w:p>
        </w:tc>
        <w:tc>
          <w:tcPr>
            <w:tcW w:w="607"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238,4</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212,6</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210,9</w:t>
            </w:r>
          </w:p>
        </w:tc>
        <w:tc>
          <w:tcPr>
            <w:tcW w:w="608"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209,2</w:t>
            </w:r>
          </w:p>
        </w:tc>
        <w:tc>
          <w:tcPr>
            <w:tcW w:w="610"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209,2</w:t>
            </w:r>
          </w:p>
        </w:tc>
      </w:tr>
      <w:tr w:rsidRPr="00E12684" w:rsidR="00315371" w:rsidTr="00E12684">
        <w:tc>
          <w:tcPr>
            <w:tcW w:w="1959"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w:t>
            </w:r>
          </w:p>
        </w:tc>
        <w:tc>
          <w:tcPr>
            <w:tcW w:w="607"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8.108,3</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7.786,9</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7.801,6</w:t>
            </w:r>
          </w:p>
        </w:tc>
        <w:tc>
          <w:tcPr>
            <w:tcW w:w="608"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7.724,0</w:t>
            </w:r>
          </w:p>
        </w:tc>
        <w:tc>
          <w:tcPr>
            <w:tcW w:w="610"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7.716,2</w:t>
            </w:r>
          </w:p>
        </w:tc>
      </w:tr>
    </w:tbl>
    <w:p w:rsidR="00315371" w:rsidP="00E12684" w:rsidRDefault="00315371">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0A0"/>
      </w:tblPr>
      <w:tblGrid>
        <w:gridCol w:w="3795"/>
        <w:gridCol w:w="1061"/>
        <w:gridCol w:w="1061"/>
        <w:gridCol w:w="1061"/>
        <w:gridCol w:w="1061"/>
        <w:gridCol w:w="1063"/>
      </w:tblGrid>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583"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583"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583"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583"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583"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r>
      <w:tr w:rsidRPr="00E12684" w:rsidR="00315371" w:rsidTr="00E12684">
        <w:trPr>
          <w:trHeight w:val="80"/>
        </w:trPr>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X DEFENSIE: NIET-BELASTINGONTVANGSTEN</w:t>
            </w:r>
          </w:p>
        </w:tc>
        <w:tc>
          <w:tcPr>
            <w:tcW w:w="2916" w:type="pct"/>
            <w:gridSpan w:val="5"/>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bedragen in miljoenen euro's</w:t>
            </w:r>
          </w:p>
        </w:tc>
      </w:tr>
      <w:tr w:rsidRPr="00E12684" w:rsidR="00315371" w:rsidTr="00E12684">
        <w:tc>
          <w:tcPr>
            <w:tcW w:w="2084"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p>
        </w:tc>
        <w:tc>
          <w:tcPr>
            <w:tcW w:w="583"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2012</w:t>
            </w:r>
          </w:p>
        </w:tc>
        <w:tc>
          <w:tcPr>
            <w:tcW w:w="583"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2013</w:t>
            </w:r>
          </w:p>
        </w:tc>
        <w:tc>
          <w:tcPr>
            <w:tcW w:w="583"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2014</w:t>
            </w:r>
          </w:p>
        </w:tc>
        <w:tc>
          <w:tcPr>
            <w:tcW w:w="583"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2015</w:t>
            </w:r>
          </w:p>
        </w:tc>
        <w:tc>
          <w:tcPr>
            <w:tcW w:w="583" w:type="pct"/>
            <w:tcBorders>
              <w:top w:val="single" w:color="000000" w:sz="8" w:space="0"/>
              <w:left w:val="nil"/>
              <w:bottom w:val="single" w:color="000000" w:sz="8" w:space="0"/>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2016</w:t>
            </w: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Miljoenennota 2012 (excl. IS)</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339,7</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321,4</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335,9</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295,2</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253,4</w:t>
            </w: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Beleidsmatige mutaties</w:t>
            </w: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r>
      <w:tr w:rsidRPr="00E12684" w:rsidR="00315371" w:rsidTr="00E12684">
        <w:tc>
          <w:tcPr>
            <w:tcW w:w="2084" w:type="pct"/>
            <w:tcBorders>
              <w:left w:val="nil"/>
              <w:right w:val="nil"/>
            </w:tcBorders>
            <w:tcMar>
              <w:top w:w="15" w:type="dxa"/>
              <w:left w:w="240" w:type="dxa"/>
              <w:bottom w:w="15" w:type="dxa"/>
              <w:right w:w="15" w:type="dxa"/>
            </w:tcMar>
          </w:tcPr>
          <w:p w:rsidRPr="00E12684" w:rsidR="00315371" w:rsidP="00E12684" w:rsidRDefault="00315371">
            <w:pPr>
              <w:ind w:firstLine="160" w:firstLineChars="100"/>
              <w:rPr>
                <w:rFonts w:ascii="Verdana" w:hAnsi="Verdana" w:cs="Courier New"/>
                <w:sz w:val="16"/>
                <w:szCs w:val="16"/>
              </w:rPr>
            </w:pPr>
            <w:r w:rsidRPr="00E12684">
              <w:rPr>
                <w:rFonts w:ascii="Verdana" w:hAnsi="Verdana" w:cs="Courier New"/>
                <w:sz w:val="16"/>
                <w:szCs w:val="16"/>
              </w:rPr>
              <w:t>Rijksbegroting in enge zin</w:t>
            </w: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r>
      <w:tr w:rsidRPr="00E12684" w:rsidR="00315371" w:rsidTr="00E12684">
        <w:tc>
          <w:tcPr>
            <w:tcW w:w="2084"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Bijstelling ontvangsten</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66,0</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33,8</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0,0</w:t>
            </w:r>
          </w:p>
        </w:tc>
      </w:tr>
      <w:tr w:rsidRPr="00E12684" w:rsidR="00315371" w:rsidTr="00E12684">
        <w:tc>
          <w:tcPr>
            <w:tcW w:w="2084" w:type="pct"/>
            <w:tcBorders>
              <w:left w:val="nil"/>
              <w:right w:val="nil"/>
            </w:tcBorders>
            <w:tcMar>
              <w:top w:w="15" w:type="dxa"/>
              <w:left w:w="480" w:type="dxa"/>
              <w:bottom w:w="15" w:type="dxa"/>
              <w:right w:w="15" w:type="dxa"/>
            </w:tcMar>
          </w:tcPr>
          <w:p w:rsidRPr="00E12684" w:rsidR="00315371" w:rsidP="00E12684" w:rsidRDefault="00315371">
            <w:pPr>
              <w:ind w:firstLine="320" w:firstLineChars="200"/>
              <w:rPr>
                <w:rFonts w:ascii="Verdana" w:hAnsi="Verdana" w:cs="Courier New"/>
                <w:sz w:val="16"/>
                <w:szCs w:val="16"/>
              </w:rPr>
            </w:pPr>
            <w:r w:rsidRPr="00E12684">
              <w:rPr>
                <w:rFonts w:ascii="Verdana" w:hAnsi="Verdana" w:cs="Courier New"/>
                <w:sz w:val="16"/>
                <w:szCs w:val="16"/>
              </w:rPr>
              <w:t>Diversen</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72,7</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40,5</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p>
        </w:tc>
        <w:tc>
          <w:tcPr>
            <w:tcW w:w="583" w:type="pct"/>
            <w:vAlign w:val="center"/>
          </w:tcPr>
          <w:p w:rsidRPr="00E12684" w:rsidR="00315371" w:rsidP="00E12684" w:rsidRDefault="00315371">
            <w:pPr>
              <w:rPr>
                <w:rFonts w:ascii="Verdana" w:hAnsi="Verdana"/>
                <w:sz w:val="16"/>
                <w:szCs w:val="16"/>
              </w:rPr>
            </w:pPr>
          </w:p>
        </w:tc>
        <w:tc>
          <w:tcPr>
            <w:tcW w:w="583" w:type="pct"/>
            <w:vAlign w:val="center"/>
          </w:tcPr>
          <w:p w:rsidRPr="00E12684" w:rsidR="00315371" w:rsidP="00E12684" w:rsidRDefault="00315371">
            <w:pPr>
              <w:rPr>
                <w:rFonts w:ascii="Verdana" w:hAnsi="Verdana"/>
                <w:sz w:val="16"/>
                <w:szCs w:val="16"/>
              </w:rPr>
            </w:pPr>
          </w:p>
        </w:tc>
        <w:tc>
          <w:tcPr>
            <w:tcW w:w="583" w:type="pct"/>
            <w:vAlign w:val="center"/>
          </w:tcPr>
          <w:p w:rsidRPr="00E12684" w:rsidR="00315371" w:rsidP="00E12684" w:rsidRDefault="00315371">
            <w:pPr>
              <w:rPr>
                <w:rFonts w:ascii="Verdana" w:hAnsi="Verdana"/>
                <w:sz w:val="16"/>
                <w:szCs w:val="16"/>
              </w:rPr>
            </w:pPr>
          </w:p>
        </w:tc>
        <w:tc>
          <w:tcPr>
            <w:tcW w:w="583" w:type="pct"/>
            <w:vAlign w:val="center"/>
          </w:tcPr>
          <w:p w:rsidRPr="00E12684" w:rsidR="00315371" w:rsidP="00E12684" w:rsidRDefault="00315371">
            <w:pPr>
              <w:rPr>
                <w:rFonts w:ascii="Verdana" w:hAnsi="Verdana"/>
                <w:sz w:val="16"/>
                <w:szCs w:val="16"/>
              </w:rPr>
            </w:pPr>
          </w:p>
        </w:tc>
        <w:tc>
          <w:tcPr>
            <w:tcW w:w="583" w:type="pct"/>
            <w:vAlign w:val="center"/>
          </w:tcPr>
          <w:p w:rsidRPr="00E12684" w:rsidR="00315371" w:rsidP="00E12684" w:rsidRDefault="00315371">
            <w:pPr>
              <w:rPr>
                <w:rFonts w:ascii="Verdana" w:hAnsi="Verdana"/>
                <w:sz w:val="16"/>
                <w:szCs w:val="16"/>
              </w:rPr>
            </w:pP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mutaties sinds Miljoenennota 2012</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72,7</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40,5</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6,7</w:t>
            </w: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 </w:t>
            </w: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c>
          <w:tcPr>
            <w:tcW w:w="583" w:type="pct"/>
          </w:tcPr>
          <w:p w:rsidRPr="00E12684" w:rsidR="00315371" w:rsidP="00E12684" w:rsidRDefault="00315371">
            <w:pPr>
              <w:rPr>
                <w:rFonts w:ascii="Verdana" w:hAnsi="Verdana"/>
                <w:sz w:val="16"/>
                <w:szCs w:val="16"/>
              </w:rPr>
            </w:pP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 (subtotaal)</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412,4</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361,9</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342,6</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301,9</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260,1</w:t>
            </w:r>
          </w:p>
        </w:tc>
      </w:tr>
      <w:tr w:rsidRPr="00E12684" w:rsidR="00315371" w:rsidTr="00E12684">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Totaal Internationale samenwerking</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w:t>
            </w:r>
          </w:p>
        </w:tc>
        <w:tc>
          <w:tcPr>
            <w:tcW w:w="583" w:type="pct"/>
            <w:tcBorders>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1,4</w:t>
            </w:r>
          </w:p>
        </w:tc>
      </w:tr>
      <w:tr w:rsidRPr="00E12684" w:rsidR="00315371" w:rsidTr="00E12684">
        <w:trPr>
          <w:trHeight w:val="183"/>
        </w:trPr>
        <w:tc>
          <w:tcPr>
            <w:tcW w:w="2084" w:type="pct"/>
            <w:tcBorders>
              <w:left w:val="nil"/>
              <w:right w:val="nil"/>
            </w:tcBorders>
          </w:tcPr>
          <w:p w:rsidRPr="00E12684" w:rsidR="00315371" w:rsidP="00E12684" w:rsidRDefault="00315371">
            <w:pPr>
              <w:rPr>
                <w:rFonts w:ascii="Verdana" w:hAnsi="Verdana" w:cs="Courier New"/>
                <w:sz w:val="16"/>
                <w:szCs w:val="16"/>
              </w:rPr>
            </w:pPr>
            <w:r w:rsidRPr="00E12684">
              <w:rPr>
                <w:rFonts w:ascii="Verdana" w:hAnsi="Verdana" w:cs="Courier New"/>
                <w:sz w:val="16"/>
                <w:szCs w:val="16"/>
              </w:rPr>
              <w:t>Stand Voorjaarsnota 2012</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413,8</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363,3</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344,0</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303,3</w:t>
            </w:r>
          </w:p>
        </w:tc>
        <w:tc>
          <w:tcPr>
            <w:tcW w:w="583" w:type="pct"/>
            <w:tcBorders>
              <w:top w:val="single" w:color="000000" w:sz="8" w:space="0"/>
              <w:left w:val="nil"/>
              <w:right w:val="nil"/>
            </w:tcBorders>
          </w:tcPr>
          <w:p w:rsidRPr="00E12684" w:rsidR="00315371" w:rsidP="00E12684" w:rsidRDefault="00315371">
            <w:pPr>
              <w:jc w:val="right"/>
              <w:rPr>
                <w:rFonts w:ascii="Verdana" w:hAnsi="Verdana" w:cs="Courier New"/>
                <w:sz w:val="16"/>
                <w:szCs w:val="16"/>
              </w:rPr>
            </w:pPr>
            <w:r w:rsidRPr="00E12684">
              <w:rPr>
                <w:rFonts w:ascii="Verdana" w:hAnsi="Verdana" w:cs="Courier New"/>
                <w:sz w:val="16"/>
                <w:szCs w:val="16"/>
              </w:rPr>
              <w:t>261,5</w:t>
            </w:r>
          </w:p>
        </w:tc>
      </w:tr>
    </w:tbl>
    <w:p w:rsidR="00315371" w:rsidP="00BB547D" w:rsidRDefault="00315371">
      <w:pPr>
        <w:spacing w:line="360" w:lineRule="auto"/>
        <w:ind w:right="1"/>
        <w:rPr>
          <w:rFonts w:ascii="Verdana" w:hAnsi="Verdana"/>
          <w:sz w:val="18"/>
          <w:szCs w:val="18"/>
        </w:rPr>
      </w:pPr>
    </w:p>
    <w:p w:rsidRPr="006A4DA8" w:rsidR="00315371" w:rsidP="006A4DA8" w:rsidRDefault="00315371">
      <w:pPr>
        <w:spacing w:line="276" w:lineRule="auto"/>
        <w:rPr>
          <w:rFonts w:ascii="Verdana" w:hAnsi="Verdana"/>
          <w:i/>
          <w:sz w:val="18"/>
          <w:szCs w:val="18"/>
        </w:rPr>
      </w:pPr>
      <w:r w:rsidRPr="006A4DA8">
        <w:rPr>
          <w:rFonts w:ascii="Verdana" w:hAnsi="Verdana"/>
          <w:i/>
          <w:sz w:val="18"/>
          <w:szCs w:val="18"/>
        </w:rPr>
        <w:t>Bijdrage Buza bescherming ambassade door BSB</w:t>
      </w:r>
    </w:p>
    <w:p w:rsidRPr="006A4DA8" w:rsidR="00315371" w:rsidP="006A4DA8" w:rsidRDefault="00315371">
      <w:pPr>
        <w:spacing w:line="276" w:lineRule="auto"/>
        <w:rPr>
          <w:rFonts w:ascii="Verdana" w:hAnsi="Verdana"/>
          <w:sz w:val="18"/>
          <w:szCs w:val="18"/>
        </w:rPr>
      </w:pPr>
      <w:r w:rsidRPr="006A4DA8">
        <w:rPr>
          <w:rFonts w:ascii="Verdana" w:hAnsi="Verdana"/>
          <w:sz w:val="18"/>
          <w:szCs w:val="18"/>
        </w:rPr>
        <w:t>Dit betreft een overheveling van budget door het ministerie van Buitenlandse Zaken voor de uitvoering van de bescherming van ambassadepersoneel (16,1 mln.).</w:t>
      </w:r>
    </w:p>
    <w:p w:rsidRPr="006A4DA8" w:rsidR="00315371" w:rsidP="006A4DA8" w:rsidRDefault="00315371">
      <w:pPr>
        <w:spacing w:line="276" w:lineRule="auto"/>
        <w:rPr>
          <w:rFonts w:ascii="Verdana" w:hAnsi="Verdana"/>
          <w:i/>
          <w:sz w:val="18"/>
          <w:szCs w:val="18"/>
        </w:rPr>
      </w:pPr>
    </w:p>
    <w:p w:rsidRPr="006A4DA8" w:rsidR="00315371" w:rsidP="006A4DA8" w:rsidRDefault="00315371">
      <w:pPr>
        <w:spacing w:line="276" w:lineRule="auto"/>
        <w:rPr>
          <w:rFonts w:ascii="Verdana" w:hAnsi="Verdana"/>
          <w:i/>
          <w:sz w:val="18"/>
          <w:szCs w:val="18"/>
        </w:rPr>
      </w:pPr>
      <w:r w:rsidRPr="006A4DA8">
        <w:rPr>
          <w:rFonts w:ascii="Verdana" w:hAnsi="Verdana"/>
          <w:i/>
          <w:sz w:val="18"/>
          <w:szCs w:val="18"/>
        </w:rPr>
        <w:t>Bijstelling pensioenen</w:t>
      </w:r>
    </w:p>
    <w:p w:rsidRPr="006A4DA8" w:rsidR="00315371" w:rsidP="006A4DA8" w:rsidRDefault="00315371">
      <w:pPr>
        <w:spacing w:line="276" w:lineRule="auto"/>
        <w:rPr>
          <w:rFonts w:ascii="Verdana" w:hAnsi="Verdana"/>
          <w:i/>
          <w:sz w:val="18"/>
          <w:szCs w:val="18"/>
        </w:rPr>
      </w:pPr>
      <w:r w:rsidRPr="006A4DA8">
        <w:rPr>
          <w:rFonts w:ascii="Verdana" w:hAnsi="Verdana"/>
          <w:sz w:val="18"/>
          <w:szCs w:val="18"/>
        </w:rPr>
        <w:t>De raming voor pensioenen is met de najaarsnota 2011 bijgesteld op basis van het realisatiebeeld, waarbij een eerder in 2012 geplande b</w:t>
      </w:r>
      <w:r>
        <w:rPr>
          <w:rFonts w:ascii="Verdana" w:hAnsi="Verdana"/>
          <w:sz w:val="18"/>
          <w:szCs w:val="18"/>
        </w:rPr>
        <w:t>etaling in 2011 gerealiseerd is. H</w:t>
      </w:r>
      <w:r w:rsidRPr="006A4DA8">
        <w:rPr>
          <w:rFonts w:ascii="Verdana" w:hAnsi="Verdana"/>
          <w:sz w:val="18"/>
          <w:szCs w:val="18"/>
        </w:rPr>
        <w:t>ierdoor wordt het budget voor 2012 verminderd.</w:t>
      </w:r>
    </w:p>
    <w:p w:rsidRPr="006A4DA8" w:rsidR="00315371" w:rsidP="006A4DA8" w:rsidRDefault="00315371">
      <w:pPr>
        <w:spacing w:line="276" w:lineRule="auto"/>
        <w:ind w:right="1"/>
        <w:rPr>
          <w:rFonts w:ascii="Verdana" w:hAnsi="Verdana"/>
          <w:i/>
          <w:sz w:val="18"/>
          <w:szCs w:val="18"/>
        </w:rPr>
      </w:pPr>
    </w:p>
    <w:p w:rsidRPr="006A4DA8" w:rsidR="00315371" w:rsidP="006A4DA8" w:rsidRDefault="00315371">
      <w:pPr>
        <w:spacing w:line="276" w:lineRule="auto"/>
        <w:ind w:right="1"/>
        <w:rPr>
          <w:rFonts w:ascii="Verdana" w:hAnsi="Verdana"/>
          <w:i/>
          <w:sz w:val="18"/>
          <w:szCs w:val="18"/>
        </w:rPr>
      </w:pPr>
      <w:r w:rsidRPr="006A4DA8">
        <w:rPr>
          <w:rFonts w:ascii="Verdana" w:hAnsi="Verdana"/>
          <w:i/>
          <w:sz w:val="18"/>
          <w:szCs w:val="18"/>
        </w:rPr>
        <w:t>Definitieve Eindejaarsmarge</w:t>
      </w:r>
    </w:p>
    <w:p w:rsidRPr="006A4DA8" w:rsidR="00315371" w:rsidP="006A4DA8" w:rsidRDefault="00315371">
      <w:pPr>
        <w:spacing w:line="276" w:lineRule="auto"/>
        <w:ind w:right="1"/>
        <w:rPr>
          <w:rFonts w:ascii="Verdana" w:hAnsi="Verdana"/>
          <w:sz w:val="18"/>
          <w:szCs w:val="18"/>
        </w:rPr>
      </w:pPr>
      <w:r w:rsidRPr="006A4DA8">
        <w:rPr>
          <w:rFonts w:ascii="Verdana" w:hAnsi="Verdana"/>
          <w:sz w:val="18"/>
          <w:szCs w:val="18"/>
        </w:rPr>
        <w:t>De eindejaarsmarge wordt conform de reguliere eindejaarssystematiek aan de begroting van Defensie toegevoegd (186,1 mln.). De eindejaarsmarge van Defensie is inclusief het bedrag van 107,2 mln. voor de schadeloosstelling van de veteranen, die uit de vrijval HGIS met de najaars</w:t>
      </w:r>
      <w:r>
        <w:rPr>
          <w:rFonts w:ascii="Verdana" w:hAnsi="Verdana"/>
          <w:sz w:val="18"/>
          <w:szCs w:val="18"/>
        </w:rPr>
        <w:t>nota 2011 is toegevoegd aan de begroting van Defensie</w:t>
      </w:r>
      <w:r w:rsidRPr="006A4DA8">
        <w:rPr>
          <w:rFonts w:ascii="Verdana" w:hAnsi="Verdana"/>
          <w:sz w:val="18"/>
          <w:szCs w:val="18"/>
        </w:rPr>
        <w:t>.</w:t>
      </w:r>
    </w:p>
    <w:p w:rsidR="00315371" w:rsidP="006A4DA8" w:rsidRDefault="00315371">
      <w:pPr>
        <w:spacing w:line="276" w:lineRule="auto"/>
        <w:ind w:right="1"/>
        <w:rPr>
          <w:rFonts w:ascii="Verdana" w:hAnsi="Verdana"/>
          <w:i/>
          <w:sz w:val="18"/>
          <w:szCs w:val="18"/>
        </w:rPr>
      </w:pPr>
    </w:p>
    <w:p w:rsidR="00315371" w:rsidP="006A4DA8" w:rsidRDefault="00315371">
      <w:pPr>
        <w:spacing w:line="276" w:lineRule="auto"/>
        <w:ind w:right="1"/>
        <w:rPr>
          <w:rFonts w:ascii="Verdana" w:hAnsi="Verdana"/>
          <w:i/>
          <w:sz w:val="18"/>
          <w:szCs w:val="18"/>
        </w:rPr>
      </w:pPr>
    </w:p>
    <w:p w:rsidR="00315371" w:rsidP="006A4DA8" w:rsidRDefault="00315371">
      <w:pPr>
        <w:spacing w:line="276" w:lineRule="auto"/>
        <w:ind w:right="1"/>
        <w:rPr>
          <w:rFonts w:ascii="Verdana" w:hAnsi="Verdana"/>
          <w:i/>
          <w:sz w:val="18"/>
          <w:szCs w:val="18"/>
        </w:rPr>
      </w:pPr>
    </w:p>
    <w:p w:rsidRPr="006A4DA8" w:rsidR="00315371" w:rsidP="006A4DA8" w:rsidRDefault="00315371">
      <w:pPr>
        <w:spacing w:line="276" w:lineRule="auto"/>
        <w:ind w:right="1"/>
        <w:rPr>
          <w:rFonts w:ascii="Verdana" w:hAnsi="Verdana"/>
          <w:i/>
          <w:sz w:val="18"/>
          <w:szCs w:val="18"/>
        </w:rPr>
      </w:pPr>
      <w:r w:rsidRPr="006A4DA8">
        <w:rPr>
          <w:rFonts w:ascii="Verdana" w:hAnsi="Verdana"/>
          <w:i/>
          <w:sz w:val="18"/>
          <w:szCs w:val="18"/>
        </w:rPr>
        <w:t>Doorwerking ontvangsten</w:t>
      </w:r>
    </w:p>
    <w:p w:rsidRPr="006A4DA8" w:rsidR="00315371" w:rsidP="006A4DA8" w:rsidRDefault="00315371">
      <w:pPr>
        <w:spacing w:line="276" w:lineRule="auto"/>
        <w:ind w:right="1"/>
        <w:rPr>
          <w:rFonts w:ascii="Verdana" w:hAnsi="Verdana"/>
          <w:sz w:val="18"/>
          <w:szCs w:val="18"/>
        </w:rPr>
      </w:pPr>
      <w:r w:rsidRPr="006A4DA8">
        <w:rPr>
          <w:rFonts w:ascii="Verdana" w:hAnsi="Verdana"/>
          <w:sz w:val="18"/>
          <w:szCs w:val="18"/>
        </w:rPr>
        <w:t>De uitgavenbegroting wordt (voornamelijk bij Commando DienstenCentra) opgehoogd als gevolg van hogere ontvangsten. Deze worden bij de niet-belasting ontvangsten toegelicht.</w:t>
      </w:r>
    </w:p>
    <w:p w:rsidRPr="006A4DA8" w:rsidR="00315371" w:rsidP="006A4DA8" w:rsidRDefault="00315371">
      <w:pPr>
        <w:spacing w:line="276" w:lineRule="auto"/>
        <w:ind w:right="1"/>
        <w:rPr>
          <w:rFonts w:ascii="Verdana" w:hAnsi="Verdana"/>
          <w:i/>
          <w:sz w:val="18"/>
          <w:szCs w:val="18"/>
        </w:rPr>
      </w:pPr>
    </w:p>
    <w:p w:rsidRPr="006A4DA8" w:rsidR="00315371" w:rsidP="006A4DA8" w:rsidRDefault="00315371">
      <w:pPr>
        <w:spacing w:line="276" w:lineRule="auto"/>
        <w:ind w:right="1"/>
        <w:rPr>
          <w:rFonts w:ascii="Verdana" w:hAnsi="Verdana"/>
          <w:i/>
          <w:sz w:val="18"/>
          <w:szCs w:val="18"/>
        </w:rPr>
      </w:pPr>
      <w:r w:rsidRPr="006A4DA8">
        <w:rPr>
          <w:rFonts w:ascii="Verdana" w:hAnsi="Verdana"/>
          <w:i/>
          <w:sz w:val="18"/>
          <w:szCs w:val="18"/>
        </w:rPr>
        <w:t>Bijstelling ontvangsten</w:t>
      </w:r>
    </w:p>
    <w:p w:rsidRPr="006A4DA8" w:rsidR="00315371" w:rsidP="006A4DA8" w:rsidRDefault="00315371">
      <w:pPr>
        <w:spacing w:line="276" w:lineRule="auto"/>
        <w:ind w:right="1"/>
        <w:rPr>
          <w:rFonts w:ascii="Verdana" w:hAnsi="Verdana"/>
          <w:sz w:val="18"/>
          <w:szCs w:val="18"/>
        </w:rPr>
      </w:pPr>
      <w:r w:rsidRPr="006A4DA8">
        <w:rPr>
          <w:rFonts w:ascii="Verdana" w:hAnsi="Verdana"/>
          <w:sz w:val="18"/>
          <w:szCs w:val="18"/>
        </w:rPr>
        <w:t xml:space="preserve">Het betreft een bijstelling als gevolg van vertraagde verkoopopbrengsten voor afstotingprojecten van onroerende zaken (o.a. de complexen Hogeweg en Kanaalweg) in 2011 (24,6 mln.) en de opbrengst van de verkoop van de Knoopkazerne (20,0 mln.). Daarnaast betreft het ontvangsten bij de bedrijven van CDC voor onder meer bewakingsdiensten, vergoeding voor verstrekking geneeskundig materieel en geleverde diensten voor transportcapaciteit. De hogere ontvangsten bij de Bestuursstaf komen door de BTW-teruggave op de NAVO projecten (10,4 mln.). </w:t>
      </w:r>
    </w:p>
    <w:p w:rsidRPr="006A4DA8" w:rsidR="00315371" w:rsidP="006A4DA8" w:rsidRDefault="00315371">
      <w:pPr>
        <w:spacing w:after="200" w:line="276" w:lineRule="auto"/>
        <w:rPr>
          <w:rFonts w:ascii="Verdana" w:hAnsi="Verdana" w:cs="Arial"/>
          <w:b/>
          <w:bCs/>
          <w:sz w:val="18"/>
          <w:szCs w:val="18"/>
        </w:rPr>
      </w:pPr>
      <w:r w:rsidRPr="006A4DA8">
        <w:rPr>
          <w:rFonts w:ascii="Verdana" w:hAnsi="Verdana" w:cs="Arial"/>
          <w:b/>
          <w:bCs/>
          <w:sz w:val="18"/>
          <w:szCs w:val="18"/>
        </w:rPr>
        <w:br w:type="page"/>
      </w:r>
    </w:p>
    <w:p w:rsidR="00315371" w:rsidP="00174971" w:rsidRDefault="00315371">
      <w:pPr>
        <w:spacing w:line="240" w:lineRule="exact"/>
        <w:rPr>
          <w:rFonts w:ascii="Verdana" w:hAnsi="Verdana" w:cs="Arial"/>
          <w:b/>
          <w:bCs/>
          <w:sz w:val="18"/>
          <w:szCs w:val="18"/>
        </w:rPr>
      </w:pPr>
      <w:r>
        <w:rPr>
          <w:rFonts w:ascii="Verdana" w:hAnsi="Verdana" w:cs="Arial"/>
          <w:b/>
          <w:bCs/>
          <w:sz w:val="18"/>
          <w:szCs w:val="18"/>
        </w:rPr>
        <w:t>I</w:t>
      </w:r>
      <w:r w:rsidRPr="00B92FA0">
        <w:rPr>
          <w:rFonts w:ascii="Verdana" w:hAnsi="Verdana" w:cs="Arial"/>
          <w:b/>
          <w:bCs/>
          <w:sz w:val="18"/>
          <w:szCs w:val="18"/>
        </w:rPr>
        <w:t>nfrastructuur en Milieu</w:t>
      </w:r>
    </w:p>
    <w:p w:rsidR="00315371" w:rsidP="00174971" w:rsidRDefault="00315371">
      <w:pPr>
        <w:spacing w:line="240" w:lineRule="exact"/>
        <w:rPr>
          <w:rFonts w:ascii="Verdana" w:hAnsi="Verdana" w:cs="Arial"/>
          <w:b/>
          <w:bCs/>
          <w:sz w:val="18"/>
          <w:szCs w:val="18"/>
        </w:rPr>
      </w:pPr>
    </w:p>
    <w:tbl>
      <w:tblPr>
        <w:tblW w:w="5000" w:type="pct"/>
        <w:tblCellMar>
          <w:top w:w="15" w:type="dxa"/>
          <w:left w:w="15" w:type="dxa"/>
          <w:bottom w:w="15" w:type="dxa"/>
          <w:right w:w="15" w:type="dxa"/>
        </w:tblCellMar>
        <w:tblLook w:val="00A0"/>
      </w:tblPr>
      <w:tblGrid>
        <w:gridCol w:w="4690"/>
        <w:gridCol w:w="893"/>
        <w:gridCol w:w="893"/>
        <w:gridCol w:w="893"/>
        <w:gridCol w:w="787"/>
        <w:gridCol w:w="896"/>
        <w:gridCol w:w="50"/>
      </w:tblGrid>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XII INFRASTRUCTUUR EN MILIEU: UITGAVEN</w:t>
            </w:r>
          </w:p>
        </w:tc>
        <w:tc>
          <w:tcPr>
            <w:tcW w:w="2398" w:type="pct"/>
            <w:gridSpan w:val="5"/>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bedragen in miljoenen euro's</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p>
        </w:tc>
        <w:tc>
          <w:tcPr>
            <w:tcW w:w="491"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2012</w:t>
            </w:r>
          </w:p>
        </w:tc>
        <w:tc>
          <w:tcPr>
            <w:tcW w:w="491"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2013</w:t>
            </w:r>
          </w:p>
        </w:tc>
        <w:tc>
          <w:tcPr>
            <w:tcW w:w="491"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2014</w:t>
            </w:r>
          </w:p>
        </w:tc>
        <w:tc>
          <w:tcPr>
            <w:tcW w:w="433"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2015</w:t>
            </w:r>
          </w:p>
        </w:tc>
        <w:tc>
          <w:tcPr>
            <w:tcW w:w="491"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2016</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Stand Miljoenennota 2012 (excl. IS)</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10.682,8</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10.432,0</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10.540,8</w:t>
            </w:r>
          </w:p>
        </w:tc>
        <w:tc>
          <w:tcPr>
            <w:tcW w:w="433"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9.401,5</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10.025,4</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Beleidsmatige mutaties</w:t>
            </w: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33"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240" w:type="dxa"/>
              <w:bottom w:w="15" w:type="dxa"/>
              <w:right w:w="15" w:type="dxa"/>
            </w:tcMar>
          </w:tcPr>
          <w:p w:rsidRPr="007B734A" w:rsidR="00315371" w:rsidP="007B734A" w:rsidRDefault="00315371">
            <w:pPr>
              <w:ind w:firstLine="160" w:firstLineChars="100"/>
              <w:rPr>
                <w:rFonts w:ascii="Verdana" w:hAnsi="Verdana" w:cs="Courier New"/>
                <w:sz w:val="16"/>
                <w:szCs w:val="16"/>
              </w:rPr>
            </w:pPr>
            <w:r w:rsidRPr="007B734A">
              <w:rPr>
                <w:rFonts w:ascii="Verdana" w:hAnsi="Verdana" w:cs="Courier New"/>
                <w:sz w:val="16"/>
                <w:szCs w:val="16"/>
              </w:rPr>
              <w:t>Rijksbegroting in enge zin</w:t>
            </w: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33"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Pr>
                <w:rFonts w:ascii="Verdana" w:hAnsi="Verdana" w:cs="Courier New"/>
                <w:sz w:val="16"/>
                <w:szCs w:val="16"/>
              </w:rPr>
              <w:t>A15 Maasvlakte V</w:t>
            </w:r>
            <w:r w:rsidRPr="007B734A">
              <w:rPr>
                <w:rFonts w:ascii="Verdana" w:hAnsi="Verdana" w:cs="Courier New"/>
                <w:sz w:val="16"/>
                <w:szCs w:val="16"/>
              </w:rPr>
              <w:t>aanplein</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-178,6</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-179,3</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45,5</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225,1</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22,5</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sidRPr="007B734A">
              <w:rPr>
                <w:rFonts w:ascii="Verdana" w:hAnsi="Verdana" w:cs="Courier New"/>
                <w:sz w:val="16"/>
                <w:szCs w:val="16"/>
              </w:rPr>
              <w:t>Eindejaarsmarge</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35,5</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Pr>
                <w:rFonts w:ascii="Verdana" w:hAnsi="Verdana" w:cs="Courier New"/>
                <w:sz w:val="16"/>
                <w:szCs w:val="16"/>
              </w:rPr>
              <w:t>HSA</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-12,8</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12,2</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27,2</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27,2</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17,2</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Pr>
                <w:rFonts w:ascii="Verdana" w:hAnsi="Verdana" w:cs="Courier New"/>
                <w:sz w:val="16"/>
                <w:szCs w:val="16"/>
              </w:rPr>
              <w:t>Masterplan kantoorhuisvesting D</w:t>
            </w:r>
            <w:r w:rsidRPr="007B734A">
              <w:rPr>
                <w:rFonts w:ascii="Verdana" w:hAnsi="Verdana" w:cs="Courier New"/>
                <w:sz w:val="16"/>
                <w:szCs w:val="16"/>
              </w:rPr>
              <w:t>e</w:t>
            </w:r>
            <w:r>
              <w:rPr>
                <w:rFonts w:ascii="Verdana" w:hAnsi="Verdana" w:cs="Courier New"/>
                <w:sz w:val="16"/>
                <w:szCs w:val="16"/>
              </w:rPr>
              <w:t>n H</w:t>
            </w:r>
            <w:r w:rsidRPr="007B734A">
              <w:rPr>
                <w:rFonts w:ascii="Verdana" w:hAnsi="Verdana" w:cs="Courier New"/>
                <w:sz w:val="16"/>
                <w:szCs w:val="16"/>
              </w:rPr>
              <w:t>aag</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-1,6</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-1,8</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16,8</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sidRPr="007B734A">
              <w:rPr>
                <w:rFonts w:ascii="Verdana" w:hAnsi="Verdana" w:cs="Courier New"/>
                <w:sz w:val="16"/>
                <w:szCs w:val="16"/>
              </w:rPr>
              <w:t>Diversen</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-158,5</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-168,8</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70,9</w:t>
            </w:r>
          </w:p>
        </w:tc>
        <w:tc>
          <w:tcPr>
            <w:tcW w:w="433"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250,6</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56,5</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Technische mutaties</w:t>
            </w: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33"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240" w:type="dxa"/>
              <w:bottom w:w="15" w:type="dxa"/>
              <w:right w:w="15" w:type="dxa"/>
            </w:tcMar>
          </w:tcPr>
          <w:p w:rsidRPr="007B734A" w:rsidR="00315371" w:rsidP="007B734A" w:rsidRDefault="00315371">
            <w:pPr>
              <w:ind w:firstLine="160" w:firstLineChars="100"/>
              <w:rPr>
                <w:rFonts w:ascii="Verdana" w:hAnsi="Verdana" w:cs="Courier New"/>
                <w:sz w:val="16"/>
                <w:szCs w:val="16"/>
              </w:rPr>
            </w:pPr>
            <w:r w:rsidRPr="007B734A">
              <w:rPr>
                <w:rFonts w:ascii="Verdana" w:hAnsi="Verdana" w:cs="Courier New"/>
                <w:sz w:val="16"/>
                <w:szCs w:val="16"/>
              </w:rPr>
              <w:t>Rijksbegroting in enge zin</w:t>
            </w: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33"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Pr>
                <w:rFonts w:ascii="Verdana" w:hAnsi="Verdana" w:cs="Courier New"/>
                <w:sz w:val="16"/>
                <w:szCs w:val="16"/>
              </w:rPr>
              <w:t>Btw hoofdvaarweg Lemmer-D</w:t>
            </w:r>
            <w:r w:rsidRPr="007B734A">
              <w:rPr>
                <w:rFonts w:ascii="Verdana" w:hAnsi="Verdana" w:cs="Courier New"/>
                <w:sz w:val="16"/>
                <w:szCs w:val="16"/>
              </w:rPr>
              <w:t>elfzijl</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54,6</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sidRPr="007B734A">
              <w:rPr>
                <w:rFonts w:ascii="Verdana" w:hAnsi="Verdana" w:cs="Courier New"/>
                <w:sz w:val="16"/>
                <w:szCs w:val="16"/>
              </w:rPr>
              <w:t>Diversen</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-22,4</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-2,1</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-0,3</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3,8</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6,0</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32,2</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-2,1</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-0,3</w:t>
            </w:r>
          </w:p>
        </w:tc>
        <w:tc>
          <w:tcPr>
            <w:tcW w:w="433"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3,8</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6,0</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p>
        </w:tc>
        <w:tc>
          <w:tcPr>
            <w:tcW w:w="491" w:type="pct"/>
            <w:vAlign w:val="center"/>
          </w:tcPr>
          <w:p w:rsidRPr="007B734A" w:rsidR="00315371" w:rsidP="007C26C8" w:rsidRDefault="00315371">
            <w:pPr>
              <w:rPr>
                <w:rFonts w:ascii="Verdana" w:hAnsi="Verdana"/>
                <w:sz w:val="16"/>
                <w:szCs w:val="16"/>
              </w:rPr>
            </w:pPr>
          </w:p>
        </w:tc>
        <w:tc>
          <w:tcPr>
            <w:tcW w:w="491" w:type="pct"/>
            <w:vAlign w:val="center"/>
          </w:tcPr>
          <w:p w:rsidRPr="007B734A" w:rsidR="00315371" w:rsidP="007C26C8" w:rsidRDefault="00315371">
            <w:pPr>
              <w:rPr>
                <w:rFonts w:ascii="Verdana" w:hAnsi="Verdana"/>
                <w:sz w:val="16"/>
                <w:szCs w:val="16"/>
              </w:rPr>
            </w:pPr>
          </w:p>
        </w:tc>
        <w:tc>
          <w:tcPr>
            <w:tcW w:w="491" w:type="pct"/>
            <w:vAlign w:val="center"/>
          </w:tcPr>
          <w:p w:rsidRPr="007B734A" w:rsidR="00315371" w:rsidP="007C26C8" w:rsidRDefault="00315371">
            <w:pPr>
              <w:rPr>
                <w:rFonts w:ascii="Verdana" w:hAnsi="Verdana"/>
                <w:sz w:val="16"/>
                <w:szCs w:val="16"/>
              </w:rPr>
            </w:pPr>
          </w:p>
        </w:tc>
        <w:tc>
          <w:tcPr>
            <w:tcW w:w="433" w:type="pct"/>
            <w:vAlign w:val="center"/>
          </w:tcPr>
          <w:p w:rsidRPr="007B734A" w:rsidR="00315371" w:rsidP="007C26C8" w:rsidRDefault="00315371">
            <w:pPr>
              <w:rPr>
                <w:rFonts w:ascii="Verdana" w:hAnsi="Verdana"/>
                <w:sz w:val="16"/>
                <w:szCs w:val="16"/>
              </w:rPr>
            </w:pPr>
          </w:p>
        </w:tc>
        <w:tc>
          <w:tcPr>
            <w:tcW w:w="491" w:type="pct"/>
            <w:vAlign w:val="center"/>
          </w:tcPr>
          <w:p w:rsidRPr="007B734A" w:rsidR="00315371" w:rsidP="007C26C8" w:rsidRDefault="00315371">
            <w:pPr>
              <w:rPr>
                <w:rFonts w:ascii="Verdana" w:hAnsi="Verdana"/>
                <w:sz w:val="16"/>
                <w:szCs w:val="16"/>
              </w:rPr>
            </w:pPr>
          </w:p>
        </w:tc>
        <w:tc>
          <w:tcPr>
            <w:tcW w:w="25" w:type="pct"/>
            <w:vAlign w:val="center"/>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Totaal mutaties sinds Miljoenennota 2012</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-126,3</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-170,9</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70,6</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254,4</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62,5</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433" w:type="pct"/>
          </w:tcPr>
          <w:p w:rsidRPr="007B734A" w:rsidR="00315371" w:rsidP="007C26C8" w:rsidRDefault="00315371">
            <w:pPr>
              <w:rPr>
                <w:rFonts w:ascii="Verdana" w:hAnsi="Verdana"/>
                <w:sz w:val="16"/>
                <w:szCs w:val="16"/>
              </w:rPr>
            </w:pPr>
          </w:p>
        </w:tc>
        <w:tc>
          <w:tcPr>
            <w:tcW w:w="491" w:type="pct"/>
          </w:tcPr>
          <w:p w:rsidRPr="007B734A" w:rsidR="00315371" w:rsidP="007C26C8" w:rsidRDefault="00315371">
            <w:pPr>
              <w:rPr>
                <w:rFonts w:ascii="Verdana" w:hAnsi="Verdana"/>
                <w:sz w:val="16"/>
                <w:szCs w:val="16"/>
              </w:rPr>
            </w:pP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Stand Voorjaarsnota 2012 (subtotaal)</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10.556,6</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10.261,1</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10.611,4</w:t>
            </w:r>
          </w:p>
        </w:tc>
        <w:tc>
          <w:tcPr>
            <w:tcW w:w="433"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9.655,8</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10.087,9</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Totaal Internationale samenwerking</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124,3</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52,7</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24,0</w:t>
            </w:r>
          </w:p>
        </w:tc>
        <w:tc>
          <w:tcPr>
            <w:tcW w:w="433"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19,8</w:t>
            </w:r>
          </w:p>
        </w:tc>
        <w:tc>
          <w:tcPr>
            <w:tcW w:w="49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19,5</w:t>
            </w:r>
          </w:p>
        </w:tc>
        <w:tc>
          <w:tcPr>
            <w:tcW w:w="25" w:type="pct"/>
          </w:tcPr>
          <w:p w:rsidRPr="007B734A" w:rsidR="00315371" w:rsidP="007C26C8" w:rsidRDefault="00315371">
            <w:pPr>
              <w:rPr>
                <w:rFonts w:ascii="Verdana" w:hAnsi="Verdana"/>
                <w:sz w:val="16"/>
                <w:szCs w:val="16"/>
              </w:rPr>
            </w:pPr>
          </w:p>
        </w:tc>
      </w:tr>
      <w:tr w:rsidRPr="007B734A" w:rsidR="00315371" w:rsidTr="007B734A">
        <w:tc>
          <w:tcPr>
            <w:tcW w:w="2577"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Stand Voorjaarsnota 2012</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10.680,8</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10.313,8</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10.635,4</w:t>
            </w:r>
          </w:p>
        </w:tc>
        <w:tc>
          <w:tcPr>
            <w:tcW w:w="433"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9.675,6</w:t>
            </w:r>
          </w:p>
        </w:tc>
        <w:tc>
          <w:tcPr>
            <w:tcW w:w="49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10.107,4</w:t>
            </w:r>
          </w:p>
        </w:tc>
        <w:tc>
          <w:tcPr>
            <w:tcW w:w="25" w:type="pct"/>
          </w:tcPr>
          <w:p w:rsidRPr="007B734A" w:rsidR="00315371" w:rsidP="007C26C8" w:rsidRDefault="00315371">
            <w:pPr>
              <w:rPr>
                <w:rFonts w:ascii="Verdana" w:hAnsi="Verdana"/>
                <w:sz w:val="16"/>
                <w:szCs w:val="16"/>
              </w:rPr>
            </w:pPr>
          </w:p>
        </w:tc>
      </w:tr>
    </w:tbl>
    <w:p w:rsidR="00315371" w:rsidP="007B734A" w:rsidRDefault="00315371">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0A0"/>
      </w:tblPr>
      <w:tblGrid>
        <w:gridCol w:w="4733"/>
        <w:gridCol w:w="839"/>
        <w:gridCol w:w="883"/>
        <w:gridCol w:w="883"/>
        <w:gridCol w:w="883"/>
        <w:gridCol w:w="881"/>
      </w:tblGrid>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61"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85"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85"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85"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85"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XII INFRASTRUCTUUR EN MILIEU: NIET-BELASTINGONTVANGSTEN</w:t>
            </w:r>
          </w:p>
        </w:tc>
        <w:tc>
          <w:tcPr>
            <w:tcW w:w="2400" w:type="pct"/>
            <w:gridSpan w:val="5"/>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bedragen in miljoenen euro's</w:t>
            </w:r>
          </w:p>
        </w:tc>
      </w:tr>
      <w:tr w:rsidRPr="007B734A" w:rsidR="00315371" w:rsidTr="007B734A">
        <w:tc>
          <w:tcPr>
            <w:tcW w:w="2600"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p>
        </w:tc>
        <w:tc>
          <w:tcPr>
            <w:tcW w:w="461"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2012</w:t>
            </w:r>
          </w:p>
        </w:tc>
        <w:tc>
          <w:tcPr>
            <w:tcW w:w="485"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2013</w:t>
            </w:r>
          </w:p>
        </w:tc>
        <w:tc>
          <w:tcPr>
            <w:tcW w:w="485"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2014</w:t>
            </w:r>
          </w:p>
        </w:tc>
        <w:tc>
          <w:tcPr>
            <w:tcW w:w="485"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2015</w:t>
            </w:r>
          </w:p>
        </w:tc>
        <w:tc>
          <w:tcPr>
            <w:tcW w:w="485" w:type="pct"/>
            <w:tcBorders>
              <w:top w:val="single" w:color="000000" w:sz="8" w:space="0"/>
              <w:left w:val="nil"/>
              <w:bottom w:val="single" w:color="000000" w:sz="8" w:space="0"/>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2016</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Stand Miljoenennota 2012 (excl. IS)</w:t>
            </w:r>
          </w:p>
        </w:tc>
        <w:tc>
          <w:tcPr>
            <w:tcW w:w="46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57,3</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759,4</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759,4</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738,3</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715,7</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Technische mutaties</w:t>
            </w:r>
          </w:p>
        </w:tc>
        <w:tc>
          <w:tcPr>
            <w:tcW w:w="461"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r>
      <w:tr w:rsidRPr="007B734A" w:rsidR="00315371" w:rsidTr="007B734A">
        <w:tc>
          <w:tcPr>
            <w:tcW w:w="2600" w:type="pct"/>
            <w:tcBorders>
              <w:left w:val="nil"/>
              <w:right w:val="nil"/>
            </w:tcBorders>
            <w:tcMar>
              <w:top w:w="15" w:type="dxa"/>
              <w:left w:w="240" w:type="dxa"/>
              <w:bottom w:w="15" w:type="dxa"/>
              <w:right w:w="15" w:type="dxa"/>
            </w:tcMar>
          </w:tcPr>
          <w:p w:rsidRPr="007B734A" w:rsidR="00315371" w:rsidP="007B734A" w:rsidRDefault="00315371">
            <w:pPr>
              <w:ind w:firstLine="160" w:firstLineChars="100"/>
              <w:rPr>
                <w:rFonts w:ascii="Verdana" w:hAnsi="Verdana" w:cs="Courier New"/>
                <w:sz w:val="16"/>
                <w:szCs w:val="16"/>
              </w:rPr>
            </w:pPr>
            <w:r w:rsidRPr="007B734A">
              <w:rPr>
                <w:rFonts w:ascii="Verdana" w:hAnsi="Verdana" w:cs="Courier New"/>
                <w:sz w:val="16"/>
                <w:szCs w:val="16"/>
              </w:rPr>
              <w:t>Rijksbegroting in enge zin</w:t>
            </w:r>
          </w:p>
        </w:tc>
        <w:tc>
          <w:tcPr>
            <w:tcW w:w="461"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r>
      <w:tr w:rsidRPr="007B734A" w:rsidR="00315371" w:rsidTr="007B734A">
        <w:tc>
          <w:tcPr>
            <w:tcW w:w="2600"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sidRPr="007B734A">
              <w:rPr>
                <w:rFonts w:ascii="Verdana" w:hAnsi="Verdana" w:cs="Courier New"/>
                <w:sz w:val="16"/>
                <w:szCs w:val="16"/>
              </w:rPr>
              <w:t>Diversen</w:t>
            </w:r>
          </w:p>
        </w:tc>
        <w:tc>
          <w:tcPr>
            <w:tcW w:w="46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-0,9</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-0,9</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-0,9</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-0,9</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-0,9</w:t>
            </w:r>
          </w:p>
        </w:tc>
      </w:tr>
      <w:tr w:rsidRPr="007B734A" w:rsidR="00315371" w:rsidTr="007B734A">
        <w:tc>
          <w:tcPr>
            <w:tcW w:w="2600" w:type="pct"/>
            <w:tcBorders>
              <w:left w:val="nil"/>
              <w:right w:val="nil"/>
            </w:tcBorders>
            <w:tcMar>
              <w:top w:w="15" w:type="dxa"/>
              <w:left w:w="240" w:type="dxa"/>
              <w:bottom w:w="15" w:type="dxa"/>
              <w:right w:w="15" w:type="dxa"/>
            </w:tcMar>
          </w:tcPr>
          <w:p w:rsidRPr="007B734A" w:rsidR="00315371" w:rsidP="007B734A" w:rsidRDefault="00315371">
            <w:pPr>
              <w:ind w:firstLine="160" w:firstLineChars="100"/>
              <w:rPr>
                <w:rFonts w:ascii="Verdana" w:hAnsi="Verdana" w:cs="Courier New"/>
                <w:sz w:val="16"/>
                <w:szCs w:val="16"/>
              </w:rPr>
            </w:pPr>
            <w:r w:rsidRPr="007B734A">
              <w:rPr>
                <w:rFonts w:ascii="Verdana" w:hAnsi="Verdana" w:cs="Courier New"/>
                <w:sz w:val="16"/>
                <w:szCs w:val="16"/>
              </w:rPr>
              <w:t>Niet tot een ijklijn behorend</w:t>
            </w:r>
          </w:p>
        </w:tc>
        <w:tc>
          <w:tcPr>
            <w:tcW w:w="461"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r>
      <w:tr w:rsidRPr="007B734A" w:rsidR="00315371" w:rsidTr="007B734A">
        <w:tc>
          <w:tcPr>
            <w:tcW w:w="2600" w:type="pct"/>
            <w:tcBorders>
              <w:left w:val="nil"/>
              <w:right w:val="nil"/>
            </w:tcBorders>
            <w:tcMar>
              <w:top w:w="15" w:type="dxa"/>
              <w:left w:w="480" w:type="dxa"/>
              <w:bottom w:w="15" w:type="dxa"/>
              <w:right w:w="15" w:type="dxa"/>
            </w:tcMar>
          </w:tcPr>
          <w:p w:rsidRPr="007B734A" w:rsidR="00315371" w:rsidP="007B734A" w:rsidRDefault="00315371">
            <w:pPr>
              <w:ind w:firstLine="320" w:firstLineChars="200"/>
              <w:rPr>
                <w:rFonts w:ascii="Verdana" w:hAnsi="Verdana" w:cs="Courier New"/>
                <w:sz w:val="16"/>
                <w:szCs w:val="16"/>
              </w:rPr>
            </w:pPr>
            <w:r w:rsidRPr="007B734A">
              <w:rPr>
                <w:rFonts w:ascii="Verdana" w:hAnsi="Verdana" w:cs="Courier New"/>
                <w:sz w:val="16"/>
                <w:szCs w:val="16"/>
              </w:rPr>
              <w:t>Correctie ontvangsten co2 raming</w:t>
            </w:r>
          </w:p>
        </w:tc>
        <w:tc>
          <w:tcPr>
            <w:tcW w:w="46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16,0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-580,0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-500,0</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6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15,1</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-580,9</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-500,9</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-500,9</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-500,9</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p>
        </w:tc>
        <w:tc>
          <w:tcPr>
            <w:tcW w:w="461" w:type="pct"/>
            <w:vAlign w:val="center"/>
          </w:tcPr>
          <w:p w:rsidRPr="007B734A" w:rsidR="00315371" w:rsidP="007C26C8" w:rsidRDefault="00315371">
            <w:pPr>
              <w:rPr>
                <w:rFonts w:ascii="Verdana" w:hAnsi="Verdana"/>
                <w:sz w:val="16"/>
                <w:szCs w:val="16"/>
              </w:rPr>
            </w:pPr>
          </w:p>
        </w:tc>
        <w:tc>
          <w:tcPr>
            <w:tcW w:w="485" w:type="pct"/>
            <w:vAlign w:val="center"/>
          </w:tcPr>
          <w:p w:rsidRPr="007B734A" w:rsidR="00315371" w:rsidP="007C26C8" w:rsidRDefault="00315371">
            <w:pPr>
              <w:rPr>
                <w:rFonts w:ascii="Verdana" w:hAnsi="Verdana"/>
                <w:sz w:val="16"/>
                <w:szCs w:val="16"/>
              </w:rPr>
            </w:pPr>
          </w:p>
        </w:tc>
        <w:tc>
          <w:tcPr>
            <w:tcW w:w="485" w:type="pct"/>
            <w:vAlign w:val="center"/>
          </w:tcPr>
          <w:p w:rsidRPr="007B734A" w:rsidR="00315371" w:rsidP="007C26C8" w:rsidRDefault="00315371">
            <w:pPr>
              <w:rPr>
                <w:rFonts w:ascii="Verdana" w:hAnsi="Verdana"/>
                <w:sz w:val="16"/>
                <w:szCs w:val="16"/>
              </w:rPr>
            </w:pPr>
          </w:p>
        </w:tc>
        <w:tc>
          <w:tcPr>
            <w:tcW w:w="485" w:type="pct"/>
            <w:vAlign w:val="center"/>
          </w:tcPr>
          <w:p w:rsidRPr="007B734A" w:rsidR="00315371" w:rsidP="007C26C8" w:rsidRDefault="00315371">
            <w:pPr>
              <w:rPr>
                <w:rFonts w:ascii="Verdana" w:hAnsi="Verdana"/>
                <w:sz w:val="16"/>
                <w:szCs w:val="16"/>
              </w:rPr>
            </w:pPr>
          </w:p>
        </w:tc>
        <w:tc>
          <w:tcPr>
            <w:tcW w:w="485" w:type="pct"/>
            <w:vAlign w:val="center"/>
          </w:tcPr>
          <w:p w:rsidRPr="007B734A" w:rsidR="00315371" w:rsidP="007C26C8" w:rsidRDefault="00315371">
            <w:pPr>
              <w:rPr>
                <w:rFonts w:ascii="Verdana" w:hAnsi="Verdana"/>
                <w:sz w:val="16"/>
                <w:szCs w:val="16"/>
              </w:rPr>
            </w:pP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Totaal mutaties sinds Miljoenennota 2012</w:t>
            </w:r>
          </w:p>
        </w:tc>
        <w:tc>
          <w:tcPr>
            <w:tcW w:w="46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15,1</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-580,9</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-500,9</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-500,9</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-500,9</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 </w:t>
            </w:r>
          </w:p>
        </w:tc>
        <w:tc>
          <w:tcPr>
            <w:tcW w:w="461"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c>
          <w:tcPr>
            <w:tcW w:w="485" w:type="pct"/>
          </w:tcPr>
          <w:p w:rsidRPr="007B734A" w:rsidR="00315371" w:rsidP="007C26C8" w:rsidRDefault="00315371">
            <w:pPr>
              <w:rPr>
                <w:rFonts w:ascii="Verdana" w:hAnsi="Verdana"/>
                <w:sz w:val="16"/>
                <w:szCs w:val="16"/>
              </w:rPr>
            </w:pP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Stand Voorjaarsnota 2012 (subtotaal)</w:t>
            </w:r>
          </w:p>
        </w:tc>
        <w:tc>
          <w:tcPr>
            <w:tcW w:w="46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72,4</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178,5</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258,5</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237,4</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214,9</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Totaal Internationale samenwerking</w:t>
            </w:r>
          </w:p>
        </w:tc>
        <w:tc>
          <w:tcPr>
            <w:tcW w:w="461"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c>
          <w:tcPr>
            <w:tcW w:w="485" w:type="pct"/>
            <w:tcBorders>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0,0</w:t>
            </w:r>
          </w:p>
        </w:tc>
      </w:tr>
      <w:tr w:rsidRPr="007B734A" w:rsidR="00315371" w:rsidTr="007B734A">
        <w:tc>
          <w:tcPr>
            <w:tcW w:w="2600" w:type="pct"/>
            <w:tcBorders>
              <w:left w:val="nil"/>
              <w:right w:val="nil"/>
            </w:tcBorders>
          </w:tcPr>
          <w:p w:rsidRPr="007B734A" w:rsidR="00315371" w:rsidP="007C26C8" w:rsidRDefault="00315371">
            <w:pPr>
              <w:rPr>
                <w:rFonts w:ascii="Verdana" w:hAnsi="Verdana" w:cs="Courier New"/>
                <w:sz w:val="16"/>
                <w:szCs w:val="16"/>
              </w:rPr>
            </w:pPr>
            <w:r w:rsidRPr="007B734A">
              <w:rPr>
                <w:rFonts w:ascii="Verdana" w:hAnsi="Verdana" w:cs="Courier New"/>
                <w:sz w:val="16"/>
                <w:szCs w:val="16"/>
              </w:rPr>
              <w:t>Stand Voorjaarsnota 2012</w:t>
            </w:r>
          </w:p>
        </w:tc>
        <w:tc>
          <w:tcPr>
            <w:tcW w:w="461"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72,4</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178,5</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258,5</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237,4</w:t>
            </w:r>
          </w:p>
        </w:tc>
        <w:tc>
          <w:tcPr>
            <w:tcW w:w="485" w:type="pct"/>
            <w:tcBorders>
              <w:top w:val="single" w:color="000000" w:sz="8" w:space="0"/>
              <w:left w:val="nil"/>
              <w:right w:val="nil"/>
            </w:tcBorders>
          </w:tcPr>
          <w:p w:rsidRPr="007B734A" w:rsidR="00315371" w:rsidP="007C26C8" w:rsidRDefault="00315371">
            <w:pPr>
              <w:jc w:val="right"/>
              <w:rPr>
                <w:rFonts w:ascii="Verdana" w:hAnsi="Verdana" w:cs="Courier New"/>
                <w:sz w:val="16"/>
                <w:szCs w:val="16"/>
              </w:rPr>
            </w:pPr>
            <w:r w:rsidRPr="007B734A">
              <w:rPr>
                <w:rFonts w:ascii="Verdana" w:hAnsi="Verdana" w:cs="Courier New"/>
                <w:sz w:val="16"/>
                <w:szCs w:val="16"/>
              </w:rPr>
              <w:t>214,9</w:t>
            </w:r>
          </w:p>
        </w:tc>
      </w:tr>
    </w:tbl>
    <w:p w:rsidR="00315371" w:rsidP="00AA2967" w:rsidRDefault="00315371">
      <w:pPr>
        <w:spacing w:line="240" w:lineRule="exact"/>
        <w:rPr>
          <w:rFonts w:ascii="Verdana" w:hAnsi="Verdana"/>
          <w:i/>
          <w:sz w:val="18"/>
          <w:szCs w:val="18"/>
        </w:rPr>
      </w:pPr>
    </w:p>
    <w:p w:rsidR="00315371" w:rsidP="00AA2967" w:rsidRDefault="00315371">
      <w:pPr>
        <w:spacing w:line="240" w:lineRule="exact"/>
        <w:rPr>
          <w:rFonts w:ascii="Verdana" w:hAnsi="Verdana"/>
          <w:i/>
          <w:sz w:val="18"/>
          <w:szCs w:val="18"/>
        </w:rPr>
      </w:pPr>
    </w:p>
    <w:p w:rsidR="00315371" w:rsidP="00AA2967" w:rsidRDefault="00315371">
      <w:pPr>
        <w:spacing w:line="240" w:lineRule="exact"/>
        <w:rPr>
          <w:rFonts w:ascii="Verdana" w:hAnsi="Verdana"/>
          <w:i/>
          <w:sz w:val="18"/>
          <w:szCs w:val="18"/>
        </w:rPr>
      </w:pPr>
    </w:p>
    <w:p w:rsidR="00315371" w:rsidP="00AA2967" w:rsidRDefault="00315371">
      <w:pPr>
        <w:spacing w:line="240" w:lineRule="exact"/>
        <w:rPr>
          <w:rFonts w:ascii="Verdana" w:hAnsi="Verdana"/>
          <w:i/>
          <w:sz w:val="18"/>
          <w:szCs w:val="18"/>
        </w:rPr>
      </w:pPr>
    </w:p>
    <w:p w:rsidRPr="00174971" w:rsidR="00315371" w:rsidP="00AA2967" w:rsidRDefault="00315371">
      <w:pPr>
        <w:spacing w:line="240" w:lineRule="exact"/>
        <w:rPr>
          <w:rFonts w:ascii="Verdana" w:hAnsi="Verdana"/>
          <w:i/>
          <w:sz w:val="18"/>
          <w:szCs w:val="18"/>
        </w:rPr>
      </w:pPr>
      <w:r w:rsidRPr="00174971">
        <w:rPr>
          <w:rFonts w:ascii="Verdana" w:hAnsi="Verdana"/>
          <w:i/>
          <w:sz w:val="18"/>
          <w:szCs w:val="18"/>
        </w:rPr>
        <w:t>A15 Maasvlakte Vaanplein</w:t>
      </w:r>
    </w:p>
    <w:p w:rsidR="00315371" w:rsidP="00AA2967" w:rsidRDefault="00315371">
      <w:pPr>
        <w:spacing w:line="240" w:lineRule="exact"/>
        <w:rPr>
          <w:rFonts w:ascii="Verdana" w:hAnsi="Verdana"/>
          <w:sz w:val="18"/>
          <w:szCs w:val="18"/>
        </w:rPr>
      </w:pPr>
      <w:r w:rsidRPr="00174971">
        <w:rPr>
          <w:rFonts w:ascii="Verdana" w:hAnsi="Verdana"/>
          <w:sz w:val="18"/>
          <w:szCs w:val="18"/>
        </w:rPr>
        <w:t xml:space="preserve">Het in het Infrastructuurfonds geraamde aanlegbudget voor het project A15 Maasvlakte Vaanplein wordt omgezet in een meerjarig budget voor de beschikbaarheidsvergoeding. </w:t>
      </w:r>
    </w:p>
    <w:p w:rsidR="00315371" w:rsidP="00AA2967" w:rsidRDefault="00315371">
      <w:pPr>
        <w:spacing w:line="240" w:lineRule="exact"/>
        <w:rPr>
          <w:rFonts w:ascii="Verdana" w:hAnsi="Verdana"/>
          <w:i/>
          <w:sz w:val="18"/>
          <w:szCs w:val="18"/>
        </w:rPr>
      </w:pPr>
    </w:p>
    <w:p w:rsidRPr="00174971" w:rsidR="00315371" w:rsidP="000D477A" w:rsidRDefault="00315371">
      <w:pPr>
        <w:spacing w:line="276" w:lineRule="auto"/>
        <w:rPr>
          <w:rFonts w:ascii="Verdana" w:hAnsi="Verdana"/>
          <w:i/>
          <w:sz w:val="18"/>
          <w:szCs w:val="18"/>
        </w:rPr>
      </w:pPr>
      <w:r w:rsidRPr="00174971">
        <w:rPr>
          <w:rFonts w:ascii="Verdana" w:hAnsi="Verdana"/>
          <w:i/>
          <w:sz w:val="18"/>
          <w:szCs w:val="18"/>
        </w:rPr>
        <w:t>Eindejaarsmarge</w:t>
      </w:r>
    </w:p>
    <w:p w:rsidRPr="00174971" w:rsidR="00315371" w:rsidP="000D477A" w:rsidRDefault="00315371">
      <w:pPr>
        <w:spacing w:line="276" w:lineRule="auto"/>
        <w:rPr>
          <w:rFonts w:ascii="Verdana" w:hAnsi="Verdana"/>
          <w:sz w:val="18"/>
          <w:szCs w:val="18"/>
        </w:rPr>
      </w:pPr>
      <w:r w:rsidRPr="00174971">
        <w:rPr>
          <w:rFonts w:ascii="Verdana" w:hAnsi="Verdana"/>
          <w:sz w:val="18"/>
          <w:szCs w:val="18"/>
        </w:rPr>
        <w:t xml:space="preserve">In 2011 heeft IenM niet het volledige budget uitgeput. Bij voorjaarsnota wordt </w:t>
      </w:r>
      <w:r>
        <w:rPr>
          <w:rFonts w:ascii="Verdana" w:hAnsi="Verdana"/>
          <w:sz w:val="18"/>
          <w:szCs w:val="18"/>
        </w:rPr>
        <w:t xml:space="preserve">uit hoofde van de eindejaarsmarge </w:t>
      </w:r>
      <w:r w:rsidRPr="00174971">
        <w:rPr>
          <w:rFonts w:ascii="Verdana" w:hAnsi="Verdana"/>
          <w:sz w:val="18"/>
          <w:szCs w:val="18"/>
        </w:rPr>
        <w:t xml:space="preserve">35 mln. aan de begroting van IenM toegevoegd. </w:t>
      </w:r>
    </w:p>
    <w:p w:rsidRPr="00174971" w:rsidR="00315371" w:rsidP="000D477A" w:rsidRDefault="00315371">
      <w:pPr>
        <w:spacing w:line="276" w:lineRule="auto"/>
        <w:rPr>
          <w:rFonts w:ascii="Verdana" w:hAnsi="Verdana"/>
          <w:sz w:val="18"/>
          <w:szCs w:val="18"/>
        </w:rPr>
      </w:pPr>
    </w:p>
    <w:p w:rsidRPr="00AA2967" w:rsidR="00315371" w:rsidP="000D477A" w:rsidRDefault="00315371">
      <w:pPr>
        <w:spacing w:line="276" w:lineRule="auto"/>
        <w:rPr>
          <w:rFonts w:ascii="Verdana" w:hAnsi="Verdana"/>
          <w:sz w:val="18"/>
          <w:szCs w:val="18"/>
        </w:rPr>
      </w:pPr>
      <w:r w:rsidRPr="00174971">
        <w:rPr>
          <w:rFonts w:ascii="Verdana" w:hAnsi="Verdana"/>
          <w:i/>
          <w:sz w:val="18"/>
          <w:szCs w:val="18"/>
        </w:rPr>
        <w:t>HSA</w:t>
      </w:r>
      <w:r w:rsidRPr="00174971">
        <w:rPr>
          <w:rFonts w:ascii="Verdana" w:hAnsi="Verdana"/>
          <w:sz w:val="18"/>
          <w:szCs w:val="18"/>
        </w:rPr>
        <w:br/>
      </w:r>
      <w:r w:rsidRPr="00174971">
        <w:rPr>
          <w:rFonts w:ascii="Verdana" w:hAnsi="Verdana" w:cs="Arial"/>
          <w:color w:val="000000"/>
          <w:sz w:val="18"/>
          <w:szCs w:val="18"/>
        </w:rPr>
        <w:t xml:space="preserve">Bij voorjaarsnota 2011 was op de aanvullende post een voorziening getroffen van 375 mln. voor het oplossen van de </w:t>
      </w:r>
      <w:r w:rsidRPr="00174971">
        <w:rPr>
          <w:rFonts w:ascii="Verdana" w:hAnsi="Verdana" w:cs="Arial"/>
          <w:bCs/>
          <w:sz w:val="18"/>
          <w:szCs w:val="18"/>
        </w:rPr>
        <w:t xml:space="preserve">High Speed Alliance (HSA) </w:t>
      </w:r>
      <w:r w:rsidRPr="00174971">
        <w:rPr>
          <w:rFonts w:ascii="Verdana" w:hAnsi="Verdana" w:cs="Arial"/>
          <w:color w:val="000000"/>
          <w:sz w:val="18"/>
          <w:szCs w:val="18"/>
        </w:rPr>
        <w:t>problematiek. Hiervan was voor de periode 2012-2024 een bedrag van 209 mln. gereserveerd als bijdrage aan IenM. Nu er een akkoord is over de HSA-problematiek (onderhandelakkoord IenM-NS, 21-10-2011) is dit bedrag overgeboekt naar hoofdstuk XII (IenM).</w:t>
      </w:r>
      <w:r w:rsidRPr="00174971">
        <w:rPr>
          <w:rFonts w:ascii="Verdana" w:hAnsi="Verdana" w:cs="Arial"/>
          <w:color w:val="000000"/>
          <w:sz w:val="18"/>
          <w:szCs w:val="18"/>
        </w:rPr>
        <w:br/>
      </w:r>
    </w:p>
    <w:p w:rsidRPr="00AA2967" w:rsidR="00315371" w:rsidP="000D477A" w:rsidRDefault="00315371">
      <w:pPr>
        <w:spacing w:line="276" w:lineRule="auto"/>
        <w:rPr>
          <w:rFonts w:ascii="Verdana" w:hAnsi="Verdana"/>
          <w:i/>
          <w:iCs/>
          <w:sz w:val="18"/>
          <w:szCs w:val="18"/>
        </w:rPr>
      </w:pPr>
      <w:r w:rsidRPr="00AA2967">
        <w:rPr>
          <w:rFonts w:ascii="Verdana" w:hAnsi="Verdana"/>
          <w:i/>
          <w:iCs/>
          <w:sz w:val="18"/>
          <w:szCs w:val="18"/>
        </w:rPr>
        <w:t>Masterplan kantoorhuisvesting</w:t>
      </w:r>
    </w:p>
    <w:p w:rsidRPr="00AA2967" w:rsidR="00315371" w:rsidP="000D477A" w:rsidRDefault="00315371">
      <w:pPr>
        <w:spacing w:line="276" w:lineRule="auto"/>
        <w:rPr>
          <w:rFonts w:ascii="Verdana" w:hAnsi="Verdana"/>
          <w:sz w:val="18"/>
          <w:szCs w:val="18"/>
        </w:rPr>
      </w:pPr>
      <w:r w:rsidRPr="00AA2967">
        <w:rPr>
          <w:rFonts w:ascii="Verdana" w:hAnsi="Verdana"/>
          <w:sz w:val="18"/>
          <w:szCs w:val="18"/>
        </w:rPr>
        <w:t xml:space="preserve">Het krimpen en samengaan van de kantoorhuisvesting van de Rijksdienst in Den Haag leidt tot afstoot van panden. Het boekverlies dat </w:t>
      </w:r>
      <w:r>
        <w:rPr>
          <w:rFonts w:ascii="Verdana" w:hAnsi="Verdana"/>
          <w:sz w:val="18"/>
          <w:szCs w:val="18"/>
        </w:rPr>
        <w:t>bij enkele departementen</w:t>
      </w:r>
      <w:r w:rsidRPr="00AA2967">
        <w:rPr>
          <w:rFonts w:ascii="Verdana" w:hAnsi="Verdana"/>
          <w:sz w:val="18"/>
          <w:szCs w:val="18"/>
        </w:rPr>
        <w:t xml:space="preserve"> optreed</w:t>
      </w:r>
      <w:r>
        <w:rPr>
          <w:rFonts w:ascii="Verdana" w:hAnsi="Verdana"/>
          <w:sz w:val="18"/>
          <w:szCs w:val="18"/>
        </w:rPr>
        <w:t>t</w:t>
      </w:r>
      <w:r w:rsidRPr="00AA2967">
        <w:rPr>
          <w:rFonts w:ascii="Verdana" w:hAnsi="Verdana"/>
          <w:sz w:val="18"/>
          <w:szCs w:val="18"/>
        </w:rPr>
        <w:t xml:space="preserve"> wordt gecompenseerd door de overige departementen. </w:t>
      </w:r>
    </w:p>
    <w:p w:rsidR="00315371" w:rsidP="000D477A" w:rsidRDefault="00315371">
      <w:pPr>
        <w:spacing w:line="276" w:lineRule="auto"/>
        <w:rPr>
          <w:rFonts w:ascii="Verdana" w:hAnsi="Verdana"/>
          <w:i/>
          <w:sz w:val="18"/>
          <w:szCs w:val="18"/>
        </w:rPr>
      </w:pPr>
    </w:p>
    <w:p w:rsidRPr="00174971" w:rsidR="00315371" w:rsidP="000D477A" w:rsidRDefault="00315371">
      <w:pPr>
        <w:spacing w:line="276" w:lineRule="auto"/>
        <w:rPr>
          <w:rFonts w:ascii="Verdana" w:hAnsi="Verdana"/>
          <w:i/>
          <w:sz w:val="18"/>
          <w:szCs w:val="18"/>
        </w:rPr>
      </w:pPr>
      <w:r w:rsidRPr="00174971">
        <w:rPr>
          <w:rFonts w:ascii="Verdana" w:hAnsi="Verdana"/>
          <w:i/>
          <w:sz w:val="18"/>
          <w:szCs w:val="18"/>
        </w:rPr>
        <w:t>BTW hoofdvaarweg Lemmer-Delfzijl</w:t>
      </w:r>
    </w:p>
    <w:p w:rsidRPr="00174971" w:rsidR="00315371" w:rsidP="000D477A" w:rsidRDefault="00315371">
      <w:pPr>
        <w:spacing w:line="276" w:lineRule="auto"/>
        <w:rPr>
          <w:rFonts w:ascii="Verdana" w:hAnsi="Verdana"/>
          <w:sz w:val="18"/>
          <w:szCs w:val="18"/>
        </w:rPr>
      </w:pPr>
      <w:r w:rsidRPr="00174971">
        <w:rPr>
          <w:rFonts w:ascii="Verdana" w:hAnsi="Verdana"/>
          <w:sz w:val="18"/>
          <w:szCs w:val="18"/>
        </w:rPr>
        <w:t>Het eigendom van de hoofdvaarweg Lemmer-Delfzijl gaat over van de provincies Friesland en G</w:t>
      </w:r>
      <w:r>
        <w:rPr>
          <w:rFonts w:ascii="Verdana" w:hAnsi="Verdana"/>
          <w:sz w:val="18"/>
          <w:szCs w:val="18"/>
        </w:rPr>
        <w:t>roningen naar het R</w:t>
      </w:r>
      <w:r w:rsidRPr="00174971">
        <w:rPr>
          <w:rFonts w:ascii="Verdana" w:hAnsi="Verdana"/>
          <w:sz w:val="18"/>
          <w:szCs w:val="18"/>
        </w:rPr>
        <w:t xml:space="preserve">ijk. Als afronding van dit deel van het convenant moet BTW aan het BTW Compensatiefonds (BCF) worden onttrokken en aan de IenM-begroting worden toegevoegd. </w:t>
      </w:r>
    </w:p>
    <w:p w:rsidRPr="00174971" w:rsidR="00315371" w:rsidP="000D477A" w:rsidRDefault="00315371">
      <w:pPr>
        <w:spacing w:line="276" w:lineRule="auto"/>
        <w:rPr>
          <w:rFonts w:ascii="Verdana" w:hAnsi="Verdana"/>
          <w:sz w:val="18"/>
          <w:szCs w:val="18"/>
        </w:rPr>
      </w:pPr>
    </w:p>
    <w:p w:rsidRPr="00776F1C" w:rsidR="00315371" w:rsidP="000D477A" w:rsidRDefault="00315371">
      <w:pPr>
        <w:spacing w:line="276" w:lineRule="auto"/>
        <w:rPr>
          <w:rFonts w:ascii="Verdana" w:hAnsi="Verdana" w:cs="Courier New"/>
          <w:i/>
          <w:color w:val="000000"/>
          <w:sz w:val="18"/>
          <w:szCs w:val="18"/>
        </w:rPr>
      </w:pPr>
      <w:r w:rsidRPr="00776F1C">
        <w:rPr>
          <w:rFonts w:ascii="Verdana" w:hAnsi="Verdana" w:cs="Courier New"/>
          <w:i/>
          <w:color w:val="000000"/>
          <w:sz w:val="18"/>
          <w:szCs w:val="18"/>
        </w:rPr>
        <w:t>Correctie ontvangsten CO2 raming</w:t>
      </w:r>
    </w:p>
    <w:p w:rsidRPr="00174971" w:rsidR="00315371" w:rsidP="000D477A" w:rsidRDefault="00315371">
      <w:pPr>
        <w:spacing w:line="276" w:lineRule="auto"/>
        <w:rPr>
          <w:rFonts w:ascii="Verdana" w:hAnsi="Verdana"/>
          <w:sz w:val="18"/>
          <w:szCs w:val="18"/>
        </w:rPr>
      </w:pPr>
      <w:r w:rsidRPr="00F34652">
        <w:rPr>
          <w:rFonts w:ascii="Verdana" w:hAnsi="Verdana"/>
          <w:sz w:val="18"/>
          <w:szCs w:val="18"/>
        </w:rPr>
        <w:t>De marktprijs van CO2-rechten binnen het ETS (Europese emissiehandelssysteem) is  gehalveerd.</w:t>
      </w:r>
      <w:r w:rsidRPr="00174971">
        <w:rPr>
          <w:rFonts w:ascii="Verdana" w:hAnsi="Verdana" w:cs="TrebuchetMS"/>
          <w:sz w:val="18"/>
          <w:szCs w:val="18"/>
        </w:rPr>
        <w:t xml:space="preserve"> Hierom worden de ontvangsten uit de veiling van de CO2 rechten bijgesteld. </w:t>
      </w:r>
    </w:p>
    <w:p w:rsidRPr="00174971" w:rsidR="00315371" w:rsidP="000D477A" w:rsidRDefault="00315371">
      <w:pPr>
        <w:spacing w:line="276" w:lineRule="auto"/>
        <w:rPr>
          <w:rFonts w:ascii="Verdana" w:hAnsi="Verdana"/>
          <w:sz w:val="18"/>
          <w:szCs w:val="18"/>
        </w:rPr>
      </w:pPr>
      <w:r w:rsidRPr="00174971">
        <w:rPr>
          <w:rFonts w:ascii="Verdana" w:hAnsi="Verdana"/>
          <w:sz w:val="18"/>
          <w:szCs w:val="18"/>
        </w:rPr>
        <w:br/>
      </w: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AA2967" w:rsidRDefault="00315371">
      <w:pPr>
        <w:spacing w:line="240" w:lineRule="exact"/>
        <w:rPr>
          <w:szCs w:val="18"/>
        </w:rPr>
      </w:pPr>
    </w:p>
    <w:p w:rsidR="00315371" w:rsidP="00212995" w:rsidRDefault="00315371">
      <w:pPr>
        <w:spacing w:line="276" w:lineRule="auto"/>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174971" w:rsidRDefault="00315371">
      <w:pPr>
        <w:spacing w:line="240" w:lineRule="exact"/>
        <w:rPr>
          <w:szCs w:val="18"/>
        </w:rPr>
      </w:pPr>
    </w:p>
    <w:p w:rsidR="00315371" w:rsidP="00AA2967" w:rsidRDefault="00315371">
      <w:pPr>
        <w:spacing w:line="276" w:lineRule="auto"/>
        <w:rPr>
          <w:rFonts w:ascii="Verdana" w:hAnsi="Verdana"/>
          <w:b/>
          <w:sz w:val="18"/>
          <w:szCs w:val="18"/>
        </w:rPr>
      </w:pPr>
      <w:r>
        <w:rPr>
          <w:rFonts w:ascii="Verdana" w:hAnsi="Verdana"/>
          <w:b/>
          <w:sz w:val="18"/>
          <w:szCs w:val="18"/>
        </w:rPr>
        <w:br w:type="page"/>
        <w:t>Economische Zaken Landbouw en Innovatie</w:t>
      </w:r>
    </w:p>
    <w:tbl>
      <w:tblPr>
        <w:tblW w:w="5000" w:type="pct"/>
        <w:tblCellMar>
          <w:top w:w="15" w:type="dxa"/>
          <w:left w:w="15" w:type="dxa"/>
          <w:bottom w:w="15" w:type="dxa"/>
          <w:right w:w="15" w:type="dxa"/>
        </w:tblCellMar>
        <w:tblLook w:val="00A0"/>
      </w:tblPr>
      <w:tblGrid>
        <w:gridCol w:w="5659"/>
        <w:gridCol w:w="670"/>
        <w:gridCol w:w="670"/>
        <w:gridCol w:w="670"/>
        <w:gridCol w:w="670"/>
        <w:gridCol w:w="674"/>
        <w:gridCol w:w="89"/>
      </w:tblGrid>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XIII ECONOMISCHE ZAKEN, LANDBOUW EN INNOVATIE: UITGAVEN</w:t>
            </w:r>
          </w:p>
        </w:tc>
        <w:tc>
          <w:tcPr>
            <w:tcW w:w="1842" w:type="pct"/>
            <w:gridSpan w:val="5"/>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bedragen in miljoenen euro's</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p>
        </w:tc>
        <w:tc>
          <w:tcPr>
            <w:tcW w:w="368"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2012</w:t>
            </w:r>
          </w:p>
        </w:tc>
        <w:tc>
          <w:tcPr>
            <w:tcW w:w="368"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2013</w:t>
            </w:r>
          </w:p>
        </w:tc>
        <w:tc>
          <w:tcPr>
            <w:tcW w:w="368"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2014</w:t>
            </w:r>
          </w:p>
        </w:tc>
        <w:tc>
          <w:tcPr>
            <w:tcW w:w="368"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2015</w:t>
            </w:r>
          </w:p>
        </w:tc>
        <w:tc>
          <w:tcPr>
            <w:tcW w:w="368"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2016</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Stand Miljoenennota 2012 (excl. IS)</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5.174,1</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4.920,8</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4.591,5</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4.457,2</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4.292,8</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Beleidsmatige mutaties</w:t>
            </w: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144" w:type="dxa"/>
              <w:bottom w:w="15" w:type="dxa"/>
              <w:right w:w="15" w:type="dxa"/>
            </w:tcMar>
          </w:tcPr>
          <w:p w:rsidRPr="00612354" w:rsidR="00315371" w:rsidP="00612354" w:rsidRDefault="00315371">
            <w:pPr>
              <w:ind w:firstLine="160" w:firstLineChars="100"/>
              <w:rPr>
                <w:rFonts w:ascii="Verdana" w:hAnsi="Verdana" w:cs="Courier New"/>
                <w:sz w:val="16"/>
                <w:szCs w:val="16"/>
              </w:rPr>
            </w:pPr>
            <w:r w:rsidRPr="00612354">
              <w:rPr>
                <w:rFonts w:ascii="Verdana" w:hAnsi="Verdana" w:cs="Courier New"/>
                <w:sz w:val="16"/>
                <w:szCs w:val="16"/>
              </w:rPr>
              <w:t>Rijksbegroting in enge zin</w:t>
            </w: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 xml:space="preserve">Aanpassing raming </w:t>
            </w:r>
            <w:r>
              <w:rPr>
                <w:rFonts w:ascii="Verdana" w:hAnsi="Verdana" w:cs="Courier New"/>
                <w:sz w:val="16"/>
                <w:szCs w:val="16"/>
              </w:rPr>
              <w:t>BMKB</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Eindejaarsmarge</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15,1</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Kredietregeling innovatiesubsidie samenwerkingsprojecten</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14,6</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17,4</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20,3</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20,3</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20,3</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Meev</w:t>
            </w:r>
            <w:r>
              <w:rPr>
                <w:rFonts w:ascii="Verdana" w:hAnsi="Verdana" w:cs="Courier New"/>
                <w:sz w:val="16"/>
                <w:szCs w:val="16"/>
              </w:rPr>
              <w:t>allers MEP/SDE</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-56,8</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-12,3</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271CB7" w:rsidRDefault="00315371">
            <w:pPr>
              <w:ind w:firstLine="320" w:firstLineChars="200"/>
              <w:rPr>
                <w:rFonts w:ascii="Verdana" w:hAnsi="Verdana" w:cs="Courier New"/>
                <w:sz w:val="16"/>
                <w:szCs w:val="16"/>
              </w:rPr>
            </w:pPr>
            <w:r w:rsidRPr="00612354">
              <w:rPr>
                <w:rFonts w:ascii="Verdana" w:hAnsi="Verdana" w:cs="Courier New"/>
                <w:sz w:val="16"/>
                <w:szCs w:val="16"/>
              </w:rPr>
              <w:t>Radioactief materiaal</w:t>
            </w:r>
            <w:r>
              <w:rPr>
                <w:rFonts w:ascii="Verdana" w:hAnsi="Verdana" w:cs="Courier New"/>
                <w:sz w:val="16"/>
                <w:szCs w:val="16"/>
              </w:rPr>
              <w:t xml:space="preserve"> ECN</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25,0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Diversen</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37,5</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-0,3</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-0,5</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-1,3</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75,4</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17,4</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20,0</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19,8</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6,7</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Technische mutaties</w:t>
            </w: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144" w:type="dxa"/>
              <w:bottom w:w="15" w:type="dxa"/>
              <w:right w:w="15" w:type="dxa"/>
            </w:tcMar>
          </w:tcPr>
          <w:p w:rsidRPr="00612354" w:rsidR="00315371" w:rsidP="00612354" w:rsidRDefault="00315371">
            <w:pPr>
              <w:ind w:firstLine="160" w:firstLineChars="100"/>
              <w:rPr>
                <w:rFonts w:ascii="Verdana" w:hAnsi="Verdana" w:cs="Courier New"/>
                <w:sz w:val="16"/>
                <w:szCs w:val="16"/>
              </w:rPr>
            </w:pPr>
            <w:r w:rsidRPr="00612354">
              <w:rPr>
                <w:rFonts w:ascii="Verdana" w:hAnsi="Verdana" w:cs="Courier New"/>
                <w:sz w:val="16"/>
                <w:szCs w:val="16"/>
              </w:rPr>
              <w:t>Rijksbegroting in enge zin</w:t>
            </w: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Diversen</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26,8</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18,2</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12,6</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13,5</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6,2</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144" w:type="dxa"/>
              <w:bottom w:w="15" w:type="dxa"/>
              <w:right w:w="15" w:type="dxa"/>
            </w:tcMar>
          </w:tcPr>
          <w:p w:rsidRPr="00612354" w:rsidR="00315371" w:rsidP="00612354" w:rsidRDefault="00315371">
            <w:pPr>
              <w:ind w:firstLine="160" w:firstLineChars="100"/>
              <w:rPr>
                <w:rFonts w:ascii="Verdana" w:hAnsi="Verdana" w:cs="Courier New"/>
                <w:sz w:val="16"/>
                <w:szCs w:val="16"/>
              </w:rPr>
            </w:pPr>
            <w:r w:rsidRPr="00612354">
              <w:rPr>
                <w:rFonts w:ascii="Verdana" w:hAnsi="Verdana" w:cs="Courier New"/>
                <w:sz w:val="16"/>
                <w:szCs w:val="16"/>
              </w:rPr>
              <w:t>Niet tot een ijklijn behorend</w:t>
            </w: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Diversen</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-3,2</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-17,4</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-20,3</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-20,3</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-20,3</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23,6</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0,8</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-7,7</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-6,8</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-14,1</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p>
        </w:tc>
        <w:tc>
          <w:tcPr>
            <w:tcW w:w="368" w:type="pct"/>
            <w:vAlign w:val="center"/>
          </w:tcPr>
          <w:p w:rsidRPr="00612354" w:rsidR="00315371" w:rsidP="007C26C8" w:rsidRDefault="00315371">
            <w:pPr>
              <w:rPr>
                <w:rFonts w:ascii="Verdana" w:hAnsi="Verdana"/>
                <w:sz w:val="16"/>
                <w:szCs w:val="16"/>
              </w:rPr>
            </w:pPr>
          </w:p>
        </w:tc>
        <w:tc>
          <w:tcPr>
            <w:tcW w:w="368" w:type="pct"/>
            <w:vAlign w:val="center"/>
          </w:tcPr>
          <w:p w:rsidRPr="00612354" w:rsidR="00315371" w:rsidP="007C26C8" w:rsidRDefault="00315371">
            <w:pPr>
              <w:rPr>
                <w:rFonts w:ascii="Verdana" w:hAnsi="Verdana"/>
                <w:sz w:val="16"/>
                <w:szCs w:val="16"/>
              </w:rPr>
            </w:pPr>
          </w:p>
        </w:tc>
        <w:tc>
          <w:tcPr>
            <w:tcW w:w="368" w:type="pct"/>
            <w:vAlign w:val="center"/>
          </w:tcPr>
          <w:p w:rsidRPr="00612354" w:rsidR="00315371" w:rsidP="007C26C8" w:rsidRDefault="00315371">
            <w:pPr>
              <w:rPr>
                <w:rFonts w:ascii="Verdana" w:hAnsi="Verdana"/>
                <w:sz w:val="16"/>
                <w:szCs w:val="16"/>
              </w:rPr>
            </w:pPr>
          </w:p>
        </w:tc>
        <w:tc>
          <w:tcPr>
            <w:tcW w:w="368" w:type="pct"/>
            <w:vAlign w:val="center"/>
          </w:tcPr>
          <w:p w:rsidRPr="00612354" w:rsidR="00315371" w:rsidP="007C26C8" w:rsidRDefault="00315371">
            <w:pPr>
              <w:rPr>
                <w:rFonts w:ascii="Verdana" w:hAnsi="Verdana"/>
                <w:sz w:val="16"/>
                <w:szCs w:val="16"/>
              </w:rPr>
            </w:pPr>
          </w:p>
        </w:tc>
        <w:tc>
          <w:tcPr>
            <w:tcW w:w="368" w:type="pct"/>
            <w:vAlign w:val="center"/>
          </w:tcPr>
          <w:p w:rsidRPr="00612354" w:rsidR="00315371" w:rsidP="007C26C8" w:rsidRDefault="00315371">
            <w:pPr>
              <w:rPr>
                <w:rFonts w:ascii="Verdana" w:hAnsi="Verdana"/>
                <w:sz w:val="16"/>
                <w:szCs w:val="16"/>
              </w:rPr>
            </w:pPr>
          </w:p>
        </w:tc>
        <w:tc>
          <w:tcPr>
            <w:tcW w:w="49" w:type="pct"/>
            <w:vAlign w:val="center"/>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Totaal mutaties sinds Miljoenennota 2012</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99,0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18,2</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12,3</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13,0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-7,4</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368" w:type="pct"/>
          </w:tcPr>
          <w:p w:rsidRPr="00612354" w:rsidR="00315371" w:rsidP="007C26C8" w:rsidRDefault="00315371">
            <w:pPr>
              <w:rPr>
                <w:rFonts w:ascii="Verdana" w:hAnsi="Verdana"/>
                <w:sz w:val="16"/>
                <w:szCs w:val="16"/>
              </w:rPr>
            </w:pP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Stand Voorjaarsnota 2012 (subtotaal)</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5.273,1</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4.939,0</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4.603,8</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4.470,2</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4.285,4</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Totaal Internationale samenwerking</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204,0</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178,7</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135,5</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116,3</w:t>
            </w:r>
          </w:p>
        </w:tc>
        <w:tc>
          <w:tcPr>
            <w:tcW w:w="368"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112,0</w:t>
            </w:r>
          </w:p>
        </w:tc>
        <w:tc>
          <w:tcPr>
            <w:tcW w:w="49" w:type="pct"/>
          </w:tcPr>
          <w:p w:rsidRPr="00612354" w:rsidR="00315371" w:rsidP="007C26C8" w:rsidRDefault="00315371">
            <w:pPr>
              <w:rPr>
                <w:rFonts w:ascii="Verdana" w:hAnsi="Verdana"/>
                <w:sz w:val="16"/>
                <w:szCs w:val="16"/>
              </w:rPr>
            </w:pPr>
          </w:p>
        </w:tc>
      </w:tr>
      <w:tr w:rsidRPr="00612354" w:rsidR="00315371" w:rsidTr="00612354">
        <w:tc>
          <w:tcPr>
            <w:tcW w:w="3109"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Stand Voorjaarsnota 2012</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5.477,1</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5.117,7</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4.739,4</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4.586,5</w:t>
            </w:r>
          </w:p>
        </w:tc>
        <w:tc>
          <w:tcPr>
            <w:tcW w:w="368"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4.397,4</w:t>
            </w:r>
          </w:p>
        </w:tc>
        <w:tc>
          <w:tcPr>
            <w:tcW w:w="49" w:type="pct"/>
          </w:tcPr>
          <w:p w:rsidRPr="00612354" w:rsidR="00315371" w:rsidP="007C26C8" w:rsidRDefault="00315371">
            <w:pPr>
              <w:rPr>
                <w:rFonts w:ascii="Verdana" w:hAnsi="Verdana"/>
                <w:sz w:val="16"/>
                <w:szCs w:val="16"/>
              </w:rPr>
            </w:pPr>
          </w:p>
        </w:tc>
      </w:tr>
    </w:tbl>
    <w:p w:rsidR="00315371" w:rsidP="00E12684" w:rsidRDefault="00315371">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0A0"/>
      </w:tblPr>
      <w:tblGrid>
        <w:gridCol w:w="5230"/>
        <w:gridCol w:w="757"/>
        <w:gridCol w:w="757"/>
        <w:gridCol w:w="757"/>
        <w:gridCol w:w="757"/>
        <w:gridCol w:w="757"/>
        <w:gridCol w:w="87"/>
      </w:tblGrid>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16"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16"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16"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16"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16"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8"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XIII ECONOMISCHE ZAKEN, LANDBOUW EN INNOVATIE: NIET-BELASTINGONTVANGSTEN</w:t>
            </w:r>
          </w:p>
        </w:tc>
        <w:tc>
          <w:tcPr>
            <w:tcW w:w="2079" w:type="pct"/>
            <w:gridSpan w:val="5"/>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bedragen in miljoenen euro's</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p>
        </w:tc>
        <w:tc>
          <w:tcPr>
            <w:tcW w:w="416"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2012</w:t>
            </w:r>
          </w:p>
        </w:tc>
        <w:tc>
          <w:tcPr>
            <w:tcW w:w="416"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2013</w:t>
            </w:r>
          </w:p>
        </w:tc>
        <w:tc>
          <w:tcPr>
            <w:tcW w:w="416"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2014</w:t>
            </w:r>
          </w:p>
        </w:tc>
        <w:tc>
          <w:tcPr>
            <w:tcW w:w="416"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2015</w:t>
            </w:r>
          </w:p>
        </w:tc>
        <w:tc>
          <w:tcPr>
            <w:tcW w:w="416" w:type="pct"/>
            <w:tcBorders>
              <w:top w:val="single" w:color="000000" w:sz="4" w:space="0"/>
              <w:left w:val="nil"/>
              <w:bottom w:val="single" w:color="000000" w:sz="4" w:space="0"/>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2016</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Stand Miljoenennota 2012 (excl. IS)</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12.920,8</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11.649,8</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10.131,4</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9.838,9</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9.726,8</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Technische mutaties</w:t>
            </w: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Mar>
              <w:top w:w="15" w:type="dxa"/>
              <w:left w:w="144" w:type="dxa"/>
              <w:bottom w:w="15" w:type="dxa"/>
              <w:right w:w="15" w:type="dxa"/>
            </w:tcMar>
          </w:tcPr>
          <w:p w:rsidRPr="00612354" w:rsidR="00315371" w:rsidP="00612354" w:rsidRDefault="00315371">
            <w:pPr>
              <w:ind w:firstLine="160" w:firstLineChars="100"/>
              <w:rPr>
                <w:rFonts w:ascii="Verdana" w:hAnsi="Verdana" w:cs="Courier New"/>
                <w:sz w:val="16"/>
                <w:szCs w:val="16"/>
              </w:rPr>
            </w:pPr>
            <w:r w:rsidRPr="00612354">
              <w:rPr>
                <w:rFonts w:ascii="Verdana" w:hAnsi="Verdana" w:cs="Courier New"/>
                <w:sz w:val="16"/>
                <w:szCs w:val="16"/>
              </w:rPr>
              <w:t>Rijksbegroting in enge zin</w:t>
            </w: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Diversen</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7,2</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1,1</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0,7</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0,6</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0,6</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Mar>
              <w:top w:w="15" w:type="dxa"/>
              <w:left w:w="144" w:type="dxa"/>
              <w:bottom w:w="15" w:type="dxa"/>
              <w:right w:w="15" w:type="dxa"/>
            </w:tcMar>
          </w:tcPr>
          <w:p w:rsidRPr="00612354" w:rsidR="00315371" w:rsidP="00612354" w:rsidRDefault="00315371">
            <w:pPr>
              <w:ind w:firstLine="160" w:firstLineChars="100"/>
              <w:rPr>
                <w:rFonts w:ascii="Verdana" w:hAnsi="Verdana" w:cs="Courier New"/>
                <w:sz w:val="16"/>
                <w:szCs w:val="16"/>
              </w:rPr>
            </w:pPr>
            <w:r w:rsidRPr="00612354">
              <w:rPr>
                <w:rFonts w:ascii="Verdana" w:hAnsi="Verdana" w:cs="Courier New"/>
                <w:sz w:val="16"/>
                <w:szCs w:val="16"/>
              </w:rPr>
              <w:t>Niet tot een ijklijn behorend</w:t>
            </w: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Aardgasbaten</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-350,0</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1.450,0</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2.450,0</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2.350,0</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1.850,0</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Mar>
              <w:top w:w="15" w:type="dxa"/>
              <w:left w:w="288" w:type="dxa"/>
              <w:bottom w:w="15" w:type="dxa"/>
              <w:right w:w="15" w:type="dxa"/>
            </w:tcMar>
          </w:tcPr>
          <w:p w:rsidRPr="00612354" w:rsidR="00315371" w:rsidP="00612354" w:rsidRDefault="00315371">
            <w:pPr>
              <w:ind w:firstLine="320" w:firstLineChars="200"/>
              <w:rPr>
                <w:rFonts w:ascii="Verdana" w:hAnsi="Verdana" w:cs="Courier New"/>
                <w:sz w:val="16"/>
                <w:szCs w:val="16"/>
              </w:rPr>
            </w:pPr>
            <w:r w:rsidRPr="00612354">
              <w:rPr>
                <w:rFonts w:ascii="Verdana" w:hAnsi="Verdana" w:cs="Courier New"/>
                <w:sz w:val="16"/>
                <w:szCs w:val="16"/>
              </w:rPr>
              <w:t>Diversen</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-3,4</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16,6</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16,6</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16,6</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12,1</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-346,2</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1.467,7</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2.467,3</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2.367,2</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1.862,7</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p>
        </w:tc>
        <w:tc>
          <w:tcPr>
            <w:tcW w:w="416" w:type="pct"/>
            <w:vAlign w:val="center"/>
          </w:tcPr>
          <w:p w:rsidRPr="00612354" w:rsidR="00315371" w:rsidP="007C26C8" w:rsidRDefault="00315371">
            <w:pPr>
              <w:rPr>
                <w:rFonts w:ascii="Verdana" w:hAnsi="Verdana"/>
                <w:sz w:val="16"/>
                <w:szCs w:val="16"/>
              </w:rPr>
            </w:pPr>
          </w:p>
        </w:tc>
        <w:tc>
          <w:tcPr>
            <w:tcW w:w="416" w:type="pct"/>
            <w:vAlign w:val="center"/>
          </w:tcPr>
          <w:p w:rsidRPr="00612354" w:rsidR="00315371" w:rsidP="007C26C8" w:rsidRDefault="00315371">
            <w:pPr>
              <w:rPr>
                <w:rFonts w:ascii="Verdana" w:hAnsi="Verdana"/>
                <w:sz w:val="16"/>
                <w:szCs w:val="16"/>
              </w:rPr>
            </w:pPr>
          </w:p>
        </w:tc>
        <w:tc>
          <w:tcPr>
            <w:tcW w:w="416" w:type="pct"/>
            <w:vAlign w:val="center"/>
          </w:tcPr>
          <w:p w:rsidRPr="00612354" w:rsidR="00315371" w:rsidP="007C26C8" w:rsidRDefault="00315371">
            <w:pPr>
              <w:rPr>
                <w:rFonts w:ascii="Verdana" w:hAnsi="Verdana"/>
                <w:sz w:val="16"/>
                <w:szCs w:val="16"/>
              </w:rPr>
            </w:pPr>
          </w:p>
        </w:tc>
        <w:tc>
          <w:tcPr>
            <w:tcW w:w="416" w:type="pct"/>
            <w:vAlign w:val="center"/>
          </w:tcPr>
          <w:p w:rsidRPr="00612354" w:rsidR="00315371" w:rsidP="007C26C8" w:rsidRDefault="00315371">
            <w:pPr>
              <w:rPr>
                <w:rFonts w:ascii="Verdana" w:hAnsi="Verdana"/>
                <w:sz w:val="16"/>
                <w:szCs w:val="16"/>
              </w:rPr>
            </w:pPr>
          </w:p>
        </w:tc>
        <w:tc>
          <w:tcPr>
            <w:tcW w:w="416" w:type="pct"/>
            <w:vAlign w:val="center"/>
          </w:tcPr>
          <w:p w:rsidRPr="00612354" w:rsidR="00315371" w:rsidP="007C26C8" w:rsidRDefault="00315371">
            <w:pPr>
              <w:rPr>
                <w:rFonts w:ascii="Verdana" w:hAnsi="Verdana"/>
                <w:sz w:val="16"/>
                <w:szCs w:val="16"/>
              </w:rPr>
            </w:pPr>
          </w:p>
        </w:tc>
        <w:tc>
          <w:tcPr>
            <w:tcW w:w="48" w:type="pct"/>
            <w:vAlign w:val="center"/>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Totaal mutaties sinds Miljoenennota 2012</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-346,2</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1.467,7</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2.467,3</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2.367,2</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1.862,7</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 </w:t>
            </w: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16" w:type="pct"/>
          </w:tcPr>
          <w:p w:rsidRPr="00612354" w:rsidR="00315371" w:rsidP="007C26C8" w:rsidRDefault="00315371">
            <w:pPr>
              <w:rPr>
                <w:rFonts w:ascii="Verdana" w:hAnsi="Verdana"/>
                <w:sz w:val="16"/>
                <w:szCs w:val="16"/>
              </w:rPr>
            </w:pP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Stand Voorjaarsnota 2012 (subtotaal)</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12.574,6</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13.117,5</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12.598,6</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12.206,1</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11.589,5</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Totaal Internationale samenwerking</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8,5</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14,3</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9,3</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5,2</w:t>
            </w:r>
          </w:p>
        </w:tc>
        <w:tc>
          <w:tcPr>
            <w:tcW w:w="416" w:type="pct"/>
            <w:tcBorders>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1,8</w:t>
            </w:r>
          </w:p>
        </w:tc>
        <w:tc>
          <w:tcPr>
            <w:tcW w:w="48" w:type="pct"/>
          </w:tcPr>
          <w:p w:rsidRPr="00612354" w:rsidR="00315371" w:rsidP="007C26C8" w:rsidRDefault="00315371">
            <w:pPr>
              <w:rPr>
                <w:rFonts w:ascii="Verdana" w:hAnsi="Verdana"/>
                <w:sz w:val="16"/>
                <w:szCs w:val="16"/>
              </w:rPr>
            </w:pPr>
          </w:p>
        </w:tc>
      </w:tr>
      <w:tr w:rsidRPr="00612354" w:rsidR="00315371" w:rsidTr="00612354">
        <w:tc>
          <w:tcPr>
            <w:tcW w:w="2873" w:type="pct"/>
            <w:tcBorders>
              <w:left w:val="nil"/>
              <w:right w:val="nil"/>
            </w:tcBorders>
          </w:tcPr>
          <w:p w:rsidRPr="00612354" w:rsidR="00315371" w:rsidP="007C26C8" w:rsidRDefault="00315371">
            <w:pPr>
              <w:rPr>
                <w:rFonts w:ascii="Verdana" w:hAnsi="Verdana" w:cs="Courier New"/>
                <w:sz w:val="16"/>
                <w:szCs w:val="16"/>
              </w:rPr>
            </w:pPr>
            <w:r w:rsidRPr="00612354">
              <w:rPr>
                <w:rFonts w:ascii="Verdana" w:hAnsi="Verdana" w:cs="Courier New"/>
                <w:sz w:val="16"/>
                <w:szCs w:val="16"/>
              </w:rPr>
              <w:t>Stand Voorjaarsnota 2012</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12.583,0</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13.131,8</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12.608,0</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12.211,3</w:t>
            </w:r>
          </w:p>
        </w:tc>
        <w:tc>
          <w:tcPr>
            <w:tcW w:w="416" w:type="pct"/>
            <w:tcBorders>
              <w:top w:val="single" w:color="000000" w:sz="4" w:space="0"/>
              <w:left w:val="nil"/>
              <w:right w:val="nil"/>
            </w:tcBorders>
          </w:tcPr>
          <w:p w:rsidRPr="00612354" w:rsidR="00315371" w:rsidP="007C26C8" w:rsidRDefault="00315371">
            <w:pPr>
              <w:jc w:val="right"/>
              <w:rPr>
                <w:rFonts w:ascii="Verdana" w:hAnsi="Verdana" w:cs="Courier New"/>
                <w:sz w:val="16"/>
                <w:szCs w:val="16"/>
              </w:rPr>
            </w:pPr>
            <w:r w:rsidRPr="00612354">
              <w:rPr>
                <w:rFonts w:ascii="Verdana" w:hAnsi="Verdana" w:cs="Courier New"/>
                <w:sz w:val="16"/>
                <w:szCs w:val="16"/>
              </w:rPr>
              <w:t>11.591,3</w:t>
            </w:r>
          </w:p>
        </w:tc>
        <w:tc>
          <w:tcPr>
            <w:tcW w:w="48" w:type="pct"/>
          </w:tcPr>
          <w:p w:rsidRPr="00612354" w:rsidR="00315371" w:rsidP="007C26C8" w:rsidRDefault="00315371">
            <w:pPr>
              <w:rPr>
                <w:rFonts w:ascii="Verdana" w:hAnsi="Verdana"/>
                <w:sz w:val="16"/>
                <w:szCs w:val="16"/>
              </w:rPr>
            </w:pPr>
          </w:p>
        </w:tc>
      </w:tr>
    </w:tbl>
    <w:p w:rsidR="00315371" w:rsidP="00212995" w:rsidRDefault="00315371">
      <w:pPr>
        <w:spacing w:line="276" w:lineRule="auto"/>
        <w:rPr>
          <w:rFonts w:ascii="Verdana" w:hAnsi="Verdana"/>
          <w:i/>
          <w:sz w:val="18"/>
          <w:szCs w:val="18"/>
        </w:rPr>
      </w:pPr>
    </w:p>
    <w:p w:rsidRPr="00510B35" w:rsidR="00315371" w:rsidP="00212995" w:rsidRDefault="00315371">
      <w:pPr>
        <w:spacing w:line="276" w:lineRule="auto"/>
        <w:rPr>
          <w:rFonts w:ascii="Verdana" w:hAnsi="Verdana"/>
          <w:i/>
          <w:sz w:val="18"/>
          <w:szCs w:val="18"/>
        </w:rPr>
      </w:pPr>
      <w:r w:rsidRPr="00510B35">
        <w:rPr>
          <w:rFonts w:ascii="Verdana" w:hAnsi="Verdana"/>
          <w:i/>
          <w:sz w:val="18"/>
          <w:szCs w:val="18"/>
        </w:rPr>
        <w:t>Aanpassing raming BMKB</w:t>
      </w:r>
    </w:p>
    <w:p w:rsidRPr="00510B35" w:rsidR="00315371" w:rsidP="00212995" w:rsidRDefault="00315371">
      <w:pPr>
        <w:spacing w:line="276" w:lineRule="auto"/>
        <w:rPr>
          <w:rFonts w:ascii="Verdana" w:hAnsi="Verdana"/>
          <w:sz w:val="18"/>
          <w:szCs w:val="18"/>
        </w:rPr>
      </w:pPr>
      <w:r w:rsidRPr="00510B35">
        <w:rPr>
          <w:rFonts w:ascii="Verdana" w:hAnsi="Verdana"/>
          <w:sz w:val="18"/>
          <w:szCs w:val="18"/>
        </w:rPr>
        <w:t>De raming voor schade-uitgaven van BMKB wordt, omdat als gevolg van het economische klimaat ook in 2012 meer schadedeclaraties worden verwacht dan geraamd</w:t>
      </w:r>
      <w:r>
        <w:rPr>
          <w:rFonts w:ascii="Verdana" w:hAnsi="Verdana"/>
          <w:sz w:val="18"/>
          <w:szCs w:val="18"/>
        </w:rPr>
        <w:t xml:space="preserve">, </w:t>
      </w:r>
      <w:r w:rsidRPr="00510B35">
        <w:rPr>
          <w:rFonts w:ascii="Verdana" w:hAnsi="Verdana"/>
          <w:sz w:val="18"/>
          <w:szCs w:val="18"/>
        </w:rPr>
        <w:t>met 40 mln.</w:t>
      </w:r>
      <w:r>
        <w:rPr>
          <w:rFonts w:ascii="Verdana" w:hAnsi="Verdana"/>
          <w:sz w:val="18"/>
          <w:szCs w:val="18"/>
        </w:rPr>
        <w:t xml:space="preserve"> </w:t>
      </w:r>
      <w:r w:rsidRPr="00510B35">
        <w:rPr>
          <w:rFonts w:ascii="Verdana" w:hAnsi="Verdana"/>
          <w:sz w:val="18"/>
          <w:szCs w:val="18"/>
        </w:rPr>
        <w:t>verhoogd.</w:t>
      </w:r>
    </w:p>
    <w:p w:rsidR="00315371" w:rsidP="00212995" w:rsidRDefault="00315371">
      <w:pPr>
        <w:spacing w:line="276" w:lineRule="auto"/>
        <w:rPr>
          <w:rFonts w:ascii="Verdana" w:hAnsi="Verdana"/>
          <w:sz w:val="18"/>
          <w:szCs w:val="18"/>
        </w:rPr>
      </w:pPr>
    </w:p>
    <w:p w:rsidRPr="00510B35" w:rsidR="00315371" w:rsidP="00212995" w:rsidRDefault="00315371">
      <w:pPr>
        <w:spacing w:line="276" w:lineRule="auto"/>
        <w:rPr>
          <w:rFonts w:ascii="Verdana" w:hAnsi="Verdana"/>
          <w:i/>
          <w:sz w:val="18"/>
          <w:szCs w:val="18"/>
        </w:rPr>
      </w:pPr>
      <w:r w:rsidRPr="00510B35">
        <w:rPr>
          <w:rFonts w:ascii="Verdana" w:hAnsi="Verdana"/>
          <w:i/>
          <w:sz w:val="18"/>
          <w:szCs w:val="18"/>
        </w:rPr>
        <w:t>Eindejaarsmarge</w:t>
      </w:r>
    </w:p>
    <w:p w:rsidRPr="003A358B" w:rsidR="00315371" w:rsidP="00212995" w:rsidRDefault="00315371">
      <w:pPr>
        <w:autoSpaceDE w:val="0"/>
        <w:autoSpaceDN w:val="0"/>
        <w:adjustRightInd w:val="0"/>
        <w:spacing w:line="276" w:lineRule="auto"/>
        <w:rPr>
          <w:rFonts w:ascii="Verdana" w:hAnsi="Verdana"/>
          <w:sz w:val="18"/>
          <w:szCs w:val="18"/>
        </w:rPr>
      </w:pPr>
      <w:r w:rsidRPr="00030E53">
        <w:rPr>
          <w:rFonts w:ascii="Verdana" w:hAnsi="Verdana"/>
          <w:sz w:val="18"/>
          <w:szCs w:val="18"/>
        </w:rPr>
        <w:t>De eindejaarsmarge wordt ingezet voor overlopende verplichtingen voor de Pilot Facility Delft (7 mln</w:t>
      </w:r>
      <w:r>
        <w:rPr>
          <w:rFonts w:ascii="Verdana" w:hAnsi="Verdana"/>
          <w:sz w:val="18"/>
          <w:szCs w:val="18"/>
        </w:rPr>
        <w:t>.</w:t>
      </w:r>
      <w:r w:rsidRPr="00030E53">
        <w:rPr>
          <w:rFonts w:ascii="Verdana" w:hAnsi="Verdana"/>
          <w:sz w:val="18"/>
          <w:szCs w:val="18"/>
        </w:rPr>
        <w:t>) en voor het Nota-Ruimte project Zuidas Haarlemmermeer (8,1 mln</w:t>
      </w:r>
      <w:r>
        <w:rPr>
          <w:rFonts w:ascii="Verdana" w:hAnsi="Verdana"/>
          <w:sz w:val="18"/>
          <w:szCs w:val="18"/>
        </w:rPr>
        <w:t>.</w:t>
      </w:r>
      <w:r w:rsidRPr="00030E53">
        <w:rPr>
          <w:rFonts w:ascii="Verdana" w:hAnsi="Verdana"/>
          <w:sz w:val="18"/>
          <w:szCs w:val="18"/>
        </w:rPr>
        <w:t xml:space="preserve">). </w:t>
      </w:r>
      <w:r w:rsidRPr="003A358B">
        <w:rPr>
          <w:rFonts w:ascii="Verdana" w:hAnsi="Verdana" w:cs="Arial"/>
          <w:sz w:val="18"/>
          <w:szCs w:val="18"/>
        </w:rPr>
        <w:t>De Pilot Facility</w:t>
      </w:r>
      <w:r>
        <w:rPr>
          <w:rFonts w:ascii="Verdana" w:hAnsi="Verdana" w:cs="Arial"/>
          <w:sz w:val="18"/>
          <w:szCs w:val="18"/>
        </w:rPr>
        <w:t xml:space="preserve"> Delft</w:t>
      </w:r>
      <w:r w:rsidRPr="003A358B">
        <w:rPr>
          <w:rFonts w:ascii="Verdana" w:hAnsi="Verdana" w:cs="Arial"/>
          <w:sz w:val="18"/>
          <w:szCs w:val="18"/>
        </w:rPr>
        <w:t xml:space="preserve"> is een samenwerkingsverband tussen DSM, Purac en TU Delft. In deze faciliteit kunnen ondernemingen en organisaties proeven uitvoeren met de productie van biogebaseerde grondstoffen, die bijvoorbeeld gebruikt kunnen worden bij de fabricage van biobrandstoffen</w:t>
      </w:r>
      <w:r>
        <w:rPr>
          <w:rFonts w:ascii="Verdana" w:hAnsi="Verdana" w:cs="Arial"/>
          <w:sz w:val="18"/>
          <w:szCs w:val="18"/>
        </w:rPr>
        <w:t>.</w:t>
      </w:r>
    </w:p>
    <w:p w:rsidRPr="003A358B" w:rsidR="00315371" w:rsidP="00212995" w:rsidRDefault="00315371">
      <w:pPr>
        <w:pStyle w:val="NoSpacing"/>
        <w:spacing w:line="276" w:lineRule="auto"/>
      </w:pPr>
      <w:r w:rsidRPr="00030E53">
        <w:t>Het p</w:t>
      </w:r>
      <w:r w:rsidRPr="003A358B">
        <w:t xml:space="preserve">roject Zuidas Haarlemmermeer betreft een voormalig FES-project voor realisatie groene ruimte ten behoeve van recreatiemogelijkheden. Dit kon niet worden uitgevoerd in verband met een kabinetsbesluit omtrent de hoogspanningsleiding die door dat gebied komt. EL&amp;I zoekt samen met het Ministerie van Infrastructuur en Milieu en de regio naar een alternatief. </w:t>
      </w:r>
    </w:p>
    <w:p w:rsidR="00315371" w:rsidP="00212995" w:rsidRDefault="00315371">
      <w:pPr>
        <w:spacing w:line="276" w:lineRule="auto"/>
        <w:rPr>
          <w:rFonts w:ascii="Verdana" w:hAnsi="Verdana"/>
          <w:sz w:val="18"/>
          <w:szCs w:val="18"/>
        </w:rPr>
      </w:pPr>
    </w:p>
    <w:p w:rsidR="00315371" w:rsidP="00212995" w:rsidRDefault="00315371">
      <w:pPr>
        <w:pStyle w:val="NoSpacing"/>
        <w:spacing w:line="276" w:lineRule="auto"/>
        <w:rPr>
          <w:rFonts w:cs="Courier New"/>
          <w:i/>
          <w:szCs w:val="18"/>
        </w:rPr>
      </w:pPr>
    </w:p>
    <w:p w:rsidRPr="003A358B" w:rsidR="00315371" w:rsidP="00212995" w:rsidRDefault="00315371">
      <w:pPr>
        <w:pStyle w:val="NoSpacing"/>
        <w:spacing w:line="276" w:lineRule="auto"/>
        <w:rPr>
          <w:i/>
          <w:szCs w:val="18"/>
        </w:rPr>
      </w:pPr>
      <w:r w:rsidRPr="003A358B">
        <w:rPr>
          <w:rFonts w:cs="Courier New"/>
          <w:i/>
          <w:szCs w:val="18"/>
        </w:rPr>
        <w:t xml:space="preserve">Kredietregeling </w:t>
      </w:r>
      <w:r w:rsidRPr="00E42437">
        <w:rPr>
          <w:bCs/>
          <w:i/>
          <w:color w:val="000000"/>
          <w:szCs w:val="18"/>
        </w:rPr>
        <w:t>Innovatiesubsidie Samenwerkingsprojecten</w:t>
      </w:r>
    </w:p>
    <w:p w:rsidRPr="004D6EE3" w:rsidR="00315371" w:rsidP="00212995" w:rsidRDefault="00315371">
      <w:pPr>
        <w:pStyle w:val="NoSpacing"/>
        <w:spacing w:line="276" w:lineRule="auto"/>
        <w:rPr>
          <w:szCs w:val="18"/>
        </w:rPr>
      </w:pPr>
      <w:r w:rsidRPr="004D6EE3">
        <w:rPr>
          <w:szCs w:val="18"/>
        </w:rPr>
        <w:t xml:space="preserve">De resterende uitgavenraming uit de </w:t>
      </w:r>
      <w:r w:rsidRPr="00030E53">
        <w:rPr>
          <w:bCs/>
          <w:color w:val="000000"/>
          <w:szCs w:val="18"/>
        </w:rPr>
        <w:t>Innovatiesubsidie Samenwerkingsprojecten</w:t>
      </w:r>
      <w:r>
        <w:rPr>
          <w:szCs w:val="18"/>
        </w:rPr>
        <w:t xml:space="preserve"> wordt onder het uitgavenkader gebracht. </w:t>
      </w:r>
    </w:p>
    <w:p w:rsidRPr="003A358B" w:rsidR="00315371" w:rsidP="00212995" w:rsidRDefault="00315371">
      <w:pPr>
        <w:pStyle w:val="NoSpacing"/>
        <w:spacing w:line="276" w:lineRule="auto"/>
        <w:rPr>
          <w:szCs w:val="18"/>
        </w:rPr>
      </w:pPr>
    </w:p>
    <w:p w:rsidRPr="00510B35" w:rsidR="00315371" w:rsidP="00212995" w:rsidRDefault="00315371">
      <w:pPr>
        <w:spacing w:line="276" w:lineRule="auto"/>
        <w:rPr>
          <w:rFonts w:ascii="Verdana" w:hAnsi="Verdana"/>
          <w:i/>
          <w:sz w:val="18"/>
          <w:szCs w:val="18"/>
        </w:rPr>
      </w:pPr>
      <w:r>
        <w:rPr>
          <w:rFonts w:ascii="Verdana" w:hAnsi="Verdana"/>
          <w:i/>
          <w:sz w:val="18"/>
          <w:szCs w:val="18"/>
        </w:rPr>
        <w:t xml:space="preserve">Meevallers </w:t>
      </w:r>
      <w:r w:rsidRPr="00510B35">
        <w:rPr>
          <w:rFonts w:ascii="Verdana" w:hAnsi="Verdana"/>
          <w:i/>
          <w:sz w:val="18"/>
          <w:szCs w:val="18"/>
        </w:rPr>
        <w:t>MEP/SDE</w:t>
      </w:r>
    </w:p>
    <w:p w:rsidRPr="00510B35" w:rsidR="00315371" w:rsidP="00212995" w:rsidRDefault="00315371">
      <w:pPr>
        <w:spacing w:line="276" w:lineRule="auto"/>
        <w:rPr>
          <w:rFonts w:ascii="Verdana" w:hAnsi="Verdana" w:cs="Verdana"/>
          <w:sz w:val="18"/>
          <w:szCs w:val="18"/>
        </w:rPr>
      </w:pPr>
      <w:r w:rsidRPr="00510B35">
        <w:rPr>
          <w:rFonts w:ascii="Verdana" w:hAnsi="Verdana" w:cs="Verdana"/>
          <w:sz w:val="18"/>
          <w:szCs w:val="18"/>
        </w:rPr>
        <w:t xml:space="preserve">De betalingen in 2012 op lopende beschikkingen voor de MEP/SDE-regeling vallen lager uit dan geraamd. Dit wordt veroorzaakt door het niet tot betaling komen van subsidieprojecten omdat deze geen doorgang vinden en vertraging in de oplevering van SDE-projecten waardoor de uitfinanciering voor een deel zal verschuiven van de jaren 2012–2017 naar de jaren 2018–2031. </w:t>
      </w:r>
    </w:p>
    <w:p w:rsidRPr="00510B35" w:rsidR="00315371" w:rsidP="00212995" w:rsidRDefault="00315371">
      <w:pPr>
        <w:spacing w:line="276" w:lineRule="auto"/>
        <w:rPr>
          <w:rFonts w:ascii="Verdana" w:hAnsi="Verdana"/>
          <w:sz w:val="18"/>
          <w:szCs w:val="18"/>
        </w:rPr>
      </w:pPr>
    </w:p>
    <w:p w:rsidRPr="00510B35" w:rsidR="00315371" w:rsidP="00212995" w:rsidRDefault="00315371">
      <w:pPr>
        <w:spacing w:line="276" w:lineRule="auto"/>
        <w:rPr>
          <w:rFonts w:ascii="Verdana" w:hAnsi="Verdana"/>
          <w:i/>
          <w:sz w:val="18"/>
          <w:szCs w:val="18"/>
        </w:rPr>
      </w:pPr>
      <w:r w:rsidRPr="00510B35">
        <w:rPr>
          <w:rFonts w:ascii="Verdana" w:hAnsi="Verdana"/>
          <w:i/>
          <w:iCs/>
          <w:sz w:val="18"/>
          <w:szCs w:val="18"/>
        </w:rPr>
        <w:t xml:space="preserve">Radioactief materiaal ECN </w:t>
      </w:r>
    </w:p>
    <w:p w:rsidRPr="00510B35" w:rsidR="00315371" w:rsidP="00212995" w:rsidRDefault="00315371">
      <w:pPr>
        <w:spacing w:line="276" w:lineRule="auto"/>
        <w:rPr>
          <w:rFonts w:ascii="Verdana" w:hAnsi="Verdana"/>
          <w:sz w:val="18"/>
          <w:szCs w:val="18"/>
        </w:rPr>
      </w:pPr>
      <w:r w:rsidRPr="00510B35">
        <w:rPr>
          <w:rFonts w:ascii="Verdana" w:hAnsi="Verdana"/>
          <w:sz w:val="18"/>
          <w:szCs w:val="18"/>
        </w:rPr>
        <w:t>Door een toename van de kosten voor het ruimen van het historisch radioactief materiaal op het terrein van ECN in Petten is een verhoging van de betreffende voorziening met 25 mln. benodigd.</w:t>
      </w:r>
    </w:p>
    <w:p w:rsidRPr="00510B35" w:rsidR="00315371" w:rsidP="00212995" w:rsidRDefault="00315371">
      <w:pPr>
        <w:spacing w:line="276" w:lineRule="auto"/>
        <w:rPr>
          <w:rFonts w:ascii="Verdana" w:hAnsi="Verdana"/>
          <w:sz w:val="18"/>
          <w:szCs w:val="18"/>
        </w:rPr>
      </w:pPr>
    </w:p>
    <w:p w:rsidRPr="003A358B" w:rsidR="00315371" w:rsidP="00212995" w:rsidRDefault="00315371">
      <w:pPr>
        <w:pStyle w:val="NoSpacing"/>
        <w:spacing w:line="276" w:lineRule="auto"/>
        <w:rPr>
          <w:i/>
          <w:szCs w:val="18"/>
        </w:rPr>
      </w:pPr>
      <w:r w:rsidRPr="003A358B">
        <w:rPr>
          <w:i/>
          <w:szCs w:val="18"/>
        </w:rPr>
        <w:t>Diversen</w:t>
      </w:r>
    </w:p>
    <w:p w:rsidRPr="003A358B" w:rsidR="00315371" w:rsidP="00212995" w:rsidRDefault="00315371">
      <w:pPr>
        <w:pStyle w:val="NoSpacing"/>
        <w:spacing w:line="276" w:lineRule="auto"/>
        <w:rPr>
          <w:szCs w:val="18"/>
        </w:rPr>
      </w:pPr>
      <w:r w:rsidRPr="00030E53">
        <w:rPr>
          <w:szCs w:val="18"/>
        </w:rPr>
        <w:t>EL&amp;I kent diverse uitvoeringsproblematiek waaronder uitvoeringskost</w:t>
      </w:r>
      <w:r>
        <w:rPr>
          <w:szCs w:val="18"/>
        </w:rPr>
        <w:t>en voor het CBS (2 mln.) en de n</w:t>
      </w:r>
      <w:r w:rsidRPr="00030E53">
        <w:rPr>
          <w:szCs w:val="18"/>
        </w:rPr>
        <w:t>VWA (2 mln.), hogere uitvoeringskosten voor landbouw- en visserijregelingen dan voorzien in de begroting voor Dienst Regelingen (14 mln.) en de hogere werkgeverslasten voor pensioenkosten (11 mln.).</w:t>
      </w:r>
    </w:p>
    <w:p w:rsidRPr="003A358B" w:rsidR="00315371" w:rsidP="00212995" w:rsidRDefault="00315371">
      <w:pPr>
        <w:pStyle w:val="NoSpacing"/>
        <w:spacing w:line="276" w:lineRule="auto"/>
        <w:rPr>
          <w:szCs w:val="18"/>
        </w:rPr>
      </w:pPr>
    </w:p>
    <w:p w:rsidRPr="003A358B" w:rsidR="00315371" w:rsidP="00212995" w:rsidRDefault="00315371">
      <w:pPr>
        <w:pStyle w:val="NoSpacing"/>
        <w:spacing w:line="276" w:lineRule="auto"/>
        <w:rPr>
          <w:i/>
          <w:szCs w:val="18"/>
        </w:rPr>
      </w:pPr>
      <w:r w:rsidRPr="00030E53">
        <w:rPr>
          <w:rFonts w:cs="Courier New"/>
          <w:i/>
          <w:szCs w:val="18"/>
        </w:rPr>
        <w:t>Aardgasbaten</w:t>
      </w:r>
    </w:p>
    <w:p w:rsidRPr="003A358B" w:rsidR="00315371" w:rsidP="00212995" w:rsidRDefault="00315371">
      <w:pPr>
        <w:pStyle w:val="NoSpacing"/>
        <w:spacing w:line="276" w:lineRule="auto"/>
        <w:rPr>
          <w:szCs w:val="18"/>
        </w:rPr>
      </w:pPr>
      <w:r w:rsidRPr="00030E53">
        <w:rPr>
          <w:szCs w:val="18"/>
        </w:rPr>
        <w:t xml:space="preserve">De aardgasbatenraming is </w:t>
      </w:r>
      <w:r>
        <w:rPr>
          <w:szCs w:val="18"/>
        </w:rPr>
        <w:t xml:space="preserve">van 2013 </w:t>
      </w:r>
      <w:r w:rsidRPr="00030E53">
        <w:rPr>
          <w:szCs w:val="18"/>
        </w:rPr>
        <w:t xml:space="preserve">meerjarig opwaarts bijgesteld. De belangrijkste reden van de bijstelling is dat het CPB de olieprijs </w:t>
      </w:r>
      <w:r>
        <w:rPr>
          <w:szCs w:val="18"/>
        </w:rPr>
        <w:t xml:space="preserve">opwaarts </w:t>
      </w:r>
      <w:r w:rsidRPr="00030E53">
        <w:rPr>
          <w:szCs w:val="18"/>
        </w:rPr>
        <w:t>heeft bijgesteld. Voor 2012 is de raming neerwaarts bijgesteld vanwege een combinatie van een lagere productie en een lagere wisselkoers.</w:t>
      </w:r>
    </w:p>
    <w:p w:rsidRPr="003A358B" w:rsidR="00315371" w:rsidP="00212995" w:rsidRDefault="00315371">
      <w:pPr>
        <w:pStyle w:val="NoSpacing"/>
        <w:spacing w:line="276" w:lineRule="auto"/>
        <w:rPr>
          <w:szCs w:val="18"/>
        </w:rPr>
      </w:pPr>
    </w:p>
    <w:p w:rsidRPr="003A358B" w:rsidR="00315371" w:rsidP="00212995" w:rsidRDefault="00315371">
      <w:pPr>
        <w:pStyle w:val="NoSpacing"/>
        <w:spacing w:line="276" w:lineRule="auto"/>
        <w:rPr>
          <w:szCs w:val="18"/>
        </w:rPr>
      </w:pPr>
    </w:p>
    <w:p w:rsidRPr="003A358B" w:rsidR="00315371" w:rsidP="00212995" w:rsidRDefault="00315371">
      <w:pPr>
        <w:pStyle w:val="NoSpacing"/>
        <w:spacing w:line="276" w:lineRule="auto"/>
        <w:rPr>
          <w:szCs w:val="18"/>
        </w:rPr>
      </w:pPr>
    </w:p>
    <w:p w:rsidRPr="003A358B" w:rsidR="00315371" w:rsidP="00212995" w:rsidRDefault="00315371">
      <w:pPr>
        <w:pStyle w:val="NoSpacing"/>
        <w:spacing w:line="276" w:lineRule="auto"/>
        <w:rPr>
          <w:szCs w:val="18"/>
        </w:rPr>
      </w:pPr>
    </w:p>
    <w:p w:rsidR="00315371" w:rsidRDefault="00315371">
      <w:pPr>
        <w:spacing w:after="200" w:line="276" w:lineRule="auto"/>
        <w:rPr>
          <w:rFonts w:ascii="Verdana" w:hAnsi="Verdana"/>
          <w:b/>
          <w:sz w:val="18"/>
          <w:szCs w:val="18"/>
        </w:rPr>
      </w:pPr>
      <w:r>
        <w:rPr>
          <w:rFonts w:ascii="Verdana" w:hAnsi="Verdana"/>
          <w:b/>
          <w:sz w:val="18"/>
          <w:szCs w:val="18"/>
        </w:rPr>
        <w:br w:type="page"/>
      </w:r>
    </w:p>
    <w:p w:rsidRPr="00457E12" w:rsidR="00315371" w:rsidP="00174971" w:rsidRDefault="00315371">
      <w:pPr>
        <w:spacing w:line="240" w:lineRule="exact"/>
        <w:rPr>
          <w:rFonts w:ascii="Verdana" w:hAnsi="Verdana"/>
          <w:b/>
          <w:sz w:val="18"/>
          <w:szCs w:val="18"/>
        </w:rPr>
      </w:pPr>
      <w:r w:rsidRPr="00457E12">
        <w:rPr>
          <w:rFonts w:ascii="Verdana" w:hAnsi="Verdana"/>
          <w:b/>
          <w:sz w:val="18"/>
          <w:szCs w:val="18"/>
        </w:rPr>
        <w:t>Sociale Zaken en Werkgelegenheid</w:t>
      </w:r>
    </w:p>
    <w:tbl>
      <w:tblPr>
        <w:tblW w:w="0" w:type="auto"/>
        <w:tblCellMar>
          <w:top w:w="15" w:type="dxa"/>
          <w:left w:w="15" w:type="dxa"/>
          <w:bottom w:w="15" w:type="dxa"/>
          <w:right w:w="15" w:type="dxa"/>
        </w:tblCellMar>
        <w:tblLook w:val="00A0"/>
      </w:tblPr>
      <w:tblGrid>
        <w:gridCol w:w="3618"/>
        <w:gridCol w:w="588"/>
        <w:gridCol w:w="508"/>
        <w:gridCol w:w="472"/>
        <w:gridCol w:w="624"/>
        <w:gridCol w:w="355"/>
        <w:gridCol w:w="743"/>
        <w:gridCol w:w="236"/>
        <w:gridCol w:w="862"/>
        <w:gridCol w:w="117"/>
        <w:gridCol w:w="979"/>
      </w:tblGrid>
      <w:tr w:rsidR="00315371" w:rsidTr="00A15500">
        <w:tc>
          <w:tcPr>
            <w:tcW w:w="4206" w:type="dxa"/>
            <w:gridSpan w:val="2"/>
            <w:tcBorders>
              <w:left w:val="nil"/>
              <w:right w:val="nil"/>
            </w:tcBorders>
          </w:tcPr>
          <w:p w:rsidRPr="00CE7197" w:rsidR="00315371" w:rsidP="000B3CAB" w:rsidRDefault="00315371">
            <w:pPr>
              <w:rPr>
                <w:rFonts w:ascii="Verdana" w:hAnsi="Verdana" w:cs="Courier New"/>
                <w:b/>
                <w:sz w:val="18"/>
                <w:szCs w:val="18"/>
              </w:rPr>
            </w:pPr>
            <w:r w:rsidRPr="00457E12">
              <w:rPr>
                <w:rFonts w:ascii="Verdana" w:hAnsi="Verdana" w:cs="Courier New"/>
                <w:b/>
                <w:sz w:val="18"/>
                <w:szCs w:val="18"/>
              </w:rPr>
              <w:t> </w:t>
            </w:r>
          </w:p>
        </w:tc>
        <w:tc>
          <w:tcPr>
            <w:tcW w:w="980" w:type="dxa"/>
            <w:gridSpan w:val="2"/>
            <w:tcBorders>
              <w:left w:val="nil"/>
              <w:right w:val="nil"/>
            </w:tcBorders>
          </w:tcPr>
          <w:p w:rsidR="00315371" w:rsidP="000B3CAB" w:rsidRDefault="00315371">
            <w:pPr>
              <w:rPr>
                <w:rFonts w:ascii="Courier New" w:hAnsi="Courier New" w:cs="Courier New"/>
                <w:sz w:val="14"/>
                <w:szCs w:val="14"/>
              </w:rPr>
            </w:pPr>
            <w:r>
              <w:rPr>
                <w:rFonts w:ascii="Courier New" w:hAnsi="Courier New" w:cs="Courier New"/>
                <w:sz w:val="14"/>
                <w:szCs w:val="14"/>
              </w:rPr>
              <w:t> </w:t>
            </w:r>
          </w:p>
        </w:tc>
        <w:tc>
          <w:tcPr>
            <w:tcW w:w="979" w:type="dxa"/>
            <w:gridSpan w:val="2"/>
            <w:tcBorders>
              <w:left w:val="nil"/>
              <w:right w:val="nil"/>
            </w:tcBorders>
          </w:tcPr>
          <w:p w:rsidR="00315371" w:rsidP="000B3CAB" w:rsidRDefault="00315371">
            <w:pPr>
              <w:rPr>
                <w:rFonts w:ascii="Courier New" w:hAnsi="Courier New" w:cs="Courier New"/>
                <w:sz w:val="14"/>
                <w:szCs w:val="14"/>
              </w:rPr>
            </w:pPr>
            <w:r>
              <w:rPr>
                <w:rFonts w:ascii="Courier New" w:hAnsi="Courier New" w:cs="Courier New"/>
                <w:sz w:val="14"/>
                <w:szCs w:val="14"/>
              </w:rPr>
              <w:t> </w:t>
            </w:r>
          </w:p>
        </w:tc>
        <w:tc>
          <w:tcPr>
            <w:tcW w:w="979" w:type="dxa"/>
            <w:gridSpan w:val="2"/>
            <w:tcBorders>
              <w:left w:val="nil"/>
              <w:right w:val="nil"/>
            </w:tcBorders>
          </w:tcPr>
          <w:p w:rsidR="00315371" w:rsidP="000B3CAB" w:rsidRDefault="00315371">
            <w:pPr>
              <w:rPr>
                <w:rFonts w:ascii="Courier New" w:hAnsi="Courier New" w:cs="Courier New"/>
                <w:sz w:val="14"/>
                <w:szCs w:val="14"/>
              </w:rPr>
            </w:pPr>
            <w:r>
              <w:rPr>
                <w:rFonts w:ascii="Courier New" w:hAnsi="Courier New" w:cs="Courier New"/>
                <w:sz w:val="14"/>
                <w:szCs w:val="14"/>
              </w:rPr>
              <w:t> </w:t>
            </w:r>
          </w:p>
        </w:tc>
        <w:tc>
          <w:tcPr>
            <w:tcW w:w="979" w:type="dxa"/>
            <w:gridSpan w:val="2"/>
            <w:tcBorders>
              <w:left w:val="nil"/>
              <w:right w:val="nil"/>
            </w:tcBorders>
          </w:tcPr>
          <w:p w:rsidR="00315371" w:rsidP="000B3CAB" w:rsidRDefault="00315371">
            <w:pPr>
              <w:rPr>
                <w:rFonts w:ascii="Courier New" w:hAnsi="Courier New" w:cs="Courier New"/>
                <w:sz w:val="14"/>
                <w:szCs w:val="14"/>
              </w:rPr>
            </w:pPr>
            <w:r>
              <w:rPr>
                <w:rFonts w:ascii="Courier New" w:hAnsi="Courier New" w:cs="Courier New"/>
                <w:sz w:val="14"/>
                <w:szCs w:val="14"/>
              </w:rPr>
              <w:t> </w:t>
            </w:r>
          </w:p>
        </w:tc>
        <w:tc>
          <w:tcPr>
            <w:tcW w:w="979" w:type="dxa"/>
            <w:tcBorders>
              <w:left w:val="nil"/>
              <w:right w:val="nil"/>
            </w:tcBorders>
          </w:tcPr>
          <w:p w:rsidR="00315371" w:rsidP="000B3CAB" w:rsidRDefault="00315371">
            <w:pPr>
              <w:rPr>
                <w:rFonts w:ascii="Courier New" w:hAnsi="Courier New" w:cs="Courier New"/>
                <w:sz w:val="14"/>
                <w:szCs w:val="14"/>
              </w:rPr>
            </w:pPr>
            <w:r>
              <w:rPr>
                <w:rFonts w:ascii="Courier New" w:hAnsi="Courier New" w:cs="Courier New"/>
                <w:sz w:val="14"/>
                <w:szCs w:val="14"/>
              </w:rPr>
              <w:t> </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XV SOCIALE ZAKEN EN WERKGELEGENHEID: UITGAVEN</w:t>
            </w:r>
          </w:p>
        </w:tc>
        <w:tc>
          <w:tcPr>
            <w:tcW w:w="5484" w:type="dxa"/>
            <w:gridSpan w:val="10"/>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bedragen in miljoenen euro's</w:t>
            </w:r>
          </w:p>
        </w:tc>
      </w:tr>
      <w:tr w:rsidRPr="00793100" w:rsidR="00315371" w:rsidTr="00A15500">
        <w:tc>
          <w:tcPr>
            <w:tcW w:w="3618" w:type="dxa"/>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p>
        </w:tc>
        <w:tc>
          <w:tcPr>
            <w:tcW w:w="1096" w:type="dxa"/>
            <w:gridSpan w:val="2"/>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2012</w:t>
            </w:r>
          </w:p>
        </w:tc>
        <w:tc>
          <w:tcPr>
            <w:tcW w:w="1096" w:type="dxa"/>
            <w:gridSpan w:val="2"/>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2013</w:t>
            </w:r>
          </w:p>
        </w:tc>
        <w:tc>
          <w:tcPr>
            <w:tcW w:w="1098" w:type="dxa"/>
            <w:gridSpan w:val="2"/>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2014</w:t>
            </w:r>
          </w:p>
        </w:tc>
        <w:tc>
          <w:tcPr>
            <w:tcW w:w="1098" w:type="dxa"/>
            <w:gridSpan w:val="2"/>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2015</w:t>
            </w:r>
          </w:p>
        </w:tc>
        <w:tc>
          <w:tcPr>
            <w:tcW w:w="1096" w:type="dxa"/>
            <w:gridSpan w:val="2"/>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2016</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Stand Miljoenennota 2012 (excl. IS)</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31.065,3</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31.397,5</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31.678,4</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32.166,4</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32.633,5</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Mee- en tegenvallers</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Rijksbegroting in enge zin</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r>
      <w:tr w:rsidRPr="00793100" w:rsidR="00315371" w:rsidTr="00A15500">
        <w:tc>
          <w:tcPr>
            <w:tcW w:w="3618" w:type="dxa"/>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Sociale zekerheid</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A</w:t>
            </w:r>
            <w:r>
              <w:rPr>
                <w:rFonts w:ascii="Verdana" w:hAnsi="Verdana" w:cs="Courier New"/>
                <w:sz w:val="16"/>
                <w:szCs w:val="16"/>
              </w:rPr>
              <w:t>IO</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-15,1</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-15,1</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-15,3</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-15,5</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-16,2</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 xml:space="preserve">Basisdienstverlening </w:t>
            </w:r>
            <w:r>
              <w:rPr>
                <w:rFonts w:ascii="Verdana" w:hAnsi="Verdana" w:cs="Courier New"/>
                <w:sz w:val="16"/>
                <w:szCs w:val="16"/>
              </w:rPr>
              <w:t>UWV</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2,9</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6,9</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12,5</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16,4</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16,4</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Bijstand</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442,9</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881,2</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1.010,5</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846,2</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746,3</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Kinderopvangtoeslag</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-7,6</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-30,8</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-58,0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-88,4</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-144,6</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Toeslagenwet</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18,0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24,3</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23,8</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15,8</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9,4</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Wajong</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-26,3</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-27,0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-25,7</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-26,0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-26,3</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11,7</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18,2</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13,0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9,8</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4,3</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427,2</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858,4</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961,5</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759,0</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590,0</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Beleidsmatige mutaties</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Rijksbegroting in enge zin</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Masterplan kantoorhuisvesting</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-0,6</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38,6</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-0,5</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-0,9</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5,4</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A15500">
        <w:tc>
          <w:tcPr>
            <w:tcW w:w="3618" w:type="dxa"/>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Sociale zekerheid</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271CB7" w:rsidRDefault="00315371">
            <w:pPr>
              <w:ind w:firstLine="320" w:firstLineChars="200"/>
              <w:rPr>
                <w:rFonts w:ascii="Verdana" w:hAnsi="Verdana" w:cs="Courier New"/>
                <w:sz w:val="16"/>
                <w:szCs w:val="16"/>
              </w:rPr>
            </w:pPr>
            <w:r w:rsidRPr="00793100">
              <w:rPr>
                <w:rFonts w:ascii="Verdana" w:hAnsi="Verdana" w:cs="Courier New"/>
                <w:sz w:val="16"/>
                <w:szCs w:val="16"/>
              </w:rPr>
              <w:t xml:space="preserve">Compenserende kasschuif </w:t>
            </w:r>
            <w:r>
              <w:rPr>
                <w:rFonts w:ascii="Verdana" w:hAnsi="Verdana" w:cs="Courier New"/>
                <w:sz w:val="16"/>
                <w:szCs w:val="16"/>
              </w:rPr>
              <w:t>WW</w:t>
            </w:r>
            <w:r w:rsidRPr="00793100">
              <w:rPr>
                <w:rFonts w:ascii="Verdana" w:hAnsi="Verdana" w:cs="Courier New"/>
                <w:sz w:val="16"/>
                <w:szCs w:val="16"/>
              </w:rPr>
              <w:t xml:space="preserve"> uitvoeringskosten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-29,9</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1,9</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28,0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Eindejaarsmarge</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23,3</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 xml:space="preserve">Herijking verdeelmodel </w:t>
            </w:r>
            <w:r>
              <w:rPr>
                <w:rFonts w:ascii="Verdana" w:hAnsi="Verdana" w:cs="Courier New"/>
                <w:sz w:val="16"/>
                <w:szCs w:val="16"/>
              </w:rPr>
              <w:t>UWV</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42,1</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34,8</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10,6</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30,4</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39,5</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Inzet eindejaarsmarge</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-17,4</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Uitstel wetsvoorstel fraude</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16,3</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16,2</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34,2</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0,6</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-1,3</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-2,2</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-2,8</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73,4</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53,5</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75,9</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27,7</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35,8</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Technische mutaties</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Rijksbegroting in enge zin</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5,2</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5,7</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7,5</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8,2</w:t>
            </w:r>
          </w:p>
        </w:tc>
      </w:tr>
      <w:tr w:rsidRPr="00793100" w:rsidR="00315371" w:rsidTr="00A15500">
        <w:tc>
          <w:tcPr>
            <w:tcW w:w="3618" w:type="dxa"/>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Sociale zekerheid</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Loonbijstelling tranche 2012</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40,3</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38,4</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36,6</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35,6</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36,0</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2,3</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-9,7</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-10,5</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-9,9</w:t>
            </w:r>
          </w:p>
        </w:tc>
      </w:tr>
      <w:tr w:rsidRPr="00793100" w:rsidR="00315371" w:rsidTr="00A15500">
        <w:tc>
          <w:tcPr>
            <w:tcW w:w="3618" w:type="dxa"/>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Niet tot een ijklijn behorend</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Rijksbijdrage ouderdomsfonds</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417,8</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A15500">
        <w:tc>
          <w:tcPr>
            <w:tcW w:w="3618" w:type="dxa"/>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-6,9</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2,9</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4,8</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6,3</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7,7</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469,5</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36,8</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37,1</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38,9</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42,0</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p>
        </w:tc>
        <w:tc>
          <w:tcPr>
            <w:tcW w:w="1096" w:type="dxa"/>
            <w:gridSpan w:val="2"/>
            <w:vAlign w:val="center"/>
          </w:tcPr>
          <w:p w:rsidRPr="00793100" w:rsidR="00315371" w:rsidP="001D1BC1" w:rsidRDefault="00315371">
            <w:pPr>
              <w:rPr>
                <w:rFonts w:ascii="Verdana" w:hAnsi="Verdana"/>
                <w:sz w:val="16"/>
                <w:szCs w:val="16"/>
              </w:rPr>
            </w:pPr>
          </w:p>
        </w:tc>
        <w:tc>
          <w:tcPr>
            <w:tcW w:w="1096" w:type="dxa"/>
            <w:gridSpan w:val="2"/>
            <w:vAlign w:val="center"/>
          </w:tcPr>
          <w:p w:rsidRPr="00793100" w:rsidR="00315371" w:rsidP="001D1BC1" w:rsidRDefault="00315371">
            <w:pPr>
              <w:rPr>
                <w:rFonts w:ascii="Verdana" w:hAnsi="Verdana"/>
                <w:sz w:val="16"/>
                <w:szCs w:val="16"/>
              </w:rPr>
            </w:pPr>
          </w:p>
        </w:tc>
        <w:tc>
          <w:tcPr>
            <w:tcW w:w="1098" w:type="dxa"/>
            <w:gridSpan w:val="2"/>
            <w:vAlign w:val="center"/>
          </w:tcPr>
          <w:p w:rsidRPr="00793100" w:rsidR="00315371" w:rsidP="001D1BC1" w:rsidRDefault="00315371">
            <w:pPr>
              <w:rPr>
                <w:rFonts w:ascii="Verdana" w:hAnsi="Verdana"/>
                <w:sz w:val="16"/>
                <w:szCs w:val="16"/>
              </w:rPr>
            </w:pPr>
          </w:p>
        </w:tc>
        <w:tc>
          <w:tcPr>
            <w:tcW w:w="1098" w:type="dxa"/>
            <w:gridSpan w:val="2"/>
            <w:vAlign w:val="center"/>
          </w:tcPr>
          <w:p w:rsidRPr="00793100" w:rsidR="00315371" w:rsidP="001D1BC1" w:rsidRDefault="00315371">
            <w:pPr>
              <w:rPr>
                <w:rFonts w:ascii="Verdana" w:hAnsi="Verdana"/>
                <w:sz w:val="16"/>
                <w:szCs w:val="16"/>
              </w:rPr>
            </w:pPr>
          </w:p>
        </w:tc>
        <w:tc>
          <w:tcPr>
            <w:tcW w:w="1096" w:type="dxa"/>
            <w:gridSpan w:val="2"/>
            <w:vAlign w:val="center"/>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Totaal mutaties sinds Miljoenennota 2012</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970,0</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948,8</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1.074,5</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825,8</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668,0</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1096"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8" w:type="dxa"/>
            <w:gridSpan w:val="2"/>
          </w:tcPr>
          <w:p w:rsidRPr="00793100" w:rsidR="00315371" w:rsidP="001D1BC1" w:rsidRDefault="00315371">
            <w:pPr>
              <w:rPr>
                <w:rFonts w:ascii="Verdana" w:hAnsi="Verdana"/>
                <w:sz w:val="16"/>
                <w:szCs w:val="16"/>
              </w:rPr>
            </w:pPr>
          </w:p>
        </w:tc>
        <w:tc>
          <w:tcPr>
            <w:tcW w:w="1096" w:type="dxa"/>
            <w:gridSpan w:val="2"/>
          </w:tcPr>
          <w:p w:rsidRPr="00793100" w:rsidR="00315371" w:rsidP="001D1BC1" w:rsidRDefault="00315371">
            <w:pPr>
              <w:rPr>
                <w:rFonts w:ascii="Verdana" w:hAnsi="Verdana"/>
                <w:sz w:val="16"/>
                <w:szCs w:val="16"/>
              </w:rPr>
            </w:pP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Stand Voorjaarsnota 2012 (subtotaal)</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32.035,2</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32.346,2</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32.752,9</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32.992,2</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33.301,4</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Totaal Internationale samenwerking</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8"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1096" w:type="dxa"/>
            <w:gridSpan w:val="2"/>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r>
      <w:tr w:rsidRPr="00793100" w:rsidR="00315371" w:rsidTr="00A15500">
        <w:tc>
          <w:tcPr>
            <w:tcW w:w="3618" w:type="dxa"/>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Stand Voorjaarsnota 2012</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32.036,0</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32.347,0</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32.753,6</w:t>
            </w:r>
          </w:p>
        </w:tc>
        <w:tc>
          <w:tcPr>
            <w:tcW w:w="1098"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32.993,0</w:t>
            </w:r>
          </w:p>
        </w:tc>
        <w:tc>
          <w:tcPr>
            <w:tcW w:w="1096" w:type="dxa"/>
            <w:gridSpan w:val="2"/>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33.302,2</w:t>
            </w:r>
          </w:p>
        </w:tc>
      </w:tr>
    </w:tbl>
    <w:p w:rsidR="00315371" w:rsidP="00A15500" w:rsidRDefault="00315371"/>
    <w:p w:rsidR="00315371" w:rsidP="00A15500" w:rsidRDefault="00315371"/>
    <w:tbl>
      <w:tblPr>
        <w:tblW w:w="5000" w:type="pct"/>
        <w:tblCellMar>
          <w:top w:w="15" w:type="dxa"/>
          <w:left w:w="15" w:type="dxa"/>
          <w:bottom w:w="15" w:type="dxa"/>
          <w:right w:w="15" w:type="dxa"/>
        </w:tblCellMar>
        <w:tblLook w:val="00A0"/>
      </w:tblPr>
      <w:tblGrid>
        <w:gridCol w:w="4925"/>
        <w:gridCol w:w="835"/>
        <w:gridCol w:w="836"/>
        <w:gridCol w:w="836"/>
        <w:gridCol w:w="836"/>
        <w:gridCol w:w="834"/>
      </w:tblGrid>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XV SOCIALE ZAKEN EN WERKGELEGENHEID: NIET-BELASTINGONTVANGSTEN</w:t>
            </w:r>
          </w:p>
        </w:tc>
        <w:tc>
          <w:tcPr>
            <w:tcW w:w="2294" w:type="pct"/>
            <w:gridSpan w:val="5"/>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bedragen in miljoenen euro's</w:t>
            </w:r>
          </w:p>
        </w:tc>
      </w:tr>
      <w:tr w:rsidRPr="00793100" w:rsidR="00315371" w:rsidTr="001D1BC1">
        <w:tc>
          <w:tcPr>
            <w:tcW w:w="2706" w:type="pct"/>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p>
        </w:tc>
        <w:tc>
          <w:tcPr>
            <w:tcW w:w="459" w:type="pct"/>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2012</w:t>
            </w:r>
          </w:p>
        </w:tc>
        <w:tc>
          <w:tcPr>
            <w:tcW w:w="459" w:type="pct"/>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2013</w:t>
            </w:r>
          </w:p>
        </w:tc>
        <w:tc>
          <w:tcPr>
            <w:tcW w:w="459" w:type="pct"/>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2014</w:t>
            </w:r>
          </w:p>
        </w:tc>
        <w:tc>
          <w:tcPr>
            <w:tcW w:w="459" w:type="pct"/>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2015</w:t>
            </w:r>
          </w:p>
        </w:tc>
        <w:tc>
          <w:tcPr>
            <w:tcW w:w="459" w:type="pct"/>
            <w:tcBorders>
              <w:top w:val="single" w:color="000000" w:sz="4" w:space="0"/>
              <w:left w:val="nil"/>
              <w:bottom w:val="single" w:color="000000" w:sz="4" w:space="0"/>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2016</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Stand Miljoenennota 2012 (excl. IS)</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1.847,5</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1.707,7</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1.634,8</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1.655,6</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1.675,5</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Mee- en tegenvallers</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Sociale zekerheid</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Kinderopvangtoeslag</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47,1</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5,5</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-12,9</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-44,6</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-59,3</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47,1</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5,5</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-12,9</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-44,6</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-59,3</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Beleidsmatige mutaties</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Rijksbegroting in enge zin</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2,6</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1D1BC1">
        <w:tc>
          <w:tcPr>
            <w:tcW w:w="2706" w:type="pct"/>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Sociale zekerheid</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-1,5</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-2,5</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-0,1</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-0,2</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1,1</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-2,5</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-0,7</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-0,1</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-0,2</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Technische mutaties</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Mar>
              <w:top w:w="15" w:type="dxa"/>
              <w:left w:w="150" w:type="dxa"/>
              <w:bottom w:w="15" w:type="dxa"/>
              <w:right w:w="15" w:type="dxa"/>
            </w:tcMar>
          </w:tcPr>
          <w:p w:rsidRPr="00793100" w:rsidR="00315371" w:rsidP="001D1BC1" w:rsidRDefault="00315371">
            <w:pPr>
              <w:ind w:firstLine="160" w:firstLineChars="100"/>
              <w:rPr>
                <w:rFonts w:ascii="Verdana" w:hAnsi="Verdana" w:cs="Courier New"/>
                <w:sz w:val="16"/>
                <w:szCs w:val="16"/>
              </w:rPr>
            </w:pPr>
            <w:r w:rsidRPr="00793100">
              <w:rPr>
                <w:rFonts w:ascii="Verdana" w:hAnsi="Verdana" w:cs="Courier New"/>
                <w:sz w:val="16"/>
                <w:szCs w:val="16"/>
              </w:rPr>
              <w:t>Rijksbegroting in enge zin</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Mar>
              <w:top w:w="15" w:type="dxa"/>
              <w:left w:w="301" w:type="dxa"/>
              <w:bottom w:w="15" w:type="dxa"/>
              <w:right w:w="15" w:type="dxa"/>
            </w:tcMar>
          </w:tcPr>
          <w:p w:rsidRPr="00793100" w:rsidR="00315371" w:rsidP="001D1BC1" w:rsidRDefault="00315371">
            <w:pPr>
              <w:ind w:firstLine="320" w:firstLineChars="200"/>
              <w:rPr>
                <w:rFonts w:ascii="Verdana" w:hAnsi="Verdana" w:cs="Courier New"/>
                <w:sz w:val="16"/>
                <w:szCs w:val="16"/>
              </w:rPr>
            </w:pPr>
            <w:r w:rsidRPr="00793100">
              <w:rPr>
                <w:rFonts w:ascii="Verdana" w:hAnsi="Verdana" w:cs="Courier New"/>
                <w:sz w:val="16"/>
                <w:szCs w:val="16"/>
              </w:rPr>
              <w:t>Diversen</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8,5</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8,5</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p>
        </w:tc>
        <w:tc>
          <w:tcPr>
            <w:tcW w:w="459" w:type="pct"/>
            <w:vAlign w:val="center"/>
          </w:tcPr>
          <w:p w:rsidRPr="00793100" w:rsidR="00315371" w:rsidP="001D1BC1" w:rsidRDefault="00315371">
            <w:pPr>
              <w:rPr>
                <w:rFonts w:ascii="Verdana" w:hAnsi="Verdana"/>
                <w:sz w:val="16"/>
                <w:szCs w:val="16"/>
              </w:rPr>
            </w:pPr>
          </w:p>
        </w:tc>
        <w:tc>
          <w:tcPr>
            <w:tcW w:w="459" w:type="pct"/>
            <w:vAlign w:val="center"/>
          </w:tcPr>
          <w:p w:rsidRPr="00793100" w:rsidR="00315371" w:rsidP="001D1BC1" w:rsidRDefault="00315371">
            <w:pPr>
              <w:rPr>
                <w:rFonts w:ascii="Verdana" w:hAnsi="Verdana"/>
                <w:sz w:val="16"/>
                <w:szCs w:val="16"/>
              </w:rPr>
            </w:pPr>
          </w:p>
        </w:tc>
        <w:tc>
          <w:tcPr>
            <w:tcW w:w="459" w:type="pct"/>
            <w:vAlign w:val="center"/>
          </w:tcPr>
          <w:p w:rsidRPr="00793100" w:rsidR="00315371" w:rsidP="001D1BC1" w:rsidRDefault="00315371">
            <w:pPr>
              <w:rPr>
                <w:rFonts w:ascii="Verdana" w:hAnsi="Verdana"/>
                <w:sz w:val="16"/>
                <w:szCs w:val="16"/>
              </w:rPr>
            </w:pPr>
          </w:p>
        </w:tc>
        <w:tc>
          <w:tcPr>
            <w:tcW w:w="459" w:type="pct"/>
            <w:vAlign w:val="center"/>
          </w:tcPr>
          <w:p w:rsidRPr="00793100" w:rsidR="00315371" w:rsidP="001D1BC1" w:rsidRDefault="00315371">
            <w:pPr>
              <w:rPr>
                <w:rFonts w:ascii="Verdana" w:hAnsi="Verdana"/>
                <w:sz w:val="16"/>
                <w:szCs w:val="16"/>
              </w:rPr>
            </w:pPr>
          </w:p>
        </w:tc>
        <w:tc>
          <w:tcPr>
            <w:tcW w:w="459" w:type="pct"/>
            <w:vAlign w:val="center"/>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Totaal mutaties sinds Miljoenennota 2012</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56,7</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2,9</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-13,6</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-44,7</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-59,5</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 </w:t>
            </w: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c>
          <w:tcPr>
            <w:tcW w:w="459" w:type="pct"/>
          </w:tcPr>
          <w:p w:rsidRPr="00793100" w:rsidR="00315371" w:rsidP="001D1BC1" w:rsidRDefault="00315371">
            <w:pPr>
              <w:rPr>
                <w:rFonts w:ascii="Verdana" w:hAnsi="Verdana"/>
                <w:sz w:val="16"/>
                <w:szCs w:val="16"/>
              </w:rPr>
            </w:pP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Stand Voorjaarsnota 2012 (subtotaal)</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1.904,2</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1.710,6</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1.621,2</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1.610,8</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1.616,0</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Totaal Internationale samenwerking</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c>
          <w:tcPr>
            <w:tcW w:w="459" w:type="pct"/>
            <w:tcBorders>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0,0</w:t>
            </w:r>
          </w:p>
        </w:tc>
      </w:tr>
      <w:tr w:rsidRPr="00793100" w:rsidR="00315371" w:rsidTr="001D1BC1">
        <w:tc>
          <w:tcPr>
            <w:tcW w:w="2706" w:type="pct"/>
            <w:tcBorders>
              <w:left w:val="nil"/>
              <w:right w:val="nil"/>
            </w:tcBorders>
          </w:tcPr>
          <w:p w:rsidRPr="00793100" w:rsidR="00315371" w:rsidP="001D1BC1" w:rsidRDefault="00315371">
            <w:pPr>
              <w:rPr>
                <w:rFonts w:ascii="Verdana" w:hAnsi="Verdana" w:cs="Courier New"/>
                <w:sz w:val="16"/>
                <w:szCs w:val="16"/>
              </w:rPr>
            </w:pPr>
            <w:r w:rsidRPr="00793100">
              <w:rPr>
                <w:rFonts w:ascii="Verdana" w:hAnsi="Verdana" w:cs="Courier New"/>
                <w:sz w:val="16"/>
                <w:szCs w:val="16"/>
              </w:rPr>
              <w:t>Stand Voorjaarsnota 2012</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1.904,2</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1.710,6</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1.621,2</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1.610,8</w:t>
            </w:r>
          </w:p>
        </w:tc>
        <w:tc>
          <w:tcPr>
            <w:tcW w:w="459" w:type="pct"/>
            <w:tcBorders>
              <w:top w:val="single" w:color="000000" w:sz="4" w:space="0"/>
              <w:left w:val="nil"/>
              <w:right w:val="nil"/>
            </w:tcBorders>
          </w:tcPr>
          <w:p w:rsidRPr="00793100" w:rsidR="00315371" w:rsidP="001D1BC1" w:rsidRDefault="00315371">
            <w:pPr>
              <w:jc w:val="right"/>
              <w:rPr>
                <w:rFonts w:ascii="Verdana" w:hAnsi="Verdana" w:cs="Courier New"/>
                <w:sz w:val="16"/>
                <w:szCs w:val="16"/>
              </w:rPr>
            </w:pPr>
            <w:r w:rsidRPr="00793100">
              <w:rPr>
                <w:rFonts w:ascii="Verdana" w:hAnsi="Verdana" w:cs="Courier New"/>
                <w:sz w:val="16"/>
                <w:szCs w:val="16"/>
              </w:rPr>
              <w:t>1.616,0</w:t>
            </w:r>
          </w:p>
        </w:tc>
      </w:tr>
    </w:tbl>
    <w:p w:rsidR="00315371" w:rsidP="00A15500" w:rsidRDefault="00315371">
      <w:pPr>
        <w:spacing w:line="240" w:lineRule="exact"/>
        <w:rPr>
          <w:rFonts w:ascii="Verdana" w:hAnsi="Verdana"/>
          <w:i/>
          <w:sz w:val="18"/>
          <w:szCs w:val="18"/>
        </w:rPr>
      </w:pPr>
    </w:p>
    <w:p w:rsidR="00315371" w:rsidP="00A15500" w:rsidRDefault="00315371">
      <w:pPr>
        <w:spacing w:line="240" w:lineRule="exact"/>
        <w:rPr>
          <w:rFonts w:ascii="Verdana" w:hAnsi="Verdana"/>
          <w:i/>
          <w:sz w:val="18"/>
          <w:szCs w:val="18"/>
        </w:rPr>
      </w:pPr>
    </w:p>
    <w:p w:rsidRPr="00FE48B3" w:rsidR="00315371" w:rsidP="00212995" w:rsidRDefault="00315371">
      <w:pPr>
        <w:pStyle w:val="NoSpacing"/>
        <w:spacing w:line="276" w:lineRule="auto"/>
        <w:rPr>
          <w:i/>
        </w:rPr>
      </w:pPr>
      <w:r w:rsidRPr="00FE48B3">
        <w:rPr>
          <w:i/>
        </w:rPr>
        <w:t>AIO</w:t>
      </w:r>
    </w:p>
    <w:p w:rsidR="00315371" w:rsidP="00212995" w:rsidRDefault="00315371">
      <w:pPr>
        <w:pStyle w:val="NoSpacing"/>
        <w:spacing w:line="276" w:lineRule="auto"/>
      </w:pPr>
      <w:r>
        <w:t>De realisatiecijfers 2011 van de Aanvullende Inkomensvoorziening Ouderen lieten lagere uitkeringslasten zien dan eerder geraamd. Dit werkt door in de raming voor de periode 2012-2017.</w:t>
      </w:r>
    </w:p>
    <w:p w:rsidR="00315371" w:rsidP="00212995" w:rsidRDefault="00315371">
      <w:pPr>
        <w:spacing w:line="276" w:lineRule="auto"/>
        <w:rPr>
          <w:rFonts w:ascii="Verdana" w:hAnsi="Verdana"/>
          <w:sz w:val="18"/>
          <w:szCs w:val="18"/>
        </w:rPr>
      </w:pPr>
    </w:p>
    <w:p w:rsidRPr="00E6527F" w:rsidR="00315371" w:rsidP="00212995" w:rsidRDefault="00315371">
      <w:pPr>
        <w:spacing w:line="276" w:lineRule="auto"/>
        <w:rPr>
          <w:rFonts w:ascii="Verdana" w:hAnsi="Verdana"/>
          <w:i/>
          <w:sz w:val="18"/>
          <w:szCs w:val="18"/>
        </w:rPr>
      </w:pPr>
      <w:r w:rsidRPr="00E6527F">
        <w:rPr>
          <w:rFonts w:ascii="Verdana" w:hAnsi="Verdana"/>
          <w:i/>
          <w:sz w:val="18"/>
          <w:szCs w:val="18"/>
        </w:rPr>
        <w:t>Basisdienstverlening UWV</w:t>
      </w:r>
    </w:p>
    <w:p w:rsidR="00315371" w:rsidP="00212995" w:rsidRDefault="00315371">
      <w:pPr>
        <w:spacing w:line="276" w:lineRule="auto"/>
        <w:rPr>
          <w:rFonts w:ascii="Verdana" w:hAnsi="Verdana"/>
          <w:sz w:val="18"/>
          <w:szCs w:val="18"/>
        </w:rPr>
      </w:pPr>
      <w:r>
        <w:rPr>
          <w:rFonts w:ascii="Verdana" w:hAnsi="Verdana"/>
          <w:sz w:val="18"/>
          <w:szCs w:val="18"/>
        </w:rPr>
        <w:t xml:space="preserve">Door de maatregelen uit regeerakkoord groeit de werkloze beroepsbevolking. Dit leidt tot meer uitkeringsaanvragen bij de WW. Hierdoor stijgen de uitvoeringskosten bij de basisdienstverlening van het UWV. Dit effect was eerder nog niet meegenomen. </w:t>
      </w:r>
    </w:p>
    <w:p w:rsidRPr="00C61910"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i/>
          <w:sz w:val="18"/>
          <w:szCs w:val="18"/>
        </w:rPr>
      </w:pPr>
      <w:r w:rsidRPr="000C1722">
        <w:rPr>
          <w:rFonts w:ascii="Verdana" w:hAnsi="Verdana"/>
          <w:i/>
          <w:sz w:val="18"/>
          <w:szCs w:val="18"/>
        </w:rPr>
        <w:t>Bijstand</w:t>
      </w:r>
    </w:p>
    <w:p w:rsidR="00315371" w:rsidP="00212995" w:rsidRDefault="00315371">
      <w:pPr>
        <w:spacing w:line="276" w:lineRule="auto"/>
        <w:rPr>
          <w:rFonts w:ascii="Verdana" w:hAnsi="Verdana"/>
          <w:sz w:val="18"/>
          <w:szCs w:val="18"/>
        </w:rPr>
      </w:pPr>
      <w:r w:rsidRPr="006E0876">
        <w:rPr>
          <w:rFonts w:ascii="Verdana" w:hAnsi="Verdana"/>
          <w:sz w:val="18"/>
          <w:szCs w:val="18"/>
        </w:rPr>
        <w:t xml:space="preserve">De </w:t>
      </w:r>
      <w:r>
        <w:rPr>
          <w:rFonts w:ascii="Verdana" w:hAnsi="Verdana"/>
          <w:sz w:val="18"/>
          <w:szCs w:val="18"/>
        </w:rPr>
        <w:t>ramingen</w:t>
      </w:r>
      <w:r w:rsidRPr="006E0876">
        <w:rPr>
          <w:rFonts w:ascii="Verdana" w:hAnsi="Verdana"/>
          <w:sz w:val="18"/>
          <w:szCs w:val="18"/>
        </w:rPr>
        <w:t xml:space="preserve"> van het CPB bevatte</w:t>
      </w:r>
      <w:r>
        <w:rPr>
          <w:rFonts w:ascii="Verdana" w:hAnsi="Verdana"/>
          <w:sz w:val="18"/>
          <w:szCs w:val="18"/>
        </w:rPr>
        <w:t>n</w:t>
      </w:r>
      <w:r w:rsidRPr="006E0876">
        <w:rPr>
          <w:rFonts w:ascii="Verdana" w:hAnsi="Verdana"/>
          <w:sz w:val="18"/>
          <w:szCs w:val="18"/>
        </w:rPr>
        <w:t xml:space="preserve"> een nieuwe prognose van de werkloze beroepsbevolking. De raming van de </w:t>
      </w:r>
      <w:r>
        <w:rPr>
          <w:rFonts w:ascii="Verdana" w:hAnsi="Verdana"/>
          <w:sz w:val="18"/>
          <w:szCs w:val="18"/>
        </w:rPr>
        <w:t>bijstand</w:t>
      </w:r>
      <w:r w:rsidRPr="006E0876">
        <w:rPr>
          <w:rFonts w:ascii="Verdana" w:hAnsi="Verdana"/>
          <w:sz w:val="18"/>
          <w:szCs w:val="18"/>
        </w:rPr>
        <w:t xml:space="preserve"> is hierop aangepast.</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Kinderopvangtoeslag</w:t>
      </w:r>
      <w:r>
        <w:rPr>
          <w:rFonts w:ascii="Verdana" w:hAnsi="Verdana"/>
          <w:i/>
          <w:sz w:val="18"/>
          <w:szCs w:val="18"/>
        </w:rPr>
        <w:t xml:space="preserve"> (uitgaven en ontvangsten)</w:t>
      </w:r>
    </w:p>
    <w:p w:rsidRPr="002D094B" w:rsidR="00315371" w:rsidP="00212995" w:rsidRDefault="00315371">
      <w:pPr>
        <w:spacing w:line="276" w:lineRule="auto"/>
        <w:rPr>
          <w:rFonts w:ascii="Verdana" w:hAnsi="Verdana"/>
          <w:sz w:val="18"/>
          <w:szCs w:val="18"/>
        </w:rPr>
      </w:pPr>
      <w:r w:rsidRPr="002D094B">
        <w:rPr>
          <w:rFonts w:ascii="Verdana" w:hAnsi="Verdana"/>
          <w:sz w:val="18"/>
          <w:szCs w:val="18"/>
        </w:rPr>
        <w:t xml:space="preserve">De uitgaven van de kinderopvangtoeslag worden naar beneden bijgesteld. Dit is het saldo van een neerwaartse bijstelling van  de nabetalingen en een opwaartse bijstelling als gevolg van de meerjarige doorwerking van de uitgavenoverschrijding in 2011. De nabetalingen vallen lager uit door de ombuigingsmaatregelen op de kinderopvang. </w:t>
      </w:r>
    </w:p>
    <w:p w:rsidRPr="002D094B" w:rsidR="00315371" w:rsidP="00212995" w:rsidRDefault="00315371">
      <w:pPr>
        <w:spacing w:line="276" w:lineRule="auto"/>
        <w:rPr>
          <w:rFonts w:ascii="Verdana" w:hAnsi="Verdana"/>
          <w:sz w:val="18"/>
          <w:szCs w:val="18"/>
        </w:rPr>
      </w:pPr>
      <w:r w:rsidRPr="002D094B">
        <w:rPr>
          <w:rFonts w:ascii="Verdana" w:hAnsi="Verdana"/>
          <w:sz w:val="18"/>
          <w:szCs w:val="18"/>
        </w:rPr>
        <w:t>De terugontvangsten stijgen in 2012 en 2013 en dalen vanaf 2014. Dit wordt veroorzaakt door twee tegengestelde bewegingen. De terugontvangsten stijgen door verbeterde controles en snellere inning. De terugontvangsten dalen als gevolg van de ombuigingsmaatregelen op de kinderopvang. Het effect van de ombuigingsmaatregelen op de terugontvangsten is gelijk aan dat op de nabetalingen en heeft daardoor geen structureel effect op het saldo.</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Toeslagenwet</w:t>
      </w:r>
    </w:p>
    <w:p w:rsidR="00315371" w:rsidP="00212995" w:rsidRDefault="00315371">
      <w:pPr>
        <w:spacing w:line="276" w:lineRule="auto"/>
        <w:rPr>
          <w:rFonts w:ascii="Verdana" w:hAnsi="Verdana"/>
          <w:sz w:val="18"/>
          <w:szCs w:val="18"/>
        </w:rPr>
      </w:pPr>
      <w:r>
        <w:rPr>
          <w:rFonts w:ascii="Verdana" w:hAnsi="Verdana"/>
          <w:sz w:val="18"/>
          <w:szCs w:val="18"/>
        </w:rPr>
        <w:t xml:space="preserve">De toeslagenwet beweegt mee met de moederregelingen. De stijging wordt voornamelijk verklaard door het hogere aantal WW uitkeringen door de tegenvallende economische ontwikkeling.  </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Wajong</w:t>
      </w:r>
    </w:p>
    <w:p w:rsidR="00315371" w:rsidP="00212995" w:rsidRDefault="00315371">
      <w:pPr>
        <w:pStyle w:val="NoSpacing"/>
        <w:spacing w:line="276" w:lineRule="auto"/>
      </w:pPr>
      <w:r>
        <w:t>De meevaller bij de Wajong wordt voornamelijk veroorzaakt door de wijzigingen van dit kabinet in de inkomensafhankelijke bijdrage voor de Zorgverzekeringswet (ZVW), waardoor de bijdrage ZVW per Wajonger afneemt.</w:t>
      </w:r>
    </w:p>
    <w:p w:rsidRPr="000C1722" w:rsidR="00315371" w:rsidP="00212995" w:rsidRDefault="00315371">
      <w:pPr>
        <w:spacing w:line="276" w:lineRule="auto"/>
        <w:rPr>
          <w:rFonts w:ascii="Verdana" w:hAnsi="Verdana"/>
          <w:sz w:val="18"/>
          <w:szCs w:val="18"/>
        </w:rPr>
      </w:pPr>
    </w:p>
    <w:p w:rsidRPr="00AA2967" w:rsidR="00315371" w:rsidP="00BE3B92" w:rsidRDefault="00315371">
      <w:pPr>
        <w:rPr>
          <w:rFonts w:ascii="Verdana" w:hAnsi="Verdana"/>
          <w:i/>
          <w:iCs/>
          <w:sz w:val="18"/>
          <w:szCs w:val="18"/>
        </w:rPr>
      </w:pPr>
      <w:r w:rsidRPr="00AA2967">
        <w:rPr>
          <w:rFonts w:ascii="Verdana" w:hAnsi="Verdana"/>
          <w:i/>
          <w:iCs/>
          <w:sz w:val="18"/>
          <w:szCs w:val="18"/>
        </w:rPr>
        <w:t>Masterplan kantoorhuisvesting</w:t>
      </w:r>
    </w:p>
    <w:p w:rsidRPr="00AA2967" w:rsidR="00315371" w:rsidP="00BE3B92" w:rsidRDefault="00315371">
      <w:pPr>
        <w:rPr>
          <w:rFonts w:ascii="Verdana" w:hAnsi="Verdana"/>
          <w:sz w:val="18"/>
          <w:szCs w:val="18"/>
        </w:rPr>
      </w:pPr>
      <w:r w:rsidRPr="00AA2967">
        <w:rPr>
          <w:rFonts w:ascii="Verdana" w:hAnsi="Verdana"/>
          <w:sz w:val="18"/>
          <w:szCs w:val="18"/>
        </w:rPr>
        <w:t xml:space="preserve">Het krimpen en samengaan van de kantoorhuisvesting van de Rijksdienst in Den Haag leidt tot afstoot van panden. Het boekverlies dat </w:t>
      </w:r>
      <w:r>
        <w:rPr>
          <w:rFonts w:ascii="Verdana" w:hAnsi="Verdana"/>
          <w:sz w:val="18"/>
          <w:szCs w:val="18"/>
        </w:rPr>
        <w:t>bij enkele departementen</w:t>
      </w:r>
      <w:r w:rsidRPr="00AA2967">
        <w:rPr>
          <w:rFonts w:ascii="Verdana" w:hAnsi="Verdana"/>
          <w:sz w:val="18"/>
          <w:szCs w:val="18"/>
        </w:rPr>
        <w:t xml:space="preserve"> optreed</w:t>
      </w:r>
      <w:r>
        <w:rPr>
          <w:rFonts w:ascii="Verdana" w:hAnsi="Verdana"/>
          <w:sz w:val="18"/>
          <w:szCs w:val="18"/>
        </w:rPr>
        <w:t>t</w:t>
      </w:r>
      <w:r w:rsidRPr="00AA2967">
        <w:rPr>
          <w:rFonts w:ascii="Verdana" w:hAnsi="Verdana"/>
          <w:sz w:val="18"/>
          <w:szCs w:val="18"/>
        </w:rPr>
        <w:t xml:space="preserve"> wordt gecompenseerd door de overige departementen. </w:t>
      </w:r>
    </w:p>
    <w:p w:rsidRPr="000C1722"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sidRPr="000C1722">
        <w:rPr>
          <w:rFonts w:ascii="Verdana" w:hAnsi="Verdana"/>
          <w:i/>
          <w:sz w:val="18"/>
          <w:szCs w:val="18"/>
        </w:rPr>
        <w:t>Compenserende kasschuif WW uitvoeringskosten</w:t>
      </w:r>
    </w:p>
    <w:p w:rsidRPr="00C96EBD" w:rsidR="00315371" w:rsidP="00212995" w:rsidRDefault="00315371">
      <w:pPr>
        <w:spacing w:line="276" w:lineRule="auto"/>
        <w:rPr>
          <w:rFonts w:ascii="Verdana" w:hAnsi="Verdana"/>
          <w:i/>
          <w:sz w:val="18"/>
          <w:szCs w:val="18"/>
        </w:rPr>
      </w:pPr>
      <w:r>
        <w:rPr>
          <w:rFonts w:ascii="Verdana" w:hAnsi="Verdana"/>
          <w:sz w:val="18"/>
          <w:szCs w:val="18"/>
        </w:rPr>
        <w:t>De tegenvallende WW-ontwikkeling leidt tot hogere uitvoeringskosten bij het UWV in 2012. Daarom worden uitvoeringskosten uit 2013 en 2014 naar voren geschoven (premiegefinancierd; hier niet zichtbaar). Om dit voor het hele SZA-kader budgettair neutraal te laten verlopen, worden elders op de begroting, voornamelijk vanaf het artikel nominaal en onvoorzien, uitgaven naar achteren geschoven. Deze compenserende kasschuif wordt hier zichtbaar.</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Eindejaarsmarge</w:t>
      </w:r>
    </w:p>
    <w:p w:rsidRPr="00C61910" w:rsidR="00315371" w:rsidP="00212995" w:rsidRDefault="00315371">
      <w:pPr>
        <w:spacing w:line="276" w:lineRule="auto"/>
        <w:rPr>
          <w:rFonts w:ascii="Verdana" w:hAnsi="Verdana"/>
          <w:sz w:val="18"/>
          <w:szCs w:val="18"/>
        </w:rPr>
      </w:pPr>
      <w:r>
        <w:rPr>
          <w:rFonts w:ascii="Verdana" w:hAnsi="Verdana"/>
          <w:sz w:val="18"/>
          <w:szCs w:val="18"/>
        </w:rPr>
        <w:t>Dit betreft de overheveling van eindejaarsmarge naar de begroting van SZW.</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Herijking verdeelmodel UWV</w:t>
      </w:r>
    </w:p>
    <w:p w:rsidRPr="00C61910" w:rsidR="00315371" w:rsidP="00212995" w:rsidRDefault="00315371">
      <w:pPr>
        <w:spacing w:line="276" w:lineRule="auto"/>
        <w:rPr>
          <w:rFonts w:ascii="Verdana" w:hAnsi="Verdana"/>
          <w:sz w:val="18"/>
          <w:szCs w:val="18"/>
        </w:rPr>
      </w:pPr>
      <w:r>
        <w:rPr>
          <w:rFonts w:ascii="Verdana" w:hAnsi="Verdana"/>
          <w:sz w:val="18"/>
          <w:szCs w:val="18"/>
        </w:rPr>
        <w:t xml:space="preserve">Door een herijking van het verdeelmodel van uitvoeringskosten van het UWV, heeft een verschuiving van geraamde uitvoeringskosten plaatsgevonden van premiegefinancierde regelingen naar begrotingsgefinancierde regelingen. Per saldo is de herijking budgettair neutraal; een tegengestelde mutatie doet zich voor bij de premiegefinancierde regelingen. </w:t>
      </w:r>
    </w:p>
    <w:p w:rsidRPr="00C61910"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Inzet eindejaarsmarge</w:t>
      </w:r>
    </w:p>
    <w:p w:rsidRPr="00C61910" w:rsidR="00315371" w:rsidP="00212995" w:rsidRDefault="00315371">
      <w:pPr>
        <w:spacing w:line="276" w:lineRule="auto"/>
        <w:rPr>
          <w:rFonts w:ascii="Verdana" w:hAnsi="Verdana"/>
          <w:sz w:val="18"/>
          <w:szCs w:val="18"/>
        </w:rPr>
      </w:pPr>
      <w:r>
        <w:rPr>
          <w:rFonts w:ascii="Verdana" w:hAnsi="Verdana"/>
          <w:sz w:val="18"/>
          <w:szCs w:val="18"/>
        </w:rPr>
        <w:t>Een deel van de uitgekeerde eindejaarsmarge wordt ingezet ter dekking van SZA-problematiek.</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Loonbijstelling tranche 2012</w:t>
      </w:r>
    </w:p>
    <w:p w:rsidRPr="00C61910" w:rsidR="00315371" w:rsidP="00212995" w:rsidRDefault="00315371">
      <w:pPr>
        <w:spacing w:line="276" w:lineRule="auto"/>
        <w:contextualSpacing/>
        <w:rPr>
          <w:rFonts w:ascii="Verdana" w:hAnsi="Verdana"/>
          <w:sz w:val="18"/>
          <w:szCs w:val="18"/>
        </w:rPr>
      </w:pPr>
      <w:r w:rsidRPr="003D345C">
        <w:rPr>
          <w:rFonts w:ascii="Verdana" w:hAnsi="Verdana" w:cs="Courier New"/>
          <w:sz w:val="18"/>
          <w:szCs w:val="18"/>
        </w:rPr>
        <w:t>Dit betreft de uitkering van de loonbijstelling 201</w:t>
      </w:r>
      <w:r>
        <w:rPr>
          <w:rFonts w:ascii="Verdana" w:hAnsi="Verdana" w:cs="Courier New"/>
          <w:sz w:val="18"/>
          <w:szCs w:val="18"/>
        </w:rPr>
        <w:t>2</w:t>
      </w:r>
      <w:r w:rsidRPr="003D345C">
        <w:rPr>
          <w:rFonts w:ascii="Verdana" w:hAnsi="Verdana" w:cs="Courier New"/>
          <w:sz w:val="18"/>
          <w:szCs w:val="18"/>
        </w:rPr>
        <w:t xml:space="preserve"> naar de begroting van SZW. Het betreft een vergoeding voor de </w:t>
      </w:r>
      <w:r>
        <w:rPr>
          <w:rFonts w:ascii="Verdana" w:hAnsi="Verdana" w:cs="Courier New"/>
          <w:sz w:val="18"/>
          <w:szCs w:val="18"/>
        </w:rPr>
        <w:t xml:space="preserve">gestegen </w:t>
      </w:r>
      <w:r w:rsidRPr="003D345C">
        <w:rPr>
          <w:rFonts w:ascii="Verdana" w:hAnsi="Verdana" w:cs="Courier New"/>
          <w:sz w:val="18"/>
          <w:szCs w:val="18"/>
        </w:rPr>
        <w:t>sociale lasten van de werkgever</w:t>
      </w:r>
      <w:r>
        <w:rPr>
          <w:rFonts w:ascii="Verdana" w:hAnsi="Verdana" w:cs="Courier New"/>
          <w:sz w:val="18"/>
          <w:szCs w:val="18"/>
        </w:rPr>
        <w:t>.</w:t>
      </w:r>
      <w:r w:rsidRPr="003D345C">
        <w:rPr>
          <w:rFonts w:ascii="Verdana" w:hAnsi="Verdana" w:cs="Courier New"/>
          <w:sz w:val="18"/>
          <w:szCs w:val="18"/>
        </w:rPr>
        <w:t xml:space="preserve"> </w:t>
      </w:r>
    </w:p>
    <w:p w:rsidR="00315371" w:rsidP="00212995" w:rsidRDefault="00315371">
      <w:pPr>
        <w:spacing w:line="276" w:lineRule="auto"/>
        <w:rPr>
          <w:rFonts w:ascii="Verdana" w:hAnsi="Verdana"/>
          <w:i/>
          <w:sz w:val="18"/>
          <w:szCs w:val="18"/>
        </w:rPr>
      </w:pPr>
    </w:p>
    <w:p w:rsidRPr="001F1356" w:rsidR="00315371" w:rsidP="00212995" w:rsidRDefault="00315371">
      <w:pPr>
        <w:spacing w:line="276" w:lineRule="auto"/>
        <w:rPr>
          <w:rFonts w:ascii="Verdana" w:hAnsi="Verdana"/>
          <w:i/>
          <w:iCs/>
          <w:sz w:val="18"/>
          <w:szCs w:val="18"/>
        </w:rPr>
      </w:pPr>
      <w:r w:rsidRPr="001F1356">
        <w:rPr>
          <w:rFonts w:ascii="Verdana" w:hAnsi="Verdana"/>
          <w:i/>
          <w:iCs/>
          <w:sz w:val="18"/>
          <w:szCs w:val="18"/>
        </w:rPr>
        <w:t>Rijksbijdrage vermogenstekort ouderdomsfonds</w:t>
      </w:r>
    </w:p>
    <w:p w:rsidRPr="001F1356" w:rsidR="00315371" w:rsidP="00212995" w:rsidRDefault="00315371">
      <w:pPr>
        <w:spacing w:line="276" w:lineRule="auto"/>
        <w:rPr>
          <w:rFonts w:ascii="Verdana" w:hAnsi="Verdana"/>
          <w:sz w:val="18"/>
          <w:szCs w:val="18"/>
        </w:rPr>
      </w:pPr>
      <w:r w:rsidRPr="001F1356">
        <w:rPr>
          <w:rFonts w:ascii="Verdana" w:hAnsi="Verdana"/>
          <w:sz w:val="18"/>
          <w:szCs w:val="18"/>
        </w:rPr>
        <w:t>De raming van de premie-inkomsten in het ouderdomsfonds is neerwaarts bijgesteld op basis van cijfers uit het Centraal Economisch Plan van het CPB. Hierdoor wordt de benodigde rijksbijdrage om het vermogenstekort aan te vullen groter.</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b/>
          <w:sz w:val="18"/>
          <w:szCs w:val="18"/>
        </w:rPr>
      </w:pPr>
      <w:r>
        <w:br w:type="page"/>
      </w:r>
      <w:r w:rsidRPr="00B92FA0">
        <w:rPr>
          <w:rFonts w:ascii="Verdana" w:hAnsi="Verdana"/>
          <w:b/>
          <w:sz w:val="18"/>
          <w:szCs w:val="18"/>
        </w:rPr>
        <w:t xml:space="preserve">Sociale </w:t>
      </w:r>
      <w:r>
        <w:rPr>
          <w:rFonts w:ascii="Verdana" w:hAnsi="Verdana"/>
          <w:b/>
          <w:sz w:val="18"/>
          <w:szCs w:val="18"/>
        </w:rPr>
        <w:t>Z</w:t>
      </w:r>
      <w:r w:rsidRPr="00B92FA0">
        <w:rPr>
          <w:rFonts w:ascii="Verdana" w:hAnsi="Verdana"/>
          <w:b/>
          <w:sz w:val="18"/>
          <w:szCs w:val="18"/>
        </w:rPr>
        <w:t>ekerheid</w:t>
      </w:r>
    </w:p>
    <w:tbl>
      <w:tblPr>
        <w:tblW w:w="5000" w:type="pct"/>
        <w:tblCellMar>
          <w:top w:w="15" w:type="dxa"/>
          <w:left w:w="15" w:type="dxa"/>
          <w:bottom w:w="15" w:type="dxa"/>
          <w:right w:w="15" w:type="dxa"/>
        </w:tblCellMar>
        <w:tblLook w:val="00A0"/>
      </w:tblPr>
      <w:tblGrid>
        <w:gridCol w:w="4058"/>
        <w:gridCol w:w="1008"/>
        <w:gridCol w:w="1009"/>
        <w:gridCol w:w="1009"/>
        <w:gridCol w:w="1009"/>
        <w:gridCol w:w="1009"/>
      </w:tblGrid>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4"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4"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4"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4"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3"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SOCIALE ZEKERHEID: UITGAVEN</w:t>
            </w:r>
          </w:p>
        </w:tc>
        <w:tc>
          <w:tcPr>
            <w:tcW w:w="2770" w:type="pct"/>
            <w:gridSpan w:val="5"/>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bedragen in miljoenen euro's</w:t>
            </w:r>
          </w:p>
        </w:tc>
      </w:tr>
      <w:tr w:rsidRPr="00DF174B" w:rsidR="00315371" w:rsidTr="00DF174B">
        <w:tc>
          <w:tcPr>
            <w:tcW w:w="2230" w:type="pct"/>
            <w:tcBorders>
              <w:top w:val="single" w:color="000000" w:sz="6" w:space="0"/>
              <w:left w:val="nil"/>
              <w:bottom w:val="single" w:color="000000" w:sz="6" w:space="0"/>
              <w:right w:val="nil"/>
            </w:tcBorders>
          </w:tcPr>
          <w:p w:rsidRPr="00DF174B" w:rsidR="00315371" w:rsidP="00A601CB" w:rsidRDefault="00315371">
            <w:pPr>
              <w:jc w:val="right"/>
              <w:rPr>
                <w:rFonts w:ascii="Verdana" w:hAnsi="Verdana" w:cs="Courier New"/>
                <w:sz w:val="16"/>
                <w:szCs w:val="16"/>
              </w:rPr>
            </w:pPr>
          </w:p>
        </w:tc>
        <w:tc>
          <w:tcPr>
            <w:tcW w:w="554" w:type="pct"/>
            <w:tcBorders>
              <w:top w:val="single" w:color="000000" w:sz="6" w:space="0"/>
              <w:left w:val="nil"/>
              <w:bottom w:val="single" w:color="000000" w:sz="6" w:space="0"/>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2012</w:t>
            </w:r>
          </w:p>
        </w:tc>
        <w:tc>
          <w:tcPr>
            <w:tcW w:w="554" w:type="pct"/>
            <w:tcBorders>
              <w:top w:val="single" w:color="000000" w:sz="6" w:space="0"/>
              <w:left w:val="nil"/>
              <w:bottom w:val="single" w:color="000000" w:sz="6" w:space="0"/>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2013</w:t>
            </w:r>
          </w:p>
        </w:tc>
        <w:tc>
          <w:tcPr>
            <w:tcW w:w="554" w:type="pct"/>
            <w:tcBorders>
              <w:top w:val="single" w:color="000000" w:sz="6" w:space="0"/>
              <w:left w:val="nil"/>
              <w:bottom w:val="single" w:color="000000" w:sz="6" w:space="0"/>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2014</w:t>
            </w:r>
          </w:p>
        </w:tc>
        <w:tc>
          <w:tcPr>
            <w:tcW w:w="554" w:type="pct"/>
            <w:tcBorders>
              <w:top w:val="single" w:color="000000" w:sz="6" w:space="0"/>
              <w:left w:val="nil"/>
              <w:bottom w:val="single" w:color="000000" w:sz="6" w:space="0"/>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2015</w:t>
            </w:r>
          </w:p>
        </w:tc>
        <w:tc>
          <w:tcPr>
            <w:tcW w:w="553" w:type="pct"/>
            <w:tcBorders>
              <w:top w:val="single" w:color="000000" w:sz="6" w:space="0"/>
              <w:left w:val="nil"/>
              <w:bottom w:val="single" w:color="000000" w:sz="6" w:space="0"/>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2016</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Stand Miljoenennota 2012</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70.754,5</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72.755,2</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75.077,8</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77.479,0</w:t>
            </w:r>
          </w:p>
        </w:tc>
        <w:tc>
          <w:tcPr>
            <w:tcW w:w="553"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80.025,0</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Mee- en tegenvallers</w:t>
            </w: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3" w:type="pct"/>
          </w:tcPr>
          <w:p w:rsidRPr="00DF174B" w:rsidR="00315371" w:rsidP="00A601CB" w:rsidRDefault="00315371">
            <w:pPr>
              <w:rPr>
                <w:rFonts w:ascii="Verdana" w:hAnsi="Verdana"/>
                <w:sz w:val="16"/>
                <w:szCs w:val="16"/>
              </w:rPr>
            </w:pPr>
          </w:p>
        </w:tc>
      </w:tr>
      <w:tr w:rsidRPr="00DF174B" w:rsidR="00315371" w:rsidTr="00DF174B">
        <w:tc>
          <w:tcPr>
            <w:tcW w:w="2230" w:type="pct"/>
            <w:tcBorders>
              <w:left w:val="nil"/>
              <w:right w:val="nil"/>
            </w:tcBorders>
            <w:tcMar>
              <w:top w:w="15" w:type="dxa"/>
              <w:left w:w="180" w:type="dxa"/>
              <w:bottom w:w="15" w:type="dxa"/>
              <w:right w:w="15" w:type="dxa"/>
            </w:tcMar>
          </w:tcPr>
          <w:p w:rsidRPr="00DF174B" w:rsidR="00315371" w:rsidP="00DF174B" w:rsidRDefault="00315371">
            <w:pPr>
              <w:ind w:firstLine="160" w:firstLineChars="100"/>
              <w:rPr>
                <w:rFonts w:ascii="Verdana" w:hAnsi="Verdana" w:cs="Courier New"/>
                <w:sz w:val="16"/>
                <w:szCs w:val="16"/>
              </w:rPr>
            </w:pPr>
            <w:r w:rsidRPr="00DF174B">
              <w:rPr>
                <w:rFonts w:ascii="Verdana" w:hAnsi="Verdana" w:cs="Courier New"/>
                <w:sz w:val="16"/>
                <w:szCs w:val="16"/>
              </w:rPr>
              <w:t>Sociale zekerheid</w:t>
            </w: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3" w:type="pct"/>
          </w:tcPr>
          <w:p w:rsidRPr="00DF174B" w:rsidR="00315371" w:rsidP="00A601CB" w:rsidRDefault="00315371">
            <w:pPr>
              <w:rPr>
                <w:rFonts w:ascii="Verdana" w:hAnsi="Verdana"/>
                <w:sz w:val="16"/>
                <w:szCs w:val="16"/>
              </w:rPr>
            </w:pP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Bijstand</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442,9</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881,2</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1.010,5</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846,2</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746,3</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I</w:t>
            </w:r>
            <w:r>
              <w:rPr>
                <w:rFonts w:ascii="Verdana" w:hAnsi="Verdana" w:cs="Courier New"/>
                <w:sz w:val="16"/>
                <w:szCs w:val="16"/>
              </w:rPr>
              <w:t>VA</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-76,3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-114,9</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-169,2</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-229,9</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-268,5</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Kinderopvangtoeslag</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-7,6</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-30,8</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-58,0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-88,4</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-144,6</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Nominale ontwikkeling</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-89,3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-927,9</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-1.436,7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-1.608,8</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-1.820,3</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Wajong</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-26,3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-27,0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-25,7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-26,0</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-26,3</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W</w:t>
            </w:r>
            <w:r>
              <w:rPr>
                <w:rFonts w:ascii="Verdana" w:hAnsi="Verdana" w:cs="Courier New"/>
                <w:sz w:val="16"/>
                <w:szCs w:val="16"/>
              </w:rPr>
              <w:t>AO</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101,2</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112,7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124,3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129,4</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127,3</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W</w:t>
            </w:r>
            <w:r>
              <w:rPr>
                <w:rFonts w:ascii="Verdana" w:hAnsi="Verdana" w:cs="Courier New"/>
                <w:sz w:val="16"/>
                <w:szCs w:val="16"/>
              </w:rPr>
              <w:t>GA</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26,4</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75,7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154,7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236,6</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303,3</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W</w:t>
            </w:r>
            <w:r>
              <w:rPr>
                <w:rFonts w:ascii="Verdana" w:hAnsi="Verdana" w:cs="Courier New"/>
                <w:sz w:val="16"/>
                <w:szCs w:val="16"/>
              </w:rPr>
              <w:t>W</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1.092,2</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1.297,6</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1.108,6</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894,5</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523,7</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Pr>
                <w:rFonts w:ascii="Verdana" w:hAnsi="Verdana" w:cs="Courier New"/>
                <w:sz w:val="16"/>
                <w:szCs w:val="16"/>
              </w:rPr>
              <w:t>WW</w:t>
            </w:r>
            <w:r w:rsidRPr="00DF174B">
              <w:rPr>
                <w:rFonts w:ascii="Verdana" w:hAnsi="Verdana" w:cs="Courier New"/>
                <w:sz w:val="16"/>
                <w:szCs w:val="16"/>
              </w:rPr>
              <w:t xml:space="preserve"> uitvoeringskosten</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171,4</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149,1</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84,2</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70,4</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Diversen</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3,9</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23,4</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27,3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25,9</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9,1</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1.467,1</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1.461,4</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884,9</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263,7</w:t>
            </w:r>
          </w:p>
        </w:tc>
        <w:tc>
          <w:tcPr>
            <w:tcW w:w="553"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-479,6</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Beleidsmatige mutaties</w:t>
            </w: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3" w:type="pct"/>
          </w:tcPr>
          <w:p w:rsidRPr="00DF174B" w:rsidR="00315371" w:rsidP="00A601CB" w:rsidRDefault="00315371">
            <w:pPr>
              <w:rPr>
                <w:rFonts w:ascii="Verdana" w:hAnsi="Verdana"/>
                <w:sz w:val="16"/>
                <w:szCs w:val="16"/>
              </w:rPr>
            </w:pPr>
          </w:p>
        </w:tc>
      </w:tr>
      <w:tr w:rsidRPr="00DF174B" w:rsidR="00315371" w:rsidTr="00DF174B">
        <w:tc>
          <w:tcPr>
            <w:tcW w:w="2230" w:type="pct"/>
            <w:tcBorders>
              <w:left w:val="nil"/>
              <w:right w:val="nil"/>
            </w:tcBorders>
            <w:tcMar>
              <w:top w:w="15" w:type="dxa"/>
              <w:left w:w="180" w:type="dxa"/>
              <w:bottom w:w="15" w:type="dxa"/>
              <w:right w:w="15" w:type="dxa"/>
            </w:tcMar>
          </w:tcPr>
          <w:p w:rsidRPr="00DF174B" w:rsidR="00315371" w:rsidP="00DF174B" w:rsidRDefault="00315371">
            <w:pPr>
              <w:ind w:firstLine="160" w:firstLineChars="100"/>
              <w:rPr>
                <w:rFonts w:ascii="Verdana" w:hAnsi="Verdana" w:cs="Courier New"/>
                <w:sz w:val="16"/>
                <w:szCs w:val="16"/>
              </w:rPr>
            </w:pPr>
            <w:r w:rsidRPr="00DF174B">
              <w:rPr>
                <w:rFonts w:ascii="Verdana" w:hAnsi="Verdana" w:cs="Courier New"/>
                <w:sz w:val="16"/>
                <w:szCs w:val="16"/>
              </w:rPr>
              <w:t>Sociale zekerheid</w:t>
            </w: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3" w:type="pct"/>
          </w:tcPr>
          <w:p w:rsidRPr="00DF174B" w:rsidR="00315371" w:rsidP="00A601CB" w:rsidRDefault="00315371">
            <w:pPr>
              <w:rPr>
                <w:rFonts w:ascii="Verdana" w:hAnsi="Verdana"/>
                <w:sz w:val="16"/>
                <w:szCs w:val="16"/>
              </w:rPr>
            </w:pP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Pr>
                <w:rFonts w:ascii="Verdana" w:hAnsi="Verdana" w:cs="Courier New"/>
                <w:sz w:val="16"/>
                <w:szCs w:val="16"/>
              </w:rPr>
              <w:t>Compenserende kasschuif WW</w:t>
            </w:r>
            <w:r w:rsidRPr="00DF174B">
              <w:rPr>
                <w:rFonts w:ascii="Verdana" w:hAnsi="Verdana" w:cs="Courier New"/>
                <w:sz w:val="16"/>
                <w:szCs w:val="16"/>
              </w:rPr>
              <w:t xml:space="preserve"> uitvoeringskosten</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-50,0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22,0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28,0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Pr>
                <w:rFonts w:ascii="Verdana" w:hAnsi="Verdana" w:cs="Courier New"/>
                <w:sz w:val="16"/>
                <w:szCs w:val="16"/>
              </w:rPr>
              <w:t>Kasschuif WW</w:t>
            </w:r>
            <w:r w:rsidRPr="00DF174B">
              <w:rPr>
                <w:rFonts w:ascii="Verdana" w:hAnsi="Verdana" w:cs="Courier New"/>
                <w:sz w:val="16"/>
                <w:szCs w:val="16"/>
              </w:rPr>
              <w:t xml:space="preserve"> uitvoeringskosten</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50,0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-22,0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-28,0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Nullijn 2012</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-93,7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-90,1</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-87,3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-86,6</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-89,4</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Pr>
                <w:rFonts w:ascii="Verdana" w:hAnsi="Verdana" w:cs="Courier New"/>
                <w:sz w:val="16"/>
                <w:szCs w:val="16"/>
              </w:rPr>
              <w:t>Nullijn UWV</w:t>
            </w:r>
            <w:r w:rsidRPr="00DF174B">
              <w:rPr>
                <w:rFonts w:ascii="Verdana" w:hAnsi="Verdana" w:cs="Courier New"/>
                <w:sz w:val="16"/>
                <w:szCs w:val="16"/>
              </w:rPr>
              <w:t xml:space="preserve"> en </w:t>
            </w:r>
            <w:r>
              <w:rPr>
                <w:rFonts w:ascii="Verdana" w:hAnsi="Verdana" w:cs="Courier New"/>
                <w:sz w:val="16"/>
                <w:szCs w:val="16"/>
              </w:rPr>
              <w:t>SVB</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-18,1</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-34,0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-33,1</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-32,7</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-33,3</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Uitstel wetsvoorstel fraude</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33,5</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33,7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0,0</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Diversen</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26,5</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1,4</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21,4</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6,7</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-11,9</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-51,8</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-89,0</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-99,0</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-112,6</w:t>
            </w:r>
          </w:p>
        </w:tc>
        <w:tc>
          <w:tcPr>
            <w:tcW w:w="553"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-134,6</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Technische mutaties</w:t>
            </w: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3" w:type="pct"/>
          </w:tcPr>
          <w:p w:rsidRPr="00DF174B" w:rsidR="00315371" w:rsidP="00A601CB" w:rsidRDefault="00315371">
            <w:pPr>
              <w:rPr>
                <w:rFonts w:ascii="Verdana" w:hAnsi="Verdana"/>
                <w:sz w:val="16"/>
                <w:szCs w:val="16"/>
              </w:rPr>
            </w:pPr>
          </w:p>
        </w:tc>
      </w:tr>
      <w:tr w:rsidRPr="00DF174B" w:rsidR="00315371" w:rsidTr="00DF174B">
        <w:tc>
          <w:tcPr>
            <w:tcW w:w="2230" w:type="pct"/>
            <w:tcBorders>
              <w:left w:val="nil"/>
              <w:right w:val="nil"/>
            </w:tcBorders>
            <w:tcMar>
              <w:top w:w="15" w:type="dxa"/>
              <w:left w:w="180" w:type="dxa"/>
              <w:bottom w:w="15" w:type="dxa"/>
              <w:right w:w="15" w:type="dxa"/>
            </w:tcMar>
          </w:tcPr>
          <w:p w:rsidRPr="00DF174B" w:rsidR="00315371" w:rsidP="00DF174B" w:rsidRDefault="00315371">
            <w:pPr>
              <w:ind w:firstLine="160" w:firstLineChars="100"/>
              <w:rPr>
                <w:rFonts w:ascii="Verdana" w:hAnsi="Verdana" w:cs="Courier New"/>
                <w:sz w:val="16"/>
                <w:szCs w:val="16"/>
              </w:rPr>
            </w:pPr>
            <w:r w:rsidRPr="00DF174B">
              <w:rPr>
                <w:rFonts w:ascii="Verdana" w:hAnsi="Verdana" w:cs="Courier New"/>
                <w:sz w:val="16"/>
                <w:szCs w:val="16"/>
              </w:rPr>
              <w:t>Sociale zekerheid</w:t>
            </w: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4" w:type="pct"/>
          </w:tcPr>
          <w:p w:rsidRPr="00DF174B" w:rsidR="00315371" w:rsidP="00A601CB" w:rsidRDefault="00315371">
            <w:pPr>
              <w:rPr>
                <w:rFonts w:ascii="Verdana" w:hAnsi="Verdana"/>
                <w:sz w:val="16"/>
                <w:szCs w:val="16"/>
              </w:rPr>
            </w:pPr>
          </w:p>
        </w:tc>
        <w:tc>
          <w:tcPr>
            <w:tcW w:w="553" w:type="pct"/>
          </w:tcPr>
          <w:p w:rsidRPr="00DF174B" w:rsidR="00315371" w:rsidP="00A601CB" w:rsidRDefault="00315371">
            <w:pPr>
              <w:rPr>
                <w:rFonts w:ascii="Verdana" w:hAnsi="Verdana"/>
                <w:sz w:val="16"/>
                <w:szCs w:val="16"/>
              </w:rPr>
            </w:pP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Bruteringseffecten</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53,6</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187,6</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136,9</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112,4</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134,7</w:t>
            </w:r>
          </w:p>
        </w:tc>
      </w:tr>
      <w:tr w:rsidRPr="00DF174B" w:rsidR="00315371" w:rsidTr="00DF174B">
        <w:tc>
          <w:tcPr>
            <w:tcW w:w="2230" w:type="pct"/>
            <w:tcBorders>
              <w:left w:val="nil"/>
              <w:right w:val="nil"/>
            </w:tcBorders>
            <w:tcMar>
              <w:top w:w="15" w:type="dxa"/>
              <w:left w:w="360" w:type="dxa"/>
              <w:bottom w:w="15" w:type="dxa"/>
              <w:right w:w="15" w:type="dxa"/>
            </w:tcMar>
          </w:tcPr>
          <w:p w:rsidRPr="00DF174B" w:rsidR="00315371" w:rsidP="00DF174B" w:rsidRDefault="00315371">
            <w:pPr>
              <w:ind w:firstLine="320" w:firstLineChars="200"/>
              <w:rPr>
                <w:rFonts w:ascii="Verdana" w:hAnsi="Verdana" w:cs="Courier New"/>
                <w:sz w:val="16"/>
                <w:szCs w:val="16"/>
              </w:rPr>
            </w:pPr>
            <w:r w:rsidRPr="00DF174B">
              <w:rPr>
                <w:rFonts w:ascii="Verdana" w:hAnsi="Verdana" w:cs="Courier New"/>
                <w:sz w:val="16"/>
                <w:szCs w:val="16"/>
              </w:rPr>
              <w:t>Diversen</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-9,7</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-10,0</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-10,5</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-9,9</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 </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55,9</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177,9</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126,9</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101,9</w:t>
            </w:r>
          </w:p>
        </w:tc>
        <w:tc>
          <w:tcPr>
            <w:tcW w:w="553"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124,8</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p>
        </w:tc>
        <w:tc>
          <w:tcPr>
            <w:tcW w:w="554" w:type="pct"/>
            <w:vAlign w:val="center"/>
          </w:tcPr>
          <w:p w:rsidRPr="00DF174B" w:rsidR="00315371" w:rsidP="00A601CB" w:rsidRDefault="00315371">
            <w:pPr>
              <w:rPr>
                <w:rFonts w:ascii="Verdana" w:hAnsi="Verdana"/>
                <w:sz w:val="16"/>
                <w:szCs w:val="16"/>
              </w:rPr>
            </w:pPr>
          </w:p>
        </w:tc>
        <w:tc>
          <w:tcPr>
            <w:tcW w:w="554" w:type="pct"/>
            <w:vAlign w:val="center"/>
          </w:tcPr>
          <w:p w:rsidRPr="00DF174B" w:rsidR="00315371" w:rsidP="00A601CB" w:rsidRDefault="00315371">
            <w:pPr>
              <w:rPr>
                <w:rFonts w:ascii="Verdana" w:hAnsi="Verdana"/>
                <w:sz w:val="16"/>
                <w:szCs w:val="16"/>
              </w:rPr>
            </w:pPr>
          </w:p>
        </w:tc>
        <w:tc>
          <w:tcPr>
            <w:tcW w:w="554" w:type="pct"/>
            <w:vAlign w:val="center"/>
          </w:tcPr>
          <w:p w:rsidRPr="00DF174B" w:rsidR="00315371" w:rsidP="00A601CB" w:rsidRDefault="00315371">
            <w:pPr>
              <w:rPr>
                <w:rFonts w:ascii="Verdana" w:hAnsi="Verdana"/>
                <w:sz w:val="16"/>
                <w:szCs w:val="16"/>
              </w:rPr>
            </w:pPr>
          </w:p>
        </w:tc>
        <w:tc>
          <w:tcPr>
            <w:tcW w:w="554" w:type="pct"/>
            <w:vAlign w:val="center"/>
          </w:tcPr>
          <w:p w:rsidRPr="00DF174B" w:rsidR="00315371" w:rsidP="00A601CB" w:rsidRDefault="00315371">
            <w:pPr>
              <w:rPr>
                <w:rFonts w:ascii="Verdana" w:hAnsi="Verdana"/>
                <w:sz w:val="16"/>
                <w:szCs w:val="16"/>
              </w:rPr>
            </w:pPr>
          </w:p>
        </w:tc>
        <w:tc>
          <w:tcPr>
            <w:tcW w:w="553" w:type="pct"/>
            <w:vAlign w:val="center"/>
          </w:tcPr>
          <w:p w:rsidRPr="00DF174B" w:rsidR="00315371" w:rsidP="00A601CB" w:rsidRDefault="00315371">
            <w:pPr>
              <w:rPr>
                <w:rFonts w:ascii="Verdana" w:hAnsi="Verdana"/>
                <w:sz w:val="16"/>
                <w:szCs w:val="16"/>
              </w:rPr>
            </w:pP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Totaal mutaties sinds Miljoenennota 2012</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1.471,3</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1.550,2</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912,8</w:t>
            </w:r>
          </w:p>
        </w:tc>
        <w:tc>
          <w:tcPr>
            <w:tcW w:w="554"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253,0</w:t>
            </w:r>
          </w:p>
        </w:tc>
        <w:tc>
          <w:tcPr>
            <w:tcW w:w="553" w:type="pct"/>
            <w:tcBorders>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-489,4</w:t>
            </w:r>
          </w:p>
        </w:tc>
      </w:tr>
      <w:tr w:rsidRPr="00DF174B" w:rsidR="00315371" w:rsidTr="00DF174B">
        <w:tc>
          <w:tcPr>
            <w:tcW w:w="2230" w:type="pct"/>
            <w:tcBorders>
              <w:left w:val="nil"/>
              <w:right w:val="nil"/>
            </w:tcBorders>
          </w:tcPr>
          <w:p w:rsidRPr="00DF174B" w:rsidR="00315371" w:rsidP="00A601CB" w:rsidRDefault="00315371">
            <w:pPr>
              <w:rPr>
                <w:rFonts w:ascii="Verdana" w:hAnsi="Verdana" w:cs="Courier New"/>
                <w:sz w:val="16"/>
                <w:szCs w:val="16"/>
              </w:rPr>
            </w:pPr>
            <w:r w:rsidRPr="00DF174B">
              <w:rPr>
                <w:rFonts w:ascii="Verdana" w:hAnsi="Verdana" w:cs="Courier New"/>
                <w:sz w:val="16"/>
                <w:szCs w:val="16"/>
              </w:rPr>
              <w:t>Stand Voorjaarsnota 2012</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72.225,8</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74.305,3</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75.990,6</w:t>
            </w:r>
          </w:p>
        </w:tc>
        <w:tc>
          <w:tcPr>
            <w:tcW w:w="554"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77.732,0</w:t>
            </w:r>
          </w:p>
        </w:tc>
        <w:tc>
          <w:tcPr>
            <w:tcW w:w="553" w:type="pct"/>
            <w:tcBorders>
              <w:top w:val="single" w:color="000000" w:sz="6" w:space="0"/>
              <w:left w:val="nil"/>
              <w:right w:val="nil"/>
            </w:tcBorders>
          </w:tcPr>
          <w:p w:rsidRPr="00DF174B" w:rsidR="00315371" w:rsidP="00A601CB" w:rsidRDefault="00315371">
            <w:pPr>
              <w:jc w:val="right"/>
              <w:rPr>
                <w:rFonts w:ascii="Verdana" w:hAnsi="Verdana" w:cs="Courier New"/>
                <w:sz w:val="16"/>
                <w:szCs w:val="16"/>
              </w:rPr>
            </w:pPr>
            <w:r w:rsidRPr="00DF174B">
              <w:rPr>
                <w:rFonts w:ascii="Verdana" w:hAnsi="Verdana" w:cs="Courier New"/>
                <w:sz w:val="16"/>
                <w:szCs w:val="16"/>
              </w:rPr>
              <w:t>79.535,7</w:t>
            </w:r>
          </w:p>
        </w:tc>
      </w:tr>
    </w:tbl>
    <w:p w:rsidR="00315371" w:rsidP="00CE7197" w:rsidRDefault="00315371">
      <w:pPr>
        <w:spacing w:line="276" w:lineRule="auto"/>
      </w:pPr>
    </w:p>
    <w:p w:rsidR="00315371" w:rsidP="00CE7197" w:rsidRDefault="00315371">
      <w:pPr>
        <w:spacing w:line="276" w:lineRule="auto"/>
      </w:pPr>
    </w:p>
    <w:tbl>
      <w:tblPr>
        <w:tblW w:w="0" w:type="auto"/>
        <w:tblCellMar>
          <w:top w:w="15" w:type="dxa"/>
          <w:left w:w="15" w:type="dxa"/>
          <w:bottom w:w="15" w:type="dxa"/>
          <w:right w:w="15" w:type="dxa"/>
        </w:tblCellMar>
        <w:tblLook w:val="00A0"/>
      </w:tblPr>
      <w:tblGrid>
        <w:gridCol w:w="4420"/>
        <w:gridCol w:w="968"/>
        <w:gridCol w:w="889"/>
        <w:gridCol w:w="889"/>
        <w:gridCol w:w="968"/>
        <w:gridCol w:w="968"/>
      </w:tblGrid>
      <w:tr w:rsidRPr="004E1AE4" w:rsidR="00315371" w:rsidTr="002905DD">
        <w:tc>
          <w:tcPr>
            <w:tcW w:w="4354" w:type="dxa"/>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c>
          <w:tcPr>
            <w:tcW w:w="980" w:type="dxa"/>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c>
          <w:tcPr>
            <w:tcW w:w="904" w:type="dxa"/>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c>
          <w:tcPr>
            <w:tcW w:w="904" w:type="dxa"/>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c>
          <w:tcPr>
            <w:tcW w:w="980" w:type="dxa"/>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c>
          <w:tcPr>
            <w:tcW w:w="980" w:type="dxa"/>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SOCIALE ZEKERHEID: NIET-BELASTINGONTVANGSTEN</w:t>
            </w:r>
          </w:p>
        </w:tc>
        <w:tc>
          <w:tcPr>
            <w:tcW w:w="0" w:type="auto"/>
            <w:gridSpan w:val="5"/>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bedragen in miljoenen euro's</w:t>
            </w:r>
          </w:p>
        </w:tc>
      </w:tr>
      <w:tr w:rsidRPr="004E1AE4" w:rsidR="00315371" w:rsidTr="001D1BC1">
        <w:tc>
          <w:tcPr>
            <w:tcW w:w="0" w:type="auto"/>
            <w:tcBorders>
              <w:top w:val="single" w:color="000000" w:sz="4" w:space="0"/>
              <w:left w:val="nil"/>
              <w:bottom w:val="single" w:color="000000" w:sz="4" w:space="0"/>
              <w:right w:val="nil"/>
            </w:tcBorders>
          </w:tcPr>
          <w:p w:rsidRPr="004E1AE4" w:rsidR="00315371" w:rsidP="001D1BC1" w:rsidRDefault="00315371">
            <w:pPr>
              <w:jc w:val="right"/>
              <w:rPr>
                <w:rFonts w:ascii="Verdana" w:hAnsi="Verdana" w:cs="Courier New"/>
                <w:sz w:val="16"/>
                <w:szCs w:val="16"/>
              </w:rPr>
            </w:pPr>
          </w:p>
        </w:tc>
        <w:tc>
          <w:tcPr>
            <w:tcW w:w="0" w:type="auto"/>
            <w:tcBorders>
              <w:top w:val="single" w:color="000000" w:sz="4" w:space="0"/>
              <w:left w:val="nil"/>
              <w:bottom w:val="single" w:color="000000" w:sz="4" w:space="0"/>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2012</w:t>
            </w:r>
          </w:p>
        </w:tc>
        <w:tc>
          <w:tcPr>
            <w:tcW w:w="0" w:type="auto"/>
            <w:tcBorders>
              <w:top w:val="single" w:color="000000" w:sz="4" w:space="0"/>
              <w:left w:val="nil"/>
              <w:bottom w:val="single" w:color="000000" w:sz="4" w:space="0"/>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2013</w:t>
            </w:r>
          </w:p>
        </w:tc>
        <w:tc>
          <w:tcPr>
            <w:tcW w:w="0" w:type="auto"/>
            <w:tcBorders>
              <w:top w:val="single" w:color="000000" w:sz="4" w:space="0"/>
              <w:left w:val="nil"/>
              <w:bottom w:val="single" w:color="000000" w:sz="4" w:space="0"/>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2014</w:t>
            </w:r>
          </w:p>
        </w:tc>
        <w:tc>
          <w:tcPr>
            <w:tcW w:w="0" w:type="auto"/>
            <w:tcBorders>
              <w:top w:val="single" w:color="000000" w:sz="4" w:space="0"/>
              <w:left w:val="nil"/>
              <w:bottom w:val="single" w:color="000000" w:sz="4" w:space="0"/>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2015</w:t>
            </w:r>
          </w:p>
        </w:tc>
        <w:tc>
          <w:tcPr>
            <w:tcW w:w="0" w:type="auto"/>
            <w:tcBorders>
              <w:top w:val="single" w:color="000000" w:sz="4" w:space="0"/>
              <w:left w:val="nil"/>
              <w:bottom w:val="single" w:color="000000" w:sz="4" w:space="0"/>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2016</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Stand Miljoenennota 2012</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1.079,6</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933,1</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943,2</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1.040,3</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1.051,1</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Mee- en tegenvallers</w:t>
            </w: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r>
      <w:tr w:rsidRPr="004E1AE4" w:rsidR="00315371" w:rsidTr="001D1BC1">
        <w:tc>
          <w:tcPr>
            <w:tcW w:w="0" w:type="auto"/>
            <w:tcBorders>
              <w:left w:val="nil"/>
              <w:right w:val="nil"/>
            </w:tcBorders>
            <w:tcMar>
              <w:top w:w="15" w:type="dxa"/>
              <w:left w:w="150" w:type="dxa"/>
              <w:bottom w:w="15" w:type="dxa"/>
              <w:right w:w="15" w:type="dxa"/>
            </w:tcMar>
          </w:tcPr>
          <w:p w:rsidRPr="004E1AE4" w:rsidR="00315371" w:rsidP="001D1BC1" w:rsidRDefault="00315371">
            <w:pPr>
              <w:ind w:firstLine="160" w:firstLineChars="100"/>
              <w:rPr>
                <w:rFonts w:ascii="Verdana" w:hAnsi="Verdana" w:cs="Courier New"/>
                <w:sz w:val="16"/>
                <w:szCs w:val="16"/>
              </w:rPr>
            </w:pPr>
            <w:r w:rsidRPr="004E1AE4">
              <w:rPr>
                <w:rFonts w:ascii="Verdana" w:hAnsi="Verdana" w:cs="Courier New"/>
                <w:sz w:val="16"/>
                <w:szCs w:val="16"/>
              </w:rPr>
              <w:t>Sociale zekerheid</w:t>
            </w: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r>
      <w:tr w:rsidRPr="004E1AE4" w:rsidR="00315371" w:rsidTr="001D1BC1">
        <w:tc>
          <w:tcPr>
            <w:tcW w:w="0" w:type="auto"/>
            <w:tcBorders>
              <w:left w:val="nil"/>
              <w:right w:val="nil"/>
            </w:tcBorders>
            <w:tcMar>
              <w:top w:w="15" w:type="dxa"/>
              <w:left w:w="301" w:type="dxa"/>
              <w:bottom w:w="15" w:type="dxa"/>
              <w:right w:w="15" w:type="dxa"/>
            </w:tcMar>
          </w:tcPr>
          <w:p w:rsidRPr="004E1AE4" w:rsidR="00315371" w:rsidP="001D1BC1" w:rsidRDefault="00315371">
            <w:pPr>
              <w:ind w:firstLine="320" w:firstLineChars="200"/>
              <w:rPr>
                <w:rFonts w:ascii="Verdana" w:hAnsi="Verdana" w:cs="Courier New"/>
                <w:sz w:val="16"/>
                <w:szCs w:val="16"/>
              </w:rPr>
            </w:pPr>
            <w:r w:rsidRPr="004E1AE4">
              <w:rPr>
                <w:rFonts w:ascii="Verdana" w:hAnsi="Verdana" w:cs="Courier New"/>
                <w:sz w:val="16"/>
                <w:szCs w:val="16"/>
              </w:rPr>
              <w:t>Kinderopvangtoeslag</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47,1</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5,5</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-12,9</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-44,6</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-59,3</w:t>
            </w:r>
          </w:p>
        </w:tc>
      </w:tr>
      <w:tr w:rsidRPr="004E1AE4" w:rsidR="00315371" w:rsidTr="001D1BC1">
        <w:tc>
          <w:tcPr>
            <w:tcW w:w="0" w:type="auto"/>
            <w:tcBorders>
              <w:left w:val="nil"/>
              <w:right w:val="nil"/>
            </w:tcBorders>
            <w:tcMar>
              <w:top w:w="15" w:type="dxa"/>
              <w:left w:w="301" w:type="dxa"/>
              <w:bottom w:w="15" w:type="dxa"/>
              <w:right w:w="15" w:type="dxa"/>
            </w:tcMar>
          </w:tcPr>
          <w:p w:rsidRPr="004E1AE4" w:rsidR="00315371" w:rsidP="001D1BC1" w:rsidRDefault="00315371">
            <w:pPr>
              <w:ind w:firstLine="320" w:firstLineChars="200"/>
              <w:rPr>
                <w:rFonts w:ascii="Verdana" w:hAnsi="Verdana" w:cs="Courier New"/>
                <w:sz w:val="16"/>
                <w:szCs w:val="16"/>
              </w:rPr>
            </w:pPr>
            <w:r w:rsidRPr="004E1AE4">
              <w:rPr>
                <w:rFonts w:ascii="Verdana" w:hAnsi="Verdana" w:cs="Courier New"/>
                <w:sz w:val="16"/>
                <w:szCs w:val="16"/>
              </w:rPr>
              <w:t>Nominale ontwikkeling</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-3,7</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-10,5</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-17,7</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-23,7</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-27,0</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43,4</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-5,0</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-30,6</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-68,3</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-86,3</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Beleidsmatige mutaties</w:t>
            </w: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r>
      <w:tr w:rsidRPr="004E1AE4" w:rsidR="00315371" w:rsidTr="001D1BC1">
        <w:tc>
          <w:tcPr>
            <w:tcW w:w="0" w:type="auto"/>
            <w:tcBorders>
              <w:left w:val="nil"/>
              <w:right w:val="nil"/>
            </w:tcBorders>
            <w:tcMar>
              <w:top w:w="15" w:type="dxa"/>
              <w:left w:w="150" w:type="dxa"/>
              <w:bottom w:w="15" w:type="dxa"/>
              <w:right w:w="15" w:type="dxa"/>
            </w:tcMar>
          </w:tcPr>
          <w:p w:rsidRPr="004E1AE4" w:rsidR="00315371" w:rsidP="001D1BC1" w:rsidRDefault="00315371">
            <w:pPr>
              <w:ind w:firstLine="160" w:firstLineChars="100"/>
              <w:rPr>
                <w:rFonts w:ascii="Verdana" w:hAnsi="Verdana" w:cs="Courier New"/>
                <w:sz w:val="16"/>
                <w:szCs w:val="16"/>
              </w:rPr>
            </w:pPr>
            <w:r w:rsidRPr="004E1AE4">
              <w:rPr>
                <w:rFonts w:ascii="Verdana" w:hAnsi="Verdana" w:cs="Courier New"/>
                <w:sz w:val="16"/>
                <w:szCs w:val="16"/>
              </w:rPr>
              <w:t>Sociale zekerheid</w:t>
            </w: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c>
          <w:tcPr>
            <w:tcW w:w="0" w:type="auto"/>
          </w:tcPr>
          <w:p w:rsidRPr="004E1AE4" w:rsidR="00315371" w:rsidP="001D1BC1" w:rsidRDefault="00315371">
            <w:pPr>
              <w:rPr>
                <w:rFonts w:ascii="Verdana" w:hAnsi="Verdana"/>
                <w:sz w:val="16"/>
                <w:szCs w:val="16"/>
              </w:rPr>
            </w:pPr>
          </w:p>
        </w:tc>
      </w:tr>
      <w:tr w:rsidRPr="004E1AE4" w:rsidR="00315371" w:rsidTr="001D1BC1">
        <w:tc>
          <w:tcPr>
            <w:tcW w:w="0" w:type="auto"/>
            <w:tcBorders>
              <w:left w:val="nil"/>
              <w:right w:val="nil"/>
            </w:tcBorders>
            <w:tcMar>
              <w:top w:w="15" w:type="dxa"/>
              <w:left w:w="301" w:type="dxa"/>
              <w:bottom w:w="15" w:type="dxa"/>
              <w:right w:w="15" w:type="dxa"/>
            </w:tcMar>
          </w:tcPr>
          <w:p w:rsidRPr="004E1AE4" w:rsidR="00315371" w:rsidP="001D1BC1" w:rsidRDefault="00315371">
            <w:pPr>
              <w:ind w:firstLine="320" w:firstLineChars="200"/>
              <w:rPr>
                <w:rFonts w:ascii="Verdana" w:hAnsi="Verdana" w:cs="Courier New"/>
                <w:sz w:val="16"/>
                <w:szCs w:val="16"/>
              </w:rPr>
            </w:pPr>
            <w:r w:rsidRPr="004E1AE4">
              <w:rPr>
                <w:rFonts w:ascii="Verdana" w:hAnsi="Verdana" w:cs="Courier New"/>
                <w:sz w:val="16"/>
                <w:szCs w:val="16"/>
              </w:rPr>
              <w:t>Diversen</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-1,5</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-2,5</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-0,7</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-0,1</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-0,2</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 </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-1,5</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-2,5</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-0,7</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-0,1</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-0,2</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p>
        </w:tc>
        <w:tc>
          <w:tcPr>
            <w:tcW w:w="0" w:type="auto"/>
            <w:vAlign w:val="center"/>
          </w:tcPr>
          <w:p w:rsidRPr="004E1AE4" w:rsidR="00315371" w:rsidP="001D1BC1" w:rsidRDefault="00315371">
            <w:pPr>
              <w:rPr>
                <w:rFonts w:ascii="Verdana" w:hAnsi="Verdana"/>
                <w:sz w:val="16"/>
                <w:szCs w:val="16"/>
              </w:rPr>
            </w:pPr>
          </w:p>
        </w:tc>
        <w:tc>
          <w:tcPr>
            <w:tcW w:w="0" w:type="auto"/>
            <w:vAlign w:val="center"/>
          </w:tcPr>
          <w:p w:rsidRPr="004E1AE4" w:rsidR="00315371" w:rsidP="001D1BC1" w:rsidRDefault="00315371">
            <w:pPr>
              <w:rPr>
                <w:rFonts w:ascii="Verdana" w:hAnsi="Verdana"/>
                <w:sz w:val="16"/>
                <w:szCs w:val="16"/>
              </w:rPr>
            </w:pPr>
          </w:p>
        </w:tc>
        <w:tc>
          <w:tcPr>
            <w:tcW w:w="0" w:type="auto"/>
            <w:vAlign w:val="center"/>
          </w:tcPr>
          <w:p w:rsidRPr="004E1AE4" w:rsidR="00315371" w:rsidP="001D1BC1" w:rsidRDefault="00315371">
            <w:pPr>
              <w:rPr>
                <w:rFonts w:ascii="Verdana" w:hAnsi="Verdana"/>
                <w:sz w:val="16"/>
                <w:szCs w:val="16"/>
              </w:rPr>
            </w:pPr>
          </w:p>
        </w:tc>
        <w:tc>
          <w:tcPr>
            <w:tcW w:w="0" w:type="auto"/>
            <w:vAlign w:val="center"/>
          </w:tcPr>
          <w:p w:rsidRPr="004E1AE4" w:rsidR="00315371" w:rsidP="001D1BC1" w:rsidRDefault="00315371">
            <w:pPr>
              <w:rPr>
                <w:rFonts w:ascii="Verdana" w:hAnsi="Verdana"/>
                <w:sz w:val="16"/>
                <w:szCs w:val="16"/>
              </w:rPr>
            </w:pPr>
          </w:p>
        </w:tc>
        <w:tc>
          <w:tcPr>
            <w:tcW w:w="0" w:type="auto"/>
            <w:vAlign w:val="center"/>
          </w:tcPr>
          <w:p w:rsidRPr="004E1AE4" w:rsidR="00315371" w:rsidP="001D1BC1" w:rsidRDefault="00315371">
            <w:pPr>
              <w:rPr>
                <w:rFonts w:ascii="Verdana" w:hAnsi="Verdana"/>
                <w:sz w:val="16"/>
                <w:szCs w:val="16"/>
              </w:rPr>
            </w:pP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Totaal mutaties sinds Miljoenennota 2012</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42,0</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-7,6</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-31,3</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-68,4</w:t>
            </w:r>
          </w:p>
        </w:tc>
        <w:tc>
          <w:tcPr>
            <w:tcW w:w="0" w:type="auto"/>
            <w:tcBorders>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-86,5</w:t>
            </w:r>
          </w:p>
        </w:tc>
      </w:tr>
      <w:tr w:rsidRPr="004E1AE4" w:rsidR="00315371" w:rsidTr="001D1BC1">
        <w:tc>
          <w:tcPr>
            <w:tcW w:w="0" w:type="auto"/>
            <w:tcBorders>
              <w:left w:val="nil"/>
              <w:right w:val="nil"/>
            </w:tcBorders>
          </w:tcPr>
          <w:p w:rsidRPr="004E1AE4" w:rsidR="00315371" w:rsidP="001D1BC1" w:rsidRDefault="00315371">
            <w:pPr>
              <w:rPr>
                <w:rFonts w:ascii="Verdana" w:hAnsi="Verdana" w:cs="Courier New"/>
                <w:sz w:val="16"/>
                <w:szCs w:val="16"/>
              </w:rPr>
            </w:pPr>
            <w:r w:rsidRPr="004E1AE4">
              <w:rPr>
                <w:rFonts w:ascii="Verdana" w:hAnsi="Verdana" w:cs="Courier New"/>
                <w:sz w:val="16"/>
                <w:szCs w:val="16"/>
              </w:rPr>
              <w:t>Stand Voorjaarsnota 2012</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1.121,6</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925,5</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911,9</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971,9</w:t>
            </w:r>
          </w:p>
        </w:tc>
        <w:tc>
          <w:tcPr>
            <w:tcW w:w="0" w:type="auto"/>
            <w:tcBorders>
              <w:top w:val="single" w:color="000000" w:sz="4" w:space="0"/>
              <w:left w:val="nil"/>
              <w:right w:val="nil"/>
            </w:tcBorders>
          </w:tcPr>
          <w:p w:rsidRPr="004E1AE4" w:rsidR="00315371" w:rsidP="001D1BC1" w:rsidRDefault="00315371">
            <w:pPr>
              <w:jc w:val="right"/>
              <w:rPr>
                <w:rFonts w:ascii="Verdana" w:hAnsi="Verdana" w:cs="Courier New"/>
                <w:sz w:val="16"/>
                <w:szCs w:val="16"/>
              </w:rPr>
            </w:pPr>
            <w:r w:rsidRPr="004E1AE4">
              <w:rPr>
                <w:rFonts w:ascii="Verdana" w:hAnsi="Verdana" w:cs="Courier New"/>
                <w:sz w:val="16"/>
                <w:szCs w:val="16"/>
              </w:rPr>
              <w:t>964,6</w:t>
            </w:r>
          </w:p>
        </w:tc>
      </w:tr>
    </w:tbl>
    <w:p w:rsidR="00315371" w:rsidP="00A15500" w:rsidRDefault="00315371"/>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sidRPr="000C1722">
        <w:rPr>
          <w:rFonts w:ascii="Verdana" w:hAnsi="Verdana"/>
          <w:i/>
          <w:sz w:val="18"/>
          <w:szCs w:val="18"/>
        </w:rPr>
        <w:t>Bijstand</w:t>
      </w:r>
    </w:p>
    <w:p w:rsidR="00315371" w:rsidP="00212995" w:rsidRDefault="00315371">
      <w:pPr>
        <w:spacing w:line="276" w:lineRule="auto"/>
        <w:rPr>
          <w:rFonts w:ascii="Verdana" w:hAnsi="Verdana"/>
          <w:sz w:val="18"/>
          <w:szCs w:val="18"/>
        </w:rPr>
      </w:pPr>
      <w:r w:rsidRPr="006E0876">
        <w:rPr>
          <w:rFonts w:ascii="Verdana" w:hAnsi="Verdana"/>
          <w:sz w:val="18"/>
          <w:szCs w:val="18"/>
        </w:rPr>
        <w:t xml:space="preserve">De </w:t>
      </w:r>
      <w:r>
        <w:rPr>
          <w:rFonts w:ascii="Verdana" w:hAnsi="Verdana"/>
          <w:sz w:val="18"/>
          <w:szCs w:val="18"/>
        </w:rPr>
        <w:t>ramingen</w:t>
      </w:r>
      <w:r w:rsidRPr="006E0876">
        <w:rPr>
          <w:rFonts w:ascii="Verdana" w:hAnsi="Verdana"/>
          <w:sz w:val="18"/>
          <w:szCs w:val="18"/>
        </w:rPr>
        <w:t xml:space="preserve"> van het CPB</w:t>
      </w:r>
      <w:r>
        <w:rPr>
          <w:rFonts w:ascii="Verdana" w:hAnsi="Verdana"/>
          <w:sz w:val="18"/>
          <w:szCs w:val="18"/>
        </w:rPr>
        <w:t xml:space="preserve"> uit het Centraal Economisch Plan (CEP) 2012</w:t>
      </w:r>
      <w:r w:rsidRPr="006E0876">
        <w:rPr>
          <w:rFonts w:ascii="Verdana" w:hAnsi="Verdana"/>
          <w:sz w:val="18"/>
          <w:szCs w:val="18"/>
        </w:rPr>
        <w:t xml:space="preserve"> bevatte</w:t>
      </w:r>
      <w:r>
        <w:rPr>
          <w:rFonts w:ascii="Verdana" w:hAnsi="Verdana"/>
          <w:sz w:val="18"/>
          <w:szCs w:val="18"/>
        </w:rPr>
        <w:t>n</w:t>
      </w:r>
      <w:r w:rsidRPr="006E0876">
        <w:rPr>
          <w:rFonts w:ascii="Verdana" w:hAnsi="Verdana"/>
          <w:sz w:val="18"/>
          <w:szCs w:val="18"/>
        </w:rPr>
        <w:t xml:space="preserve"> een nieuwe prognose van de werkloze beroepsbevolking. De raming van de </w:t>
      </w:r>
      <w:r>
        <w:rPr>
          <w:rFonts w:ascii="Verdana" w:hAnsi="Verdana"/>
          <w:sz w:val="18"/>
          <w:szCs w:val="18"/>
        </w:rPr>
        <w:t>bijstand</w:t>
      </w:r>
      <w:r w:rsidRPr="006E0876">
        <w:rPr>
          <w:rFonts w:ascii="Verdana" w:hAnsi="Verdana"/>
          <w:sz w:val="18"/>
          <w:szCs w:val="18"/>
        </w:rPr>
        <w:t xml:space="preserve"> is hierop aangepast.</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i/>
          <w:sz w:val="18"/>
          <w:szCs w:val="18"/>
        </w:rPr>
      </w:pPr>
      <w:r w:rsidRPr="000C1722">
        <w:rPr>
          <w:rFonts w:ascii="Verdana" w:hAnsi="Verdana"/>
          <w:i/>
          <w:sz w:val="18"/>
          <w:szCs w:val="18"/>
        </w:rPr>
        <w:t>IVA</w:t>
      </w:r>
    </w:p>
    <w:p w:rsidRPr="00CA2E44" w:rsidR="00315371" w:rsidP="00212995" w:rsidRDefault="00315371">
      <w:pPr>
        <w:spacing w:line="276" w:lineRule="auto"/>
        <w:rPr>
          <w:rFonts w:ascii="Verdana" w:hAnsi="Verdana"/>
          <w:sz w:val="18"/>
          <w:szCs w:val="18"/>
        </w:rPr>
      </w:pPr>
      <w:r>
        <w:rPr>
          <w:rFonts w:ascii="Verdana" w:hAnsi="Verdana"/>
          <w:sz w:val="18"/>
          <w:szCs w:val="18"/>
        </w:rPr>
        <w:t xml:space="preserve">De doorstroomkans van WGA naar IVA wordt lager geraamd op basis van nieuwe realisatiecijfers. </w:t>
      </w:r>
      <w:r w:rsidRPr="00CA2E44">
        <w:rPr>
          <w:rFonts w:ascii="Verdana" w:hAnsi="Verdana"/>
          <w:sz w:val="18"/>
          <w:szCs w:val="18"/>
        </w:rPr>
        <w:t xml:space="preserve"> </w:t>
      </w:r>
      <w:r>
        <w:rPr>
          <w:rFonts w:ascii="Verdana" w:hAnsi="Verdana"/>
          <w:sz w:val="18"/>
          <w:szCs w:val="18"/>
        </w:rPr>
        <w:t xml:space="preserve">Hierdoor valt het aantal IVA uitkeringen lager uit. Dit leidt tot een meevaller op de uitkeringslasten. </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Kinderopvangtoeslag</w:t>
      </w:r>
      <w:r>
        <w:rPr>
          <w:rFonts w:ascii="Verdana" w:hAnsi="Verdana"/>
          <w:i/>
          <w:sz w:val="18"/>
          <w:szCs w:val="18"/>
        </w:rPr>
        <w:t xml:space="preserve"> (uitgaven en ontvangsten)</w:t>
      </w:r>
    </w:p>
    <w:p w:rsidR="00315371" w:rsidP="00212995" w:rsidRDefault="00315371">
      <w:pPr>
        <w:spacing w:line="276" w:lineRule="auto"/>
        <w:rPr>
          <w:rFonts w:ascii="Verdana" w:hAnsi="Verdana"/>
          <w:sz w:val="18"/>
          <w:szCs w:val="18"/>
        </w:rPr>
      </w:pPr>
      <w:r>
        <w:rPr>
          <w:rFonts w:ascii="Verdana" w:hAnsi="Verdana"/>
          <w:sz w:val="18"/>
          <w:szCs w:val="18"/>
        </w:rPr>
        <w:t xml:space="preserve">De uitgaven van de kinderopvangtoeslag worden naar beneden bijgesteld. Dit is het saldo van een neerwaartse bijstelling van de nabetalingen en een opwaartse bijstelling als gevolg van de meerjarige doorwerking van de uitgavenoverschrijding in 2011. De nabetalingen vallen lager uit door de ombuigingsmaatregelen op de kinderopvang. </w:t>
      </w:r>
    </w:p>
    <w:p w:rsidR="00315371" w:rsidP="00212995" w:rsidRDefault="00315371">
      <w:pPr>
        <w:spacing w:line="276" w:lineRule="auto"/>
        <w:rPr>
          <w:rFonts w:ascii="Verdana" w:hAnsi="Verdana"/>
          <w:sz w:val="18"/>
          <w:szCs w:val="18"/>
        </w:rPr>
      </w:pPr>
      <w:r>
        <w:rPr>
          <w:rFonts w:ascii="Verdana" w:hAnsi="Verdana"/>
          <w:sz w:val="18"/>
          <w:szCs w:val="18"/>
        </w:rPr>
        <w:t>De terugontvangsten stijgen in 2012 en 2013 en dalen vanaf 2014. Dit wordt veroorzaakt door twee tegengestelde bewegingen. De terugontvangsten stijgen door verbeterde controles en snellere inning. De terugontvangsten dalen als gevolg van de ombuigingsmaatregelen op de kinderopvang. Het effect van de ombuigingsmaatregelen op de terugontvangsten is gelijk aan dat op de nabetalingen en heeft daardoor geen structureel effect op het saldo.</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i/>
          <w:sz w:val="18"/>
          <w:szCs w:val="18"/>
        </w:rPr>
      </w:pPr>
      <w:r w:rsidRPr="000C1722">
        <w:rPr>
          <w:rFonts w:ascii="Verdana" w:hAnsi="Verdana"/>
          <w:i/>
          <w:sz w:val="18"/>
          <w:szCs w:val="18"/>
        </w:rPr>
        <w:t>Nominale ontwikkeling</w:t>
      </w:r>
    </w:p>
    <w:p w:rsidRPr="006E0876" w:rsidR="00315371" w:rsidP="00212995" w:rsidRDefault="00315371">
      <w:pPr>
        <w:spacing w:line="276" w:lineRule="auto"/>
        <w:rPr>
          <w:rFonts w:ascii="Verdana" w:hAnsi="Verdana"/>
          <w:sz w:val="18"/>
          <w:szCs w:val="18"/>
        </w:rPr>
      </w:pPr>
      <w:r w:rsidRPr="006E0876">
        <w:rPr>
          <w:rFonts w:ascii="Verdana" w:hAnsi="Verdana"/>
          <w:sz w:val="18"/>
          <w:szCs w:val="18"/>
        </w:rPr>
        <w:t>D</w:t>
      </w:r>
      <w:r>
        <w:rPr>
          <w:rFonts w:ascii="Verdana" w:hAnsi="Verdana"/>
          <w:sz w:val="18"/>
          <w:szCs w:val="18"/>
        </w:rPr>
        <w:t xml:space="preserve">e mutatie betreft een aanpassing in de geraamde nominale ontwikkeling binnen het SZA-kader als gevolg van CPB-ramingen van loon- prijsontwikkeling en als gevolg van mutaties in uitgavenramingen </w:t>
      </w:r>
      <w:r w:rsidRPr="006E0876">
        <w:rPr>
          <w:rFonts w:ascii="Verdana" w:hAnsi="Verdana"/>
          <w:sz w:val="18"/>
          <w:szCs w:val="18"/>
        </w:rPr>
        <w:t>binnen de Sociale Zekerheid.</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Wajong</w:t>
      </w:r>
    </w:p>
    <w:p w:rsidR="00315371" w:rsidP="00212995" w:rsidRDefault="00315371">
      <w:pPr>
        <w:pStyle w:val="NoSpacing"/>
        <w:spacing w:line="276" w:lineRule="auto"/>
      </w:pPr>
      <w:r>
        <w:t>De meevaller bij de Wajong wordt voornamelijk veroorzaakt door de wijzigingen van dit kabinet in de inkomensafhankelijke bijdrage voor de Zorgverzekeringswet (ZVW), waardoor de bijdrage ZVW per Wajonger afneemt.</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WAO</w:t>
      </w:r>
    </w:p>
    <w:p w:rsidRPr="000C1722" w:rsidR="00315371" w:rsidP="00212995" w:rsidRDefault="00315371">
      <w:pPr>
        <w:spacing w:line="276" w:lineRule="auto"/>
        <w:rPr>
          <w:rFonts w:ascii="Verdana" w:hAnsi="Verdana"/>
          <w:sz w:val="18"/>
          <w:szCs w:val="18"/>
        </w:rPr>
      </w:pPr>
      <w:r w:rsidRPr="000C1722">
        <w:rPr>
          <w:rFonts w:ascii="Verdana" w:hAnsi="Verdana"/>
          <w:sz w:val="18"/>
          <w:szCs w:val="18"/>
        </w:rPr>
        <w:t>Op basis van uitvoeringsinformatie van het UWV is het aantal WAO-uitkeringen meerjarig naar boven bijgesteld. De doorstroomkans van WAO volledig arbeidsongeschikt naar WAO gedeeltelijk arbeidsongeschikt blijkt lager dan geraamd. Hiermee neemt ook de uitstroomkans af. Als gevolg daarvan wordt uitgegaan van een hoger volume in de WAO.</w:t>
      </w:r>
    </w:p>
    <w:p w:rsidRPr="000C1722"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WGA</w:t>
      </w:r>
    </w:p>
    <w:p w:rsidRPr="000C1722" w:rsidR="00315371" w:rsidP="00212995" w:rsidRDefault="00315371">
      <w:pPr>
        <w:pStyle w:val="NoSpacing"/>
        <w:spacing w:line="276" w:lineRule="auto"/>
      </w:pPr>
      <w:r>
        <w:t xml:space="preserve">Meerjarig neemt het aantal WGA-uitkeringen toe als gevolg van een stijgende instroom. </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WW</w:t>
      </w:r>
    </w:p>
    <w:p w:rsidRPr="000C1722" w:rsidR="00315371" w:rsidP="00212995" w:rsidRDefault="00315371">
      <w:pPr>
        <w:spacing w:line="276" w:lineRule="auto"/>
        <w:rPr>
          <w:rFonts w:ascii="Verdana" w:hAnsi="Verdana"/>
          <w:sz w:val="18"/>
          <w:szCs w:val="18"/>
        </w:rPr>
      </w:pPr>
      <w:r w:rsidRPr="006E0876">
        <w:rPr>
          <w:rFonts w:ascii="Verdana" w:hAnsi="Verdana"/>
          <w:sz w:val="18"/>
          <w:szCs w:val="18"/>
        </w:rPr>
        <w:t xml:space="preserve">De </w:t>
      </w:r>
      <w:r>
        <w:rPr>
          <w:rFonts w:ascii="Verdana" w:hAnsi="Verdana"/>
          <w:sz w:val="18"/>
          <w:szCs w:val="18"/>
        </w:rPr>
        <w:t>ramingen</w:t>
      </w:r>
      <w:r w:rsidRPr="006E0876">
        <w:rPr>
          <w:rFonts w:ascii="Verdana" w:hAnsi="Verdana"/>
          <w:sz w:val="18"/>
          <w:szCs w:val="18"/>
        </w:rPr>
        <w:t xml:space="preserve"> van het CPB </w:t>
      </w:r>
      <w:r>
        <w:rPr>
          <w:rFonts w:ascii="Verdana" w:hAnsi="Verdana"/>
          <w:sz w:val="18"/>
          <w:szCs w:val="18"/>
        </w:rPr>
        <w:t xml:space="preserve">in het CEP </w:t>
      </w:r>
      <w:r w:rsidRPr="006E0876">
        <w:rPr>
          <w:rFonts w:ascii="Verdana" w:hAnsi="Verdana"/>
          <w:sz w:val="18"/>
          <w:szCs w:val="18"/>
        </w:rPr>
        <w:t>bevatte</w:t>
      </w:r>
      <w:r>
        <w:rPr>
          <w:rFonts w:ascii="Verdana" w:hAnsi="Verdana"/>
          <w:sz w:val="18"/>
          <w:szCs w:val="18"/>
        </w:rPr>
        <w:t>n</w:t>
      </w:r>
      <w:r w:rsidRPr="006E0876">
        <w:rPr>
          <w:rFonts w:ascii="Verdana" w:hAnsi="Verdana"/>
          <w:sz w:val="18"/>
          <w:szCs w:val="18"/>
        </w:rPr>
        <w:t xml:space="preserve"> een nieuwe prognose van de werkloze beroepsbevolking. De raming van de WW is hierop aangepast.</w:t>
      </w: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WW uitvoeringskosten</w:t>
      </w:r>
    </w:p>
    <w:p w:rsidRPr="000C1722" w:rsidR="00315371" w:rsidP="00212995" w:rsidRDefault="00315371">
      <w:pPr>
        <w:spacing w:line="276" w:lineRule="auto"/>
        <w:rPr>
          <w:rFonts w:ascii="Verdana" w:hAnsi="Verdana"/>
          <w:sz w:val="18"/>
          <w:szCs w:val="18"/>
        </w:rPr>
      </w:pPr>
      <w:r>
        <w:rPr>
          <w:rFonts w:ascii="Verdana" w:hAnsi="Verdana"/>
          <w:sz w:val="18"/>
          <w:szCs w:val="18"/>
        </w:rPr>
        <w:t>Het UWV wordt bij een toenemende werkloze beroepsbevolking gecompenseerd voor hogere WW-uitvoeringskosten. Voor het lopende jaar vindt zoals gebruikelijk geen compensatie plaats.</w:t>
      </w:r>
    </w:p>
    <w:p w:rsidRPr="000C1722"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Compenserende kasschuif WW uitvoeringskosten</w:t>
      </w:r>
    </w:p>
    <w:p w:rsidRPr="000C1722" w:rsidR="00315371" w:rsidP="00212995" w:rsidRDefault="00315371">
      <w:pPr>
        <w:spacing w:line="276" w:lineRule="auto"/>
        <w:rPr>
          <w:rFonts w:ascii="Verdana" w:hAnsi="Verdana"/>
          <w:sz w:val="18"/>
          <w:szCs w:val="18"/>
        </w:rPr>
      </w:pPr>
      <w:r>
        <w:rPr>
          <w:rFonts w:ascii="Verdana" w:hAnsi="Verdana"/>
          <w:sz w:val="18"/>
          <w:szCs w:val="18"/>
        </w:rPr>
        <w:t>De tegenvallende WW-ontwikkeling leidt tot hogere uitvoeringskosten bij het UWV in 2012. Daarom worden uitvoeringskosten uit 2013 en 2014 naar voren geschoven. Om dit voor het hele SZA-kader budgettair neutraal te laten verlopen, worden elders op de begroting (voornamelijk vanaf het artikel nominaal en onvoorzien) uitgaven naar achteren geschoven. Deze compenserende kasschuif wordt hier zichtbaar.</w:t>
      </w:r>
    </w:p>
    <w:p w:rsidR="00315371" w:rsidP="00212995" w:rsidRDefault="00315371">
      <w:pPr>
        <w:spacing w:line="276" w:lineRule="auto"/>
        <w:rPr>
          <w:rFonts w:ascii="Verdana" w:hAnsi="Verdana"/>
          <w:i/>
          <w:sz w:val="18"/>
          <w:szCs w:val="18"/>
        </w:rPr>
      </w:pPr>
    </w:p>
    <w:p w:rsidRPr="00FD4588" w:rsidR="00315371" w:rsidP="00212995" w:rsidRDefault="00315371">
      <w:pPr>
        <w:pStyle w:val="NoSpacing"/>
        <w:spacing w:line="276" w:lineRule="auto"/>
        <w:rPr>
          <w:i/>
        </w:rPr>
      </w:pPr>
      <w:r w:rsidRPr="00FD4588">
        <w:rPr>
          <w:i/>
        </w:rPr>
        <w:t>Kasschuif WW uitvoeringskosten</w:t>
      </w:r>
    </w:p>
    <w:p w:rsidR="00315371" w:rsidP="00212995" w:rsidRDefault="00315371">
      <w:pPr>
        <w:pStyle w:val="NoSpacing"/>
        <w:spacing w:line="276" w:lineRule="auto"/>
      </w:pPr>
      <w:r>
        <w:t>De tegenvallende WW-ontwikkeling leidt tot hogere uitvoeringskosten bij het UWV in 2012. Daarom worden uitvoeringskosten uit 2013 en 2014 naar voren geschoven.</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Nullijn UWV en SVB</w:t>
      </w:r>
    </w:p>
    <w:p w:rsidR="00315371" w:rsidP="00212995" w:rsidRDefault="00315371">
      <w:pPr>
        <w:spacing w:line="276" w:lineRule="auto"/>
        <w:rPr>
          <w:rFonts w:ascii="Verdana" w:hAnsi="Verdana"/>
          <w:sz w:val="18"/>
          <w:szCs w:val="18"/>
        </w:rPr>
      </w:pPr>
      <w:r>
        <w:rPr>
          <w:rFonts w:ascii="Verdana" w:hAnsi="Verdana"/>
          <w:sz w:val="18"/>
          <w:szCs w:val="18"/>
        </w:rPr>
        <w:t>Er vindt gedurende twee jaar geen indexatie voor contractloonstijging plaats van de uitvoeringskosten van het UWV en de SVB. De hiervoor gereserveerde nominale ontwikkeling valt daardoor vrij.</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Uitstel wetsvoorstel fraude</w:t>
      </w:r>
    </w:p>
    <w:p w:rsidR="00315371" w:rsidP="00212995" w:rsidRDefault="00315371">
      <w:pPr>
        <w:spacing w:line="276" w:lineRule="auto"/>
        <w:rPr>
          <w:rFonts w:ascii="Verdana" w:hAnsi="Verdana"/>
          <w:sz w:val="18"/>
          <w:szCs w:val="18"/>
        </w:rPr>
      </w:pPr>
      <w:r>
        <w:rPr>
          <w:rFonts w:ascii="Verdana" w:hAnsi="Verdana"/>
          <w:sz w:val="18"/>
          <w:szCs w:val="18"/>
        </w:rPr>
        <w:t>Door het uitstellen van de invoering van het wetsvoorstel aanpak fraude, doet zich in 2012 en 2013 een incidenteel besparingsverlies voor.</w:t>
      </w:r>
    </w:p>
    <w:p w:rsidRPr="000C1722"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sidRPr="000C1722">
        <w:rPr>
          <w:rFonts w:ascii="Verdana" w:hAnsi="Verdana"/>
          <w:i/>
          <w:sz w:val="18"/>
          <w:szCs w:val="18"/>
        </w:rPr>
        <w:t>Bruteringseffecten</w:t>
      </w:r>
    </w:p>
    <w:p w:rsidRPr="0021408B" w:rsidR="00315371" w:rsidP="00212995" w:rsidRDefault="00315371">
      <w:pPr>
        <w:spacing w:line="276" w:lineRule="auto"/>
        <w:rPr>
          <w:rFonts w:ascii="Verdana" w:hAnsi="Verdana" w:cs="Arial"/>
          <w:sz w:val="18"/>
          <w:szCs w:val="18"/>
        </w:rPr>
      </w:pPr>
      <w:r w:rsidRPr="0021408B">
        <w:rPr>
          <w:rFonts w:ascii="Verdana" w:hAnsi="Verdana" w:cs="Arial"/>
          <w:sz w:val="18"/>
          <w:szCs w:val="18"/>
        </w:rPr>
        <w:t xml:space="preserve">Diverse uitkeringen zijn netto gekoppeld aan het netto minimum loon, maar kennen een ander bruto-netto traject dan het minimumloon. Wijzigingen in het bruto-netto traject van het minimumloon leiden tot aanpassing van het netto minimumloon. De uitkeringen die netto zijn gekoppeld worden evenredig aangepast, maar door het andere bruto-netto traject kan de bruto uitkering een afwijkende ontwikkeling vertonen dan die van het bruto minimumloon. Het effect hiervan op de uitkeringslasten wordt het bruteringseffect genoemd. </w:t>
      </w:r>
      <w:r>
        <w:rPr>
          <w:rFonts w:ascii="Verdana" w:hAnsi="Verdana" w:cs="Arial"/>
          <w:sz w:val="18"/>
          <w:szCs w:val="18"/>
        </w:rPr>
        <w:t>Het uitgavenkader wordt voor dit effect gecorrigeerd.</w:t>
      </w:r>
    </w:p>
    <w:p w:rsidR="00315371" w:rsidP="00212995" w:rsidRDefault="00315371">
      <w:pPr>
        <w:spacing w:after="200" w:line="276" w:lineRule="auto"/>
        <w:rPr>
          <w:rFonts w:ascii="Verdana" w:hAnsi="Verdana" w:cs="Arial"/>
          <w:sz w:val="18"/>
          <w:szCs w:val="18"/>
        </w:rPr>
      </w:pPr>
      <w:r>
        <w:rPr>
          <w:rFonts w:ascii="Verdana" w:hAnsi="Verdana" w:cs="Arial"/>
          <w:sz w:val="18"/>
          <w:szCs w:val="18"/>
        </w:rPr>
        <w:br w:type="page"/>
      </w:r>
    </w:p>
    <w:p w:rsidRPr="00212995" w:rsidR="00315371" w:rsidP="002B5FE1" w:rsidRDefault="00315371">
      <w:pPr>
        <w:rPr>
          <w:rFonts w:ascii="Verdana" w:hAnsi="Verdana" w:cs="Courier New"/>
          <w:b/>
          <w:sz w:val="18"/>
          <w:szCs w:val="18"/>
        </w:rPr>
      </w:pPr>
      <w:r w:rsidRPr="00212995">
        <w:rPr>
          <w:rFonts w:ascii="Verdana" w:hAnsi="Verdana" w:cs="Courier New"/>
          <w:b/>
          <w:sz w:val="18"/>
          <w:szCs w:val="18"/>
        </w:rPr>
        <w:t>Volksgezondheid, Welzijn en Sport</w:t>
      </w:r>
    </w:p>
    <w:tbl>
      <w:tblPr>
        <w:tblW w:w="5000" w:type="pct"/>
        <w:tblCellMar>
          <w:top w:w="15" w:type="dxa"/>
          <w:left w:w="15" w:type="dxa"/>
          <w:bottom w:w="15" w:type="dxa"/>
          <w:right w:w="15" w:type="dxa"/>
        </w:tblCellMar>
        <w:tblLook w:val="00A0"/>
      </w:tblPr>
      <w:tblGrid>
        <w:gridCol w:w="3993"/>
        <w:gridCol w:w="1023"/>
        <w:gridCol w:w="1021"/>
        <w:gridCol w:w="1021"/>
        <w:gridCol w:w="1021"/>
        <w:gridCol w:w="1023"/>
      </w:tblGrid>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2"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1"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1"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1"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2"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r>
      <w:tr w:rsidRPr="00212995" w:rsidR="00315371" w:rsidTr="00212995">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XVI VOLKSGEZONDHEID, WELZIJN EN SPORT: UITGAVEN</w:t>
            </w:r>
          </w:p>
        </w:tc>
        <w:tc>
          <w:tcPr>
            <w:tcW w:w="2807" w:type="pct"/>
            <w:gridSpan w:val="5"/>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bedragen in miljoenen euro's</w:t>
            </w:r>
          </w:p>
        </w:tc>
      </w:tr>
      <w:tr w:rsidRPr="00212995" w:rsidR="00315371" w:rsidTr="00404A14">
        <w:tc>
          <w:tcPr>
            <w:tcW w:w="2193"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p>
        </w:tc>
        <w:tc>
          <w:tcPr>
            <w:tcW w:w="562"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2012</w:t>
            </w:r>
          </w:p>
        </w:tc>
        <w:tc>
          <w:tcPr>
            <w:tcW w:w="561"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2013</w:t>
            </w:r>
          </w:p>
        </w:tc>
        <w:tc>
          <w:tcPr>
            <w:tcW w:w="561"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2014</w:t>
            </w:r>
          </w:p>
        </w:tc>
        <w:tc>
          <w:tcPr>
            <w:tcW w:w="561"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2015</w:t>
            </w:r>
          </w:p>
        </w:tc>
        <w:tc>
          <w:tcPr>
            <w:tcW w:w="562"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2016</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Miljoenennota 2012 (excl. IS)</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17.558,2</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16.963,4</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17.215,2</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16.917,3</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17.192,9</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Beleidsmatige mutaties</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Mar>
              <w:top w:w="15" w:type="dxa"/>
              <w:left w:w="224"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Aanpassen taakstellende onderuitputting</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3,0</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-21,7</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-9,8</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-0,5</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-0,5</w:t>
            </w: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Ruimte artikel 99</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-0,1</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-14,6</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-24,2</w:t>
            </w: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59,4</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37,1</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28,6</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32,6</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41,4</w:t>
            </w:r>
          </w:p>
        </w:tc>
      </w:tr>
      <w:tr w:rsidRPr="00212995" w:rsidR="00315371" w:rsidTr="00404A14">
        <w:tc>
          <w:tcPr>
            <w:tcW w:w="2193" w:type="pct"/>
            <w:tcBorders>
              <w:left w:val="nil"/>
              <w:right w:val="nil"/>
            </w:tcBorders>
            <w:tcMar>
              <w:top w:w="15" w:type="dxa"/>
              <w:left w:w="224"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Zorg</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Pr>
                <w:rFonts w:ascii="Verdana" w:hAnsi="Verdana" w:cs="Courier New"/>
                <w:sz w:val="16"/>
                <w:szCs w:val="16"/>
              </w:rPr>
              <w:t>Zorguitgaven Caribisch N</w:t>
            </w:r>
            <w:r w:rsidRPr="00212995">
              <w:rPr>
                <w:rFonts w:ascii="Verdana" w:hAnsi="Verdana" w:cs="Courier New"/>
                <w:sz w:val="16"/>
                <w:szCs w:val="16"/>
              </w:rPr>
              <w:t>ederland</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23,6</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28,5</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33,0</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33,5</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38,9</w:t>
            </w: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0,6</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0,6</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0,6</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0,4</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88,2</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44,4</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51,3</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51,6</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56,0</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Technische mutaties</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Mar>
              <w:top w:w="15" w:type="dxa"/>
              <w:left w:w="224"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-15,9</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19,0</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14,2</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14,3</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15,3</w:t>
            </w:r>
          </w:p>
        </w:tc>
      </w:tr>
      <w:tr w:rsidRPr="00212995" w:rsidR="00315371" w:rsidTr="00404A14">
        <w:tc>
          <w:tcPr>
            <w:tcW w:w="2193" w:type="pct"/>
            <w:tcBorders>
              <w:left w:val="nil"/>
              <w:right w:val="nil"/>
            </w:tcBorders>
            <w:tcMar>
              <w:top w:w="15" w:type="dxa"/>
              <w:left w:w="224"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Zorg</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9,2</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9,9</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10,4</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10,8</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10,9</w:t>
            </w:r>
          </w:p>
        </w:tc>
      </w:tr>
      <w:tr w:rsidRPr="00212995" w:rsidR="00315371" w:rsidTr="00404A14">
        <w:tc>
          <w:tcPr>
            <w:tcW w:w="2193" w:type="pct"/>
            <w:tcBorders>
              <w:left w:val="nil"/>
              <w:right w:val="nil"/>
            </w:tcBorders>
            <w:tcMar>
              <w:top w:w="15" w:type="dxa"/>
              <w:left w:w="224"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Niet tot een ijklijn behorend</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Bijstelling bikk</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-13,3</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-2.058,5</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-2.157,0</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-2.196,3</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-2.269,9</w:t>
            </w: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Bijstelling zorgtoeslag</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280,0</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7,3</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-412,0</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-337,1</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404A14">
        <w:tc>
          <w:tcPr>
            <w:tcW w:w="2193"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0,1</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0,1</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0,1</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0,1</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0,1</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260,1</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-2.022,2</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-2.544,3</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-2.508,2</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-2.243,6</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p>
        </w:tc>
        <w:tc>
          <w:tcPr>
            <w:tcW w:w="562" w:type="pct"/>
            <w:vAlign w:val="center"/>
          </w:tcPr>
          <w:p w:rsidRPr="00212995" w:rsidR="00315371" w:rsidP="00435346" w:rsidRDefault="00315371">
            <w:pPr>
              <w:rPr>
                <w:rFonts w:ascii="Verdana" w:hAnsi="Verdana"/>
                <w:sz w:val="16"/>
                <w:szCs w:val="16"/>
              </w:rPr>
            </w:pPr>
          </w:p>
        </w:tc>
        <w:tc>
          <w:tcPr>
            <w:tcW w:w="561" w:type="pct"/>
            <w:vAlign w:val="center"/>
          </w:tcPr>
          <w:p w:rsidRPr="00212995" w:rsidR="00315371" w:rsidP="00435346" w:rsidRDefault="00315371">
            <w:pPr>
              <w:rPr>
                <w:rFonts w:ascii="Verdana" w:hAnsi="Verdana"/>
                <w:sz w:val="16"/>
                <w:szCs w:val="16"/>
              </w:rPr>
            </w:pPr>
          </w:p>
        </w:tc>
        <w:tc>
          <w:tcPr>
            <w:tcW w:w="561" w:type="pct"/>
            <w:vAlign w:val="center"/>
          </w:tcPr>
          <w:p w:rsidRPr="00212995" w:rsidR="00315371" w:rsidP="00435346" w:rsidRDefault="00315371">
            <w:pPr>
              <w:rPr>
                <w:rFonts w:ascii="Verdana" w:hAnsi="Verdana"/>
                <w:sz w:val="16"/>
                <w:szCs w:val="16"/>
              </w:rPr>
            </w:pPr>
          </w:p>
        </w:tc>
        <w:tc>
          <w:tcPr>
            <w:tcW w:w="561" w:type="pct"/>
            <w:vAlign w:val="center"/>
          </w:tcPr>
          <w:p w:rsidRPr="00212995" w:rsidR="00315371" w:rsidP="00435346" w:rsidRDefault="00315371">
            <w:pPr>
              <w:rPr>
                <w:rFonts w:ascii="Verdana" w:hAnsi="Verdana"/>
                <w:sz w:val="16"/>
                <w:szCs w:val="16"/>
              </w:rPr>
            </w:pPr>
          </w:p>
        </w:tc>
        <w:tc>
          <w:tcPr>
            <w:tcW w:w="562" w:type="pct"/>
            <w:vAlign w:val="center"/>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mutaties sinds Miljoenennota 2012</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348,2</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-1.977,8</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-2.493,0</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-2.456,6</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-2.187,6</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562"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1" w:type="pct"/>
          </w:tcPr>
          <w:p w:rsidRPr="00212995" w:rsidR="00315371" w:rsidP="00435346" w:rsidRDefault="00315371">
            <w:pPr>
              <w:rPr>
                <w:rFonts w:ascii="Verdana" w:hAnsi="Verdana"/>
                <w:sz w:val="16"/>
                <w:szCs w:val="16"/>
              </w:rPr>
            </w:pPr>
          </w:p>
        </w:tc>
        <w:tc>
          <w:tcPr>
            <w:tcW w:w="562" w:type="pct"/>
          </w:tcPr>
          <w:p w:rsidRPr="00212995" w:rsidR="00315371" w:rsidP="00435346" w:rsidRDefault="00315371">
            <w:pPr>
              <w:rPr>
                <w:rFonts w:ascii="Verdana" w:hAnsi="Verdana"/>
                <w:sz w:val="16"/>
                <w:szCs w:val="16"/>
              </w:rPr>
            </w:pP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 (subtotaal)</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17.906,5</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14.985,6</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14.722,2</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14.460,7</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15.005,4</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Internationale samenwerking</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6,7</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5,9</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5,2</w:t>
            </w:r>
          </w:p>
        </w:tc>
        <w:tc>
          <w:tcPr>
            <w:tcW w:w="561"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4,8</w:t>
            </w:r>
          </w:p>
        </w:tc>
        <w:tc>
          <w:tcPr>
            <w:tcW w:w="562"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4,8</w:t>
            </w:r>
          </w:p>
        </w:tc>
      </w:tr>
      <w:tr w:rsidRPr="00212995" w:rsidR="00315371" w:rsidTr="00404A14">
        <w:tc>
          <w:tcPr>
            <w:tcW w:w="219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17.913,2</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14.991,4</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14.727,5</w:t>
            </w:r>
          </w:p>
        </w:tc>
        <w:tc>
          <w:tcPr>
            <w:tcW w:w="561"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14.465,5</w:t>
            </w:r>
          </w:p>
        </w:tc>
        <w:tc>
          <w:tcPr>
            <w:tcW w:w="562"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15.010,2</w:t>
            </w:r>
          </w:p>
        </w:tc>
      </w:tr>
    </w:tbl>
    <w:p w:rsidR="00315371" w:rsidP="002B5FE1" w:rsidRDefault="00315371">
      <w:pPr>
        <w:rPr>
          <w:rFonts w:ascii="Verdana" w:hAnsi="Verdana" w:cs="Courier New"/>
          <w:sz w:val="18"/>
          <w:szCs w:val="18"/>
        </w:rPr>
      </w:pPr>
    </w:p>
    <w:p w:rsidR="00315371" w:rsidP="002B5FE1" w:rsidRDefault="00315371">
      <w:pPr>
        <w:rPr>
          <w:rFonts w:ascii="Verdana" w:hAnsi="Verdana" w:cs="Courier New"/>
          <w:sz w:val="18"/>
          <w:szCs w:val="18"/>
        </w:rPr>
      </w:pPr>
    </w:p>
    <w:tbl>
      <w:tblPr>
        <w:tblW w:w="5000" w:type="pct"/>
        <w:tblCellMar>
          <w:top w:w="15" w:type="dxa"/>
          <w:left w:w="15" w:type="dxa"/>
          <w:bottom w:w="15" w:type="dxa"/>
          <w:right w:w="15" w:type="dxa"/>
        </w:tblCellMar>
        <w:tblLook w:val="00A0"/>
      </w:tblPr>
      <w:tblGrid>
        <w:gridCol w:w="4927"/>
        <w:gridCol w:w="817"/>
        <w:gridCol w:w="817"/>
        <w:gridCol w:w="817"/>
        <w:gridCol w:w="861"/>
        <w:gridCol w:w="863"/>
      </w:tblGrid>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49"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49"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49"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7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73"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XVI VOLKSGEZONDHEID, WELZIJN EN SPORT: NIET-BELASTINGONTVANGSTEN</w:t>
            </w:r>
          </w:p>
        </w:tc>
        <w:tc>
          <w:tcPr>
            <w:tcW w:w="2294" w:type="pct"/>
            <w:gridSpan w:val="5"/>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bedragen in miljoenen euro's</w:t>
            </w:r>
          </w:p>
        </w:tc>
      </w:tr>
      <w:tr w:rsidRPr="00212995" w:rsidR="00315371" w:rsidTr="00212995">
        <w:tc>
          <w:tcPr>
            <w:tcW w:w="2706"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p>
        </w:tc>
        <w:tc>
          <w:tcPr>
            <w:tcW w:w="449"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2012</w:t>
            </w:r>
          </w:p>
        </w:tc>
        <w:tc>
          <w:tcPr>
            <w:tcW w:w="449"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2013</w:t>
            </w:r>
          </w:p>
        </w:tc>
        <w:tc>
          <w:tcPr>
            <w:tcW w:w="449"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2014</w:t>
            </w:r>
          </w:p>
        </w:tc>
        <w:tc>
          <w:tcPr>
            <w:tcW w:w="473"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2015</w:t>
            </w:r>
          </w:p>
        </w:tc>
        <w:tc>
          <w:tcPr>
            <w:tcW w:w="473" w:type="pct"/>
            <w:tcBorders>
              <w:top w:val="single" w:color="000000" w:sz="8" w:space="0"/>
              <w:left w:val="nil"/>
              <w:bottom w:val="single" w:color="000000" w:sz="8" w:space="0"/>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2016</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Miljoenennota 2012 (excl. IS)</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45,8</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50,3</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43,3</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106,3</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106,2</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Beleidsmatige mutaties</w:t>
            </w: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r>
      <w:tr w:rsidRPr="00212995" w:rsidR="00315371" w:rsidTr="00212995">
        <w:tc>
          <w:tcPr>
            <w:tcW w:w="2706" w:type="pct"/>
            <w:tcBorders>
              <w:left w:val="nil"/>
              <w:right w:val="nil"/>
            </w:tcBorders>
            <w:tcMar>
              <w:top w:w="15" w:type="dxa"/>
              <w:left w:w="224"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r>
      <w:tr w:rsidRPr="00212995" w:rsidR="00315371" w:rsidTr="00212995">
        <w:tc>
          <w:tcPr>
            <w:tcW w:w="2706"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Opbrengsten wanbetalers en onverzekerden</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23,0</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212995">
        <w:tc>
          <w:tcPr>
            <w:tcW w:w="2706"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10,2</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33,2</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Technische mutaties</w:t>
            </w: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r>
      <w:tr w:rsidRPr="00212995" w:rsidR="00315371" w:rsidTr="00212995">
        <w:tc>
          <w:tcPr>
            <w:tcW w:w="2706" w:type="pct"/>
            <w:tcBorders>
              <w:left w:val="nil"/>
              <w:right w:val="nil"/>
            </w:tcBorders>
            <w:tcMar>
              <w:top w:w="15" w:type="dxa"/>
              <w:left w:w="224" w:type="dxa"/>
              <w:bottom w:w="15" w:type="dxa"/>
              <w:right w:w="15" w:type="dxa"/>
            </w:tcMar>
          </w:tcPr>
          <w:p w:rsidRPr="00212995" w:rsidR="00315371" w:rsidP="00212995" w:rsidRDefault="00315371">
            <w:pPr>
              <w:ind w:firstLine="160" w:firstLineChars="100"/>
              <w:rPr>
                <w:rFonts w:ascii="Verdana" w:hAnsi="Verdana" w:cs="Courier New"/>
                <w:sz w:val="16"/>
                <w:szCs w:val="16"/>
              </w:rPr>
            </w:pPr>
            <w:r w:rsidRPr="00212995">
              <w:rPr>
                <w:rFonts w:ascii="Verdana" w:hAnsi="Verdana" w:cs="Courier New"/>
                <w:sz w:val="16"/>
                <w:szCs w:val="16"/>
              </w:rPr>
              <w:t>Rijksbegroting in enge zin</w:t>
            </w: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r>
      <w:tr w:rsidRPr="00212995" w:rsidR="00315371" w:rsidTr="00212995">
        <w:tc>
          <w:tcPr>
            <w:tcW w:w="2706" w:type="pct"/>
            <w:tcBorders>
              <w:left w:val="nil"/>
              <w:right w:val="nil"/>
            </w:tcBorders>
            <w:tcMar>
              <w:top w:w="15" w:type="dxa"/>
              <w:left w:w="449" w:type="dxa"/>
              <w:bottom w:w="15" w:type="dxa"/>
              <w:right w:w="15" w:type="dxa"/>
            </w:tcMar>
          </w:tcPr>
          <w:p w:rsidRPr="00212995" w:rsidR="00315371" w:rsidP="00212995" w:rsidRDefault="00315371">
            <w:pPr>
              <w:ind w:firstLine="320" w:firstLineChars="200"/>
              <w:rPr>
                <w:rFonts w:ascii="Verdana" w:hAnsi="Verdana" w:cs="Courier New"/>
                <w:sz w:val="16"/>
                <w:szCs w:val="16"/>
              </w:rPr>
            </w:pPr>
            <w:r w:rsidRPr="00212995">
              <w:rPr>
                <w:rFonts w:ascii="Verdana" w:hAnsi="Verdana" w:cs="Courier New"/>
                <w:sz w:val="16"/>
                <w:szCs w:val="16"/>
              </w:rPr>
              <w:t>Diversen</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17,2</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4,5</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17,2</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4,5</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p>
        </w:tc>
        <w:tc>
          <w:tcPr>
            <w:tcW w:w="449" w:type="pct"/>
            <w:vAlign w:val="center"/>
          </w:tcPr>
          <w:p w:rsidRPr="00212995" w:rsidR="00315371" w:rsidP="00435346" w:rsidRDefault="00315371">
            <w:pPr>
              <w:rPr>
                <w:rFonts w:ascii="Verdana" w:hAnsi="Verdana"/>
                <w:sz w:val="16"/>
                <w:szCs w:val="16"/>
              </w:rPr>
            </w:pPr>
          </w:p>
        </w:tc>
        <w:tc>
          <w:tcPr>
            <w:tcW w:w="449" w:type="pct"/>
            <w:vAlign w:val="center"/>
          </w:tcPr>
          <w:p w:rsidRPr="00212995" w:rsidR="00315371" w:rsidP="00435346" w:rsidRDefault="00315371">
            <w:pPr>
              <w:rPr>
                <w:rFonts w:ascii="Verdana" w:hAnsi="Verdana"/>
                <w:sz w:val="16"/>
                <w:szCs w:val="16"/>
              </w:rPr>
            </w:pPr>
          </w:p>
        </w:tc>
        <w:tc>
          <w:tcPr>
            <w:tcW w:w="449" w:type="pct"/>
            <w:vAlign w:val="center"/>
          </w:tcPr>
          <w:p w:rsidRPr="00212995" w:rsidR="00315371" w:rsidP="00435346" w:rsidRDefault="00315371">
            <w:pPr>
              <w:rPr>
                <w:rFonts w:ascii="Verdana" w:hAnsi="Verdana"/>
                <w:sz w:val="16"/>
                <w:szCs w:val="16"/>
              </w:rPr>
            </w:pPr>
          </w:p>
        </w:tc>
        <w:tc>
          <w:tcPr>
            <w:tcW w:w="473" w:type="pct"/>
            <w:vAlign w:val="center"/>
          </w:tcPr>
          <w:p w:rsidRPr="00212995" w:rsidR="00315371" w:rsidP="00435346" w:rsidRDefault="00315371">
            <w:pPr>
              <w:rPr>
                <w:rFonts w:ascii="Verdana" w:hAnsi="Verdana"/>
                <w:sz w:val="16"/>
                <w:szCs w:val="16"/>
              </w:rPr>
            </w:pPr>
          </w:p>
        </w:tc>
        <w:tc>
          <w:tcPr>
            <w:tcW w:w="473" w:type="pct"/>
            <w:vAlign w:val="center"/>
          </w:tcPr>
          <w:p w:rsidRPr="00212995" w:rsidR="00315371" w:rsidP="00435346" w:rsidRDefault="00315371">
            <w:pPr>
              <w:rPr>
                <w:rFonts w:ascii="Verdana" w:hAnsi="Verdana"/>
                <w:sz w:val="16"/>
                <w:szCs w:val="16"/>
              </w:rPr>
            </w:pP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mutaties sinds Miljoenennota 2012</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50,4</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13,2</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8,7</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 </w:t>
            </w: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49"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c>
          <w:tcPr>
            <w:tcW w:w="473" w:type="pct"/>
          </w:tcPr>
          <w:p w:rsidRPr="00212995" w:rsidR="00315371" w:rsidP="00435346" w:rsidRDefault="00315371">
            <w:pPr>
              <w:rPr>
                <w:rFonts w:ascii="Verdana" w:hAnsi="Verdana"/>
                <w:sz w:val="16"/>
                <w:szCs w:val="16"/>
              </w:rPr>
            </w:pP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 (subtotaal)</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96,3</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63,5</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52,0</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115,0</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114,9</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Totaal Internationale samenwerking</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49"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c>
          <w:tcPr>
            <w:tcW w:w="473" w:type="pct"/>
            <w:tcBorders>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0,0</w:t>
            </w:r>
          </w:p>
        </w:tc>
      </w:tr>
      <w:tr w:rsidRPr="00212995" w:rsidR="00315371" w:rsidTr="00212995">
        <w:tc>
          <w:tcPr>
            <w:tcW w:w="2706" w:type="pct"/>
            <w:tcBorders>
              <w:left w:val="nil"/>
              <w:right w:val="nil"/>
            </w:tcBorders>
          </w:tcPr>
          <w:p w:rsidRPr="00212995" w:rsidR="00315371" w:rsidP="00435346" w:rsidRDefault="00315371">
            <w:pPr>
              <w:rPr>
                <w:rFonts w:ascii="Verdana" w:hAnsi="Verdana" w:cs="Courier New"/>
                <w:sz w:val="16"/>
                <w:szCs w:val="16"/>
              </w:rPr>
            </w:pPr>
            <w:r w:rsidRPr="00212995">
              <w:rPr>
                <w:rFonts w:ascii="Verdana" w:hAnsi="Verdana" w:cs="Courier New"/>
                <w:sz w:val="16"/>
                <w:szCs w:val="16"/>
              </w:rPr>
              <w:t>Stand Voorjaarsnota 2012</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96,3</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63,5</w:t>
            </w:r>
          </w:p>
        </w:tc>
        <w:tc>
          <w:tcPr>
            <w:tcW w:w="449"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52,0</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115,0</w:t>
            </w:r>
          </w:p>
        </w:tc>
        <w:tc>
          <w:tcPr>
            <w:tcW w:w="473" w:type="pct"/>
            <w:tcBorders>
              <w:top w:val="single" w:color="000000" w:sz="8" w:space="0"/>
              <w:left w:val="nil"/>
              <w:right w:val="nil"/>
            </w:tcBorders>
          </w:tcPr>
          <w:p w:rsidRPr="00212995" w:rsidR="00315371" w:rsidP="00435346" w:rsidRDefault="00315371">
            <w:pPr>
              <w:jc w:val="right"/>
              <w:rPr>
                <w:rFonts w:ascii="Verdana" w:hAnsi="Verdana" w:cs="Courier New"/>
                <w:sz w:val="16"/>
                <w:szCs w:val="16"/>
              </w:rPr>
            </w:pPr>
            <w:r w:rsidRPr="00212995">
              <w:rPr>
                <w:rFonts w:ascii="Verdana" w:hAnsi="Verdana" w:cs="Courier New"/>
                <w:sz w:val="16"/>
                <w:szCs w:val="16"/>
              </w:rPr>
              <w:t>114,9</w:t>
            </w:r>
          </w:p>
        </w:tc>
      </w:tr>
    </w:tbl>
    <w:p w:rsidRPr="00312E84" w:rsidR="00315371" w:rsidP="002B5FE1" w:rsidRDefault="00315371">
      <w:pPr>
        <w:rPr>
          <w:rFonts w:ascii="Verdana" w:hAnsi="Verdana" w:cs="Courier New"/>
          <w:sz w:val="18"/>
          <w:szCs w:val="18"/>
        </w:rPr>
      </w:pPr>
      <w:r w:rsidRPr="00312E84">
        <w:rPr>
          <w:rFonts w:ascii="Verdana" w:hAnsi="Verdana" w:cs="Courier New"/>
          <w:sz w:val="18"/>
          <w:szCs w:val="18"/>
        </w:rPr>
        <w:t> </w:t>
      </w:r>
    </w:p>
    <w:p w:rsidRPr="00312E84" w:rsidR="00315371" w:rsidP="002B5FE1" w:rsidRDefault="00315371">
      <w:pPr>
        <w:rPr>
          <w:rFonts w:ascii="Verdana" w:hAnsi="Verdana" w:cs="Courier New"/>
          <w:sz w:val="18"/>
          <w:szCs w:val="18"/>
        </w:rPr>
      </w:pPr>
    </w:p>
    <w:p w:rsidRPr="00312E84" w:rsidR="00315371" w:rsidP="002B5FE1" w:rsidRDefault="00315371">
      <w:pPr>
        <w:rPr>
          <w:rFonts w:ascii="Verdana" w:hAnsi="Verdana" w:cs="Courier New"/>
          <w:sz w:val="18"/>
          <w:szCs w:val="18"/>
        </w:rPr>
      </w:pPr>
    </w:p>
    <w:p w:rsidRPr="00312E84" w:rsidR="00315371" w:rsidP="00212995" w:rsidRDefault="00315371">
      <w:pPr>
        <w:pStyle w:val="NoSpacing"/>
        <w:spacing w:line="276" w:lineRule="auto"/>
        <w:rPr>
          <w:szCs w:val="18"/>
        </w:rPr>
      </w:pPr>
      <w:r w:rsidRPr="00312E84">
        <w:rPr>
          <w:i/>
          <w:szCs w:val="18"/>
        </w:rPr>
        <w:t>Aanpassen taakstellende onderuitputting</w:t>
      </w:r>
    </w:p>
    <w:p w:rsidRPr="00312E84" w:rsidR="00315371" w:rsidP="00212995" w:rsidRDefault="00315371">
      <w:pPr>
        <w:pStyle w:val="NoSpacing"/>
        <w:spacing w:line="276" w:lineRule="auto"/>
        <w:rPr>
          <w:szCs w:val="18"/>
        </w:rPr>
      </w:pPr>
      <w:r w:rsidRPr="00312E84">
        <w:rPr>
          <w:szCs w:val="18"/>
        </w:rPr>
        <w:t>Om tot een sluitend beeld te komen past VWS de taakstellende onderuitputting aan.</w:t>
      </w:r>
    </w:p>
    <w:p w:rsidR="00315371" w:rsidP="00212995" w:rsidRDefault="00315371">
      <w:pPr>
        <w:pStyle w:val="NoSpacing"/>
        <w:spacing w:line="276" w:lineRule="auto"/>
        <w:rPr>
          <w:i/>
          <w:szCs w:val="18"/>
        </w:rPr>
      </w:pPr>
    </w:p>
    <w:p w:rsidRPr="00312E84" w:rsidR="00315371" w:rsidP="00212995" w:rsidRDefault="00315371">
      <w:pPr>
        <w:pStyle w:val="NoSpacing"/>
        <w:spacing w:line="276" w:lineRule="auto"/>
        <w:rPr>
          <w:szCs w:val="18"/>
        </w:rPr>
      </w:pPr>
      <w:r w:rsidRPr="00312E84">
        <w:rPr>
          <w:i/>
          <w:szCs w:val="18"/>
        </w:rPr>
        <w:t>Ruimte artikel 99</w:t>
      </w:r>
    </w:p>
    <w:p w:rsidRPr="00312E84" w:rsidR="00315371" w:rsidP="00212995" w:rsidRDefault="00315371">
      <w:pPr>
        <w:pStyle w:val="NoSpacing"/>
        <w:spacing w:line="276" w:lineRule="auto"/>
        <w:rPr>
          <w:szCs w:val="18"/>
        </w:rPr>
      </w:pPr>
      <w:r w:rsidRPr="00312E84">
        <w:rPr>
          <w:szCs w:val="18"/>
        </w:rPr>
        <w:t>Op artikel 99 resteert na afgelopen jaar nog ruimte.</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Diversen (Rbg-eng, beleidsmatige mutaties)</w:t>
      </w:r>
    </w:p>
    <w:p w:rsidRPr="00312E84" w:rsidR="00315371" w:rsidP="00212995" w:rsidRDefault="00315371">
      <w:pPr>
        <w:pStyle w:val="NoSpacing"/>
        <w:spacing w:line="276" w:lineRule="auto"/>
        <w:rPr>
          <w:szCs w:val="18"/>
        </w:rPr>
      </w:pPr>
      <w:r w:rsidRPr="00312E84">
        <w:rPr>
          <w:szCs w:val="18"/>
        </w:rPr>
        <w:t>Dit is de optelsom van diverse mutaties, waaronder de indexering van wetten en regelingen voor oorlogsgetroffenen vanaf 2012, de indexering van de pleegvergoeding vanaf 2012, de OVA academische ziekenhuizen en de loon- en prijsbijstelling voor het kader Rbg-eng.</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Zorguitgaven Caribisch Nederland</w:t>
      </w:r>
    </w:p>
    <w:p w:rsidRPr="00312E84" w:rsidR="00315371" w:rsidP="00212995" w:rsidRDefault="00315371">
      <w:pPr>
        <w:pStyle w:val="NoSpacing"/>
        <w:spacing w:line="276" w:lineRule="auto"/>
        <w:rPr>
          <w:szCs w:val="18"/>
        </w:rPr>
      </w:pPr>
      <w:r w:rsidRPr="00312E84">
        <w:rPr>
          <w:szCs w:val="18"/>
        </w:rPr>
        <w:t>Nieuwe inzichten over het zorggebruik op Caribisch Nederland</w:t>
      </w:r>
      <w:r>
        <w:rPr>
          <w:szCs w:val="18"/>
        </w:rPr>
        <w:t xml:space="preserve"> sinds de inwerkingtreding van het besluit Zorgverzekering BES</w:t>
      </w:r>
      <w:r w:rsidRPr="00312E84">
        <w:rPr>
          <w:szCs w:val="18"/>
        </w:rPr>
        <w:t xml:space="preserve"> </w:t>
      </w:r>
      <w:r>
        <w:rPr>
          <w:szCs w:val="18"/>
        </w:rPr>
        <w:t xml:space="preserve">(2011) </w:t>
      </w:r>
      <w:r w:rsidRPr="00312E84">
        <w:rPr>
          <w:szCs w:val="18"/>
        </w:rPr>
        <w:t xml:space="preserve">leiden </w:t>
      </w:r>
      <w:r>
        <w:rPr>
          <w:szCs w:val="18"/>
        </w:rPr>
        <w:t>tot een bijstelling van de raming van zorguitgaven aldaar</w:t>
      </w:r>
      <w:r w:rsidRPr="00312E84">
        <w:rPr>
          <w:szCs w:val="18"/>
        </w:rPr>
        <w:t>.</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Diversen (zorg, beleidsmatige mutaties)</w:t>
      </w:r>
    </w:p>
    <w:p w:rsidRPr="00312E84" w:rsidR="00315371" w:rsidP="00212995" w:rsidRDefault="00315371">
      <w:pPr>
        <w:pStyle w:val="NoSpacing"/>
        <w:spacing w:line="276" w:lineRule="auto"/>
        <w:rPr>
          <w:szCs w:val="18"/>
        </w:rPr>
      </w:pPr>
      <w:r w:rsidRPr="00312E84">
        <w:rPr>
          <w:szCs w:val="18"/>
        </w:rPr>
        <w:t>Op het begrotingsgefinancierde deel van het BKZ is sprake van een tekort bij de prijsbijstelling.</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i/>
          <w:szCs w:val="18"/>
        </w:rPr>
      </w:pPr>
      <w:r w:rsidRPr="00312E84">
        <w:rPr>
          <w:i/>
          <w:szCs w:val="18"/>
        </w:rPr>
        <w:t>Diversen (Rbg-eng, technische mutaties)</w:t>
      </w:r>
    </w:p>
    <w:p w:rsidRPr="00312E84" w:rsidR="00315371" w:rsidP="00212995" w:rsidRDefault="00315371">
      <w:pPr>
        <w:pStyle w:val="NoSpacing"/>
        <w:spacing w:line="276" w:lineRule="auto"/>
        <w:rPr>
          <w:szCs w:val="18"/>
        </w:rPr>
      </w:pPr>
      <w:r w:rsidRPr="00312E84">
        <w:rPr>
          <w:szCs w:val="18"/>
        </w:rPr>
        <w:t xml:space="preserve">Dit is een optelsom van overboekingen, desalderingen en de loonbijstelling </w:t>
      </w:r>
      <w:r>
        <w:rPr>
          <w:szCs w:val="18"/>
        </w:rPr>
        <w:t xml:space="preserve">kader </w:t>
      </w:r>
      <w:r w:rsidRPr="00312E84">
        <w:rPr>
          <w:szCs w:val="18"/>
        </w:rPr>
        <w:t>Rbg-eng tranche 2012.</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Diversen (Zorg, technische mutaties)</w:t>
      </w:r>
    </w:p>
    <w:p w:rsidRPr="00312E84" w:rsidR="00315371" w:rsidP="00212995" w:rsidRDefault="00315371">
      <w:pPr>
        <w:pStyle w:val="NoSpacing"/>
        <w:spacing w:line="276" w:lineRule="auto"/>
        <w:rPr>
          <w:szCs w:val="18"/>
        </w:rPr>
      </w:pPr>
      <w:r w:rsidRPr="00312E84">
        <w:rPr>
          <w:szCs w:val="18"/>
        </w:rPr>
        <w:t>Dit betreft de loonbijstelling tranche 2012 voor het begrotingsgefinancierde deel van het BKZ.</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Bijstelling BIKK</w:t>
      </w:r>
    </w:p>
    <w:p w:rsidRPr="00312E84" w:rsidR="00315371" w:rsidP="00212995" w:rsidRDefault="00315371">
      <w:pPr>
        <w:pStyle w:val="NoSpacing"/>
        <w:spacing w:line="276" w:lineRule="auto"/>
        <w:rPr>
          <w:szCs w:val="18"/>
        </w:rPr>
      </w:pPr>
      <w:r w:rsidRPr="00312E84">
        <w:rPr>
          <w:szCs w:val="18"/>
        </w:rPr>
        <w:t>Dit is de bijstelling Bijdrage in Kosten van Kortingen (BIKK) naar aanleiding van de actuele ramingen van het Centraal Planbureau.</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Bijstelling zorgtoeslag</w:t>
      </w:r>
    </w:p>
    <w:p w:rsidRPr="00312E84" w:rsidR="00315371" w:rsidP="00212995" w:rsidRDefault="00315371">
      <w:pPr>
        <w:pStyle w:val="NoSpacing"/>
        <w:spacing w:line="276" w:lineRule="auto"/>
        <w:rPr>
          <w:szCs w:val="18"/>
        </w:rPr>
      </w:pPr>
      <w:r w:rsidRPr="00312E84">
        <w:rPr>
          <w:szCs w:val="18"/>
        </w:rPr>
        <w:t>Dit is de bijstelling van de uitgavenraming zorgtoeslag naar aanleiding van actuele ramingen van het Centraal Planbureau.</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Diversen (technische mutaties, niet tot een ijklijn behorend)</w:t>
      </w:r>
    </w:p>
    <w:p w:rsidRPr="00312E84" w:rsidR="00315371" w:rsidP="00212995" w:rsidRDefault="00315371">
      <w:pPr>
        <w:pStyle w:val="NoSpacing"/>
        <w:spacing w:line="276" w:lineRule="auto"/>
        <w:rPr>
          <w:szCs w:val="18"/>
        </w:rPr>
      </w:pPr>
      <w:r w:rsidRPr="00312E84">
        <w:rPr>
          <w:szCs w:val="18"/>
        </w:rPr>
        <w:t>Dit betreft de loonbijstelling tranche 2012 voor het kader N.</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Opbrengsten wanbetalers en onverzekerden</w:t>
      </w:r>
    </w:p>
    <w:p w:rsidRPr="00312E84" w:rsidR="00315371" w:rsidP="00212995" w:rsidRDefault="00315371">
      <w:pPr>
        <w:pStyle w:val="NoSpacing"/>
        <w:spacing w:line="276" w:lineRule="auto"/>
        <w:rPr>
          <w:szCs w:val="18"/>
        </w:rPr>
      </w:pPr>
      <w:r w:rsidRPr="00312E84">
        <w:rPr>
          <w:szCs w:val="18"/>
        </w:rPr>
        <w:t>Dit betreft ruimte als gevolg van de aanpak wanbetalers en onverzekerden.</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Diversen (ontvangsten, beleidsmatige mutaties)</w:t>
      </w:r>
    </w:p>
    <w:p w:rsidRPr="00312E84" w:rsidR="00315371" w:rsidP="00212995" w:rsidRDefault="00315371">
      <w:pPr>
        <w:pStyle w:val="NoSpacing"/>
        <w:spacing w:line="276" w:lineRule="auto"/>
        <w:rPr>
          <w:szCs w:val="18"/>
        </w:rPr>
      </w:pPr>
      <w:r w:rsidRPr="00312E84">
        <w:rPr>
          <w:szCs w:val="18"/>
        </w:rPr>
        <w:t xml:space="preserve">Dit betreft een herijking van de ontvangstenraming. Jaarlijks doen zich meerontvangsten voor op de beleidsartikelen. Op basis van de ontwikkelingen van de afgelopen jaren is de ontvangstenraming op de beleidsartikelen herijkt. Voorts is er ruimte op het budget van Nictiz. </w:t>
      </w:r>
    </w:p>
    <w:p w:rsidRPr="00312E84" w:rsidR="00315371" w:rsidP="00212995" w:rsidRDefault="00315371">
      <w:pPr>
        <w:pStyle w:val="NoSpacing"/>
        <w:spacing w:line="276" w:lineRule="auto"/>
        <w:rPr>
          <w:szCs w:val="18"/>
        </w:rPr>
      </w:pPr>
    </w:p>
    <w:p w:rsidRPr="00312E84" w:rsidR="00315371" w:rsidP="00212995" w:rsidRDefault="00315371">
      <w:pPr>
        <w:pStyle w:val="NoSpacing"/>
        <w:spacing w:line="276" w:lineRule="auto"/>
        <w:rPr>
          <w:szCs w:val="18"/>
        </w:rPr>
      </w:pPr>
      <w:r w:rsidRPr="00312E84">
        <w:rPr>
          <w:i/>
          <w:szCs w:val="18"/>
        </w:rPr>
        <w:t>Diversen (ontvangsten, technische mutaties)</w:t>
      </w:r>
    </w:p>
    <w:p w:rsidRPr="00312E84" w:rsidR="00315371" w:rsidP="00212995" w:rsidRDefault="00315371">
      <w:pPr>
        <w:pStyle w:val="NoSpacing"/>
        <w:spacing w:line="276" w:lineRule="auto"/>
        <w:rPr>
          <w:szCs w:val="18"/>
        </w:rPr>
      </w:pPr>
      <w:r w:rsidRPr="00312E84">
        <w:rPr>
          <w:szCs w:val="18"/>
        </w:rPr>
        <w:t>Dit betreft een aantal desalderingen.</w:t>
      </w:r>
    </w:p>
    <w:p w:rsidRPr="00312E84" w:rsidR="00315371" w:rsidP="00212995" w:rsidRDefault="00315371">
      <w:pPr>
        <w:pStyle w:val="NoSpacing"/>
        <w:spacing w:line="276" w:lineRule="auto"/>
        <w:rPr>
          <w:szCs w:val="18"/>
        </w:rPr>
      </w:pPr>
    </w:p>
    <w:p w:rsidR="00315371" w:rsidP="00212995" w:rsidRDefault="00315371">
      <w:pPr>
        <w:spacing w:after="200" w:line="276" w:lineRule="auto"/>
        <w:rPr>
          <w:rFonts w:ascii="Verdana" w:hAnsi="Verdana" w:cs="Arial"/>
          <w:sz w:val="18"/>
          <w:szCs w:val="18"/>
        </w:rPr>
      </w:pPr>
      <w:r>
        <w:rPr>
          <w:rFonts w:ascii="Verdana" w:hAnsi="Verdana" w:cs="Arial"/>
          <w:sz w:val="18"/>
          <w:szCs w:val="18"/>
        </w:rPr>
        <w:br w:type="page"/>
      </w:r>
    </w:p>
    <w:p w:rsidRPr="0017433D" w:rsidR="00315371" w:rsidRDefault="00315371">
      <w:pPr>
        <w:spacing w:after="200" w:line="276" w:lineRule="auto"/>
        <w:rPr>
          <w:rFonts w:ascii="Verdana" w:hAnsi="Verdana" w:cs="Arial"/>
          <w:b/>
          <w:sz w:val="18"/>
          <w:szCs w:val="18"/>
        </w:rPr>
      </w:pPr>
      <w:r w:rsidRPr="0017433D">
        <w:rPr>
          <w:rFonts w:ascii="Verdana" w:hAnsi="Verdana" w:cs="Arial"/>
          <w:b/>
          <w:sz w:val="18"/>
          <w:szCs w:val="18"/>
        </w:rPr>
        <w:t>Budgettair Kader Zorg</w:t>
      </w:r>
    </w:p>
    <w:tbl>
      <w:tblPr>
        <w:tblW w:w="9113" w:type="dxa"/>
        <w:tblInd w:w="55" w:type="dxa"/>
        <w:tblCellMar>
          <w:left w:w="70" w:type="dxa"/>
          <w:right w:w="70" w:type="dxa"/>
        </w:tblCellMar>
        <w:tblLook w:val="00A0"/>
      </w:tblPr>
      <w:tblGrid>
        <w:gridCol w:w="4268"/>
        <w:gridCol w:w="969"/>
        <w:gridCol w:w="969"/>
        <w:gridCol w:w="969"/>
        <w:gridCol w:w="969"/>
        <w:gridCol w:w="969"/>
      </w:tblGrid>
      <w:tr w:rsidRPr="00230A83" w:rsidR="00315371" w:rsidTr="00406846">
        <w:trPr>
          <w:trHeight w:val="240"/>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ZORG: UITGAVEN</w:t>
            </w:r>
          </w:p>
        </w:tc>
        <w:tc>
          <w:tcPr>
            <w:tcW w:w="4845" w:type="dxa"/>
            <w:gridSpan w:val="5"/>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bedragen in miljoenen euro's</w:t>
            </w:r>
          </w:p>
        </w:tc>
      </w:tr>
      <w:tr w:rsidRPr="00230A83" w:rsidR="00315371" w:rsidTr="00406846">
        <w:trPr>
          <w:trHeight w:val="240"/>
        </w:trPr>
        <w:tc>
          <w:tcPr>
            <w:tcW w:w="4268" w:type="dxa"/>
            <w:tcBorders>
              <w:top w:val="single" w:color="000000" w:sz="8" w:space="0"/>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 </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2012</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2013</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2014</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2015</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2016</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Stand Miljoenennota 2012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67.187,40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70.756,20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74.611,00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77.842,20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82.099,00</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Mee- en tegenvallers</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160" w:firstLineChars="100"/>
              <w:rPr>
                <w:rFonts w:ascii="Verdana" w:hAnsi="Verdana" w:cs="Courier New"/>
                <w:color w:val="000000"/>
                <w:sz w:val="16"/>
                <w:szCs w:val="16"/>
              </w:rPr>
            </w:pPr>
            <w:r w:rsidRPr="00230A83">
              <w:rPr>
                <w:rFonts w:ascii="Verdana" w:hAnsi="Verdana" w:cs="Courier New"/>
                <w:color w:val="000000"/>
                <w:sz w:val="16"/>
                <w:szCs w:val="16"/>
              </w:rPr>
              <w:t>Zorg</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Huisartsenzorg</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76,9</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76,9</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76,9</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76,9</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76,9</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Instellingen voor medisch specialistisch zorg</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Tandheelkunde en tandheelkundige spec. zorg</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47</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47</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47</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47</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47</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G</w:t>
            </w:r>
            <w:r>
              <w:rPr>
                <w:rFonts w:ascii="Verdana" w:hAnsi="Verdana" w:cs="Courier New"/>
                <w:color w:val="000000"/>
                <w:sz w:val="16"/>
                <w:szCs w:val="16"/>
              </w:rPr>
              <w:t>gz</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115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115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115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115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115</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Farmaceutische hulp</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-222,2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-222,2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-222,2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-222,2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-222,2</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Zorg in natura</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260,5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260,5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260,5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260,5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260,5</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Bovenbudgettaire vergoedingen</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r>
      <w:tr w:rsidRPr="00230A83" w:rsidR="00315371" w:rsidTr="00406846">
        <w:trPr>
          <w:trHeight w:val="240"/>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Diversen</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4,8</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4,8</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4,8</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4,8</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4,8</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655,00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655,00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655,00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655,00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655,00</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Beleidsmatige mutaties</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160" w:firstLineChars="100"/>
              <w:rPr>
                <w:rFonts w:ascii="Verdana" w:hAnsi="Verdana" w:cs="Courier New"/>
                <w:color w:val="000000"/>
                <w:sz w:val="16"/>
                <w:szCs w:val="16"/>
              </w:rPr>
            </w:pPr>
            <w:r w:rsidRPr="00230A83">
              <w:rPr>
                <w:rFonts w:ascii="Verdana" w:hAnsi="Verdana" w:cs="Courier New"/>
                <w:color w:val="000000"/>
                <w:sz w:val="16"/>
                <w:szCs w:val="16"/>
              </w:rPr>
              <w:t>Zorg</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Aanpassing tariefskorting huisartsen</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34,3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34,3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34,3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34,3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34,3</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 xml:space="preserve">Besparingsverlies toetsing rechtmatigheid van vergoeding conform </w:t>
            </w:r>
            <w:r>
              <w:rPr>
                <w:rFonts w:ascii="Verdana" w:hAnsi="Verdana" w:cs="Courier New"/>
                <w:color w:val="000000"/>
                <w:sz w:val="16"/>
                <w:szCs w:val="16"/>
              </w:rPr>
              <w:t>Zvw</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47</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0</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Besparingsverl</w:t>
            </w:r>
            <w:r>
              <w:rPr>
                <w:rFonts w:ascii="Verdana" w:hAnsi="Verdana" w:cs="Courier New"/>
                <w:color w:val="000000"/>
                <w:sz w:val="16"/>
                <w:szCs w:val="16"/>
              </w:rPr>
              <w:t>ies werelddekking zorg buiten EU</w:t>
            </w:r>
            <w:r w:rsidRPr="00230A83">
              <w:rPr>
                <w:rFonts w:ascii="Verdana" w:hAnsi="Verdana" w:cs="Courier New"/>
                <w:color w:val="000000"/>
                <w:sz w:val="16"/>
                <w:szCs w:val="16"/>
              </w:rPr>
              <w:t xml:space="preserve"> uit het basis pakket</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0</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Hoofdlijnenakkoord instellingen voor medisch specialisch zorg</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-333</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Nominale bijstelling</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156,8</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-474,1</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-1.034,1</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-999,6</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-966,0</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Ramingsbijstelling nhc's</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-8</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-16</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-24</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-56</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Pr>
                <w:rFonts w:ascii="Verdana" w:hAnsi="Verdana" w:cs="Courier New"/>
                <w:color w:val="000000"/>
                <w:sz w:val="16"/>
                <w:szCs w:val="16"/>
              </w:rPr>
              <w:t>Zorguitgaven Caribisch N</w:t>
            </w:r>
            <w:r w:rsidRPr="00230A83">
              <w:rPr>
                <w:rFonts w:ascii="Verdana" w:hAnsi="Verdana" w:cs="Courier New"/>
                <w:color w:val="000000"/>
                <w:sz w:val="16"/>
                <w:szCs w:val="16"/>
              </w:rPr>
              <w:t>ederland</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23,6</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28,5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33,5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38,9</w:t>
            </w:r>
          </w:p>
        </w:tc>
      </w:tr>
      <w:tr w:rsidRPr="00230A83" w:rsidR="00315371" w:rsidTr="00406846">
        <w:trPr>
          <w:trHeight w:val="240"/>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Diversen</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81,41</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-57,81</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3,01</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-9,80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-15,42</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32,11</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-758,11</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-1.320,79</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-1.314,60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-1.297,22</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Technische mutaties</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160" w:firstLineChars="100"/>
              <w:rPr>
                <w:rFonts w:ascii="Verdana" w:hAnsi="Verdana" w:cs="Courier New"/>
                <w:color w:val="000000"/>
                <w:sz w:val="16"/>
                <w:szCs w:val="16"/>
              </w:rPr>
            </w:pPr>
            <w:r w:rsidRPr="00230A83">
              <w:rPr>
                <w:rFonts w:ascii="Verdana" w:hAnsi="Verdana" w:cs="Courier New"/>
                <w:color w:val="000000"/>
                <w:sz w:val="16"/>
                <w:szCs w:val="16"/>
              </w:rPr>
              <w:t>Zorg</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40"/>
        </w:trPr>
        <w:tc>
          <w:tcPr>
            <w:tcW w:w="4268" w:type="dxa"/>
            <w:tcBorders>
              <w:top w:val="nil"/>
              <w:left w:val="nil"/>
              <w:bottom w:val="nil"/>
              <w:right w:val="nil"/>
            </w:tcBorders>
          </w:tcPr>
          <w:p w:rsidRPr="00230A83" w:rsidR="00315371" w:rsidP="001D1BC1"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Diversen</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-9,50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-1,70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-2,70</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-9,50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-1,70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-2,40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-2,70</w:t>
            </w:r>
          </w:p>
        </w:tc>
      </w:tr>
      <w:tr w:rsidRPr="00230A83" w:rsidR="00315371" w:rsidTr="00406846">
        <w:trPr>
          <w:trHeight w:val="225"/>
        </w:trPr>
        <w:tc>
          <w:tcPr>
            <w:tcW w:w="4268"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40"/>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Totaal mutaties sinds Miljoenennota 2012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677,61</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-104,81</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-667,79</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-662,00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-644,92</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Stand Voorjaarsnota 2012</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67.865,01</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70.651,39</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73.943,21</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77.180,20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81.454,08</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r>
      <w:tr w:rsidRPr="00230A83" w:rsidR="00315371" w:rsidTr="00406846">
        <w:trPr>
          <w:trHeight w:val="240"/>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ZORG: NIET-BELASTINGONTVANGSTEN</w:t>
            </w:r>
          </w:p>
        </w:tc>
        <w:tc>
          <w:tcPr>
            <w:tcW w:w="4845" w:type="dxa"/>
            <w:gridSpan w:val="5"/>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bedragen in miljoenen euro's</w:t>
            </w:r>
          </w:p>
        </w:tc>
      </w:tr>
      <w:tr w:rsidRPr="00230A83" w:rsidR="00315371" w:rsidTr="00406846">
        <w:trPr>
          <w:trHeight w:val="240"/>
        </w:trPr>
        <w:tc>
          <w:tcPr>
            <w:tcW w:w="4268" w:type="dxa"/>
            <w:tcBorders>
              <w:top w:val="single" w:color="000000" w:sz="8" w:space="0"/>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 </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2012</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2013</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2014</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2015</w:t>
            </w:r>
          </w:p>
        </w:tc>
        <w:tc>
          <w:tcPr>
            <w:tcW w:w="969" w:type="dxa"/>
            <w:tcBorders>
              <w:top w:val="nil"/>
              <w:left w:val="nil"/>
              <w:bottom w:val="single" w:color="000000" w:sz="8" w:space="0"/>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2016</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Stand Miljoenennota 2012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3.641,40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3.795,00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3.952,20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3.855,80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4.028,60</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Mee- en tegenvallers</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ind w:firstLine="160" w:firstLineChars="100"/>
              <w:rPr>
                <w:rFonts w:ascii="Verdana" w:hAnsi="Verdana" w:cs="Courier New"/>
                <w:color w:val="000000"/>
                <w:sz w:val="16"/>
                <w:szCs w:val="16"/>
              </w:rPr>
            </w:pPr>
            <w:r w:rsidRPr="00230A83">
              <w:rPr>
                <w:rFonts w:ascii="Verdana" w:hAnsi="Verdana" w:cs="Courier New"/>
                <w:color w:val="000000"/>
                <w:sz w:val="16"/>
                <w:szCs w:val="16"/>
              </w:rPr>
              <w:t>Zorg</w:t>
            </w: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40"/>
        </w:trPr>
        <w:tc>
          <w:tcPr>
            <w:tcW w:w="4268" w:type="dxa"/>
            <w:tcBorders>
              <w:top w:val="nil"/>
              <w:left w:val="nil"/>
              <w:bottom w:val="nil"/>
              <w:right w:val="nil"/>
            </w:tcBorders>
          </w:tcPr>
          <w:p w:rsidRPr="00230A83" w:rsidR="00315371" w:rsidP="00DF174B" w:rsidRDefault="00315371">
            <w:pPr>
              <w:ind w:firstLine="320" w:firstLineChars="200"/>
              <w:rPr>
                <w:rFonts w:ascii="Verdana" w:hAnsi="Verdana" w:cs="Courier New"/>
                <w:color w:val="000000"/>
                <w:sz w:val="16"/>
                <w:szCs w:val="16"/>
              </w:rPr>
            </w:pPr>
            <w:r w:rsidRPr="00230A83">
              <w:rPr>
                <w:rFonts w:ascii="Verdana" w:hAnsi="Verdana" w:cs="Courier New"/>
                <w:color w:val="000000"/>
                <w:sz w:val="16"/>
                <w:szCs w:val="16"/>
              </w:rPr>
              <w:t xml:space="preserve">Eigen bijdrage </w:t>
            </w:r>
            <w:r>
              <w:rPr>
                <w:rFonts w:ascii="Verdana" w:hAnsi="Verdana" w:cs="Courier New"/>
                <w:color w:val="000000"/>
                <w:sz w:val="16"/>
                <w:szCs w:val="16"/>
              </w:rPr>
              <w:t>AWBZ</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r>
      <w:tr w:rsidRPr="00230A83" w:rsidR="00315371" w:rsidTr="00406846">
        <w:trPr>
          <w:trHeight w:val="225"/>
        </w:trPr>
        <w:tc>
          <w:tcPr>
            <w:tcW w:w="4268"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c>
          <w:tcPr>
            <w:tcW w:w="969" w:type="dxa"/>
            <w:tcBorders>
              <w:top w:val="nil"/>
              <w:left w:val="nil"/>
              <w:bottom w:val="nil"/>
              <w:right w:val="nil"/>
            </w:tcBorders>
            <w:noWrap/>
            <w:vAlign w:val="bottom"/>
          </w:tcPr>
          <w:p w:rsidRPr="00230A83" w:rsidR="00315371" w:rsidP="001D1BC1" w:rsidRDefault="00315371">
            <w:pPr>
              <w:rPr>
                <w:rFonts w:ascii="Verdana" w:hAnsi="Verdana" w:cs="Courier New"/>
                <w:color w:val="000000"/>
                <w:sz w:val="16"/>
                <w:szCs w:val="16"/>
              </w:rPr>
            </w:pPr>
          </w:p>
        </w:tc>
      </w:tr>
      <w:tr w:rsidRPr="00230A83" w:rsidR="00315371" w:rsidTr="00406846">
        <w:trPr>
          <w:trHeight w:val="240"/>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Totaal mutaties sinds Miljoenennota 2012</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c>
          <w:tcPr>
            <w:tcW w:w="969" w:type="dxa"/>
            <w:tcBorders>
              <w:top w:val="nil"/>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45</w:t>
            </w:r>
          </w:p>
        </w:tc>
      </w:tr>
      <w:tr w:rsidRPr="00230A83" w:rsidR="00315371" w:rsidTr="00406846">
        <w:trPr>
          <w:trHeight w:val="225"/>
        </w:trPr>
        <w:tc>
          <w:tcPr>
            <w:tcW w:w="4268" w:type="dxa"/>
            <w:tcBorders>
              <w:top w:val="nil"/>
              <w:left w:val="nil"/>
              <w:bottom w:val="nil"/>
              <w:right w:val="nil"/>
            </w:tcBorders>
          </w:tcPr>
          <w:p w:rsidRPr="00230A83" w:rsidR="00315371" w:rsidP="001D1BC1" w:rsidRDefault="00315371">
            <w:pPr>
              <w:rPr>
                <w:rFonts w:ascii="Verdana" w:hAnsi="Verdana" w:cs="Courier New"/>
                <w:color w:val="000000"/>
                <w:sz w:val="16"/>
                <w:szCs w:val="16"/>
              </w:rPr>
            </w:pPr>
            <w:r w:rsidRPr="00230A83">
              <w:rPr>
                <w:rFonts w:ascii="Verdana" w:hAnsi="Verdana" w:cs="Courier New"/>
                <w:color w:val="000000"/>
                <w:sz w:val="16"/>
                <w:szCs w:val="16"/>
              </w:rPr>
              <w:t>Stand Voorjaarsnota 2012</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3.601,40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3.840,00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3.997,20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3.900,80</w:t>
            </w:r>
          </w:p>
        </w:tc>
        <w:tc>
          <w:tcPr>
            <w:tcW w:w="969" w:type="dxa"/>
            <w:tcBorders>
              <w:top w:val="single" w:color="000000" w:sz="8" w:space="0"/>
              <w:left w:val="nil"/>
              <w:bottom w:val="nil"/>
              <w:right w:val="nil"/>
            </w:tcBorders>
          </w:tcPr>
          <w:p w:rsidRPr="00230A83" w:rsidR="00315371" w:rsidP="001D1BC1" w:rsidRDefault="00315371">
            <w:pPr>
              <w:jc w:val="right"/>
              <w:rPr>
                <w:rFonts w:ascii="Verdana" w:hAnsi="Verdana" w:cs="Courier New"/>
                <w:color w:val="000000"/>
                <w:sz w:val="16"/>
                <w:szCs w:val="16"/>
              </w:rPr>
            </w:pPr>
            <w:r w:rsidRPr="00230A83">
              <w:rPr>
                <w:rFonts w:ascii="Verdana" w:hAnsi="Verdana" w:cs="Courier New"/>
                <w:color w:val="000000"/>
                <w:sz w:val="16"/>
                <w:szCs w:val="16"/>
              </w:rPr>
              <w:t>4.073,60</w:t>
            </w:r>
          </w:p>
        </w:tc>
      </w:tr>
    </w:tbl>
    <w:p w:rsidR="00315371" w:rsidP="00406846" w:rsidRDefault="00315371">
      <w:pPr>
        <w:rPr>
          <w:i/>
          <w:szCs w:val="18"/>
        </w:rPr>
      </w:pPr>
    </w:p>
    <w:p w:rsidRPr="00406846" w:rsidR="00315371" w:rsidP="00406846" w:rsidRDefault="00315371">
      <w:pPr>
        <w:rPr>
          <w:i/>
          <w:sz w:val="16"/>
          <w:szCs w:val="16"/>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Huisartsenzorg</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 xml:space="preserve">Uit de actualisering van de zorguitgaven over 2011 blijkt een tegenvaller bij de huisartsenzorg die meerjarig doorwerkt. De overschrijding is met name het gevolg van een toename van de bijzondere betalingen. </w:t>
      </w:r>
    </w:p>
    <w:p w:rsidRPr="0071290E" w:rsidR="00315371" w:rsidP="0071290E" w:rsidRDefault="00315371">
      <w:pPr>
        <w:spacing w:line="276" w:lineRule="auto"/>
        <w:rPr>
          <w:rFonts w:ascii="Verdana" w:hAnsi="Verdana"/>
          <w:sz w:val="18"/>
          <w:szCs w:val="18"/>
        </w:rPr>
      </w:pPr>
    </w:p>
    <w:p w:rsidR="00315371" w:rsidP="0071290E" w:rsidRDefault="00315371">
      <w:pPr>
        <w:spacing w:line="276" w:lineRule="auto"/>
        <w:rPr>
          <w:rFonts w:ascii="Verdana" w:hAnsi="Verdana"/>
          <w:i/>
          <w:sz w:val="18"/>
          <w:szCs w:val="18"/>
        </w:rPr>
      </w:pPr>
    </w:p>
    <w:p w:rsidR="00315371" w:rsidP="0071290E" w:rsidRDefault="00315371">
      <w:pPr>
        <w:spacing w:line="276" w:lineRule="auto"/>
        <w:rPr>
          <w:rFonts w:ascii="Verdana" w:hAnsi="Verdana"/>
          <w:i/>
          <w:sz w:val="18"/>
          <w:szCs w:val="18"/>
        </w:rPr>
      </w:pPr>
    </w:p>
    <w:p w:rsidR="00315371" w:rsidP="0071290E" w:rsidRDefault="00315371">
      <w:pPr>
        <w:spacing w:line="276" w:lineRule="auto"/>
        <w:rPr>
          <w:rFonts w:ascii="Verdana" w:hAnsi="Verdana"/>
          <w:i/>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Instellingen voor medisch specialistische zorg</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De overschrijding bij instellingen voor medisch specialistische zorg wordt op basis van cijfers 2011 ingeschat op 333 m</w:t>
      </w:r>
      <w:r>
        <w:rPr>
          <w:rFonts w:ascii="Verdana" w:hAnsi="Verdana"/>
          <w:sz w:val="18"/>
          <w:szCs w:val="18"/>
        </w:rPr>
        <w:t>ln</w:t>
      </w:r>
      <w:r w:rsidRPr="0071290E">
        <w:rPr>
          <w:rFonts w:ascii="Verdana" w:hAnsi="Verdana"/>
          <w:sz w:val="18"/>
          <w:szCs w:val="18"/>
        </w:rPr>
        <w:t>. Het grootste deel van deze overschrijding wordt veroorzaakt door tegenvallers bij ziekenhuizen (250 m</w:t>
      </w:r>
      <w:r>
        <w:rPr>
          <w:rFonts w:ascii="Verdana" w:hAnsi="Verdana"/>
          <w:sz w:val="18"/>
          <w:szCs w:val="18"/>
        </w:rPr>
        <w:t>ln.</w:t>
      </w:r>
      <w:r w:rsidRPr="0071290E">
        <w:rPr>
          <w:rFonts w:ascii="Verdana" w:hAnsi="Verdana"/>
          <w:sz w:val="18"/>
          <w:szCs w:val="18"/>
        </w:rPr>
        <w:t>) en ZBC’s (77 m</w:t>
      </w:r>
      <w:r>
        <w:rPr>
          <w:rFonts w:ascii="Verdana" w:hAnsi="Verdana"/>
          <w:sz w:val="18"/>
          <w:szCs w:val="18"/>
        </w:rPr>
        <w:t>ln.)</w:t>
      </w:r>
      <w:r w:rsidRPr="0071290E">
        <w:rPr>
          <w:rFonts w:ascii="Verdana" w:hAnsi="Verdana"/>
          <w:sz w:val="18"/>
          <w:szCs w:val="18"/>
        </w:rPr>
        <w:t xml:space="preserve">.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Tandheelkunde en tandheelkundige spec</w:t>
      </w:r>
      <w:r>
        <w:rPr>
          <w:rFonts w:ascii="Verdana" w:hAnsi="Verdana"/>
          <w:i/>
          <w:sz w:val="18"/>
          <w:szCs w:val="18"/>
        </w:rPr>
        <w:t>ialistische</w:t>
      </w:r>
      <w:r w:rsidRPr="0071290E">
        <w:rPr>
          <w:rFonts w:ascii="Verdana" w:hAnsi="Verdana"/>
          <w:i/>
          <w:sz w:val="18"/>
          <w:szCs w:val="18"/>
        </w:rPr>
        <w:t xml:space="preserve"> zorg</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 xml:space="preserve">Uit de CVZ-cijfers over 2011 volgt een overschrijding bij tandheelkundige zorg die naar verwachting meerjarig doorwerkt.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Ggz</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Uit cijfers van CVZ, NZa en Vektis over 2010 en 2011 volgt een overschrijding bij de curatieve ggz van 115 m</w:t>
      </w:r>
      <w:r>
        <w:rPr>
          <w:rFonts w:ascii="Verdana" w:hAnsi="Verdana"/>
          <w:sz w:val="18"/>
          <w:szCs w:val="18"/>
        </w:rPr>
        <w:t>ln.</w:t>
      </w:r>
      <w:r w:rsidRPr="0071290E">
        <w:rPr>
          <w:rFonts w:ascii="Verdana" w:hAnsi="Verdana"/>
          <w:sz w:val="18"/>
          <w:szCs w:val="18"/>
        </w:rPr>
        <w:t xml:space="preserve"> die naar verwachting meerjarig doorwerkt.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Farmaceutische hulp</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 xml:space="preserve">Bij de farmaceutische hulp is sprake van een meevaller in 2011 die naar verwachting meerjarig doorwerkt. De vervanging naar middelen met lagere prijzen en prijsverlagingen onder invloed van het preferentiebeleid van zorgverzekeraars levert meer op dan eerder was geraamd.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Zorg in natura</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 xml:space="preserve">Bij zorg in natura doet zich een tegenvaller voor in 2011 die naar verwachting meerjarig doorwerkt. Deze tegenvaller is met name veroorzaakt door nieuw in gebruik genomen capaciteit. De capaciteitstoename doet zich met name voor bij de langdurige ggz en de gehandicaptenzorg.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Bovenbudgettaire vergoedingen</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Uit de realisatiecijfers volgt een tegenvaller van 40 m</w:t>
      </w:r>
      <w:r>
        <w:rPr>
          <w:rFonts w:ascii="Verdana" w:hAnsi="Verdana"/>
          <w:sz w:val="18"/>
          <w:szCs w:val="18"/>
        </w:rPr>
        <w:t>ln.</w:t>
      </w:r>
      <w:r w:rsidRPr="0071290E">
        <w:rPr>
          <w:rFonts w:ascii="Verdana" w:hAnsi="Verdana"/>
          <w:sz w:val="18"/>
          <w:szCs w:val="18"/>
        </w:rPr>
        <w:t xml:space="preserve"> bij de bovenbudgettaire vergoedingen die naar verwachting meerjarig doorwerkt.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Aanpassing tariefskorting huisartsen</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Naar aanleiding van de CVZ-cijfers over 2010 is de korting op het huisartsentarief verlaagd. Aanvullend is eind 2011 besloten om de korting nog eens met 14 m</w:t>
      </w:r>
      <w:r>
        <w:rPr>
          <w:rFonts w:ascii="Verdana" w:hAnsi="Verdana"/>
          <w:sz w:val="18"/>
          <w:szCs w:val="18"/>
        </w:rPr>
        <w:t>ln.</w:t>
      </w:r>
      <w:r w:rsidRPr="0071290E">
        <w:rPr>
          <w:rFonts w:ascii="Verdana" w:hAnsi="Verdana"/>
          <w:sz w:val="18"/>
          <w:szCs w:val="18"/>
        </w:rPr>
        <w:t xml:space="preserve"> te verlagen.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Besparingsverlies toetsing rechtmatigheid vergoeding conform Zvw</w:t>
      </w:r>
    </w:p>
    <w:p w:rsidR="00315371" w:rsidP="0071290E" w:rsidRDefault="00315371">
      <w:pPr>
        <w:spacing w:line="276" w:lineRule="auto"/>
        <w:rPr>
          <w:rFonts w:ascii="Verdana" w:hAnsi="Verdana"/>
          <w:sz w:val="18"/>
          <w:szCs w:val="18"/>
        </w:rPr>
      </w:pPr>
      <w:r w:rsidRPr="0071290E">
        <w:rPr>
          <w:rFonts w:ascii="Verdana" w:hAnsi="Verdana"/>
          <w:sz w:val="18"/>
          <w:szCs w:val="18"/>
        </w:rPr>
        <w:t>De besparing als gevolg van de RA-maatregel `vergoeding rechtmatigheid conform Zvw’ wordt in 2012 nog niet gerealiseerd. Er is een traject in gang gezet in samenwerking met verzekeraars en zorgaanbieders waarin de maatregel nader wordt uitgewerkt zodat implementatie in 2013 in de rede ligt.</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Besparingsverlies werelddekking zorg buiten EU uit het basispakket</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Er is sprake van een besparingsverlies in 2012. Het ingezette traject van het aanpassen van de verdragen verloopt moeizaam. Verwacht wordt dat deze aanpassingen niet eerder dan 1 januari 2014 doorgevoerd zijn.</w:t>
      </w:r>
    </w:p>
    <w:p w:rsidR="00315371" w:rsidP="0071290E" w:rsidRDefault="00315371">
      <w:pPr>
        <w:spacing w:line="276" w:lineRule="auto"/>
        <w:rPr>
          <w:rFonts w:ascii="Verdana" w:hAnsi="Verdana"/>
          <w:i/>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Hoofdlijnenakkoord instellingen voor medisch specialistische zorg</w:t>
      </w:r>
    </w:p>
    <w:p w:rsidRPr="0071290E" w:rsidR="00315371" w:rsidP="0071290E" w:rsidRDefault="00315371">
      <w:pPr>
        <w:pStyle w:val="PlainText"/>
        <w:spacing w:line="276" w:lineRule="auto"/>
        <w:rPr>
          <w:rFonts w:ascii="Verdana" w:hAnsi="Verdana" w:cs="Arial"/>
          <w:color w:val="000000"/>
          <w:sz w:val="18"/>
          <w:szCs w:val="18"/>
        </w:rPr>
      </w:pPr>
      <w:r w:rsidRPr="0071290E">
        <w:rPr>
          <w:rFonts w:ascii="Verdana" w:hAnsi="Verdana" w:cs="Arial"/>
          <w:color w:val="000000"/>
          <w:sz w:val="18"/>
          <w:szCs w:val="18"/>
        </w:rPr>
        <w:t>In 2011 is een Bestuurlijk Hoofdlijnenakkoord met instellingen voor medisch specialistische zorg gesloten. Een beheerste kostenontwikkeling is daarbij uitgangspunt. In dat akkoord is een financieel kader voor 2012 tot en met 2014 overeengekomen tussen verzekeraars en zorgaanbieders. Uitgaande van het overeengekomen budgettair kader 2012-2014 uit het Hoofdlijnenakkoord werkt de overschrijding, zoals geconstateerd op basis van 2011, niet structureel door.</w:t>
      </w:r>
    </w:p>
    <w:p w:rsidRPr="0071290E" w:rsidR="00315371" w:rsidP="0071290E" w:rsidRDefault="00315371">
      <w:pPr>
        <w:spacing w:line="276" w:lineRule="auto"/>
        <w:rPr>
          <w:rFonts w:ascii="Verdana" w:hAnsi="Verdana"/>
          <w:i/>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Nominale bijstelling</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De raming van de loon- en prijsbijstelling is aangepast op basis van de meest recente macro-economische inzichten in het CEP 2012 van het Centraal Planbureau (CPB).</w:t>
      </w:r>
    </w:p>
    <w:p w:rsidR="00315371" w:rsidP="0071290E" w:rsidRDefault="00315371">
      <w:pPr>
        <w:spacing w:line="276" w:lineRule="auto"/>
        <w:rPr>
          <w:rFonts w:ascii="Verdana" w:hAnsi="Verdana"/>
          <w:i/>
          <w:sz w:val="18"/>
          <w:szCs w:val="18"/>
        </w:rPr>
      </w:pPr>
    </w:p>
    <w:p w:rsidR="00315371" w:rsidP="0071290E" w:rsidRDefault="00315371">
      <w:pPr>
        <w:spacing w:line="276" w:lineRule="auto"/>
        <w:rPr>
          <w:rFonts w:ascii="Verdana" w:hAnsi="Verdana"/>
          <w:i/>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Ramingsbijstelling nhc’s</w:t>
      </w:r>
    </w:p>
    <w:p w:rsidRPr="0071290E" w:rsidR="00315371" w:rsidP="0071290E" w:rsidRDefault="00315371">
      <w:pPr>
        <w:spacing w:line="276" w:lineRule="auto"/>
        <w:rPr>
          <w:rFonts w:ascii="Verdana" w:hAnsi="Verdana"/>
          <w:i/>
          <w:iCs/>
          <w:sz w:val="18"/>
          <w:szCs w:val="18"/>
        </w:rPr>
      </w:pPr>
      <w:r w:rsidRPr="0071290E">
        <w:rPr>
          <w:rFonts w:ascii="Verdana" w:hAnsi="Verdana"/>
          <w:sz w:val="18"/>
          <w:szCs w:val="18"/>
        </w:rPr>
        <w:t xml:space="preserve">De invoering van de normatieve huisvestingscomponent (NHC) in de AWBZ leidt tot een aanvullende besparing. </w:t>
      </w:r>
    </w:p>
    <w:p w:rsidR="00315371" w:rsidP="0071290E" w:rsidRDefault="00315371">
      <w:pPr>
        <w:spacing w:line="276" w:lineRule="auto"/>
        <w:rPr>
          <w:rFonts w:ascii="Verdana" w:hAnsi="Verdana"/>
          <w:i/>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Zorguitgaven Caribisch Nederland</w:t>
      </w:r>
    </w:p>
    <w:p w:rsidRPr="0071290E" w:rsidR="00315371" w:rsidP="0071290E" w:rsidRDefault="00315371">
      <w:pPr>
        <w:spacing w:line="276" w:lineRule="auto"/>
        <w:rPr>
          <w:rFonts w:ascii="Verdana" w:hAnsi="Verdana"/>
          <w:sz w:val="18"/>
          <w:szCs w:val="18"/>
        </w:rPr>
      </w:pPr>
      <w:r w:rsidRPr="0071290E">
        <w:rPr>
          <w:rFonts w:ascii="Verdana" w:hAnsi="Verdana"/>
          <w:sz w:val="18"/>
          <w:szCs w:val="18"/>
        </w:rPr>
        <w:t>De actualisatie van de raming voor de zorgkosten van Caribisch Nederland leidt tot opwaartse bijstelling van de raming.</w:t>
      </w:r>
    </w:p>
    <w:p w:rsidR="00315371" w:rsidP="0071290E" w:rsidRDefault="00315371">
      <w:pPr>
        <w:spacing w:line="276" w:lineRule="auto"/>
        <w:rPr>
          <w:rFonts w:ascii="Verdana" w:hAnsi="Verdana"/>
          <w:i/>
          <w:sz w:val="18"/>
          <w:szCs w:val="18"/>
        </w:rPr>
      </w:pPr>
    </w:p>
    <w:p w:rsidRPr="0071290E" w:rsidR="00315371" w:rsidP="0071290E" w:rsidRDefault="00315371">
      <w:pPr>
        <w:spacing w:line="276" w:lineRule="auto"/>
        <w:rPr>
          <w:rFonts w:ascii="Verdana" w:hAnsi="Verdana"/>
          <w:i/>
          <w:sz w:val="18"/>
          <w:szCs w:val="18"/>
        </w:rPr>
      </w:pPr>
      <w:r w:rsidRPr="0071290E">
        <w:rPr>
          <w:rFonts w:ascii="Verdana" w:hAnsi="Verdana"/>
          <w:i/>
          <w:sz w:val="18"/>
          <w:szCs w:val="18"/>
        </w:rPr>
        <w:t xml:space="preserve">Eigen betalingen AWBZ </w:t>
      </w:r>
    </w:p>
    <w:p w:rsidRPr="0071290E" w:rsidR="00315371" w:rsidP="0071290E" w:rsidRDefault="00315371">
      <w:pPr>
        <w:autoSpaceDE w:val="0"/>
        <w:autoSpaceDN w:val="0"/>
        <w:adjustRightInd w:val="0"/>
        <w:spacing w:line="276" w:lineRule="auto"/>
        <w:rPr>
          <w:rFonts w:ascii="Verdana" w:hAnsi="Verdana" w:cs="TTE1745CD8t00"/>
          <w:sz w:val="18"/>
          <w:szCs w:val="18"/>
        </w:rPr>
      </w:pPr>
      <w:r w:rsidRPr="0071290E">
        <w:rPr>
          <w:rFonts w:ascii="Verdana" w:hAnsi="Verdana" w:cs="TTE1745CD8t00"/>
          <w:sz w:val="18"/>
          <w:szCs w:val="18"/>
        </w:rPr>
        <w:t>Bij de eigen bijdragen AWBZ wordt een stru</w:t>
      </w:r>
      <w:r>
        <w:rPr>
          <w:rFonts w:ascii="Verdana" w:hAnsi="Verdana" w:cs="TTE1745CD8t00"/>
          <w:sz w:val="18"/>
          <w:szCs w:val="18"/>
        </w:rPr>
        <w:t>cturele meevaller van 45 mln.</w:t>
      </w:r>
      <w:r w:rsidRPr="0071290E">
        <w:rPr>
          <w:rFonts w:ascii="Verdana" w:hAnsi="Verdana" w:cs="TTE1745CD8t00"/>
          <w:sz w:val="18"/>
          <w:szCs w:val="18"/>
        </w:rPr>
        <w:t xml:space="preserve"> verwacht. Voor 2012 ontstaat een tegenvaller omdat in de begroting 2012 nog werd uitgegaan van een hogere, zij het incidentele meevaller van</w:t>
      </w:r>
      <w:r>
        <w:rPr>
          <w:rFonts w:ascii="Verdana" w:hAnsi="Verdana" w:cs="TTE1745CD8t00"/>
          <w:sz w:val="18"/>
          <w:szCs w:val="18"/>
        </w:rPr>
        <w:t xml:space="preserve"> 85 mln</w:t>
      </w:r>
      <w:r w:rsidRPr="0071290E">
        <w:rPr>
          <w:rFonts w:ascii="Verdana" w:hAnsi="Verdana" w:cs="TTE1745CD8t00"/>
          <w:sz w:val="18"/>
          <w:szCs w:val="18"/>
        </w:rPr>
        <w:t xml:space="preserve">. </w:t>
      </w: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sz w:val="18"/>
          <w:szCs w:val="18"/>
        </w:rPr>
      </w:pPr>
    </w:p>
    <w:p w:rsidRPr="0071290E" w:rsidR="00315371" w:rsidP="0071290E" w:rsidRDefault="00315371">
      <w:pPr>
        <w:spacing w:line="276" w:lineRule="auto"/>
        <w:rPr>
          <w:rFonts w:ascii="Verdana" w:hAnsi="Verdana"/>
          <w:i/>
          <w:sz w:val="18"/>
          <w:szCs w:val="18"/>
        </w:rPr>
      </w:pPr>
    </w:p>
    <w:p w:rsidRPr="008D5BD0" w:rsidR="00315371" w:rsidP="0071290E" w:rsidRDefault="00315371"/>
    <w:p w:rsidR="00315371" w:rsidP="00212995" w:rsidRDefault="00315371">
      <w:pPr>
        <w:spacing w:after="200" w:line="276" w:lineRule="auto"/>
        <w:rPr>
          <w:rFonts w:ascii="Verdana" w:hAnsi="Verdana" w:cs="Arial"/>
          <w:sz w:val="18"/>
          <w:szCs w:val="18"/>
        </w:rPr>
      </w:pPr>
    </w:p>
    <w:p w:rsidR="00315371" w:rsidRDefault="00315371">
      <w:pPr>
        <w:spacing w:after="200" w:line="276" w:lineRule="auto"/>
        <w:rPr>
          <w:rFonts w:ascii="Verdana" w:hAnsi="Verdana" w:cs="Arial"/>
          <w:b/>
          <w:sz w:val="18"/>
          <w:szCs w:val="18"/>
        </w:rPr>
      </w:pPr>
      <w:r>
        <w:rPr>
          <w:rFonts w:ascii="Verdana" w:hAnsi="Verdana" w:cs="Arial"/>
          <w:b/>
          <w:sz w:val="18"/>
          <w:szCs w:val="18"/>
        </w:rPr>
        <w:br w:type="page"/>
      </w:r>
    </w:p>
    <w:p w:rsidR="00315371" w:rsidP="00174971" w:rsidRDefault="00315371">
      <w:pPr>
        <w:spacing w:line="240" w:lineRule="exact"/>
        <w:rPr>
          <w:rFonts w:ascii="Verdana" w:hAnsi="Verdana" w:cs="Arial"/>
          <w:b/>
          <w:sz w:val="18"/>
          <w:szCs w:val="18"/>
        </w:rPr>
      </w:pPr>
      <w:r>
        <w:rPr>
          <w:rFonts w:ascii="Verdana" w:hAnsi="Verdana" w:cs="Arial"/>
          <w:b/>
          <w:sz w:val="18"/>
          <w:szCs w:val="18"/>
        </w:rPr>
        <w:t>Gemeentefonds</w:t>
      </w:r>
    </w:p>
    <w:tbl>
      <w:tblPr>
        <w:tblW w:w="0" w:type="auto"/>
        <w:tblCellMar>
          <w:top w:w="15" w:type="dxa"/>
          <w:left w:w="15" w:type="dxa"/>
          <w:bottom w:w="15" w:type="dxa"/>
          <w:right w:w="15" w:type="dxa"/>
        </w:tblCellMar>
        <w:tblLook w:val="00A0"/>
      </w:tblPr>
      <w:tblGrid>
        <w:gridCol w:w="4211"/>
        <w:gridCol w:w="979"/>
        <w:gridCol w:w="978"/>
        <w:gridCol w:w="978"/>
        <w:gridCol w:w="978"/>
        <w:gridCol w:w="978"/>
      </w:tblGrid>
      <w:tr w:rsidRPr="00D16812" w:rsidR="00315371" w:rsidTr="00485A82">
        <w:tc>
          <w:tcPr>
            <w:tcW w:w="4081" w:type="dxa"/>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1005" w:type="dxa"/>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1004" w:type="dxa"/>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1004" w:type="dxa"/>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1004" w:type="dxa"/>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1004" w:type="dxa"/>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B GEMEENTEFONDS: UITGAVEN</w:t>
            </w:r>
          </w:p>
        </w:tc>
        <w:tc>
          <w:tcPr>
            <w:tcW w:w="0" w:type="auto"/>
            <w:gridSpan w:val="5"/>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bedragen in miljoenen euro's</w:t>
            </w:r>
          </w:p>
        </w:tc>
      </w:tr>
      <w:tr w:rsidRPr="00D16812" w:rsidR="00315371" w:rsidTr="006576B5">
        <w:tc>
          <w:tcPr>
            <w:tcW w:w="0" w:type="auto"/>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p>
        </w:tc>
        <w:tc>
          <w:tcPr>
            <w:tcW w:w="0" w:type="auto"/>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2012</w:t>
            </w:r>
          </w:p>
        </w:tc>
        <w:tc>
          <w:tcPr>
            <w:tcW w:w="0" w:type="auto"/>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2013</w:t>
            </w:r>
          </w:p>
        </w:tc>
        <w:tc>
          <w:tcPr>
            <w:tcW w:w="0" w:type="auto"/>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2014</w:t>
            </w:r>
          </w:p>
        </w:tc>
        <w:tc>
          <w:tcPr>
            <w:tcW w:w="0" w:type="auto"/>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2015</w:t>
            </w:r>
          </w:p>
        </w:tc>
        <w:tc>
          <w:tcPr>
            <w:tcW w:w="0" w:type="auto"/>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2016</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Stand Miljoenennota 2012 (excl. IS)</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18.334,1</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18.297,7</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18.192,8</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17.799,8</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17.906,5</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Mee- en tegenvallers</w:t>
            </w: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Mar>
              <w:top w:w="15" w:type="dxa"/>
              <w:left w:w="224" w:type="dxa"/>
              <w:bottom w:w="15" w:type="dxa"/>
              <w:right w:w="15" w:type="dxa"/>
            </w:tcMar>
          </w:tcPr>
          <w:p w:rsidRPr="00D16812" w:rsidR="00315371" w:rsidP="00D16812" w:rsidRDefault="00315371">
            <w:pPr>
              <w:ind w:firstLine="160" w:firstLineChars="100"/>
              <w:rPr>
                <w:rFonts w:ascii="Verdana" w:hAnsi="Verdana" w:cs="Courier New"/>
                <w:sz w:val="16"/>
                <w:szCs w:val="16"/>
              </w:rPr>
            </w:pPr>
            <w:r w:rsidRPr="00D16812">
              <w:rPr>
                <w:rFonts w:ascii="Verdana" w:hAnsi="Verdana" w:cs="Courier New"/>
                <w:sz w:val="16"/>
                <w:szCs w:val="16"/>
              </w:rPr>
              <w:t>Rijksbegroting in enge zin</w:t>
            </w: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Wijziging betalingsverloop algemene uitkering</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58,0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6576B5">
        <w:tc>
          <w:tcPr>
            <w:tcW w:w="0" w:type="auto"/>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Diversen</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0,8</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58,8</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Beleidsmatige mutaties</w:t>
            </w: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Mar>
              <w:top w:w="15" w:type="dxa"/>
              <w:left w:w="224" w:type="dxa"/>
              <w:bottom w:w="15" w:type="dxa"/>
              <w:right w:w="15" w:type="dxa"/>
            </w:tcMar>
          </w:tcPr>
          <w:p w:rsidRPr="00D16812" w:rsidR="00315371" w:rsidP="00D16812" w:rsidRDefault="00315371">
            <w:pPr>
              <w:ind w:firstLine="160" w:firstLineChars="100"/>
              <w:rPr>
                <w:rFonts w:ascii="Verdana" w:hAnsi="Verdana" w:cs="Courier New"/>
                <w:sz w:val="16"/>
                <w:szCs w:val="16"/>
              </w:rPr>
            </w:pPr>
            <w:r w:rsidRPr="00D16812">
              <w:rPr>
                <w:rFonts w:ascii="Verdana" w:hAnsi="Verdana" w:cs="Courier New"/>
                <w:sz w:val="16"/>
                <w:szCs w:val="16"/>
              </w:rPr>
              <w:t>Rijksbegroting in enge zin</w:t>
            </w: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Diversen</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13,0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-12,0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13,0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-12,0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Technische mutaties</w:t>
            </w: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Mar>
              <w:top w:w="15" w:type="dxa"/>
              <w:left w:w="224" w:type="dxa"/>
              <w:bottom w:w="15" w:type="dxa"/>
              <w:right w:w="15" w:type="dxa"/>
            </w:tcMar>
          </w:tcPr>
          <w:p w:rsidRPr="00D16812" w:rsidR="00315371" w:rsidP="00D16812" w:rsidRDefault="00315371">
            <w:pPr>
              <w:ind w:firstLine="160" w:firstLineChars="100"/>
              <w:rPr>
                <w:rFonts w:ascii="Verdana" w:hAnsi="Verdana" w:cs="Courier New"/>
                <w:sz w:val="16"/>
                <w:szCs w:val="16"/>
              </w:rPr>
            </w:pPr>
            <w:r w:rsidRPr="00D16812">
              <w:rPr>
                <w:rFonts w:ascii="Verdana" w:hAnsi="Verdana" w:cs="Courier New"/>
                <w:sz w:val="16"/>
                <w:szCs w:val="16"/>
              </w:rPr>
              <w:t>Rijksbegroting in enge zin</w:t>
            </w: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Brede scholen</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36,6</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6576B5">
        <w:tc>
          <w:tcPr>
            <w:tcW w:w="0" w:type="auto"/>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Overboeken accres</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-256,3</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-256,3</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-256,3</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-256,3</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-256,3</w:t>
            </w:r>
          </w:p>
        </w:tc>
      </w:tr>
      <w:tr w:rsidRPr="00D16812" w:rsidR="00315371" w:rsidTr="006576B5">
        <w:tc>
          <w:tcPr>
            <w:tcW w:w="0" w:type="auto"/>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Diversen</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30,3</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12,3</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7,2</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6,5</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5,1</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-189,4</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-244,0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-249,1</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-249,8</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-251,2</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p>
        </w:tc>
        <w:tc>
          <w:tcPr>
            <w:tcW w:w="0" w:type="auto"/>
            <w:vAlign w:val="center"/>
          </w:tcPr>
          <w:p w:rsidRPr="00D16812" w:rsidR="00315371" w:rsidP="006576B5" w:rsidRDefault="00315371">
            <w:pPr>
              <w:rPr>
                <w:rFonts w:ascii="Verdana" w:hAnsi="Verdana"/>
                <w:sz w:val="16"/>
                <w:szCs w:val="16"/>
              </w:rPr>
            </w:pPr>
          </w:p>
        </w:tc>
        <w:tc>
          <w:tcPr>
            <w:tcW w:w="0" w:type="auto"/>
            <w:vAlign w:val="center"/>
          </w:tcPr>
          <w:p w:rsidRPr="00D16812" w:rsidR="00315371" w:rsidP="006576B5" w:rsidRDefault="00315371">
            <w:pPr>
              <w:rPr>
                <w:rFonts w:ascii="Verdana" w:hAnsi="Verdana"/>
                <w:sz w:val="16"/>
                <w:szCs w:val="16"/>
              </w:rPr>
            </w:pPr>
          </w:p>
        </w:tc>
        <w:tc>
          <w:tcPr>
            <w:tcW w:w="0" w:type="auto"/>
            <w:vAlign w:val="center"/>
          </w:tcPr>
          <w:p w:rsidRPr="00D16812" w:rsidR="00315371" w:rsidP="006576B5" w:rsidRDefault="00315371">
            <w:pPr>
              <w:rPr>
                <w:rFonts w:ascii="Verdana" w:hAnsi="Verdana"/>
                <w:sz w:val="16"/>
                <w:szCs w:val="16"/>
              </w:rPr>
            </w:pPr>
          </w:p>
        </w:tc>
        <w:tc>
          <w:tcPr>
            <w:tcW w:w="0" w:type="auto"/>
            <w:vAlign w:val="center"/>
          </w:tcPr>
          <w:p w:rsidRPr="00D16812" w:rsidR="00315371" w:rsidP="006576B5" w:rsidRDefault="00315371">
            <w:pPr>
              <w:rPr>
                <w:rFonts w:ascii="Verdana" w:hAnsi="Verdana"/>
                <w:sz w:val="16"/>
                <w:szCs w:val="16"/>
              </w:rPr>
            </w:pPr>
          </w:p>
        </w:tc>
        <w:tc>
          <w:tcPr>
            <w:tcW w:w="0" w:type="auto"/>
            <w:vAlign w:val="center"/>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Totaal mutaties sinds Miljoenennota 2012</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-117,5</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-256,0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-249,0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-249,8</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-251,2</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c>
          <w:tcPr>
            <w:tcW w:w="0" w:type="auto"/>
          </w:tcPr>
          <w:p w:rsidRPr="00D16812" w:rsidR="00315371" w:rsidP="006576B5" w:rsidRDefault="00315371">
            <w:pPr>
              <w:rPr>
                <w:rFonts w:ascii="Verdana" w:hAnsi="Verdana"/>
                <w:sz w:val="16"/>
                <w:szCs w:val="16"/>
              </w:rPr>
            </w:pP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Stand Voorjaarsnota 2012 (subtotaal)</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18.216,6</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18.041,7</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17.943,8</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17.550,0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17.655,3</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Totaal Internationale samenwerking</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0" w:type="auto"/>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6576B5">
        <w:tc>
          <w:tcPr>
            <w:tcW w:w="0" w:type="auto"/>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Stand Voorjaarsnota 2012</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18.216,6</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18.041,7</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17.943,8</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17.550,0</w:t>
            </w:r>
          </w:p>
        </w:tc>
        <w:tc>
          <w:tcPr>
            <w:tcW w:w="0" w:type="auto"/>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17.655,3</w:t>
            </w:r>
          </w:p>
        </w:tc>
      </w:tr>
    </w:tbl>
    <w:p w:rsidRPr="00396626" w:rsidR="00315371" w:rsidP="00396626" w:rsidRDefault="00315371">
      <w:pPr>
        <w:rPr>
          <w:rFonts w:ascii="Verdana" w:hAnsi="Verdana"/>
          <w:sz w:val="18"/>
          <w:szCs w:val="18"/>
        </w:rPr>
      </w:pPr>
    </w:p>
    <w:tbl>
      <w:tblPr>
        <w:tblW w:w="5000" w:type="pct"/>
        <w:tblCellMar>
          <w:top w:w="15" w:type="dxa"/>
          <w:left w:w="15" w:type="dxa"/>
          <w:bottom w:w="15" w:type="dxa"/>
          <w:right w:w="15" w:type="dxa"/>
        </w:tblCellMar>
        <w:tblLook w:val="00A0"/>
      </w:tblPr>
      <w:tblGrid>
        <w:gridCol w:w="3930"/>
        <w:gridCol w:w="1032"/>
        <w:gridCol w:w="1034"/>
        <w:gridCol w:w="1034"/>
        <w:gridCol w:w="1034"/>
        <w:gridCol w:w="1038"/>
      </w:tblGrid>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567"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568"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568"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568"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570"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B GEMEENTEFONDS: NIET-BELASTINGONTVANGSTEN</w:t>
            </w:r>
          </w:p>
        </w:tc>
        <w:tc>
          <w:tcPr>
            <w:tcW w:w="2841" w:type="pct"/>
            <w:gridSpan w:val="5"/>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bedragen in miljoenen euro's</w:t>
            </w:r>
          </w:p>
        </w:tc>
      </w:tr>
      <w:tr w:rsidRPr="00406846" w:rsidR="00315371" w:rsidTr="00406846">
        <w:tc>
          <w:tcPr>
            <w:tcW w:w="2159" w:type="pct"/>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p>
        </w:tc>
        <w:tc>
          <w:tcPr>
            <w:tcW w:w="567" w:type="pct"/>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2012</w:t>
            </w:r>
          </w:p>
        </w:tc>
        <w:tc>
          <w:tcPr>
            <w:tcW w:w="568" w:type="pct"/>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2013</w:t>
            </w:r>
          </w:p>
        </w:tc>
        <w:tc>
          <w:tcPr>
            <w:tcW w:w="568" w:type="pct"/>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2014</w:t>
            </w:r>
          </w:p>
        </w:tc>
        <w:tc>
          <w:tcPr>
            <w:tcW w:w="568" w:type="pct"/>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2015</w:t>
            </w:r>
          </w:p>
        </w:tc>
        <w:tc>
          <w:tcPr>
            <w:tcW w:w="570" w:type="pct"/>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2016</w:t>
            </w: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Stand Miljoenennota 2012 (excl. IS)</w:t>
            </w:r>
          </w:p>
        </w:tc>
        <w:tc>
          <w:tcPr>
            <w:tcW w:w="567"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70"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p>
        </w:tc>
        <w:tc>
          <w:tcPr>
            <w:tcW w:w="567" w:type="pct"/>
            <w:vAlign w:val="center"/>
          </w:tcPr>
          <w:p w:rsidRPr="00406846" w:rsidR="00315371" w:rsidP="001D1BC1" w:rsidRDefault="00315371">
            <w:pPr>
              <w:rPr>
                <w:rFonts w:ascii="Verdana" w:hAnsi="Verdana"/>
                <w:sz w:val="16"/>
                <w:szCs w:val="16"/>
              </w:rPr>
            </w:pPr>
          </w:p>
        </w:tc>
        <w:tc>
          <w:tcPr>
            <w:tcW w:w="568" w:type="pct"/>
            <w:vAlign w:val="center"/>
          </w:tcPr>
          <w:p w:rsidRPr="00406846" w:rsidR="00315371" w:rsidP="001D1BC1" w:rsidRDefault="00315371">
            <w:pPr>
              <w:rPr>
                <w:rFonts w:ascii="Verdana" w:hAnsi="Verdana"/>
                <w:sz w:val="16"/>
                <w:szCs w:val="16"/>
              </w:rPr>
            </w:pPr>
          </w:p>
        </w:tc>
        <w:tc>
          <w:tcPr>
            <w:tcW w:w="568" w:type="pct"/>
            <w:vAlign w:val="center"/>
          </w:tcPr>
          <w:p w:rsidRPr="00406846" w:rsidR="00315371" w:rsidP="001D1BC1" w:rsidRDefault="00315371">
            <w:pPr>
              <w:rPr>
                <w:rFonts w:ascii="Verdana" w:hAnsi="Verdana"/>
                <w:sz w:val="16"/>
                <w:szCs w:val="16"/>
              </w:rPr>
            </w:pPr>
          </w:p>
        </w:tc>
        <w:tc>
          <w:tcPr>
            <w:tcW w:w="568" w:type="pct"/>
            <w:vAlign w:val="center"/>
          </w:tcPr>
          <w:p w:rsidRPr="00406846" w:rsidR="00315371" w:rsidP="001D1BC1" w:rsidRDefault="00315371">
            <w:pPr>
              <w:rPr>
                <w:rFonts w:ascii="Verdana" w:hAnsi="Verdana"/>
                <w:sz w:val="16"/>
                <w:szCs w:val="16"/>
              </w:rPr>
            </w:pPr>
          </w:p>
        </w:tc>
        <w:tc>
          <w:tcPr>
            <w:tcW w:w="570" w:type="pct"/>
            <w:vAlign w:val="center"/>
          </w:tcPr>
          <w:p w:rsidRPr="00406846" w:rsidR="00315371" w:rsidP="001D1BC1" w:rsidRDefault="00315371">
            <w:pPr>
              <w:rPr>
                <w:rFonts w:ascii="Verdana" w:hAnsi="Verdana"/>
                <w:sz w:val="16"/>
                <w:szCs w:val="16"/>
              </w:rPr>
            </w:pP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Totaal mutaties sinds Miljoenennota 2012</w:t>
            </w:r>
          </w:p>
        </w:tc>
        <w:tc>
          <w:tcPr>
            <w:tcW w:w="567"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70"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567" w:type="pct"/>
          </w:tcPr>
          <w:p w:rsidRPr="00406846" w:rsidR="00315371" w:rsidP="001D1BC1" w:rsidRDefault="00315371">
            <w:pPr>
              <w:rPr>
                <w:rFonts w:ascii="Verdana" w:hAnsi="Verdana"/>
                <w:sz w:val="16"/>
                <w:szCs w:val="16"/>
              </w:rPr>
            </w:pPr>
          </w:p>
        </w:tc>
        <w:tc>
          <w:tcPr>
            <w:tcW w:w="568" w:type="pct"/>
          </w:tcPr>
          <w:p w:rsidRPr="00406846" w:rsidR="00315371" w:rsidP="001D1BC1" w:rsidRDefault="00315371">
            <w:pPr>
              <w:rPr>
                <w:rFonts w:ascii="Verdana" w:hAnsi="Verdana"/>
                <w:sz w:val="16"/>
                <w:szCs w:val="16"/>
              </w:rPr>
            </w:pPr>
          </w:p>
        </w:tc>
        <w:tc>
          <w:tcPr>
            <w:tcW w:w="568" w:type="pct"/>
          </w:tcPr>
          <w:p w:rsidRPr="00406846" w:rsidR="00315371" w:rsidP="001D1BC1" w:rsidRDefault="00315371">
            <w:pPr>
              <w:rPr>
                <w:rFonts w:ascii="Verdana" w:hAnsi="Verdana"/>
                <w:sz w:val="16"/>
                <w:szCs w:val="16"/>
              </w:rPr>
            </w:pPr>
          </w:p>
        </w:tc>
        <w:tc>
          <w:tcPr>
            <w:tcW w:w="568" w:type="pct"/>
          </w:tcPr>
          <w:p w:rsidRPr="00406846" w:rsidR="00315371" w:rsidP="001D1BC1" w:rsidRDefault="00315371">
            <w:pPr>
              <w:rPr>
                <w:rFonts w:ascii="Verdana" w:hAnsi="Verdana"/>
                <w:sz w:val="16"/>
                <w:szCs w:val="16"/>
              </w:rPr>
            </w:pPr>
          </w:p>
        </w:tc>
        <w:tc>
          <w:tcPr>
            <w:tcW w:w="570" w:type="pct"/>
          </w:tcPr>
          <w:p w:rsidRPr="00406846" w:rsidR="00315371" w:rsidP="001D1BC1" w:rsidRDefault="00315371">
            <w:pPr>
              <w:rPr>
                <w:rFonts w:ascii="Verdana" w:hAnsi="Verdana"/>
                <w:sz w:val="16"/>
                <w:szCs w:val="16"/>
              </w:rPr>
            </w:pP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Stand Voorjaarsnota 2012 (subtotaal)</w:t>
            </w:r>
          </w:p>
        </w:tc>
        <w:tc>
          <w:tcPr>
            <w:tcW w:w="567"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70"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Totaal Internationale samenwerking</w:t>
            </w:r>
          </w:p>
        </w:tc>
        <w:tc>
          <w:tcPr>
            <w:tcW w:w="567"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70" w:type="pct"/>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406846">
        <w:tc>
          <w:tcPr>
            <w:tcW w:w="2159" w:type="pct"/>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Stand Voorjaarsnota 2012</w:t>
            </w:r>
          </w:p>
        </w:tc>
        <w:tc>
          <w:tcPr>
            <w:tcW w:w="567"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68"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570" w:type="pct"/>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bl>
    <w:p w:rsidRPr="00F326A8" w:rsidR="00315371" w:rsidP="00396626" w:rsidRDefault="00315371">
      <w:pPr>
        <w:rPr>
          <w:rFonts w:ascii="Verdana" w:hAnsi="Verdana"/>
          <w:sz w:val="18"/>
          <w:szCs w:val="18"/>
        </w:rPr>
      </w:pPr>
    </w:p>
    <w:p w:rsidRPr="00C74FFD" w:rsidR="00315371" w:rsidP="00396626" w:rsidRDefault="00315371">
      <w:pPr>
        <w:spacing w:line="240" w:lineRule="exact"/>
        <w:rPr>
          <w:rFonts w:ascii="Verdana" w:hAnsi="Verdana"/>
          <w:sz w:val="18"/>
          <w:szCs w:val="18"/>
        </w:rPr>
      </w:pPr>
    </w:p>
    <w:p w:rsidRPr="00C74FFD" w:rsidR="00315371" w:rsidP="00212995" w:rsidRDefault="00315371">
      <w:pPr>
        <w:spacing w:line="276" w:lineRule="auto"/>
        <w:rPr>
          <w:rFonts w:ascii="Verdana" w:hAnsi="Verdana"/>
          <w:sz w:val="18"/>
          <w:szCs w:val="18"/>
        </w:rPr>
      </w:pPr>
      <w:r w:rsidRPr="00C74FFD">
        <w:rPr>
          <w:rFonts w:ascii="Verdana" w:hAnsi="Verdana"/>
          <w:i/>
          <w:sz w:val="18"/>
          <w:szCs w:val="18"/>
        </w:rPr>
        <w:t>Wijziging betalingsverloop algemene uitkering</w:t>
      </w:r>
    </w:p>
    <w:p w:rsidRPr="00C74FFD" w:rsidR="00315371" w:rsidP="00212995" w:rsidRDefault="00315371">
      <w:pPr>
        <w:pStyle w:val="NormalWeb"/>
        <w:spacing w:before="0" w:beforeAutospacing="0" w:after="0" w:afterAutospacing="0" w:line="276" w:lineRule="auto"/>
        <w:rPr>
          <w:rFonts w:ascii="Verdana" w:hAnsi="Verdana"/>
          <w:sz w:val="18"/>
          <w:szCs w:val="18"/>
        </w:rPr>
      </w:pPr>
      <w:r>
        <w:rPr>
          <w:rFonts w:ascii="Verdana" w:hAnsi="Verdana"/>
          <w:sz w:val="18"/>
          <w:szCs w:val="18"/>
        </w:rPr>
        <w:t>In 2011</w:t>
      </w:r>
      <w:r w:rsidRPr="00C74FFD">
        <w:rPr>
          <w:rFonts w:ascii="Verdana" w:hAnsi="Verdana"/>
          <w:sz w:val="18"/>
          <w:szCs w:val="18"/>
        </w:rPr>
        <w:t xml:space="preserve"> is een gedeelte van het gemeentefonds niet uitbetaald aan gemeenten. Dit is veroorzaakt doordat de verdeel</w:t>
      </w:r>
      <w:r>
        <w:rPr>
          <w:rFonts w:ascii="Verdana" w:hAnsi="Verdana"/>
          <w:sz w:val="18"/>
          <w:szCs w:val="18"/>
        </w:rPr>
        <w:t>maatstaven niet allemaal in 2011</w:t>
      </w:r>
      <w:r w:rsidRPr="00C74FFD">
        <w:rPr>
          <w:rFonts w:ascii="Verdana" w:hAnsi="Verdana"/>
          <w:sz w:val="18"/>
          <w:szCs w:val="18"/>
        </w:rPr>
        <w:t xml:space="preserve"> definitief konden worden vastgesteld, waardoor niet kon worden overgegaan tot betaling aan de gemeenten. Het</w:t>
      </w:r>
      <w:r>
        <w:rPr>
          <w:rFonts w:ascii="Verdana" w:hAnsi="Verdana"/>
          <w:sz w:val="18"/>
          <w:szCs w:val="18"/>
        </w:rPr>
        <w:t xml:space="preserve"> resterende bedrag wordt in 2012</w:t>
      </w:r>
      <w:r w:rsidRPr="00C74FFD">
        <w:rPr>
          <w:rFonts w:ascii="Verdana" w:hAnsi="Verdana"/>
          <w:sz w:val="18"/>
          <w:szCs w:val="18"/>
        </w:rPr>
        <w:t xml:space="preserve"> uitbetaald. Hiertoe wordt de begroting van het gemeentefonds verhoogd.</w:t>
      </w:r>
    </w:p>
    <w:p w:rsidRPr="00C74FFD" w:rsidR="00315371" w:rsidP="00212995" w:rsidRDefault="00315371">
      <w:pPr>
        <w:spacing w:line="276" w:lineRule="auto"/>
        <w:rPr>
          <w:rFonts w:ascii="Verdana" w:hAnsi="Verdana"/>
          <w:sz w:val="18"/>
          <w:szCs w:val="18"/>
        </w:rPr>
      </w:pPr>
    </w:p>
    <w:p w:rsidRPr="00C74FFD" w:rsidR="00315371" w:rsidP="00212995" w:rsidRDefault="00315371">
      <w:pPr>
        <w:spacing w:line="276" w:lineRule="auto"/>
        <w:rPr>
          <w:rFonts w:ascii="Verdana" w:hAnsi="Verdana"/>
          <w:sz w:val="18"/>
          <w:szCs w:val="18"/>
        </w:rPr>
      </w:pPr>
      <w:r w:rsidRPr="00C74FFD">
        <w:rPr>
          <w:rFonts w:ascii="Verdana" w:hAnsi="Verdana"/>
          <w:i/>
          <w:sz w:val="18"/>
          <w:szCs w:val="18"/>
        </w:rPr>
        <w:t>Brede scholen</w:t>
      </w:r>
    </w:p>
    <w:p w:rsidRPr="00C74FFD" w:rsidR="00315371" w:rsidP="00D16812" w:rsidRDefault="00315371">
      <w:pPr>
        <w:spacing w:line="276" w:lineRule="auto"/>
        <w:rPr>
          <w:rFonts w:ascii="Verdana" w:hAnsi="Verdana" w:cs="Verdana"/>
          <w:iCs/>
          <w:sz w:val="18"/>
          <w:szCs w:val="18"/>
        </w:rPr>
      </w:pPr>
      <w:r w:rsidRPr="00C74FFD">
        <w:rPr>
          <w:rFonts w:ascii="Verdana" w:hAnsi="Verdana" w:cs="Verdana"/>
          <w:iCs/>
          <w:sz w:val="18"/>
          <w:szCs w:val="18"/>
        </w:rPr>
        <w:t xml:space="preserve">De impuls brede scholen richt zich op de realisatie van de zogenaamde combinatiefuncties. Dit zijn functies waarbij een werknemer in dienst is bij één werkgever, maar werkzaam is ten behoeve van twee of meer sectoren. Het Rijk (OCW en VWS), de VNG en vertegenwoordigers van de onderwijs-, sport- en cultuursector hebben bestuurlijke afspraken gemaakt met als doel de realisatie van in totaal 2500 (fte’s) combinatiefuncties in 2012. </w:t>
      </w:r>
      <w:r>
        <w:rPr>
          <w:rFonts w:ascii="Verdana" w:hAnsi="Verdana" w:cs="Verdana"/>
          <w:iCs/>
          <w:sz w:val="18"/>
          <w:szCs w:val="18"/>
        </w:rPr>
        <w:t>In 2012 is 26</w:t>
      </w:r>
      <w:r w:rsidRPr="00C74FFD">
        <w:rPr>
          <w:rFonts w:ascii="Verdana" w:hAnsi="Verdana" w:cs="Verdana"/>
          <w:iCs/>
          <w:sz w:val="18"/>
          <w:szCs w:val="18"/>
        </w:rPr>
        <w:t xml:space="preserve"> mln. vanuit VWS en </w:t>
      </w:r>
      <w:r>
        <w:rPr>
          <w:rFonts w:ascii="Verdana" w:hAnsi="Verdana" w:cs="Verdana"/>
          <w:iCs/>
          <w:sz w:val="18"/>
          <w:szCs w:val="18"/>
        </w:rPr>
        <w:t>11</w:t>
      </w:r>
      <w:r w:rsidRPr="00C74FFD">
        <w:rPr>
          <w:rFonts w:ascii="Verdana" w:hAnsi="Verdana" w:cs="Verdana"/>
          <w:iCs/>
          <w:sz w:val="18"/>
          <w:szCs w:val="18"/>
        </w:rPr>
        <w:t xml:space="preserve"> mln. vanuit OCW beschikbaar gesteld via het gemeentefonds.</w:t>
      </w:r>
    </w:p>
    <w:p w:rsidR="00315371" w:rsidP="00D16812" w:rsidRDefault="00315371">
      <w:pPr>
        <w:spacing w:line="276" w:lineRule="auto"/>
        <w:rPr>
          <w:rFonts w:ascii="Verdana" w:hAnsi="Verdana"/>
          <w:sz w:val="18"/>
          <w:szCs w:val="18"/>
        </w:rPr>
      </w:pPr>
    </w:p>
    <w:p w:rsidRPr="00D16812" w:rsidR="00315371" w:rsidP="00D16812" w:rsidRDefault="00315371">
      <w:pPr>
        <w:spacing w:line="276" w:lineRule="auto"/>
        <w:rPr>
          <w:rFonts w:ascii="Verdana" w:hAnsi="Verdana" w:cs="Verdana"/>
          <w:i/>
          <w:sz w:val="18"/>
          <w:szCs w:val="18"/>
        </w:rPr>
      </w:pPr>
      <w:r w:rsidRPr="00D16812">
        <w:rPr>
          <w:rFonts w:ascii="Verdana" w:hAnsi="Verdana" w:cs="Verdana"/>
          <w:i/>
          <w:sz w:val="18"/>
          <w:szCs w:val="18"/>
        </w:rPr>
        <w:t>Overboeken accres</w:t>
      </w:r>
    </w:p>
    <w:p w:rsidR="00315371" w:rsidP="00365B48" w:rsidRDefault="00315371">
      <w:pPr>
        <w:rPr>
          <w:rFonts w:ascii="Verdana" w:hAnsi="Verdana"/>
          <w:sz w:val="18"/>
          <w:szCs w:val="18"/>
        </w:rPr>
      </w:pPr>
      <w:r w:rsidRPr="00D16812">
        <w:rPr>
          <w:rFonts w:ascii="Verdana" w:hAnsi="Verdana" w:cs="Verdana"/>
          <w:sz w:val="18"/>
          <w:szCs w:val="18"/>
        </w:rPr>
        <w:t xml:space="preserve">Als gevolg van mutaties in de netto gecorrigeerde rijksuitgaven </w:t>
      </w:r>
      <w:r>
        <w:rPr>
          <w:rFonts w:ascii="Verdana" w:hAnsi="Verdana" w:cs="Verdana"/>
          <w:sz w:val="18"/>
          <w:szCs w:val="18"/>
        </w:rPr>
        <w:t xml:space="preserve">valt het </w:t>
      </w:r>
      <w:r w:rsidRPr="00D16812">
        <w:rPr>
          <w:rFonts w:ascii="Verdana" w:hAnsi="Verdana" w:cs="Verdana"/>
          <w:sz w:val="18"/>
          <w:szCs w:val="18"/>
        </w:rPr>
        <w:t xml:space="preserve">accres 2012 </w:t>
      </w:r>
      <w:r>
        <w:rPr>
          <w:rFonts w:ascii="Verdana" w:hAnsi="Verdana" w:cs="Verdana"/>
          <w:sz w:val="18"/>
          <w:szCs w:val="18"/>
        </w:rPr>
        <w:t>lager uit.</w:t>
      </w:r>
    </w:p>
    <w:p w:rsidRPr="00C74FFD" w:rsidR="00315371" w:rsidP="00212995" w:rsidRDefault="00315371">
      <w:pPr>
        <w:spacing w:line="276" w:lineRule="auto"/>
        <w:rPr>
          <w:rFonts w:ascii="Verdana" w:hAnsi="Verdana"/>
          <w:sz w:val="18"/>
          <w:szCs w:val="18"/>
        </w:rPr>
      </w:pPr>
    </w:p>
    <w:p w:rsidR="00315371" w:rsidRDefault="00315371">
      <w:pPr>
        <w:spacing w:after="200" w:line="276" w:lineRule="auto"/>
        <w:rPr>
          <w:rFonts w:ascii="Verdana" w:hAnsi="Verdana" w:cs="Verdana"/>
          <w:i/>
          <w:iCs/>
          <w:sz w:val="18"/>
          <w:szCs w:val="18"/>
        </w:rPr>
      </w:pPr>
      <w:r>
        <w:rPr>
          <w:rFonts w:ascii="Verdana" w:hAnsi="Verdana" w:cs="Verdana"/>
          <w:i/>
          <w:iCs/>
          <w:sz w:val="18"/>
          <w:szCs w:val="18"/>
        </w:rPr>
        <w:br w:type="page"/>
      </w:r>
    </w:p>
    <w:p w:rsidRPr="00C74FFD" w:rsidR="00315371" w:rsidP="00212995" w:rsidRDefault="00315371">
      <w:pPr>
        <w:spacing w:line="276" w:lineRule="auto"/>
        <w:rPr>
          <w:rFonts w:ascii="Verdana" w:hAnsi="Verdana" w:cs="Verdana"/>
          <w:i/>
          <w:iCs/>
          <w:sz w:val="18"/>
          <w:szCs w:val="18"/>
        </w:rPr>
      </w:pPr>
      <w:r w:rsidRPr="00C74FFD">
        <w:rPr>
          <w:rFonts w:ascii="Verdana" w:hAnsi="Verdana" w:cs="Verdana"/>
          <w:i/>
          <w:iCs/>
          <w:sz w:val="18"/>
          <w:szCs w:val="18"/>
        </w:rPr>
        <w:t>Diversen – technische mutaties uitgaven</w:t>
      </w:r>
    </w:p>
    <w:p w:rsidRPr="009A3969" w:rsidR="00315371" w:rsidP="00212995" w:rsidRDefault="00315371">
      <w:pPr>
        <w:spacing w:line="276" w:lineRule="auto"/>
        <w:rPr>
          <w:rFonts w:ascii="Verdana" w:hAnsi="Verdana" w:cs="Verdana"/>
          <w:sz w:val="18"/>
          <w:szCs w:val="18"/>
        </w:rPr>
      </w:pPr>
      <w:r w:rsidRPr="009A3969">
        <w:rPr>
          <w:rFonts w:ascii="Verdana" w:hAnsi="Verdana" w:cs="Verdana"/>
          <w:sz w:val="18"/>
          <w:szCs w:val="18"/>
        </w:rPr>
        <w:t xml:space="preserve">Dit betreft een aantal overhevelingen van middelen van departementale begrotingen naar het gemeentefonds.  Het gaat bijvoorbeeld om middelen </w:t>
      </w:r>
      <w:r w:rsidRPr="00415735">
        <w:rPr>
          <w:rFonts w:ascii="Verdana" w:hAnsi="Verdana" w:cs="Verdana"/>
          <w:sz w:val="18"/>
          <w:szCs w:val="18"/>
        </w:rPr>
        <w:t>voor Gemeente Midden Delfland (10 mln.) en Invoeringskosten Jeugdzorg (11 mln.).</w:t>
      </w:r>
    </w:p>
    <w:p w:rsidR="00315371" w:rsidP="00212995" w:rsidRDefault="00315371">
      <w:pPr>
        <w:spacing w:after="200" w:line="276" w:lineRule="auto"/>
        <w:rPr>
          <w:rFonts w:ascii="Verdana" w:hAnsi="Verdana" w:cs="Verdana"/>
          <w:sz w:val="18"/>
          <w:szCs w:val="18"/>
        </w:rPr>
      </w:pPr>
    </w:p>
    <w:p w:rsidR="00315371" w:rsidP="00212995" w:rsidRDefault="00315371">
      <w:pPr>
        <w:spacing w:after="200" w:line="276" w:lineRule="auto"/>
        <w:rPr>
          <w:rFonts w:ascii="Verdana" w:hAnsi="Verdana" w:cs="Verdana"/>
          <w:i/>
          <w:sz w:val="18"/>
          <w:szCs w:val="18"/>
        </w:rPr>
      </w:pPr>
    </w:p>
    <w:p w:rsidR="00315371" w:rsidP="00212995" w:rsidRDefault="00315371">
      <w:pPr>
        <w:spacing w:after="200" w:line="276" w:lineRule="auto"/>
        <w:rPr>
          <w:rFonts w:ascii="Verdana" w:hAnsi="Verdana" w:cs="Arial"/>
          <w:b/>
          <w:sz w:val="18"/>
          <w:szCs w:val="18"/>
        </w:rPr>
      </w:pPr>
      <w:r>
        <w:rPr>
          <w:rFonts w:ascii="Verdana" w:hAnsi="Verdana" w:cs="Arial"/>
          <w:b/>
          <w:sz w:val="18"/>
          <w:szCs w:val="18"/>
        </w:rPr>
        <w:br w:type="page"/>
      </w:r>
    </w:p>
    <w:p w:rsidR="00315371" w:rsidP="00174971" w:rsidRDefault="00315371">
      <w:pPr>
        <w:spacing w:line="240" w:lineRule="exact"/>
        <w:rPr>
          <w:rFonts w:ascii="Verdana" w:hAnsi="Verdana" w:cs="Arial"/>
          <w:b/>
          <w:sz w:val="18"/>
          <w:szCs w:val="18"/>
        </w:rPr>
      </w:pPr>
      <w:r>
        <w:rPr>
          <w:rFonts w:ascii="Verdana" w:hAnsi="Verdana" w:cs="Arial"/>
          <w:b/>
          <w:sz w:val="18"/>
          <w:szCs w:val="18"/>
        </w:rPr>
        <w:t>Provinciefonds</w:t>
      </w:r>
    </w:p>
    <w:tbl>
      <w:tblPr>
        <w:tblW w:w="5000" w:type="pct"/>
        <w:tblCellMar>
          <w:top w:w="15" w:type="dxa"/>
          <w:left w:w="15" w:type="dxa"/>
          <w:bottom w:w="15" w:type="dxa"/>
          <w:right w:w="15" w:type="dxa"/>
        </w:tblCellMar>
        <w:tblLook w:val="00A0"/>
      </w:tblPr>
      <w:tblGrid>
        <w:gridCol w:w="3696"/>
        <w:gridCol w:w="1111"/>
        <w:gridCol w:w="1110"/>
        <w:gridCol w:w="1110"/>
        <w:gridCol w:w="1039"/>
        <w:gridCol w:w="1036"/>
      </w:tblGrid>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61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61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61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571"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57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C PROVINCIEFONDS: UITGAVEN</w:t>
            </w:r>
          </w:p>
        </w:tc>
        <w:tc>
          <w:tcPr>
            <w:tcW w:w="2970" w:type="pct"/>
            <w:gridSpan w:val="5"/>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bedragen in miljoenen euro's</w:t>
            </w:r>
          </w:p>
        </w:tc>
      </w:tr>
      <w:tr w:rsidRPr="00D16812" w:rsidR="00315371" w:rsidTr="00FA36B4">
        <w:tc>
          <w:tcPr>
            <w:tcW w:w="2030" w:type="pct"/>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p>
        </w:tc>
        <w:tc>
          <w:tcPr>
            <w:tcW w:w="610" w:type="pct"/>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2012</w:t>
            </w:r>
          </w:p>
        </w:tc>
        <w:tc>
          <w:tcPr>
            <w:tcW w:w="610" w:type="pct"/>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2013</w:t>
            </w:r>
          </w:p>
        </w:tc>
        <w:tc>
          <w:tcPr>
            <w:tcW w:w="610" w:type="pct"/>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2014</w:t>
            </w:r>
          </w:p>
        </w:tc>
        <w:tc>
          <w:tcPr>
            <w:tcW w:w="571" w:type="pct"/>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2015</w:t>
            </w:r>
          </w:p>
        </w:tc>
        <w:tc>
          <w:tcPr>
            <w:tcW w:w="570" w:type="pct"/>
            <w:tcBorders>
              <w:top w:val="single" w:color="000000" w:sz="8" w:space="0"/>
              <w:left w:val="nil"/>
              <w:bottom w:val="single" w:color="000000" w:sz="8" w:space="0"/>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2016</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Stand Miljoenennota 2012 (excl. IS)</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1.116,5</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1.131,2</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1.117,3</w:t>
            </w:r>
          </w:p>
        </w:tc>
        <w:tc>
          <w:tcPr>
            <w:tcW w:w="571"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958,4</w:t>
            </w:r>
          </w:p>
        </w:tc>
        <w:tc>
          <w:tcPr>
            <w:tcW w:w="57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946,0</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Mee- en tegenvallers</w:t>
            </w: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571" w:type="pct"/>
          </w:tcPr>
          <w:p w:rsidRPr="00D16812" w:rsidR="00315371" w:rsidP="006576B5" w:rsidRDefault="00315371">
            <w:pPr>
              <w:rPr>
                <w:rFonts w:ascii="Verdana" w:hAnsi="Verdana"/>
                <w:sz w:val="16"/>
                <w:szCs w:val="16"/>
              </w:rPr>
            </w:pPr>
          </w:p>
        </w:tc>
        <w:tc>
          <w:tcPr>
            <w:tcW w:w="570" w:type="pct"/>
          </w:tcPr>
          <w:p w:rsidRPr="00D16812" w:rsidR="00315371" w:rsidP="006576B5" w:rsidRDefault="00315371">
            <w:pPr>
              <w:rPr>
                <w:rFonts w:ascii="Verdana" w:hAnsi="Verdana"/>
                <w:sz w:val="16"/>
                <w:szCs w:val="16"/>
              </w:rPr>
            </w:pPr>
          </w:p>
        </w:tc>
      </w:tr>
      <w:tr w:rsidRPr="00D16812" w:rsidR="00315371" w:rsidTr="00FA36B4">
        <w:tc>
          <w:tcPr>
            <w:tcW w:w="2030" w:type="pct"/>
            <w:tcBorders>
              <w:left w:val="nil"/>
              <w:right w:val="nil"/>
            </w:tcBorders>
            <w:tcMar>
              <w:top w:w="15" w:type="dxa"/>
              <w:left w:w="224" w:type="dxa"/>
              <w:bottom w:w="15" w:type="dxa"/>
              <w:right w:w="15" w:type="dxa"/>
            </w:tcMar>
          </w:tcPr>
          <w:p w:rsidRPr="00D16812" w:rsidR="00315371" w:rsidP="00D16812" w:rsidRDefault="00315371">
            <w:pPr>
              <w:ind w:firstLine="160" w:firstLineChars="100"/>
              <w:rPr>
                <w:rFonts w:ascii="Verdana" w:hAnsi="Verdana" w:cs="Courier New"/>
                <w:sz w:val="16"/>
                <w:szCs w:val="16"/>
              </w:rPr>
            </w:pPr>
            <w:r w:rsidRPr="00D16812">
              <w:rPr>
                <w:rFonts w:ascii="Verdana" w:hAnsi="Verdana" w:cs="Courier New"/>
                <w:sz w:val="16"/>
                <w:szCs w:val="16"/>
              </w:rPr>
              <w:t>Rijksbegroting in enge zin</w:t>
            </w: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571" w:type="pct"/>
          </w:tcPr>
          <w:p w:rsidRPr="00D16812" w:rsidR="00315371" w:rsidP="006576B5" w:rsidRDefault="00315371">
            <w:pPr>
              <w:rPr>
                <w:rFonts w:ascii="Verdana" w:hAnsi="Verdana"/>
                <w:sz w:val="16"/>
                <w:szCs w:val="16"/>
              </w:rPr>
            </w:pPr>
          </w:p>
        </w:tc>
        <w:tc>
          <w:tcPr>
            <w:tcW w:w="570" w:type="pct"/>
          </w:tcPr>
          <w:p w:rsidRPr="00D16812" w:rsidR="00315371" w:rsidP="006576B5" w:rsidRDefault="00315371">
            <w:pPr>
              <w:rPr>
                <w:rFonts w:ascii="Verdana" w:hAnsi="Verdana"/>
                <w:sz w:val="16"/>
                <w:szCs w:val="16"/>
              </w:rPr>
            </w:pPr>
          </w:p>
        </w:tc>
      </w:tr>
      <w:tr w:rsidRPr="00D16812" w:rsidR="00315371" w:rsidTr="00FA36B4">
        <w:tc>
          <w:tcPr>
            <w:tcW w:w="2030" w:type="pct"/>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Diversen</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1"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1"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Technische mutaties</w:t>
            </w: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571" w:type="pct"/>
          </w:tcPr>
          <w:p w:rsidRPr="00D16812" w:rsidR="00315371" w:rsidP="006576B5" w:rsidRDefault="00315371">
            <w:pPr>
              <w:rPr>
                <w:rFonts w:ascii="Verdana" w:hAnsi="Verdana"/>
                <w:sz w:val="16"/>
                <w:szCs w:val="16"/>
              </w:rPr>
            </w:pPr>
          </w:p>
        </w:tc>
        <w:tc>
          <w:tcPr>
            <w:tcW w:w="570" w:type="pct"/>
          </w:tcPr>
          <w:p w:rsidRPr="00D16812" w:rsidR="00315371" w:rsidP="006576B5" w:rsidRDefault="00315371">
            <w:pPr>
              <w:rPr>
                <w:rFonts w:ascii="Verdana" w:hAnsi="Verdana"/>
                <w:sz w:val="16"/>
                <w:szCs w:val="16"/>
              </w:rPr>
            </w:pPr>
          </w:p>
        </w:tc>
      </w:tr>
      <w:tr w:rsidRPr="00D16812" w:rsidR="00315371" w:rsidTr="00FA36B4">
        <w:tc>
          <w:tcPr>
            <w:tcW w:w="2030" w:type="pct"/>
            <w:tcBorders>
              <w:left w:val="nil"/>
              <w:right w:val="nil"/>
            </w:tcBorders>
            <w:tcMar>
              <w:top w:w="15" w:type="dxa"/>
              <w:left w:w="224" w:type="dxa"/>
              <w:bottom w:w="15" w:type="dxa"/>
              <w:right w:w="15" w:type="dxa"/>
            </w:tcMar>
          </w:tcPr>
          <w:p w:rsidRPr="00D16812" w:rsidR="00315371" w:rsidP="00D16812" w:rsidRDefault="00315371">
            <w:pPr>
              <w:ind w:firstLine="160" w:firstLineChars="100"/>
              <w:rPr>
                <w:rFonts w:ascii="Verdana" w:hAnsi="Verdana" w:cs="Courier New"/>
                <w:sz w:val="16"/>
                <w:szCs w:val="16"/>
              </w:rPr>
            </w:pPr>
            <w:r w:rsidRPr="00D16812">
              <w:rPr>
                <w:rFonts w:ascii="Verdana" w:hAnsi="Verdana" w:cs="Courier New"/>
                <w:sz w:val="16"/>
                <w:szCs w:val="16"/>
              </w:rPr>
              <w:t>Rijksbegroting in enge zin</w:t>
            </w: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571" w:type="pct"/>
          </w:tcPr>
          <w:p w:rsidRPr="00D16812" w:rsidR="00315371" w:rsidP="006576B5" w:rsidRDefault="00315371">
            <w:pPr>
              <w:rPr>
                <w:rFonts w:ascii="Verdana" w:hAnsi="Verdana"/>
                <w:sz w:val="16"/>
                <w:szCs w:val="16"/>
              </w:rPr>
            </w:pPr>
          </w:p>
        </w:tc>
        <w:tc>
          <w:tcPr>
            <w:tcW w:w="570" w:type="pct"/>
          </w:tcPr>
          <w:p w:rsidRPr="00D16812" w:rsidR="00315371" w:rsidP="006576B5" w:rsidRDefault="00315371">
            <w:pPr>
              <w:rPr>
                <w:rFonts w:ascii="Verdana" w:hAnsi="Verdana"/>
                <w:sz w:val="16"/>
                <w:szCs w:val="16"/>
              </w:rPr>
            </w:pPr>
          </w:p>
        </w:tc>
      </w:tr>
      <w:tr w:rsidRPr="00D16812" w:rsidR="00315371" w:rsidTr="00FA36B4">
        <w:tc>
          <w:tcPr>
            <w:tcW w:w="2030" w:type="pct"/>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Overboeken accres</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-20,7</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-20,7</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-20,7</w:t>
            </w:r>
          </w:p>
        </w:tc>
        <w:tc>
          <w:tcPr>
            <w:tcW w:w="571"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-20,7</w:t>
            </w:r>
          </w:p>
        </w:tc>
        <w:tc>
          <w:tcPr>
            <w:tcW w:w="57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-20,7</w:t>
            </w:r>
          </w:p>
        </w:tc>
      </w:tr>
      <w:tr w:rsidRPr="00D16812" w:rsidR="00315371" w:rsidTr="00FA36B4">
        <w:tc>
          <w:tcPr>
            <w:tcW w:w="2030" w:type="pct"/>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Waddenfonds</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66,5</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1"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FA36B4">
        <w:tc>
          <w:tcPr>
            <w:tcW w:w="2030" w:type="pct"/>
            <w:tcBorders>
              <w:left w:val="nil"/>
              <w:right w:val="nil"/>
            </w:tcBorders>
            <w:tcMar>
              <w:top w:w="15" w:type="dxa"/>
              <w:left w:w="449" w:type="dxa"/>
              <w:bottom w:w="15" w:type="dxa"/>
              <w:right w:w="15" w:type="dxa"/>
            </w:tcMar>
          </w:tcPr>
          <w:p w:rsidRPr="00D16812" w:rsidR="00315371" w:rsidP="00D16812" w:rsidRDefault="00315371">
            <w:pPr>
              <w:ind w:firstLine="320" w:firstLineChars="200"/>
              <w:rPr>
                <w:rFonts w:ascii="Verdana" w:hAnsi="Verdana" w:cs="Courier New"/>
                <w:sz w:val="16"/>
                <w:szCs w:val="16"/>
              </w:rPr>
            </w:pPr>
            <w:r w:rsidRPr="00D16812">
              <w:rPr>
                <w:rFonts w:ascii="Verdana" w:hAnsi="Verdana" w:cs="Courier New"/>
                <w:sz w:val="16"/>
                <w:szCs w:val="16"/>
              </w:rPr>
              <w:t>Diversen</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2,3</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1,2</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2,2</w:t>
            </w:r>
          </w:p>
        </w:tc>
        <w:tc>
          <w:tcPr>
            <w:tcW w:w="571"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0,4</w:t>
            </w:r>
          </w:p>
        </w:tc>
        <w:tc>
          <w:tcPr>
            <w:tcW w:w="57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-0,8</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48,1</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-19,5</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-18,5</w:t>
            </w:r>
          </w:p>
        </w:tc>
        <w:tc>
          <w:tcPr>
            <w:tcW w:w="571"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-20,3</w:t>
            </w:r>
          </w:p>
        </w:tc>
        <w:tc>
          <w:tcPr>
            <w:tcW w:w="57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-21,5</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p>
        </w:tc>
        <w:tc>
          <w:tcPr>
            <w:tcW w:w="610" w:type="pct"/>
            <w:vAlign w:val="center"/>
          </w:tcPr>
          <w:p w:rsidRPr="00D16812" w:rsidR="00315371" w:rsidP="006576B5" w:rsidRDefault="00315371">
            <w:pPr>
              <w:rPr>
                <w:rFonts w:ascii="Verdana" w:hAnsi="Verdana"/>
                <w:sz w:val="16"/>
                <w:szCs w:val="16"/>
              </w:rPr>
            </w:pPr>
          </w:p>
        </w:tc>
        <w:tc>
          <w:tcPr>
            <w:tcW w:w="610" w:type="pct"/>
            <w:vAlign w:val="center"/>
          </w:tcPr>
          <w:p w:rsidRPr="00D16812" w:rsidR="00315371" w:rsidP="006576B5" w:rsidRDefault="00315371">
            <w:pPr>
              <w:rPr>
                <w:rFonts w:ascii="Verdana" w:hAnsi="Verdana"/>
                <w:sz w:val="16"/>
                <w:szCs w:val="16"/>
              </w:rPr>
            </w:pPr>
          </w:p>
        </w:tc>
        <w:tc>
          <w:tcPr>
            <w:tcW w:w="610" w:type="pct"/>
            <w:vAlign w:val="center"/>
          </w:tcPr>
          <w:p w:rsidRPr="00D16812" w:rsidR="00315371" w:rsidP="006576B5" w:rsidRDefault="00315371">
            <w:pPr>
              <w:rPr>
                <w:rFonts w:ascii="Verdana" w:hAnsi="Verdana"/>
                <w:sz w:val="16"/>
                <w:szCs w:val="16"/>
              </w:rPr>
            </w:pPr>
          </w:p>
        </w:tc>
        <w:tc>
          <w:tcPr>
            <w:tcW w:w="571" w:type="pct"/>
            <w:vAlign w:val="center"/>
          </w:tcPr>
          <w:p w:rsidRPr="00D16812" w:rsidR="00315371" w:rsidP="006576B5" w:rsidRDefault="00315371">
            <w:pPr>
              <w:rPr>
                <w:rFonts w:ascii="Verdana" w:hAnsi="Verdana"/>
                <w:sz w:val="16"/>
                <w:szCs w:val="16"/>
              </w:rPr>
            </w:pPr>
          </w:p>
        </w:tc>
        <w:tc>
          <w:tcPr>
            <w:tcW w:w="570" w:type="pct"/>
            <w:vAlign w:val="center"/>
          </w:tcPr>
          <w:p w:rsidRPr="00D16812" w:rsidR="00315371" w:rsidP="006576B5" w:rsidRDefault="00315371">
            <w:pPr>
              <w:rPr>
                <w:rFonts w:ascii="Verdana" w:hAnsi="Verdana"/>
                <w:sz w:val="16"/>
                <w:szCs w:val="16"/>
              </w:rPr>
            </w:pP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Totaal mutaties sinds Miljoenennota 2012</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48,1</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-19,5</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-18,5</w:t>
            </w:r>
          </w:p>
        </w:tc>
        <w:tc>
          <w:tcPr>
            <w:tcW w:w="571"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-20,2</w:t>
            </w:r>
          </w:p>
        </w:tc>
        <w:tc>
          <w:tcPr>
            <w:tcW w:w="57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-21,4</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 </w:t>
            </w: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610" w:type="pct"/>
          </w:tcPr>
          <w:p w:rsidRPr="00D16812" w:rsidR="00315371" w:rsidP="006576B5" w:rsidRDefault="00315371">
            <w:pPr>
              <w:rPr>
                <w:rFonts w:ascii="Verdana" w:hAnsi="Verdana"/>
                <w:sz w:val="16"/>
                <w:szCs w:val="16"/>
              </w:rPr>
            </w:pPr>
          </w:p>
        </w:tc>
        <w:tc>
          <w:tcPr>
            <w:tcW w:w="571" w:type="pct"/>
          </w:tcPr>
          <w:p w:rsidRPr="00D16812" w:rsidR="00315371" w:rsidP="006576B5" w:rsidRDefault="00315371">
            <w:pPr>
              <w:rPr>
                <w:rFonts w:ascii="Verdana" w:hAnsi="Verdana"/>
                <w:sz w:val="16"/>
                <w:szCs w:val="16"/>
              </w:rPr>
            </w:pPr>
          </w:p>
        </w:tc>
        <w:tc>
          <w:tcPr>
            <w:tcW w:w="570" w:type="pct"/>
          </w:tcPr>
          <w:p w:rsidRPr="00D16812" w:rsidR="00315371" w:rsidP="006576B5" w:rsidRDefault="00315371">
            <w:pPr>
              <w:rPr>
                <w:rFonts w:ascii="Verdana" w:hAnsi="Verdana"/>
                <w:sz w:val="16"/>
                <w:szCs w:val="16"/>
              </w:rPr>
            </w:pP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Stand Voorjaarsnota 2012 (subtotaal)</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1.164,6</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1.111,7</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1.098,8</w:t>
            </w:r>
          </w:p>
        </w:tc>
        <w:tc>
          <w:tcPr>
            <w:tcW w:w="571"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938,2</w:t>
            </w:r>
          </w:p>
        </w:tc>
        <w:tc>
          <w:tcPr>
            <w:tcW w:w="57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924,6</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Totaal Internationale samenwerking</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61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1"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c>
          <w:tcPr>
            <w:tcW w:w="570" w:type="pct"/>
            <w:tcBorders>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0,0</w:t>
            </w:r>
          </w:p>
        </w:tc>
      </w:tr>
      <w:tr w:rsidRPr="00D16812" w:rsidR="00315371" w:rsidTr="00FA36B4">
        <w:tc>
          <w:tcPr>
            <w:tcW w:w="2030" w:type="pct"/>
            <w:tcBorders>
              <w:left w:val="nil"/>
              <w:right w:val="nil"/>
            </w:tcBorders>
          </w:tcPr>
          <w:p w:rsidRPr="00D16812" w:rsidR="00315371" w:rsidP="006576B5" w:rsidRDefault="00315371">
            <w:pPr>
              <w:rPr>
                <w:rFonts w:ascii="Verdana" w:hAnsi="Verdana" w:cs="Courier New"/>
                <w:sz w:val="16"/>
                <w:szCs w:val="16"/>
              </w:rPr>
            </w:pPr>
            <w:r w:rsidRPr="00D16812">
              <w:rPr>
                <w:rFonts w:ascii="Verdana" w:hAnsi="Verdana" w:cs="Courier New"/>
                <w:sz w:val="16"/>
                <w:szCs w:val="16"/>
              </w:rPr>
              <w:t>Stand Voorjaarsnota 2012</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1.164,6</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1.111,7</w:t>
            </w:r>
          </w:p>
        </w:tc>
        <w:tc>
          <w:tcPr>
            <w:tcW w:w="61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1.098,8</w:t>
            </w:r>
          </w:p>
        </w:tc>
        <w:tc>
          <w:tcPr>
            <w:tcW w:w="571"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938,2</w:t>
            </w:r>
          </w:p>
        </w:tc>
        <w:tc>
          <w:tcPr>
            <w:tcW w:w="570" w:type="pct"/>
            <w:tcBorders>
              <w:top w:val="single" w:color="000000" w:sz="8" w:space="0"/>
              <w:left w:val="nil"/>
              <w:right w:val="nil"/>
            </w:tcBorders>
          </w:tcPr>
          <w:p w:rsidRPr="00D16812" w:rsidR="00315371" w:rsidP="006576B5" w:rsidRDefault="00315371">
            <w:pPr>
              <w:jc w:val="right"/>
              <w:rPr>
                <w:rFonts w:ascii="Verdana" w:hAnsi="Verdana" w:cs="Courier New"/>
                <w:sz w:val="16"/>
                <w:szCs w:val="16"/>
              </w:rPr>
            </w:pPr>
            <w:r w:rsidRPr="00D16812">
              <w:rPr>
                <w:rFonts w:ascii="Verdana" w:hAnsi="Verdana" w:cs="Courier New"/>
                <w:sz w:val="16"/>
                <w:szCs w:val="16"/>
              </w:rPr>
              <w:t>924,6</w:t>
            </w:r>
          </w:p>
        </w:tc>
      </w:tr>
    </w:tbl>
    <w:p w:rsidRPr="00396626" w:rsidR="00315371" w:rsidP="00396626" w:rsidRDefault="00315371">
      <w:pPr>
        <w:rPr>
          <w:rFonts w:ascii="Verdana" w:hAnsi="Verdana"/>
          <w:sz w:val="18"/>
          <w:szCs w:val="18"/>
        </w:rPr>
      </w:pPr>
    </w:p>
    <w:tbl>
      <w:tblPr>
        <w:tblW w:w="0" w:type="auto"/>
        <w:tblCellMar>
          <w:top w:w="15" w:type="dxa"/>
          <w:left w:w="15" w:type="dxa"/>
          <w:bottom w:w="15" w:type="dxa"/>
          <w:right w:w="15" w:type="dxa"/>
        </w:tblCellMar>
        <w:tblLook w:val="00A0"/>
      </w:tblPr>
      <w:tblGrid>
        <w:gridCol w:w="4431"/>
        <w:gridCol w:w="911"/>
        <w:gridCol w:w="911"/>
        <w:gridCol w:w="911"/>
        <w:gridCol w:w="911"/>
        <w:gridCol w:w="911"/>
      </w:tblGrid>
      <w:tr w:rsidRPr="00406846" w:rsidR="00315371" w:rsidTr="00406846">
        <w:tc>
          <w:tcPr>
            <w:tcW w:w="3818" w:type="dxa"/>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911" w:type="dxa"/>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911" w:type="dxa"/>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911" w:type="dxa"/>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911" w:type="dxa"/>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911" w:type="dxa"/>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C PROVINCIEFONDS: NIET-BELASTINGONTVANGSTEN</w:t>
            </w:r>
          </w:p>
        </w:tc>
        <w:tc>
          <w:tcPr>
            <w:tcW w:w="0" w:type="auto"/>
            <w:gridSpan w:val="5"/>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bedragen in miljoenen euro's</w:t>
            </w:r>
          </w:p>
        </w:tc>
      </w:tr>
      <w:tr w:rsidRPr="00406846" w:rsidR="00315371" w:rsidTr="001D1BC1">
        <w:tc>
          <w:tcPr>
            <w:tcW w:w="0" w:type="auto"/>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p>
        </w:tc>
        <w:tc>
          <w:tcPr>
            <w:tcW w:w="0" w:type="auto"/>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2012</w:t>
            </w:r>
          </w:p>
        </w:tc>
        <w:tc>
          <w:tcPr>
            <w:tcW w:w="0" w:type="auto"/>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2013</w:t>
            </w:r>
          </w:p>
        </w:tc>
        <w:tc>
          <w:tcPr>
            <w:tcW w:w="0" w:type="auto"/>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2014</w:t>
            </w:r>
          </w:p>
        </w:tc>
        <w:tc>
          <w:tcPr>
            <w:tcW w:w="0" w:type="auto"/>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2015</w:t>
            </w:r>
          </w:p>
        </w:tc>
        <w:tc>
          <w:tcPr>
            <w:tcW w:w="0" w:type="auto"/>
            <w:tcBorders>
              <w:top w:val="single" w:color="000000" w:sz="6" w:space="0"/>
              <w:left w:val="nil"/>
              <w:bottom w:val="single" w:color="000000" w:sz="6" w:space="0"/>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2016</w:t>
            </w: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Stand Miljoenennota 2012 (excl. IS)</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p>
        </w:tc>
        <w:tc>
          <w:tcPr>
            <w:tcW w:w="0" w:type="auto"/>
            <w:vAlign w:val="center"/>
          </w:tcPr>
          <w:p w:rsidRPr="00406846" w:rsidR="00315371" w:rsidP="001D1BC1" w:rsidRDefault="00315371">
            <w:pPr>
              <w:rPr>
                <w:rFonts w:ascii="Verdana" w:hAnsi="Verdana"/>
                <w:sz w:val="16"/>
                <w:szCs w:val="16"/>
              </w:rPr>
            </w:pPr>
          </w:p>
        </w:tc>
        <w:tc>
          <w:tcPr>
            <w:tcW w:w="0" w:type="auto"/>
            <w:vAlign w:val="center"/>
          </w:tcPr>
          <w:p w:rsidRPr="00406846" w:rsidR="00315371" w:rsidP="001D1BC1" w:rsidRDefault="00315371">
            <w:pPr>
              <w:rPr>
                <w:rFonts w:ascii="Verdana" w:hAnsi="Verdana"/>
                <w:sz w:val="16"/>
                <w:szCs w:val="16"/>
              </w:rPr>
            </w:pPr>
          </w:p>
        </w:tc>
        <w:tc>
          <w:tcPr>
            <w:tcW w:w="0" w:type="auto"/>
            <w:vAlign w:val="center"/>
          </w:tcPr>
          <w:p w:rsidRPr="00406846" w:rsidR="00315371" w:rsidP="001D1BC1" w:rsidRDefault="00315371">
            <w:pPr>
              <w:rPr>
                <w:rFonts w:ascii="Verdana" w:hAnsi="Verdana"/>
                <w:sz w:val="16"/>
                <w:szCs w:val="16"/>
              </w:rPr>
            </w:pPr>
          </w:p>
        </w:tc>
        <w:tc>
          <w:tcPr>
            <w:tcW w:w="0" w:type="auto"/>
            <w:vAlign w:val="center"/>
          </w:tcPr>
          <w:p w:rsidRPr="00406846" w:rsidR="00315371" w:rsidP="001D1BC1" w:rsidRDefault="00315371">
            <w:pPr>
              <w:rPr>
                <w:rFonts w:ascii="Verdana" w:hAnsi="Verdana"/>
                <w:sz w:val="16"/>
                <w:szCs w:val="16"/>
              </w:rPr>
            </w:pPr>
          </w:p>
        </w:tc>
        <w:tc>
          <w:tcPr>
            <w:tcW w:w="0" w:type="auto"/>
            <w:vAlign w:val="center"/>
          </w:tcPr>
          <w:p w:rsidRPr="00406846" w:rsidR="00315371" w:rsidP="001D1BC1" w:rsidRDefault="00315371">
            <w:pPr>
              <w:rPr>
                <w:rFonts w:ascii="Verdana" w:hAnsi="Verdana"/>
                <w:sz w:val="16"/>
                <w:szCs w:val="16"/>
              </w:rPr>
            </w:pP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Totaal mutaties sinds Miljoenennota 2012</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 </w:t>
            </w:r>
          </w:p>
        </w:tc>
        <w:tc>
          <w:tcPr>
            <w:tcW w:w="0" w:type="auto"/>
          </w:tcPr>
          <w:p w:rsidRPr="00406846" w:rsidR="00315371" w:rsidP="001D1BC1" w:rsidRDefault="00315371">
            <w:pPr>
              <w:rPr>
                <w:rFonts w:ascii="Verdana" w:hAnsi="Verdana"/>
                <w:sz w:val="16"/>
                <w:szCs w:val="16"/>
              </w:rPr>
            </w:pPr>
          </w:p>
        </w:tc>
        <w:tc>
          <w:tcPr>
            <w:tcW w:w="0" w:type="auto"/>
          </w:tcPr>
          <w:p w:rsidRPr="00406846" w:rsidR="00315371" w:rsidP="001D1BC1" w:rsidRDefault="00315371">
            <w:pPr>
              <w:rPr>
                <w:rFonts w:ascii="Verdana" w:hAnsi="Verdana"/>
                <w:sz w:val="16"/>
                <w:szCs w:val="16"/>
              </w:rPr>
            </w:pPr>
          </w:p>
        </w:tc>
        <w:tc>
          <w:tcPr>
            <w:tcW w:w="0" w:type="auto"/>
          </w:tcPr>
          <w:p w:rsidRPr="00406846" w:rsidR="00315371" w:rsidP="001D1BC1" w:rsidRDefault="00315371">
            <w:pPr>
              <w:rPr>
                <w:rFonts w:ascii="Verdana" w:hAnsi="Verdana"/>
                <w:sz w:val="16"/>
                <w:szCs w:val="16"/>
              </w:rPr>
            </w:pPr>
          </w:p>
        </w:tc>
        <w:tc>
          <w:tcPr>
            <w:tcW w:w="0" w:type="auto"/>
          </w:tcPr>
          <w:p w:rsidRPr="00406846" w:rsidR="00315371" w:rsidP="001D1BC1" w:rsidRDefault="00315371">
            <w:pPr>
              <w:rPr>
                <w:rFonts w:ascii="Verdana" w:hAnsi="Verdana"/>
                <w:sz w:val="16"/>
                <w:szCs w:val="16"/>
              </w:rPr>
            </w:pPr>
          </w:p>
        </w:tc>
        <w:tc>
          <w:tcPr>
            <w:tcW w:w="0" w:type="auto"/>
          </w:tcPr>
          <w:p w:rsidRPr="00406846" w:rsidR="00315371" w:rsidP="001D1BC1" w:rsidRDefault="00315371">
            <w:pPr>
              <w:rPr>
                <w:rFonts w:ascii="Verdana" w:hAnsi="Verdana"/>
                <w:sz w:val="16"/>
                <w:szCs w:val="16"/>
              </w:rPr>
            </w:pP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Stand Voorjaarsnota 2012 (subtotaal)</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Totaal Internationale samenwerking</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r w:rsidRPr="00406846" w:rsidR="00315371" w:rsidTr="001D1BC1">
        <w:tc>
          <w:tcPr>
            <w:tcW w:w="0" w:type="auto"/>
            <w:tcBorders>
              <w:left w:val="nil"/>
              <w:right w:val="nil"/>
            </w:tcBorders>
          </w:tcPr>
          <w:p w:rsidRPr="00406846" w:rsidR="00315371" w:rsidP="001D1BC1" w:rsidRDefault="00315371">
            <w:pPr>
              <w:rPr>
                <w:rFonts w:ascii="Verdana" w:hAnsi="Verdana" w:cs="Courier New"/>
                <w:sz w:val="16"/>
                <w:szCs w:val="16"/>
              </w:rPr>
            </w:pPr>
            <w:r w:rsidRPr="00406846">
              <w:rPr>
                <w:rFonts w:ascii="Verdana" w:hAnsi="Verdana" w:cs="Courier New"/>
                <w:sz w:val="16"/>
                <w:szCs w:val="16"/>
              </w:rPr>
              <w:t>Stand Voorjaarsnota 2012</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c>
          <w:tcPr>
            <w:tcW w:w="0" w:type="auto"/>
            <w:tcBorders>
              <w:top w:val="single" w:color="000000" w:sz="6" w:space="0"/>
              <w:left w:val="nil"/>
              <w:right w:val="nil"/>
            </w:tcBorders>
          </w:tcPr>
          <w:p w:rsidRPr="00406846" w:rsidR="00315371" w:rsidP="001D1BC1" w:rsidRDefault="00315371">
            <w:pPr>
              <w:jc w:val="right"/>
              <w:rPr>
                <w:rFonts w:ascii="Verdana" w:hAnsi="Verdana" w:cs="Courier New"/>
                <w:sz w:val="16"/>
                <w:szCs w:val="16"/>
              </w:rPr>
            </w:pPr>
            <w:r w:rsidRPr="00406846">
              <w:rPr>
                <w:rFonts w:ascii="Verdana" w:hAnsi="Verdana" w:cs="Courier New"/>
                <w:sz w:val="16"/>
                <w:szCs w:val="16"/>
              </w:rPr>
              <w:t>0,0</w:t>
            </w:r>
          </w:p>
        </w:tc>
      </w:tr>
    </w:tbl>
    <w:p w:rsidRPr="001A2D35" w:rsidR="00315371" w:rsidP="00396626" w:rsidRDefault="00315371">
      <w:pPr>
        <w:spacing w:line="240" w:lineRule="exact"/>
        <w:rPr>
          <w:rFonts w:ascii="Verdana" w:hAnsi="Verdana"/>
          <w:sz w:val="18"/>
          <w:szCs w:val="18"/>
        </w:rPr>
      </w:pPr>
    </w:p>
    <w:p w:rsidR="00315371" w:rsidP="00212995" w:rsidRDefault="00315371">
      <w:pPr>
        <w:spacing w:line="276" w:lineRule="auto"/>
        <w:rPr>
          <w:rFonts w:ascii="Verdana" w:hAnsi="Verdana"/>
          <w:i/>
          <w:sz w:val="18"/>
          <w:szCs w:val="18"/>
        </w:rPr>
      </w:pPr>
    </w:p>
    <w:p w:rsidR="00315371" w:rsidP="00212995" w:rsidRDefault="00315371">
      <w:pPr>
        <w:spacing w:line="276" w:lineRule="auto"/>
        <w:rPr>
          <w:rFonts w:ascii="Verdana" w:hAnsi="Verdana"/>
          <w:i/>
          <w:sz w:val="18"/>
          <w:szCs w:val="18"/>
        </w:rPr>
      </w:pPr>
      <w:r>
        <w:rPr>
          <w:rFonts w:ascii="Verdana" w:hAnsi="Verdana"/>
          <w:i/>
          <w:sz w:val="18"/>
          <w:szCs w:val="18"/>
        </w:rPr>
        <w:t>Overboeken accres</w:t>
      </w:r>
    </w:p>
    <w:p w:rsidR="00315371" w:rsidP="00365B48" w:rsidRDefault="00315371">
      <w:pPr>
        <w:rPr>
          <w:rFonts w:ascii="Verdana" w:hAnsi="Verdana"/>
          <w:sz w:val="18"/>
          <w:szCs w:val="18"/>
        </w:rPr>
      </w:pPr>
      <w:r w:rsidRPr="00D16812">
        <w:rPr>
          <w:rFonts w:ascii="Verdana" w:hAnsi="Verdana" w:cs="Verdana"/>
          <w:sz w:val="18"/>
          <w:szCs w:val="18"/>
        </w:rPr>
        <w:t xml:space="preserve">Als gevolg van mutaties in de netto gecorrigeerde rijksuitgaven </w:t>
      </w:r>
      <w:r>
        <w:rPr>
          <w:rFonts w:ascii="Verdana" w:hAnsi="Verdana" w:cs="Verdana"/>
          <w:sz w:val="18"/>
          <w:szCs w:val="18"/>
        </w:rPr>
        <w:t xml:space="preserve">valt het </w:t>
      </w:r>
      <w:r w:rsidRPr="00D16812">
        <w:rPr>
          <w:rFonts w:ascii="Verdana" w:hAnsi="Verdana" w:cs="Verdana"/>
          <w:sz w:val="18"/>
          <w:szCs w:val="18"/>
        </w:rPr>
        <w:t xml:space="preserve">accres 2012 </w:t>
      </w:r>
      <w:r>
        <w:rPr>
          <w:rFonts w:ascii="Verdana" w:hAnsi="Verdana" w:cs="Verdana"/>
          <w:sz w:val="18"/>
          <w:szCs w:val="18"/>
        </w:rPr>
        <w:t>lager uit.</w:t>
      </w:r>
    </w:p>
    <w:p w:rsidRPr="00677607"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Pr>
          <w:rFonts w:ascii="Verdana" w:hAnsi="Verdana"/>
          <w:i/>
          <w:sz w:val="18"/>
          <w:szCs w:val="18"/>
        </w:rPr>
        <w:t>Waddenfonds</w:t>
      </w:r>
    </w:p>
    <w:p w:rsidR="00315371" w:rsidP="00212995" w:rsidRDefault="00315371">
      <w:pPr>
        <w:spacing w:line="276" w:lineRule="auto"/>
        <w:outlineLvl w:val="3"/>
        <w:rPr>
          <w:rFonts w:ascii="Verdana" w:hAnsi="Verdana"/>
          <w:sz w:val="18"/>
          <w:szCs w:val="18"/>
        </w:rPr>
      </w:pPr>
      <w:r>
        <w:rPr>
          <w:rFonts w:ascii="Verdana" w:hAnsi="Verdana"/>
          <w:sz w:val="18"/>
          <w:szCs w:val="18"/>
        </w:rPr>
        <w:t>De onderuitputting 2011 van het Waddenfonds wordt ter beschikking gesteld aan de Waddenprovincies via de decentralisatie-uitkering. De Waddenprovincies krijgen de bevoegdheid om de middelen te besteden, waarbij vastgehouden wordt aan de doelen van het Waddenfonds. Het voornemen tot decentralisatie stond in het regeerakkoord.  </w:t>
      </w:r>
    </w:p>
    <w:p w:rsidRPr="001A2D35" w:rsidR="00315371" w:rsidP="00212995" w:rsidRDefault="00315371">
      <w:pPr>
        <w:spacing w:line="276" w:lineRule="auto"/>
        <w:rPr>
          <w:rFonts w:ascii="Verdana" w:hAnsi="Verdana"/>
          <w:sz w:val="18"/>
          <w:szCs w:val="18"/>
        </w:rPr>
      </w:pPr>
    </w:p>
    <w:p w:rsidR="00315371" w:rsidRDefault="00315371">
      <w:pPr>
        <w:spacing w:after="200" w:line="276" w:lineRule="auto"/>
        <w:rPr>
          <w:rFonts w:ascii="Verdana" w:hAnsi="Verdana" w:cs="Arial"/>
          <w:b/>
          <w:sz w:val="18"/>
          <w:szCs w:val="18"/>
        </w:rPr>
      </w:pPr>
      <w:r>
        <w:rPr>
          <w:rFonts w:ascii="Verdana" w:hAnsi="Verdana" w:cs="Arial"/>
          <w:b/>
          <w:sz w:val="18"/>
          <w:szCs w:val="18"/>
        </w:rPr>
        <w:br w:type="page"/>
      </w:r>
    </w:p>
    <w:p w:rsidR="00315371" w:rsidP="00174971" w:rsidRDefault="00315371">
      <w:pPr>
        <w:spacing w:line="240" w:lineRule="exact"/>
        <w:rPr>
          <w:rFonts w:ascii="Verdana" w:hAnsi="Verdana" w:cs="Arial"/>
          <w:b/>
          <w:sz w:val="18"/>
          <w:szCs w:val="18"/>
        </w:rPr>
      </w:pPr>
      <w:r w:rsidRPr="00B92FA0">
        <w:rPr>
          <w:rFonts w:ascii="Verdana" w:hAnsi="Verdana" w:cs="Arial"/>
          <w:b/>
          <w:sz w:val="18"/>
          <w:szCs w:val="18"/>
        </w:rPr>
        <w:t>Infrastructuurfonds</w:t>
      </w:r>
    </w:p>
    <w:p w:rsidR="00315371" w:rsidP="00174971" w:rsidRDefault="00315371">
      <w:pPr>
        <w:spacing w:line="240" w:lineRule="exact"/>
        <w:rPr>
          <w:rFonts w:ascii="Verdana" w:hAnsi="Verdana" w:cs="Arial"/>
          <w:b/>
          <w:sz w:val="18"/>
          <w:szCs w:val="18"/>
        </w:rPr>
      </w:pPr>
    </w:p>
    <w:tbl>
      <w:tblPr>
        <w:tblW w:w="5000" w:type="pct"/>
        <w:tblCellMar>
          <w:top w:w="15" w:type="dxa"/>
          <w:left w:w="15" w:type="dxa"/>
          <w:bottom w:w="15" w:type="dxa"/>
          <w:right w:w="15" w:type="dxa"/>
        </w:tblCellMar>
        <w:tblLook w:val="00A0"/>
      </w:tblPr>
      <w:tblGrid>
        <w:gridCol w:w="4732"/>
        <w:gridCol w:w="864"/>
        <w:gridCol w:w="864"/>
        <w:gridCol w:w="864"/>
        <w:gridCol w:w="864"/>
        <w:gridCol w:w="864"/>
        <w:gridCol w:w="50"/>
      </w:tblGrid>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A INFRASTRUCTUURFONDS: UITGAVEN</w:t>
            </w:r>
          </w:p>
        </w:tc>
        <w:tc>
          <w:tcPr>
            <w:tcW w:w="2373" w:type="pct"/>
            <w:gridSpan w:val="5"/>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bedragen in miljoenen euro's</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p>
        </w:tc>
        <w:tc>
          <w:tcPr>
            <w:tcW w:w="475"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2012</w:t>
            </w:r>
          </w:p>
        </w:tc>
        <w:tc>
          <w:tcPr>
            <w:tcW w:w="475"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2013</w:t>
            </w:r>
          </w:p>
        </w:tc>
        <w:tc>
          <w:tcPr>
            <w:tcW w:w="475"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2014</w:t>
            </w:r>
          </w:p>
        </w:tc>
        <w:tc>
          <w:tcPr>
            <w:tcW w:w="475"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2015</w:t>
            </w:r>
          </w:p>
        </w:tc>
        <w:tc>
          <w:tcPr>
            <w:tcW w:w="475"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2016</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Stand Miljoenennota 2012 (excl. IS)</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7.986,7</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8.112,8</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8.432,1</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7.374,1</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8.389,1</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Beleidsmatige mutaties</w:t>
            </w: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188" w:type="dxa"/>
              <w:bottom w:w="15" w:type="dxa"/>
              <w:right w:w="15" w:type="dxa"/>
            </w:tcMar>
          </w:tcPr>
          <w:p w:rsidRPr="001F0A48" w:rsidR="00315371" w:rsidP="001F0A48" w:rsidRDefault="00315371">
            <w:pPr>
              <w:ind w:firstLine="160" w:firstLineChars="100"/>
              <w:rPr>
                <w:rFonts w:ascii="Verdana" w:hAnsi="Verdana" w:cs="Courier New"/>
                <w:sz w:val="16"/>
                <w:szCs w:val="16"/>
              </w:rPr>
            </w:pPr>
            <w:r w:rsidRPr="001F0A48">
              <w:rPr>
                <w:rFonts w:ascii="Verdana" w:hAnsi="Verdana" w:cs="Courier New"/>
                <w:sz w:val="16"/>
                <w:szCs w:val="16"/>
              </w:rPr>
              <w:t>Rijksbegroting in enge zin</w:t>
            </w: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Beter benutten</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74,5</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100,5</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-78,0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Dekking beter benutten</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-74,5</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-100,5</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78,0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H</w:t>
            </w:r>
            <w:r>
              <w:rPr>
                <w:rFonts w:ascii="Verdana" w:hAnsi="Verdana" w:cs="Courier New"/>
                <w:sz w:val="16"/>
                <w:szCs w:val="16"/>
              </w:rPr>
              <w:t>SA</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-43,9</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-101,9</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-99,3</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-137,3</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-147,3</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Toevoegen voordelig saldo 2012</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233,6</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189,7</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-101,9</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-99,3</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-137,3</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-147,3</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Technische mutaties</w:t>
            </w: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188" w:type="dxa"/>
              <w:bottom w:w="15" w:type="dxa"/>
              <w:right w:w="15" w:type="dxa"/>
            </w:tcMar>
          </w:tcPr>
          <w:p w:rsidRPr="001F0A48" w:rsidR="00315371" w:rsidP="001F0A48" w:rsidRDefault="00315371">
            <w:pPr>
              <w:ind w:firstLine="160" w:firstLineChars="100"/>
              <w:rPr>
                <w:rFonts w:ascii="Verdana" w:hAnsi="Verdana" w:cs="Courier New"/>
                <w:sz w:val="16"/>
                <w:szCs w:val="16"/>
              </w:rPr>
            </w:pPr>
            <w:r w:rsidRPr="001F0A48">
              <w:rPr>
                <w:rFonts w:ascii="Verdana" w:hAnsi="Verdana" w:cs="Courier New"/>
                <w:sz w:val="16"/>
                <w:szCs w:val="16"/>
              </w:rPr>
              <w:t>Rijksbegroting in enge zin</w:t>
            </w: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Pr>
                <w:rFonts w:ascii="Verdana" w:hAnsi="Verdana" w:cs="Courier New"/>
                <w:sz w:val="16"/>
                <w:szCs w:val="16"/>
              </w:rPr>
              <w:t>A15 maasvlakte V</w:t>
            </w:r>
            <w:r w:rsidRPr="001F0A48">
              <w:rPr>
                <w:rFonts w:ascii="Verdana" w:hAnsi="Verdana" w:cs="Courier New"/>
                <w:sz w:val="16"/>
                <w:szCs w:val="16"/>
              </w:rPr>
              <w:t>aaanplein</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-178,6</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-179,3</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45,5</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225,1</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Pr>
                <w:rFonts w:ascii="Verdana" w:hAnsi="Verdana" w:cs="Courier New"/>
                <w:sz w:val="16"/>
                <w:szCs w:val="16"/>
              </w:rPr>
              <w:t>Btw hoofdvaarweg Lemmer-D</w:t>
            </w:r>
            <w:r w:rsidRPr="001F0A48">
              <w:rPr>
                <w:rFonts w:ascii="Verdana" w:hAnsi="Verdana" w:cs="Courier New"/>
                <w:sz w:val="16"/>
                <w:szCs w:val="16"/>
              </w:rPr>
              <w:t>elfzijl</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54,6</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Diversen</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-9,7</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-133,7</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-179,3</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45,5</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225,1</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p>
        </w:tc>
        <w:tc>
          <w:tcPr>
            <w:tcW w:w="475" w:type="pct"/>
            <w:vAlign w:val="center"/>
          </w:tcPr>
          <w:p w:rsidRPr="001F0A48" w:rsidR="00315371" w:rsidP="001F0A48" w:rsidRDefault="00315371">
            <w:pPr>
              <w:rPr>
                <w:rFonts w:ascii="Verdana" w:hAnsi="Verdana"/>
                <w:sz w:val="16"/>
                <w:szCs w:val="16"/>
              </w:rPr>
            </w:pPr>
          </w:p>
        </w:tc>
        <w:tc>
          <w:tcPr>
            <w:tcW w:w="475" w:type="pct"/>
            <w:vAlign w:val="center"/>
          </w:tcPr>
          <w:p w:rsidRPr="001F0A48" w:rsidR="00315371" w:rsidP="001F0A48" w:rsidRDefault="00315371">
            <w:pPr>
              <w:rPr>
                <w:rFonts w:ascii="Verdana" w:hAnsi="Verdana"/>
                <w:sz w:val="16"/>
                <w:szCs w:val="16"/>
              </w:rPr>
            </w:pPr>
          </w:p>
        </w:tc>
        <w:tc>
          <w:tcPr>
            <w:tcW w:w="475" w:type="pct"/>
            <w:vAlign w:val="center"/>
          </w:tcPr>
          <w:p w:rsidRPr="001F0A48" w:rsidR="00315371" w:rsidP="001F0A48" w:rsidRDefault="00315371">
            <w:pPr>
              <w:rPr>
                <w:rFonts w:ascii="Verdana" w:hAnsi="Verdana"/>
                <w:sz w:val="16"/>
                <w:szCs w:val="16"/>
              </w:rPr>
            </w:pPr>
          </w:p>
        </w:tc>
        <w:tc>
          <w:tcPr>
            <w:tcW w:w="475" w:type="pct"/>
            <w:vAlign w:val="center"/>
          </w:tcPr>
          <w:p w:rsidRPr="001F0A48" w:rsidR="00315371" w:rsidP="001F0A48" w:rsidRDefault="00315371">
            <w:pPr>
              <w:rPr>
                <w:rFonts w:ascii="Verdana" w:hAnsi="Verdana"/>
                <w:sz w:val="16"/>
                <w:szCs w:val="16"/>
              </w:rPr>
            </w:pPr>
          </w:p>
        </w:tc>
        <w:tc>
          <w:tcPr>
            <w:tcW w:w="475" w:type="pct"/>
            <w:vAlign w:val="center"/>
          </w:tcPr>
          <w:p w:rsidRPr="001F0A48" w:rsidR="00315371" w:rsidP="001F0A48" w:rsidRDefault="00315371">
            <w:pPr>
              <w:rPr>
                <w:rFonts w:ascii="Verdana" w:hAnsi="Verdana"/>
                <w:sz w:val="16"/>
                <w:szCs w:val="16"/>
              </w:rPr>
            </w:pPr>
          </w:p>
        </w:tc>
        <w:tc>
          <w:tcPr>
            <w:tcW w:w="28" w:type="pct"/>
            <w:vAlign w:val="center"/>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Totaal mutaties sinds Miljoenennota 2012</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56,0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-281,2</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-53,8</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87,8</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-124,8</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475" w:type="pct"/>
          </w:tcPr>
          <w:p w:rsidRPr="001F0A48" w:rsidR="00315371" w:rsidP="001F0A48" w:rsidRDefault="00315371">
            <w:pPr>
              <w:rPr>
                <w:rFonts w:ascii="Verdana" w:hAnsi="Verdana"/>
                <w:sz w:val="16"/>
                <w:szCs w:val="16"/>
              </w:rPr>
            </w:pP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Stand Voorjaarsnota 2012 (subtotaal)</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8.042,7</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7.831,6</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8.378,4</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7.461,9</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8.264,4</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Totaal Internationale samenwerking</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475"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28" w:type="pct"/>
          </w:tcPr>
          <w:p w:rsidRPr="001F0A48" w:rsidR="00315371" w:rsidP="001F0A48" w:rsidRDefault="00315371">
            <w:pPr>
              <w:rPr>
                <w:rFonts w:ascii="Verdana" w:hAnsi="Verdana"/>
                <w:sz w:val="16"/>
                <w:szCs w:val="16"/>
              </w:rPr>
            </w:pPr>
          </w:p>
        </w:tc>
      </w:tr>
      <w:tr w:rsidRPr="001F0A48" w:rsidR="00315371" w:rsidTr="001F0A48">
        <w:tc>
          <w:tcPr>
            <w:tcW w:w="2600"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Stand Voorjaarsnota 2012</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8.042,7</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7.831,6</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8.378,4</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7.461,9</w:t>
            </w:r>
          </w:p>
        </w:tc>
        <w:tc>
          <w:tcPr>
            <w:tcW w:w="475"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8.264,4</w:t>
            </w:r>
          </w:p>
        </w:tc>
        <w:tc>
          <w:tcPr>
            <w:tcW w:w="28" w:type="pct"/>
          </w:tcPr>
          <w:p w:rsidRPr="001F0A48" w:rsidR="00315371" w:rsidP="001F0A48" w:rsidRDefault="00315371">
            <w:pPr>
              <w:rPr>
                <w:rFonts w:ascii="Verdana" w:hAnsi="Verdana"/>
                <w:sz w:val="16"/>
                <w:szCs w:val="16"/>
              </w:rPr>
            </w:pPr>
          </w:p>
        </w:tc>
      </w:tr>
    </w:tbl>
    <w:p w:rsidR="00315371" w:rsidP="001F0A48" w:rsidRDefault="00315371">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0A0"/>
      </w:tblPr>
      <w:tblGrid>
        <w:gridCol w:w="4217"/>
        <w:gridCol w:w="977"/>
        <w:gridCol w:w="978"/>
        <w:gridCol w:w="978"/>
        <w:gridCol w:w="978"/>
        <w:gridCol w:w="974"/>
      </w:tblGrid>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A INFRASTRUCTUURFONDS: NIET-BELASTINGONTVANGSTEN</w:t>
            </w:r>
          </w:p>
        </w:tc>
        <w:tc>
          <w:tcPr>
            <w:tcW w:w="2683" w:type="pct"/>
            <w:gridSpan w:val="5"/>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bedragen in miljoenen euro's</w:t>
            </w:r>
          </w:p>
        </w:tc>
      </w:tr>
      <w:tr w:rsidRPr="001F0A48" w:rsidR="00315371" w:rsidTr="001F0A48">
        <w:tc>
          <w:tcPr>
            <w:tcW w:w="2317"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p>
        </w:tc>
        <w:tc>
          <w:tcPr>
            <w:tcW w:w="537"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2012</w:t>
            </w:r>
          </w:p>
        </w:tc>
        <w:tc>
          <w:tcPr>
            <w:tcW w:w="537"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2013</w:t>
            </w:r>
          </w:p>
        </w:tc>
        <w:tc>
          <w:tcPr>
            <w:tcW w:w="537"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2014</w:t>
            </w:r>
          </w:p>
        </w:tc>
        <w:tc>
          <w:tcPr>
            <w:tcW w:w="537"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2015</w:t>
            </w:r>
          </w:p>
        </w:tc>
        <w:tc>
          <w:tcPr>
            <w:tcW w:w="537" w:type="pct"/>
            <w:tcBorders>
              <w:top w:val="single" w:color="000000" w:sz="6" w:space="0"/>
              <w:left w:val="nil"/>
              <w:bottom w:val="single" w:color="000000" w:sz="6" w:space="0"/>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2016</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Stand Miljoenennota 2012 (excl. IS)</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7.986,7</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8.112,8</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8.432,1</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7.374,1</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8.389,1</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Beleidsmatige mutaties</w:t>
            </w: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r>
      <w:tr w:rsidRPr="001F0A48" w:rsidR="00315371" w:rsidTr="001F0A48">
        <w:tc>
          <w:tcPr>
            <w:tcW w:w="2317" w:type="pct"/>
            <w:tcBorders>
              <w:left w:val="nil"/>
              <w:right w:val="nil"/>
            </w:tcBorders>
            <w:tcMar>
              <w:top w:w="15" w:type="dxa"/>
              <w:left w:w="188" w:type="dxa"/>
              <w:bottom w:w="15" w:type="dxa"/>
              <w:right w:w="15" w:type="dxa"/>
            </w:tcMar>
          </w:tcPr>
          <w:p w:rsidRPr="001F0A48" w:rsidR="00315371" w:rsidP="001F0A48" w:rsidRDefault="00315371">
            <w:pPr>
              <w:ind w:firstLine="160" w:firstLineChars="100"/>
              <w:rPr>
                <w:rFonts w:ascii="Verdana" w:hAnsi="Verdana" w:cs="Courier New"/>
                <w:sz w:val="16"/>
                <w:szCs w:val="16"/>
              </w:rPr>
            </w:pPr>
            <w:r w:rsidRPr="001F0A48">
              <w:rPr>
                <w:rFonts w:ascii="Verdana" w:hAnsi="Verdana" w:cs="Courier New"/>
                <w:sz w:val="16"/>
                <w:szCs w:val="16"/>
              </w:rPr>
              <w:t>Rijksbegroting in enge zin</w:t>
            </w: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r>
      <w:tr w:rsidRPr="001F0A48" w:rsidR="00315371" w:rsidTr="001F0A48">
        <w:tc>
          <w:tcPr>
            <w:tcW w:w="2317"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H</w:t>
            </w:r>
            <w:r>
              <w:rPr>
                <w:rFonts w:ascii="Verdana" w:hAnsi="Verdana" w:cs="Courier New"/>
                <w:sz w:val="16"/>
                <w:szCs w:val="16"/>
              </w:rPr>
              <w:t>SA</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-43,9</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-101,9</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-99,3</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-137,3</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-147,3</w:t>
            </w:r>
          </w:p>
        </w:tc>
      </w:tr>
      <w:tr w:rsidRPr="001F0A48" w:rsidR="00315371" w:rsidTr="001F0A48">
        <w:tc>
          <w:tcPr>
            <w:tcW w:w="2317"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Toevoegen voordelig saldo 2012</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130,4</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86,5</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-101,9</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-99,3</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-137,3</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-147,3</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Technische mutaties</w:t>
            </w: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r>
      <w:tr w:rsidRPr="001F0A48" w:rsidR="00315371" w:rsidTr="001F0A48">
        <w:tc>
          <w:tcPr>
            <w:tcW w:w="2317" w:type="pct"/>
            <w:tcBorders>
              <w:left w:val="nil"/>
              <w:right w:val="nil"/>
            </w:tcBorders>
            <w:tcMar>
              <w:top w:w="15" w:type="dxa"/>
              <w:left w:w="188" w:type="dxa"/>
              <w:bottom w:w="15" w:type="dxa"/>
              <w:right w:w="15" w:type="dxa"/>
            </w:tcMar>
          </w:tcPr>
          <w:p w:rsidRPr="001F0A48" w:rsidR="00315371" w:rsidP="001F0A48" w:rsidRDefault="00315371">
            <w:pPr>
              <w:ind w:firstLine="160" w:firstLineChars="100"/>
              <w:rPr>
                <w:rFonts w:ascii="Verdana" w:hAnsi="Verdana" w:cs="Courier New"/>
                <w:sz w:val="16"/>
                <w:szCs w:val="16"/>
              </w:rPr>
            </w:pPr>
            <w:r w:rsidRPr="001F0A48">
              <w:rPr>
                <w:rFonts w:ascii="Verdana" w:hAnsi="Verdana" w:cs="Courier New"/>
                <w:sz w:val="16"/>
                <w:szCs w:val="16"/>
              </w:rPr>
              <w:t>Rijksbegroting in enge zin</w:t>
            </w: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r>
      <w:tr w:rsidRPr="001F0A48" w:rsidR="00315371" w:rsidTr="001F0A48">
        <w:tc>
          <w:tcPr>
            <w:tcW w:w="2317"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Pr>
                <w:rFonts w:ascii="Verdana" w:hAnsi="Verdana" w:cs="Courier New"/>
                <w:sz w:val="16"/>
                <w:szCs w:val="16"/>
              </w:rPr>
              <w:t>A15 maasvlakte V</w:t>
            </w:r>
            <w:r w:rsidRPr="001F0A48">
              <w:rPr>
                <w:rFonts w:ascii="Verdana" w:hAnsi="Verdana" w:cs="Courier New"/>
                <w:sz w:val="16"/>
                <w:szCs w:val="16"/>
              </w:rPr>
              <w:t>aaanplein</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-178,6</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-179,3</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45,5</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225,1</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w:t>
            </w:r>
          </w:p>
        </w:tc>
      </w:tr>
      <w:tr w:rsidRPr="001F0A48" w:rsidR="00315371" w:rsidTr="001F0A48">
        <w:tc>
          <w:tcPr>
            <w:tcW w:w="2317"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Pr>
                <w:rFonts w:ascii="Verdana" w:hAnsi="Verdana" w:cs="Courier New"/>
                <w:sz w:val="16"/>
                <w:szCs w:val="16"/>
              </w:rPr>
              <w:t>Btw hoofdvaarweg Lemmer-D</w:t>
            </w:r>
            <w:r w:rsidRPr="001F0A48">
              <w:rPr>
                <w:rFonts w:ascii="Verdana" w:hAnsi="Verdana" w:cs="Courier New"/>
                <w:sz w:val="16"/>
                <w:szCs w:val="16"/>
              </w:rPr>
              <w:t>elfzijl</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54,6</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r>
      <w:tr w:rsidRPr="001F0A48" w:rsidR="00315371" w:rsidTr="001F0A48">
        <w:tc>
          <w:tcPr>
            <w:tcW w:w="2317"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Diversen</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-9,7</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r>
      <w:tr w:rsidRPr="001F0A48" w:rsidR="00315371" w:rsidTr="001F0A48">
        <w:tc>
          <w:tcPr>
            <w:tcW w:w="2317" w:type="pct"/>
            <w:tcBorders>
              <w:left w:val="nil"/>
              <w:right w:val="nil"/>
            </w:tcBorders>
            <w:tcMar>
              <w:top w:w="15" w:type="dxa"/>
              <w:left w:w="188" w:type="dxa"/>
              <w:bottom w:w="15" w:type="dxa"/>
              <w:right w:w="15" w:type="dxa"/>
            </w:tcMar>
          </w:tcPr>
          <w:p w:rsidRPr="001F0A48" w:rsidR="00315371" w:rsidP="001F0A48" w:rsidRDefault="00315371">
            <w:pPr>
              <w:ind w:firstLine="160" w:firstLineChars="100"/>
              <w:rPr>
                <w:rFonts w:ascii="Verdana" w:hAnsi="Verdana" w:cs="Courier New"/>
                <w:sz w:val="16"/>
                <w:szCs w:val="16"/>
              </w:rPr>
            </w:pPr>
            <w:r w:rsidRPr="001F0A48">
              <w:rPr>
                <w:rFonts w:ascii="Verdana" w:hAnsi="Verdana" w:cs="Courier New"/>
                <w:sz w:val="16"/>
                <w:szCs w:val="16"/>
              </w:rPr>
              <w:t>Niet tot een ijklijn behorend</w:t>
            </w: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r>
      <w:tr w:rsidRPr="001F0A48" w:rsidR="00315371" w:rsidTr="001F0A48">
        <w:tc>
          <w:tcPr>
            <w:tcW w:w="2317" w:type="pct"/>
            <w:tcBorders>
              <w:left w:val="nil"/>
              <w:right w:val="nil"/>
            </w:tcBorders>
            <w:tcMar>
              <w:top w:w="15" w:type="dxa"/>
              <w:left w:w="376" w:type="dxa"/>
              <w:bottom w:w="15" w:type="dxa"/>
              <w:right w:w="15" w:type="dxa"/>
            </w:tcMar>
          </w:tcPr>
          <w:p w:rsidRPr="001F0A48" w:rsidR="00315371" w:rsidP="001F0A48" w:rsidRDefault="00315371">
            <w:pPr>
              <w:ind w:firstLine="320" w:firstLineChars="200"/>
              <w:rPr>
                <w:rFonts w:ascii="Verdana" w:hAnsi="Verdana" w:cs="Courier New"/>
                <w:sz w:val="16"/>
                <w:szCs w:val="16"/>
              </w:rPr>
            </w:pPr>
            <w:r w:rsidRPr="001F0A48">
              <w:rPr>
                <w:rFonts w:ascii="Verdana" w:hAnsi="Verdana" w:cs="Courier New"/>
                <w:sz w:val="16"/>
                <w:szCs w:val="16"/>
              </w:rPr>
              <w:t>Toevoegen voordelig saldo 2012</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103,2</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-30,5</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-179,3</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45,5</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225,1</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22,5</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p>
        </w:tc>
        <w:tc>
          <w:tcPr>
            <w:tcW w:w="537" w:type="pct"/>
            <w:vAlign w:val="center"/>
          </w:tcPr>
          <w:p w:rsidRPr="001F0A48" w:rsidR="00315371" w:rsidP="001F0A48" w:rsidRDefault="00315371">
            <w:pPr>
              <w:rPr>
                <w:rFonts w:ascii="Verdana" w:hAnsi="Verdana"/>
                <w:sz w:val="16"/>
                <w:szCs w:val="16"/>
              </w:rPr>
            </w:pPr>
          </w:p>
        </w:tc>
        <w:tc>
          <w:tcPr>
            <w:tcW w:w="537" w:type="pct"/>
            <w:vAlign w:val="center"/>
          </w:tcPr>
          <w:p w:rsidRPr="001F0A48" w:rsidR="00315371" w:rsidP="001F0A48" w:rsidRDefault="00315371">
            <w:pPr>
              <w:rPr>
                <w:rFonts w:ascii="Verdana" w:hAnsi="Verdana"/>
                <w:sz w:val="16"/>
                <w:szCs w:val="16"/>
              </w:rPr>
            </w:pPr>
          </w:p>
        </w:tc>
        <w:tc>
          <w:tcPr>
            <w:tcW w:w="537" w:type="pct"/>
            <w:vAlign w:val="center"/>
          </w:tcPr>
          <w:p w:rsidRPr="001F0A48" w:rsidR="00315371" w:rsidP="001F0A48" w:rsidRDefault="00315371">
            <w:pPr>
              <w:rPr>
                <w:rFonts w:ascii="Verdana" w:hAnsi="Verdana"/>
                <w:sz w:val="16"/>
                <w:szCs w:val="16"/>
              </w:rPr>
            </w:pPr>
          </w:p>
        </w:tc>
        <w:tc>
          <w:tcPr>
            <w:tcW w:w="537" w:type="pct"/>
            <w:vAlign w:val="center"/>
          </w:tcPr>
          <w:p w:rsidRPr="001F0A48" w:rsidR="00315371" w:rsidP="001F0A48" w:rsidRDefault="00315371">
            <w:pPr>
              <w:rPr>
                <w:rFonts w:ascii="Verdana" w:hAnsi="Verdana"/>
                <w:sz w:val="16"/>
                <w:szCs w:val="16"/>
              </w:rPr>
            </w:pPr>
          </w:p>
        </w:tc>
        <w:tc>
          <w:tcPr>
            <w:tcW w:w="537" w:type="pct"/>
            <w:vAlign w:val="center"/>
          </w:tcPr>
          <w:p w:rsidRPr="001F0A48" w:rsidR="00315371" w:rsidP="001F0A48" w:rsidRDefault="00315371">
            <w:pPr>
              <w:rPr>
                <w:rFonts w:ascii="Verdana" w:hAnsi="Verdana"/>
                <w:sz w:val="16"/>
                <w:szCs w:val="16"/>
              </w:rPr>
            </w:pP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Totaal mutaties sinds Miljoenennota 2012</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56,0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-281,2</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-53,8</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87,8</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-124,8</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 </w:t>
            </w: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c>
          <w:tcPr>
            <w:tcW w:w="537" w:type="pct"/>
          </w:tcPr>
          <w:p w:rsidRPr="001F0A48" w:rsidR="00315371" w:rsidP="001F0A48" w:rsidRDefault="00315371">
            <w:pPr>
              <w:rPr>
                <w:rFonts w:ascii="Verdana" w:hAnsi="Verdana"/>
                <w:sz w:val="16"/>
                <w:szCs w:val="16"/>
              </w:rPr>
            </w:pP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Stand Voorjaarsnota 2012 (subtotaal)</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8.042,7</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7.831,6</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8.378,4</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7.461,9</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8.264,4</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Totaal Internationale samenwerking</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c>
          <w:tcPr>
            <w:tcW w:w="537" w:type="pct"/>
            <w:tcBorders>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0,0</w:t>
            </w:r>
          </w:p>
        </w:tc>
      </w:tr>
      <w:tr w:rsidRPr="001F0A48" w:rsidR="00315371" w:rsidTr="001F0A48">
        <w:tc>
          <w:tcPr>
            <w:tcW w:w="2317" w:type="pct"/>
            <w:tcBorders>
              <w:left w:val="nil"/>
              <w:right w:val="nil"/>
            </w:tcBorders>
          </w:tcPr>
          <w:p w:rsidRPr="001F0A48" w:rsidR="00315371" w:rsidP="001F0A48" w:rsidRDefault="00315371">
            <w:pPr>
              <w:rPr>
                <w:rFonts w:ascii="Verdana" w:hAnsi="Verdana" w:cs="Courier New"/>
                <w:sz w:val="16"/>
                <w:szCs w:val="16"/>
              </w:rPr>
            </w:pPr>
            <w:r w:rsidRPr="001F0A48">
              <w:rPr>
                <w:rFonts w:ascii="Verdana" w:hAnsi="Verdana" w:cs="Courier New"/>
                <w:sz w:val="16"/>
                <w:szCs w:val="16"/>
              </w:rPr>
              <w:t>Stand Voorjaarsnota 2012</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8.042,7</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7.831,6</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8.378,4</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7.461,9</w:t>
            </w:r>
          </w:p>
        </w:tc>
        <w:tc>
          <w:tcPr>
            <w:tcW w:w="537" w:type="pct"/>
            <w:tcBorders>
              <w:top w:val="single" w:color="000000" w:sz="6" w:space="0"/>
              <w:left w:val="nil"/>
              <w:right w:val="nil"/>
            </w:tcBorders>
          </w:tcPr>
          <w:p w:rsidRPr="001F0A48" w:rsidR="00315371" w:rsidP="001F0A48" w:rsidRDefault="00315371">
            <w:pPr>
              <w:jc w:val="right"/>
              <w:rPr>
                <w:rFonts w:ascii="Verdana" w:hAnsi="Verdana" w:cs="Courier New"/>
                <w:sz w:val="16"/>
                <w:szCs w:val="16"/>
              </w:rPr>
            </w:pPr>
            <w:r w:rsidRPr="001F0A48">
              <w:rPr>
                <w:rFonts w:ascii="Verdana" w:hAnsi="Verdana" w:cs="Courier New"/>
                <w:sz w:val="16"/>
                <w:szCs w:val="16"/>
              </w:rPr>
              <w:t>8.264,4</w:t>
            </w:r>
          </w:p>
        </w:tc>
      </w:tr>
    </w:tbl>
    <w:p w:rsidRPr="00B92FA0" w:rsidR="00315371" w:rsidP="00174971" w:rsidRDefault="00315371">
      <w:pPr>
        <w:spacing w:line="240" w:lineRule="exact"/>
        <w:rPr>
          <w:rFonts w:ascii="Verdana" w:hAnsi="Verdana" w:cs="Arial"/>
          <w:b/>
          <w:sz w:val="18"/>
          <w:szCs w:val="18"/>
        </w:rPr>
      </w:pPr>
    </w:p>
    <w:p w:rsidRPr="00174971" w:rsidR="00315371" w:rsidP="00212995" w:rsidRDefault="00315371">
      <w:pPr>
        <w:spacing w:line="276" w:lineRule="auto"/>
        <w:rPr>
          <w:rFonts w:ascii="Verdana" w:hAnsi="Verdana"/>
          <w:i/>
          <w:sz w:val="18"/>
          <w:szCs w:val="18"/>
        </w:rPr>
      </w:pPr>
      <w:r w:rsidRPr="00174971">
        <w:rPr>
          <w:rFonts w:ascii="Verdana" w:hAnsi="Verdana"/>
          <w:i/>
          <w:sz w:val="18"/>
          <w:szCs w:val="18"/>
        </w:rPr>
        <w:t>Beter benutten</w:t>
      </w:r>
    </w:p>
    <w:p w:rsidRPr="00174971" w:rsidR="00315371" w:rsidP="00212995" w:rsidRDefault="00315371">
      <w:pPr>
        <w:spacing w:line="276" w:lineRule="auto"/>
        <w:rPr>
          <w:rFonts w:ascii="Verdana" w:hAnsi="Verdana"/>
          <w:sz w:val="18"/>
          <w:szCs w:val="18"/>
        </w:rPr>
      </w:pPr>
      <w:r w:rsidRPr="00174971">
        <w:rPr>
          <w:rFonts w:ascii="Verdana" w:hAnsi="Verdana"/>
          <w:sz w:val="18"/>
          <w:szCs w:val="18"/>
        </w:rPr>
        <w:t xml:space="preserve">Om de doelstellingen van het programma Beter Benutten </w:t>
      </w:r>
      <w:r>
        <w:rPr>
          <w:rFonts w:ascii="Verdana" w:hAnsi="Verdana"/>
          <w:sz w:val="18"/>
          <w:szCs w:val="18"/>
        </w:rPr>
        <w:t>voor eind 2015</w:t>
      </w:r>
      <w:r w:rsidRPr="00174971">
        <w:rPr>
          <w:rFonts w:ascii="Verdana" w:hAnsi="Verdana"/>
          <w:sz w:val="18"/>
          <w:szCs w:val="18"/>
        </w:rPr>
        <w:t xml:space="preserve"> te behalen, is de afgelopen periode gezocht naar mogelijkheden om binnen het MIRT-programma budgetten in de juiste kasjaren beschikbaar te krijgen (Kamerstukken II, 2011-2012, 33 000 A, nr. 21). In totaal wordt nu 300 </w:t>
      </w:r>
      <w:r>
        <w:rPr>
          <w:rFonts w:ascii="Verdana" w:hAnsi="Verdana"/>
          <w:sz w:val="18"/>
          <w:szCs w:val="18"/>
        </w:rPr>
        <w:t xml:space="preserve">mln. naar voren </w:t>
      </w:r>
      <w:r w:rsidRPr="00174971">
        <w:rPr>
          <w:rFonts w:ascii="Verdana" w:hAnsi="Verdana"/>
          <w:sz w:val="18"/>
          <w:szCs w:val="18"/>
        </w:rPr>
        <w:t xml:space="preserve">gehaald. Deze schuif is mogelijk doordat de budgetten voor projecten in deze kabinetsperiode niet volledig besteed zullen worden.  </w:t>
      </w:r>
    </w:p>
    <w:p w:rsidRPr="00174971" w:rsidR="00315371" w:rsidP="00212995" w:rsidRDefault="00315371">
      <w:pPr>
        <w:spacing w:line="276" w:lineRule="auto"/>
        <w:rPr>
          <w:rFonts w:ascii="Verdana" w:hAnsi="Verdana"/>
          <w:sz w:val="18"/>
          <w:szCs w:val="18"/>
        </w:rPr>
      </w:pPr>
    </w:p>
    <w:p w:rsidRPr="00174971" w:rsidR="00315371" w:rsidP="00212995" w:rsidRDefault="00315371">
      <w:pPr>
        <w:spacing w:line="276" w:lineRule="auto"/>
        <w:rPr>
          <w:rFonts w:ascii="Verdana" w:hAnsi="Verdana"/>
          <w:i/>
          <w:sz w:val="18"/>
          <w:szCs w:val="18"/>
        </w:rPr>
      </w:pPr>
      <w:r w:rsidRPr="00174971">
        <w:rPr>
          <w:rFonts w:ascii="Verdana" w:hAnsi="Verdana"/>
          <w:i/>
          <w:sz w:val="18"/>
          <w:szCs w:val="18"/>
        </w:rPr>
        <w:t>Dekking beter benutten</w:t>
      </w:r>
    </w:p>
    <w:p w:rsidRPr="00174971" w:rsidR="00315371" w:rsidP="00212995" w:rsidRDefault="00315371">
      <w:pPr>
        <w:spacing w:line="276" w:lineRule="auto"/>
        <w:rPr>
          <w:rFonts w:ascii="Verdana" w:hAnsi="Verdana"/>
          <w:sz w:val="18"/>
          <w:szCs w:val="18"/>
        </w:rPr>
      </w:pPr>
      <w:r w:rsidRPr="00174971">
        <w:rPr>
          <w:rFonts w:ascii="Verdana" w:hAnsi="Verdana"/>
          <w:sz w:val="18"/>
          <w:szCs w:val="18"/>
        </w:rPr>
        <w:t>Dit bedrag betreft de dekking voor beter benutten, zoa</w:t>
      </w:r>
      <w:r>
        <w:rPr>
          <w:rFonts w:ascii="Verdana" w:hAnsi="Verdana"/>
          <w:sz w:val="18"/>
          <w:szCs w:val="18"/>
        </w:rPr>
        <w:t>ls hierboven beschreven. Het be</w:t>
      </w:r>
      <w:r w:rsidRPr="00174971">
        <w:rPr>
          <w:rFonts w:ascii="Verdana" w:hAnsi="Verdana"/>
          <w:sz w:val="18"/>
          <w:szCs w:val="18"/>
        </w:rPr>
        <w:t xml:space="preserve">treft schuiven in het budget van de Zuidas, Hoogwaterbeschermingsprogramma deel 2 en de Verkeersruit Eindhoven. </w:t>
      </w:r>
    </w:p>
    <w:p w:rsidR="00315371" w:rsidP="00212995" w:rsidRDefault="00315371">
      <w:pPr>
        <w:spacing w:line="276" w:lineRule="auto"/>
        <w:rPr>
          <w:rFonts w:ascii="Verdana" w:hAnsi="Verdana"/>
          <w:i/>
          <w:sz w:val="18"/>
          <w:szCs w:val="18"/>
        </w:rPr>
      </w:pPr>
    </w:p>
    <w:p w:rsidRPr="00174971" w:rsidR="00315371" w:rsidP="00212995" w:rsidRDefault="00315371">
      <w:pPr>
        <w:spacing w:line="276" w:lineRule="auto"/>
        <w:rPr>
          <w:rFonts w:ascii="Verdana" w:hAnsi="Verdana"/>
          <w:i/>
          <w:sz w:val="18"/>
          <w:szCs w:val="18"/>
        </w:rPr>
      </w:pPr>
    </w:p>
    <w:p w:rsidRPr="00174971" w:rsidR="00315371" w:rsidP="00212995" w:rsidRDefault="00315371">
      <w:pPr>
        <w:spacing w:line="276" w:lineRule="auto"/>
        <w:rPr>
          <w:rFonts w:ascii="Verdana" w:hAnsi="Verdana"/>
          <w:i/>
          <w:sz w:val="18"/>
          <w:szCs w:val="18"/>
        </w:rPr>
      </w:pPr>
      <w:r w:rsidRPr="00174971">
        <w:rPr>
          <w:rFonts w:ascii="Verdana" w:hAnsi="Verdana"/>
          <w:i/>
          <w:sz w:val="18"/>
          <w:szCs w:val="18"/>
        </w:rPr>
        <w:t>HSA</w:t>
      </w:r>
    </w:p>
    <w:p w:rsidRPr="00174971" w:rsidR="00315371" w:rsidP="00212995" w:rsidRDefault="00315371">
      <w:pPr>
        <w:spacing w:line="276" w:lineRule="auto"/>
        <w:rPr>
          <w:rFonts w:ascii="Verdana" w:hAnsi="Verdana"/>
          <w:i/>
          <w:sz w:val="18"/>
          <w:szCs w:val="18"/>
        </w:rPr>
      </w:pPr>
      <w:r w:rsidRPr="00174971">
        <w:rPr>
          <w:rFonts w:ascii="Verdana" w:hAnsi="Verdana" w:cs="Arial"/>
          <w:color w:val="000000"/>
          <w:sz w:val="18"/>
          <w:szCs w:val="18"/>
        </w:rPr>
        <w:t xml:space="preserve">Bij voorjaarsnota 2011 was op de aanvullende post een voorziening getroffen van 375 mln. voor het oplossen van de </w:t>
      </w:r>
      <w:r w:rsidRPr="00174971">
        <w:rPr>
          <w:rFonts w:ascii="Verdana" w:hAnsi="Verdana" w:cs="Arial"/>
          <w:bCs/>
          <w:sz w:val="18"/>
          <w:szCs w:val="18"/>
        </w:rPr>
        <w:t xml:space="preserve">High Speed Alliance (HSA) </w:t>
      </w:r>
      <w:r w:rsidRPr="00174971">
        <w:rPr>
          <w:rFonts w:ascii="Verdana" w:hAnsi="Verdana" w:cs="Arial"/>
          <w:color w:val="000000"/>
          <w:sz w:val="18"/>
          <w:szCs w:val="18"/>
        </w:rPr>
        <w:t>problematiek. Hiervan was voor de periode 2012-2024 een bedrag van 209 mln. gereserveerd als bijdrage aan IenM. Nu er een akkoord is over de HSA-problematiek (onderhandelakkoord IenM-NS, 21-10-2011) is dit bedrag overgeboekt naar hoofdstuk XII (IenM).</w:t>
      </w:r>
      <w:r w:rsidRPr="00174971">
        <w:rPr>
          <w:rFonts w:ascii="Verdana" w:hAnsi="Verdana" w:cs="Arial"/>
          <w:color w:val="000000"/>
          <w:sz w:val="18"/>
          <w:szCs w:val="18"/>
        </w:rPr>
        <w:br/>
      </w:r>
    </w:p>
    <w:p w:rsidRPr="00174971" w:rsidR="00315371" w:rsidP="00212995" w:rsidRDefault="00315371">
      <w:pPr>
        <w:spacing w:line="276" w:lineRule="auto"/>
        <w:rPr>
          <w:rFonts w:ascii="Verdana" w:hAnsi="Verdana"/>
          <w:i/>
          <w:sz w:val="18"/>
          <w:szCs w:val="18"/>
        </w:rPr>
      </w:pPr>
      <w:r w:rsidRPr="00174971">
        <w:rPr>
          <w:rFonts w:ascii="Verdana" w:hAnsi="Verdana"/>
          <w:i/>
          <w:sz w:val="18"/>
          <w:szCs w:val="18"/>
        </w:rPr>
        <w:t>Toevoegen voordelig saldo</w:t>
      </w:r>
    </w:p>
    <w:p w:rsidRPr="00174971" w:rsidR="00315371" w:rsidP="00212995" w:rsidRDefault="00315371">
      <w:pPr>
        <w:spacing w:line="276" w:lineRule="auto"/>
        <w:rPr>
          <w:rFonts w:ascii="Verdana" w:hAnsi="Verdana"/>
          <w:sz w:val="18"/>
          <w:szCs w:val="18"/>
        </w:rPr>
      </w:pPr>
      <w:r w:rsidRPr="00174971">
        <w:rPr>
          <w:rFonts w:ascii="Verdana" w:hAnsi="Verdana"/>
          <w:sz w:val="18"/>
          <w:szCs w:val="18"/>
        </w:rPr>
        <w:t>In 2011 was er een voordelig saldo op het Infrastructuurfonds. Dit voordelig saldo betreft diverse over- en onderschrijdingen op artikelniveau. Het bedrag komt ten gunste c.q. ten laste van het artikel waarop dit ontstaan is.</w:t>
      </w:r>
    </w:p>
    <w:p w:rsidRPr="00174971" w:rsidR="00315371" w:rsidP="00212995" w:rsidRDefault="00315371">
      <w:pPr>
        <w:spacing w:line="276" w:lineRule="auto"/>
        <w:rPr>
          <w:rFonts w:ascii="Verdana" w:hAnsi="Verdana"/>
          <w:i/>
          <w:sz w:val="18"/>
          <w:szCs w:val="18"/>
        </w:rPr>
      </w:pPr>
    </w:p>
    <w:p w:rsidRPr="00174971" w:rsidR="00315371" w:rsidP="00212995" w:rsidRDefault="00315371">
      <w:pPr>
        <w:spacing w:line="276" w:lineRule="auto"/>
        <w:rPr>
          <w:rFonts w:ascii="Verdana" w:hAnsi="Verdana"/>
          <w:i/>
          <w:sz w:val="18"/>
          <w:szCs w:val="18"/>
        </w:rPr>
      </w:pPr>
      <w:r w:rsidRPr="00174971">
        <w:rPr>
          <w:rFonts w:ascii="Verdana" w:hAnsi="Verdana"/>
          <w:i/>
          <w:sz w:val="18"/>
          <w:szCs w:val="18"/>
        </w:rPr>
        <w:t>A15 Maasvlakte Vaanplein</w:t>
      </w:r>
    </w:p>
    <w:p w:rsidR="00315371" w:rsidP="00212995" w:rsidRDefault="00315371">
      <w:pPr>
        <w:spacing w:line="276" w:lineRule="auto"/>
        <w:rPr>
          <w:rFonts w:ascii="Verdana" w:hAnsi="Verdana"/>
          <w:sz w:val="18"/>
          <w:szCs w:val="18"/>
        </w:rPr>
      </w:pPr>
      <w:r w:rsidRPr="00174971">
        <w:rPr>
          <w:rFonts w:ascii="Verdana" w:hAnsi="Verdana"/>
          <w:sz w:val="18"/>
          <w:szCs w:val="18"/>
        </w:rPr>
        <w:t xml:space="preserve">Het in het Infrastructuurfonds geraamde aanlegbudget voor het project A15 Maasvlakte-Vaanplein wordt omgezet in een meerjarig budget voor de beschikbaarheidsvergoeding. </w:t>
      </w:r>
    </w:p>
    <w:p w:rsidRPr="00174971" w:rsidR="00315371" w:rsidP="00212995" w:rsidRDefault="00315371">
      <w:pPr>
        <w:spacing w:line="276" w:lineRule="auto"/>
        <w:rPr>
          <w:rFonts w:ascii="Verdana" w:hAnsi="Verdana"/>
          <w:sz w:val="18"/>
          <w:szCs w:val="18"/>
        </w:rPr>
      </w:pPr>
    </w:p>
    <w:p w:rsidRPr="00174971" w:rsidR="00315371" w:rsidP="00212995" w:rsidRDefault="00315371">
      <w:pPr>
        <w:spacing w:line="276" w:lineRule="auto"/>
        <w:rPr>
          <w:rFonts w:ascii="Verdana" w:hAnsi="Verdana"/>
          <w:i/>
          <w:sz w:val="18"/>
          <w:szCs w:val="18"/>
        </w:rPr>
      </w:pPr>
      <w:r w:rsidRPr="00174971">
        <w:rPr>
          <w:rFonts w:ascii="Verdana" w:hAnsi="Verdana"/>
          <w:i/>
          <w:sz w:val="18"/>
          <w:szCs w:val="18"/>
        </w:rPr>
        <w:t>BTW hoofdvaarweg Lemmer-Delfzijl</w:t>
      </w:r>
    </w:p>
    <w:p w:rsidR="00315371" w:rsidP="00212995" w:rsidRDefault="00315371">
      <w:pPr>
        <w:spacing w:line="276" w:lineRule="auto"/>
        <w:rPr>
          <w:rFonts w:ascii="Verdana" w:hAnsi="Verdana"/>
          <w:sz w:val="18"/>
          <w:szCs w:val="18"/>
        </w:rPr>
      </w:pPr>
      <w:r w:rsidRPr="00174971">
        <w:rPr>
          <w:rFonts w:ascii="Verdana" w:hAnsi="Verdana"/>
          <w:sz w:val="18"/>
          <w:szCs w:val="18"/>
        </w:rPr>
        <w:t xml:space="preserve">Het eigendom van de hoofdvaarweg Lemmer-Delfzijl gaat over van de provincies Friesland en Groningen naar het rijk. Als afronding van dit deel van het convenant moet BTW aan het BTW Compensatiefonds (BCF) worden onttrokken en aan de IenM-begroting worden toegevoegd. </w:t>
      </w:r>
    </w:p>
    <w:p w:rsidRPr="00174971" w:rsidR="00315371" w:rsidP="00212995" w:rsidRDefault="00315371">
      <w:pPr>
        <w:spacing w:line="276" w:lineRule="auto"/>
        <w:rPr>
          <w:rFonts w:ascii="Verdana" w:hAnsi="Verdana"/>
          <w:sz w:val="18"/>
          <w:szCs w:val="18"/>
        </w:rPr>
      </w:pPr>
    </w:p>
    <w:p w:rsidRPr="00174971" w:rsidR="00315371" w:rsidP="00212995" w:rsidRDefault="00315371">
      <w:pPr>
        <w:spacing w:line="276" w:lineRule="auto"/>
        <w:rPr>
          <w:rFonts w:ascii="Verdana" w:hAnsi="Verdana"/>
          <w:i/>
          <w:sz w:val="18"/>
          <w:szCs w:val="18"/>
        </w:rPr>
      </w:pPr>
      <w:r w:rsidRPr="00174971">
        <w:rPr>
          <w:rFonts w:ascii="Verdana" w:hAnsi="Verdana"/>
          <w:i/>
          <w:sz w:val="18"/>
          <w:szCs w:val="18"/>
        </w:rPr>
        <w:t>Diversen technische mutaties</w:t>
      </w:r>
    </w:p>
    <w:p w:rsidRPr="00174971" w:rsidR="00315371" w:rsidP="00212995" w:rsidRDefault="00315371">
      <w:pPr>
        <w:spacing w:line="276" w:lineRule="auto"/>
        <w:rPr>
          <w:rFonts w:ascii="Verdana" w:hAnsi="Verdana"/>
          <w:sz w:val="18"/>
          <w:szCs w:val="18"/>
        </w:rPr>
      </w:pPr>
      <w:r w:rsidRPr="00174971">
        <w:rPr>
          <w:rFonts w:ascii="Verdana" w:hAnsi="Verdana"/>
          <w:sz w:val="18"/>
          <w:szCs w:val="18"/>
        </w:rPr>
        <w:t xml:space="preserve">Door IenM wordt een bedrag van 9,7 mln. overgeboekt naar het gemeentefonds voor midden-delfland. </w:t>
      </w:r>
    </w:p>
    <w:p w:rsidRPr="00174971" w:rsidR="00315371" w:rsidP="00212995" w:rsidRDefault="00315371">
      <w:pPr>
        <w:spacing w:line="276" w:lineRule="auto"/>
        <w:rPr>
          <w:rFonts w:ascii="Verdana" w:hAnsi="Verdana"/>
          <w:i/>
          <w:sz w:val="18"/>
          <w:szCs w:val="18"/>
        </w:rPr>
      </w:pPr>
    </w:p>
    <w:p w:rsidR="00315371" w:rsidP="00212995" w:rsidRDefault="00315371">
      <w:pPr>
        <w:spacing w:after="200" w:line="276" w:lineRule="auto"/>
        <w:rPr>
          <w:rFonts w:ascii="Verdana" w:hAnsi="Verdana"/>
          <w:i/>
          <w:sz w:val="18"/>
          <w:szCs w:val="22"/>
          <w:lang w:eastAsia="en-US"/>
        </w:rPr>
      </w:pPr>
      <w:r>
        <w:rPr>
          <w:i/>
        </w:rPr>
        <w:br w:type="page"/>
      </w:r>
    </w:p>
    <w:p w:rsidRPr="0017433D" w:rsidR="00315371" w:rsidRDefault="00315371">
      <w:pPr>
        <w:spacing w:line="276" w:lineRule="auto"/>
        <w:rPr>
          <w:rFonts w:ascii="Verdana" w:hAnsi="Verdana"/>
          <w:b/>
          <w:sz w:val="18"/>
          <w:szCs w:val="18"/>
        </w:rPr>
      </w:pPr>
      <w:r w:rsidRPr="0017433D">
        <w:rPr>
          <w:rFonts w:ascii="Verdana" w:hAnsi="Verdana"/>
          <w:b/>
          <w:sz w:val="18"/>
          <w:szCs w:val="18"/>
        </w:rPr>
        <w:t>Diergezondheidsfonds</w:t>
      </w:r>
    </w:p>
    <w:tbl>
      <w:tblPr>
        <w:tblW w:w="5000" w:type="pct"/>
        <w:tblCellMar>
          <w:top w:w="15" w:type="dxa"/>
          <w:left w:w="15" w:type="dxa"/>
          <w:bottom w:w="15" w:type="dxa"/>
          <w:right w:w="15" w:type="dxa"/>
        </w:tblCellMar>
        <w:tblLook w:val="00A0"/>
      </w:tblPr>
      <w:tblGrid>
        <w:gridCol w:w="3883"/>
        <w:gridCol w:w="1043"/>
        <w:gridCol w:w="1043"/>
        <w:gridCol w:w="1043"/>
        <w:gridCol w:w="1043"/>
        <w:gridCol w:w="1047"/>
      </w:tblGrid>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5"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r>
      <w:tr w:rsidRPr="0017433D" w:rsidR="00315371" w:rsidTr="0017433D">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F DIERGEZONDHEIDSFONDS: UITGAVEN</w:t>
            </w:r>
          </w:p>
        </w:tc>
        <w:tc>
          <w:tcPr>
            <w:tcW w:w="2867" w:type="pct"/>
            <w:gridSpan w:val="5"/>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bedragen in miljoenen euro's</w:t>
            </w:r>
          </w:p>
        </w:tc>
      </w:tr>
      <w:tr w:rsidRPr="0017433D" w:rsidR="00315371" w:rsidTr="002065F2">
        <w:tc>
          <w:tcPr>
            <w:tcW w:w="2133"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p>
        </w:tc>
        <w:tc>
          <w:tcPr>
            <w:tcW w:w="573"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2012</w:t>
            </w:r>
          </w:p>
        </w:tc>
        <w:tc>
          <w:tcPr>
            <w:tcW w:w="573"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2013</w:t>
            </w:r>
          </w:p>
        </w:tc>
        <w:tc>
          <w:tcPr>
            <w:tcW w:w="573"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2014</w:t>
            </w:r>
          </w:p>
        </w:tc>
        <w:tc>
          <w:tcPr>
            <w:tcW w:w="573"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2015</w:t>
            </w:r>
          </w:p>
        </w:tc>
        <w:tc>
          <w:tcPr>
            <w:tcW w:w="575"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2016</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Miljoenennota 2012 (excl. IS)</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Beleidsmatige mutaties</w:t>
            </w: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5" w:type="pct"/>
          </w:tcPr>
          <w:p w:rsidRPr="0017433D" w:rsidR="00315371" w:rsidP="0017433D" w:rsidRDefault="00315371">
            <w:pPr>
              <w:rPr>
                <w:rFonts w:ascii="Verdana" w:hAnsi="Verdana"/>
                <w:sz w:val="16"/>
                <w:szCs w:val="16"/>
              </w:rPr>
            </w:pPr>
          </w:p>
        </w:tc>
      </w:tr>
      <w:tr w:rsidRPr="0017433D" w:rsidR="00315371" w:rsidTr="002065F2">
        <w:tc>
          <w:tcPr>
            <w:tcW w:w="2133" w:type="pct"/>
            <w:tcBorders>
              <w:left w:val="nil"/>
              <w:right w:val="nil"/>
            </w:tcBorders>
            <w:tcMar>
              <w:top w:w="15" w:type="dxa"/>
              <w:left w:w="169" w:type="dxa"/>
              <w:bottom w:w="15" w:type="dxa"/>
              <w:right w:w="15" w:type="dxa"/>
            </w:tcMar>
          </w:tcPr>
          <w:p w:rsidRPr="0017433D" w:rsidR="00315371" w:rsidP="0017433D" w:rsidRDefault="00315371">
            <w:pPr>
              <w:ind w:firstLine="160" w:firstLineChars="100"/>
              <w:rPr>
                <w:rFonts w:ascii="Verdana" w:hAnsi="Verdana" w:cs="Courier New"/>
                <w:sz w:val="16"/>
                <w:szCs w:val="16"/>
              </w:rPr>
            </w:pPr>
            <w:r w:rsidRPr="0017433D">
              <w:rPr>
                <w:rFonts w:ascii="Verdana" w:hAnsi="Verdana" w:cs="Courier New"/>
                <w:sz w:val="16"/>
                <w:szCs w:val="16"/>
              </w:rPr>
              <w:t>Rijksbegroting in enge zin</w:t>
            </w: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5" w:type="pct"/>
          </w:tcPr>
          <w:p w:rsidRPr="0017433D" w:rsidR="00315371" w:rsidP="0017433D" w:rsidRDefault="00315371">
            <w:pPr>
              <w:rPr>
                <w:rFonts w:ascii="Verdana" w:hAnsi="Verdana"/>
                <w:sz w:val="16"/>
                <w:szCs w:val="16"/>
              </w:rPr>
            </w:pPr>
          </w:p>
        </w:tc>
      </w:tr>
      <w:tr w:rsidRPr="0017433D" w:rsidR="00315371" w:rsidTr="002065F2">
        <w:tc>
          <w:tcPr>
            <w:tcW w:w="2133" w:type="pct"/>
            <w:tcBorders>
              <w:left w:val="nil"/>
              <w:right w:val="nil"/>
            </w:tcBorders>
            <w:tcMar>
              <w:top w:w="15" w:type="dxa"/>
              <w:left w:w="339" w:type="dxa"/>
              <w:bottom w:w="15" w:type="dxa"/>
              <w:right w:w="15" w:type="dxa"/>
            </w:tcMar>
          </w:tcPr>
          <w:p w:rsidRPr="0017433D" w:rsidR="00315371" w:rsidP="0017433D" w:rsidRDefault="00315371">
            <w:pPr>
              <w:ind w:firstLine="320" w:firstLineChars="200"/>
              <w:rPr>
                <w:rFonts w:ascii="Verdana" w:hAnsi="Verdana" w:cs="Courier New"/>
                <w:sz w:val="16"/>
                <w:szCs w:val="16"/>
              </w:rPr>
            </w:pPr>
            <w:r w:rsidRPr="0017433D">
              <w:rPr>
                <w:rFonts w:ascii="Verdana" w:hAnsi="Verdana" w:cs="Courier New"/>
                <w:sz w:val="16"/>
                <w:szCs w:val="16"/>
              </w:rPr>
              <w:t>Diversen</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-3,4</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-3,4</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Technische mutaties</w:t>
            </w: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5" w:type="pct"/>
          </w:tcPr>
          <w:p w:rsidRPr="0017433D" w:rsidR="00315371" w:rsidP="0017433D" w:rsidRDefault="00315371">
            <w:pPr>
              <w:rPr>
                <w:rFonts w:ascii="Verdana" w:hAnsi="Verdana"/>
                <w:sz w:val="16"/>
                <w:szCs w:val="16"/>
              </w:rPr>
            </w:pPr>
          </w:p>
        </w:tc>
      </w:tr>
      <w:tr w:rsidRPr="0017433D" w:rsidR="00315371" w:rsidTr="002065F2">
        <w:tc>
          <w:tcPr>
            <w:tcW w:w="2133" w:type="pct"/>
            <w:tcBorders>
              <w:left w:val="nil"/>
              <w:right w:val="nil"/>
            </w:tcBorders>
            <w:tcMar>
              <w:top w:w="15" w:type="dxa"/>
              <w:left w:w="169" w:type="dxa"/>
              <w:bottom w:w="15" w:type="dxa"/>
              <w:right w:w="15" w:type="dxa"/>
            </w:tcMar>
          </w:tcPr>
          <w:p w:rsidRPr="0017433D" w:rsidR="00315371" w:rsidP="0017433D" w:rsidRDefault="00315371">
            <w:pPr>
              <w:ind w:firstLine="160" w:firstLineChars="100"/>
              <w:rPr>
                <w:rFonts w:ascii="Verdana" w:hAnsi="Verdana" w:cs="Courier New"/>
                <w:sz w:val="16"/>
                <w:szCs w:val="16"/>
              </w:rPr>
            </w:pPr>
            <w:r w:rsidRPr="0017433D">
              <w:rPr>
                <w:rFonts w:ascii="Verdana" w:hAnsi="Verdana" w:cs="Courier New"/>
                <w:sz w:val="16"/>
                <w:szCs w:val="16"/>
              </w:rPr>
              <w:t>Niet tot een ijklijn behorend</w:t>
            </w: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5" w:type="pct"/>
          </w:tcPr>
          <w:p w:rsidRPr="0017433D" w:rsidR="00315371" w:rsidP="0017433D" w:rsidRDefault="00315371">
            <w:pPr>
              <w:rPr>
                <w:rFonts w:ascii="Verdana" w:hAnsi="Verdana"/>
                <w:sz w:val="16"/>
                <w:szCs w:val="16"/>
              </w:rPr>
            </w:pPr>
          </w:p>
        </w:tc>
      </w:tr>
      <w:tr w:rsidRPr="0017433D" w:rsidR="00315371" w:rsidTr="002065F2">
        <w:tc>
          <w:tcPr>
            <w:tcW w:w="2133" w:type="pct"/>
            <w:tcBorders>
              <w:left w:val="nil"/>
              <w:right w:val="nil"/>
            </w:tcBorders>
            <w:tcMar>
              <w:top w:w="15" w:type="dxa"/>
              <w:left w:w="339" w:type="dxa"/>
              <w:bottom w:w="15" w:type="dxa"/>
              <w:right w:w="15" w:type="dxa"/>
            </w:tcMar>
          </w:tcPr>
          <w:p w:rsidRPr="0017433D" w:rsidR="00315371" w:rsidP="0017433D" w:rsidRDefault="00315371">
            <w:pPr>
              <w:ind w:firstLine="320" w:firstLineChars="200"/>
              <w:rPr>
                <w:rFonts w:ascii="Verdana" w:hAnsi="Verdana" w:cs="Courier New"/>
                <w:sz w:val="16"/>
                <w:szCs w:val="16"/>
              </w:rPr>
            </w:pPr>
            <w:r w:rsidRPr="0017433D">
              <w:rPr>
                <w:rFonts w:ascii="Verdana" w:hAnsi="Verdana" w:cs="Courier New"/>
                <w:sz w:val="16"/>
                <w:szCs w:val="16"/>
              </w:rPr>
              <w:t>Diversen</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7,5</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3,4</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7,5</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3,4</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p>
        </w:tc>
        <w:tc>
          <w:tcPr>
            <w:tcW w:w="573" w:type="pct"/>
            <w:vAlign w:val="center"/>
          </w:tcPr>
          <w:p w:rsidRPr="0017433D" w:rsidR="00315371" w:rsidP="0017433D" w:rsidRDefault="00315371">
            <w:pPr>
              <w:rPr>
                <w:rFonts w:ascii="Verdana" w:hAnsi="Verdana"/>
                <w:sz w:val="16"/>
                <w:szCs w:val="16"/>
              </w:rPr>
            </w:pPr>
          </w:p>
        </w:tc>
        <w:tc>
          <w:tcPr>
            <w:tcW w:w="573" w:type="pct"/>
            <w:vAlign w:val="center"/>
          </w:tcPr>
          <w:p w:rsidRPr="0017433D" w:rsidR="00315371" w:rsidP="0017433D" w:rsidRDefault="00315371">
            <w:pPr>
              <w:rPr>
                <w:rFonts w:ascii="Verdana" w:hAnsi="Verdana"/>
                <w:sz w:val="16"/>
                <w:szCs w:val="16"/>
              </w:rPr>
            </w:pPr>
          </w:p>
        </w:tc>
        <w:tc>
          <w:tcPr>
            <w:tcW w:w="573" w:type="pct"/>
            <w:vAlign w:val="center"/>
          </w:tcPr>
          <w:p w:rsidRPr="0017433D" w:rsidR="00315371" w:rsidP="0017433D" w:rsidRDefault="00315371">
            <w:pPr>
              <w:rPr>
                <w:rFonts w:ascii="Verdana" w:hAnsi="Verdana"/>
                <w:sz w:val="16"/>
                <w:szCs w:val="16"/>
              </w:rPr>
            </w:pPr>
          </w:p>
        </w:tc>
        <w:tc>
          <w:tcPr>
            <w:tcW w:w="573" w:type="pct"/>
            <w:vAlign w:val="center"/>
          </w:tcPr>
          <w:p w:rsidRPr="0017433D" w:rsidR="00315371" w:rsidP="0017433D" w:rsidRDefault="00315371">
            <w:pPr>
              <w:rPr>
                <w:rFonts w:ascii="Verdana" w:hAnsi="Verdana"/>
                <w:sz w:val="16"/>
                <w:szCs w:val="16"/>
              </w:rPr>
            </w:pPr>
          </w:p>
        </w:tc>
        <w:tc>
          <w:tcPr>
            <w:tcW w:w="575" w:type="pct"/>
            <w:vAlign w:val="center"/>
          </w:tcPr>
          <w:p w:rsidRPr="0017433D" w:rsidR="00315371" w:rsidP="0017433D" w:rsidRDefault="00315371">
            <w:pPr>
              <w:rPr>
                <w:rFonts w:ascii="Verdana" w:hAnsi="Verdana"/>
                <w:sz w:val="16"/>
                <w:szCs w:val="16"/>
              </w:rPr>
            </w:pP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mutaties sinds Miljoenennota 2012</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7,5</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3" w:type="pct"/>
          </w:tcPr>
          <w:p w:rsidRPr="0017433D" w:rsidR="00315371" w:rsidP="0017433D" w:rsidRDefault="00315371">
            <w:pPr>
              <w:rPr>
                <w:rFonts w:ascii="Verdana" w:hAnsi="Verdana"/>
                <w:sz w:val="16"/>
                <w:szCs w:val="16"/>
              </w:rPr>
            </w:pPr>
          </w:p>
        </w:tc>
        <w:tc>
          <w:tcPr>
            <w:tcW w:w="575" w:type="pct"/>
          </w:tcPr>
          <w:p w:rsidRPr="0017433D" w:rsidR="00315371" w:rsidP="0017433D" w:rsidRDefault="00315371">
            <w:pPr>
              <w:rPr>
                <w:rFonts w:ascii="Verdana" w:hAnsi="Verdana"/>
                <w:sz w:val="16"/>
                <w:szCs w:val="16"/>
              </w:rPr>
            </w:pP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 (subtotaal)</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17,2</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Internationale samenwerking</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2065F2">
        <w:tc>
          <w:tcPr>
            <w:tcW w:w="213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17,2</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57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r>
    </w:tbl>
    <w:p w:rsidRPr="0017433D" w:rsidR="00315371" w:rsidRDefault="00315371">
      <w:pPr>
        <w:spacing w:after="200" w:line="276" w:lineRule="auto"/>
        <w:rPr>
          <w:rFonts w:ascii="Verdana" w:hAnsi="Verdana"/>
          <w:i/>
          <w:sz w:val="18"/>
          <w:szCs w:val="18"/>
        </w:rPr>
      </w:pPr>
    </w:p>
    <w:tbl>
      <w:tblPr>
        <w:tblW w:w="0" w:type="auto"/>
        <w:tblCellMar>
          <w:top w:w="15" w:type="dxa"/>
          <w:left w:w="15" w:type="dxa"/>
          <w:bottom w:w="15" w:type="dxa"/>
          <w:right w:w="15" w:type="dxa"/>
        </w:tblCellMar>
        <w:tblLook w:val="00A0"/>
      </w:tblPr>
      <w:tblGrid>
        <w:gridCol w:w="4732"/>
        <w:gridCol w:w="874"/>
        <w:gridCol w:w="874"/>
        <w:gridCol w:w="874"/>
        <w:gridCol w:w="874"/>
        <w:gridCol w:w="874"/>
      </w:tblGrid>
      <w:tr w:rsidRPr="0017433D" w:rsidR="00315371" w:rsidTr="0017433D">
        <w:tc>
          <w:tcPr>
            <w:tcW w:w="4147" w:type="dxa"/>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946" w:type="dxa"/>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946" w:type="dxa"/>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946" w:type="dxa"/>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946" w:type="dxa"/>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946" w:type="dxa"/>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F DIERGEZONDHEIDSFONDS: NIET-BELASTINGONTVANGSTEN</w:t>
            </w:r>
          </w:p>
        </w:tc>
        <w:tc>
          <w:tcPr>
            <w:tcW w:w="0" w:type="auto"/>
            <w:gridSpan w:val="5"/>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bedragen in miljoenen euro's</w:t>
            </w:r>
          </w:p>
        </w:tc>
      </w:tr>
      <w:tr w:rsidRPr="0017433D" w:rsidR="00315371" w:rsidTr="0017433D">
        <w:tc>
          <w:tcPr>
            <w:tcW w:w="0" w:type="auto"/>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p>
        </w:tc>
        <w:tc>
          <w:tcPr>
            <w:tcW w:w="0" w:type="auto"/>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2012</w:t>
            </w:r>
          </w:p>
        </w:tc>
        <w:tc>
          <w:tcPr>
            <w:tcW w:w="0" w:type="auto"/>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2013</w:t>
            </w:r>
          </w:p>
        </w:tc>
        <w:tc>
          <w:tcPr>
            <w:tcW w:w="0" w:type="auto"/>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2014</w:t>
            </w:r>
          </w:p>
        </w:tc>
        <w:tc>
          <w:tcPr>
            <w:tcW w:w="0" w:type="auto"/>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2015</w:t>
            </w:r>
          </w:p>
        </w:tc>
        <w:tc>
          <w:tcPr>
            <w:tcW w:w="0" w:type="auto"/>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2016</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Miljoenennota 2012 (excl. IS)</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Beleidsmatige mutaties</w:t>
            </w: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r>
      <w:tr w:rsidRPr="0017433D" w:rsidR="00315371" w:rsidTr="0017433D">
        <w:tc>
          <w:tcPr>
            <w:tcW w:w="0" w:type="auto"/>
            <w:tcBorders>
              <w:left w:val="nil"/>
              <w:right w:val="nil"/>
            </w:tcBorders>
            <w:tcMar>
              <w:top w:w="15" w:type="dxa"/>
              <w:left w:w="169" w:type="dxa"/>
              <w:bottom w:w="15" w:type="dxa"/>
              <w:right w:w="15" w:type="dxa"/>
            </w:tcMar>
          </w:tcPr>
          <w:p w:rsidRPr="0017433D" w:rsidR="00315371" w:rsidP="0017433D" w:rsidRDefault="00315371">
            <w:pPr>
              <w:ind w:firstLine="160" w:firstLineChars="100"/>
              <w:rPr>
                <w:rFonts w:ascii="Verdana" w:hAnsi="Verdana" w:cs="Courier New"/>
                <w:sz w:val="16"/>
                <w:szCs w:val="16"/>
              </w:rPr>
            </w:pPr>
            <w:r w:rsidRPr="0017433D">
              <w:rPr>
                <w:rFonts w:ascii="Verdana" w:hAnsi="Verdana" w:cs="Courier New"/>
                <w:sz w:val="16"/>
                <w:szCs w:val="16"/>
              </w:rPr>
              <w:t>Rijksbegroting in enge zin</w:t>
            </w: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r>
      <w:tr w:rsidRPr="0017433D" w:rsidR="00315371" w:rsidTr="0017433D">
        <w:tc>
          <w:tcPr>
            <w:tcW w:w="0" w:type="auto"/>
            <w:tcBorders>
              <w:left w:val="nil"/>
              <w:right w:val="nil"/>
            </w:tcBorders>
            <w:tcMar>
              <w:top w:w="15" w:type="dxa"/>
              <w:left w:w="339" w:type="dxa"/>
              <w:bottom w:w="15" w:type="dxa"/>
              <w:right w:w="15" w:type="dxa"/>
            </w:tcMar>
          </w:tcPr>
          <w:p w:rsidRPr="0017433D" w:rsidR="00315371" w:rsidP="0017433D" w:rsidRDefault="00315371">
            <w:pPr>
              <w:ind w:firstLine="320" w:firstLineChars="200"/>
              <w:rPr>
                <w:rFonts w:ascii="Verdana" w:hAnsi="Verdana" w:cs="Courier New"/>
                <w:sz w:val="16"/>
                <w:szCs w:val="16"/>
              </w:rPr>
            </w:pPr>
            <w:r w:rsidRPr="0017433D">
              <w:rPr>
                <w:rFonts w:ascii="Verdana" w:hAnsi="Verdana" w:cs="Courier New"/>
                <w:sz w:val="16"/>
                <w:szCs w:val="16"/>
              </w:rPr>
              <w:t>Correctie</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-5,2</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-5,2</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Technische mutaties</w:t>
            </w: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r>
      <w:tr w:rsidRPr="0017433D" w:rsidR="00315371" w:rsidTr="0017433D">
        <w:tc>
          <w:tcPr>
            <w:tcW w:w="0" w:type="auto"/>
            <w:tcBorders>
              <w:left w:val="nil"/>
              <w:right w:val="nil"/>
            </w:tcBorders>
            <w:tcMar>
              <w:top w:w="15" w:type="dxa"/>
              <w:left w:w="169" w:type="dxa"/>
              <w:bottom w:w="15" w:type="dxa"/>
              <w:right w:w="15" w:type="dxa"/>
            </w:tcMar>
          </w:tcPr>
          <w:p w:rsidRPr="0017433D" w:rsidR="00315371" w:rsidP="0017433D" w:rsidRDefault="00315371">
            <w:pPr>
              <w:ind w:firstLine="160" w:firstLineChars="100"/>
              <w:rPr>
                <w:rFonts w:ascii="Verdana" w:hAnsi="Verdana" w:cs="Courier New"/>
                <w:sz w:val="16"/>
                <w:szCs w:val="16"/>
              </w:rPr>
            </w:pPr>
            <w:r w:rsidRPr="0017433D">
              <w:rPr>
                <w:rFonts w:ascii="Verdana" w:hAnsi="Verdana" w:cs="Courier New"/>
                <w:sz w:val="16"/>
                <w:szCs w:val="16"/>
              </w:rPr>
              <w:t>Niet tot een ijklijn behorend</w:t>
            </w: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r>
      <w:tr w:rsidRPr="0017433D" w:rsidR="00315371" w:rsidTr="0017433D">
        <w:tc>
          <w:tcPr>
            <w:tcW w:w="0" w:type="auto"/>
            <w:tcBorders>
              <w:left w:val="nil"/>
              <w:right w:val="nil"/>
            </w:tcBorders>
            <w:tcMar>
              <w:top w:w="15" w:type="dxa"/>
              <w:left w:w="339" w:type="dxa"/>
              <w:bottom w:w="15" w:type="dxa"/>
              <w:right w:w="15" w:type="dxa"/>
            </w:tcMar>
          </w:tcPr>
          <w:p w:rsidRPr="0017433D" w:rsidR="00315371" w:rsidP="0017433D" w:rsidRDefault="00315371">
            <w:pPr>
              <w:ind w:firstLine="320" w:firstLineChars="200"/>
              <w:rPr>
                <w:rFonts w:ascii="Verdana" w:hAnsi="Verdana" w:cs="Courier New"/>
                <w:sz w:val="16"/>
                <w:szCs w:val="16"/>
              </w:rPr>
            </w:pPr>
            <w:r w:rsidRPr="0017433D">
              <w:rPr>
                <w:rFonts w:ascii="Verdana" w:hAnsi="Verdana" w:cs="Courier New"/>
                <w:sz w:val="16"/>
                <w:szCs w:val="16"/>
              </w:rPr>
              <w:t>Diversen</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7,5</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5,2</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7,5</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5,2</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p>
        </w:tc>
        <w:tc>
          <w:tcPr>
            <w:tcW w:w="0" w:type="auto"/>
            <w:vAlign w:val="center"/>
          </w:tcPr>
          <w:p w:rsidRPr="0017433D" w:rsidR="00315371" w:rsidP="0017433D" w:rsidRDefault="00315371">
            <w:pPr>
              <w:rPr>
                <w:rFonts w:ascii="Verdana" w:hAnsi="Verdana"/>
                <w:sz w:val="16"/>
                <w:szCs w:val="16"/>
              </w:rPr>
            </w:pPr>
          </w:p>
        </w:tc>
        <w:tc>
          <w:tcPr>
            <w:tcW w:w="0" w:type="auto"/>
            <w:vAlign w:val="center"/>
          </w:tcPr>
          <w:p w:rsidRPr="0017433D" w:rsidR="00315371" w:rsidP="0017433D" w:rsidRDefault="00315371">
            <w:pPr>
              <w:rPr>
                <w:rFonts w:ascii="Verdana" w:hAnsi="Verdana"/>
                <w:sz w:val="16"/>
                <w:szCs w:val="16"/>
              </w:rPr>
            </w:pPr>
          </w:p>
        </w:tc>
        <w:tc>
          <w:tcPr>
            <w:tcW w:w="0" w:type="auto"/>
            <w:vAlign w:val="center"/>
          </w:tcPr>
          <w:p w:rsidRPr="0017433D" w:rsidR="00315371" w:rsidP="0017433D" w:rsidRDefault="00315371">
            <w:pPr>
              <w:rPr>
                <w:rFonts w:ascii="Verdana" w:hAnsi="Verdana"/>
                <w:sz w:val="16"/>
                <w:szCs w:val="16"/>
              </w:rPr>
            </w:pPr>
          </w:p>
        </w:tc>
        <w:tc>
          <w:tcPr>
            <w:tcW w:w="0" w:type="auto"/>
            <w:vAlign w:val="center"/>
          </w:tcPr>
          <w:p w:rsidRPr="0017433D" w:rsidR="00315371" w:rsidP="0017433D" w:rsidRDefault="00315371">
            <w:pPr>
              <w:rPr>
                <w:rFonts w:ascii="Verdana" w:hAnsi="Verdana"/>
                <w:sz w:val="16"/>
                <w:szCs w:val="16"/>
              </w:rPr>
            </w:pPr>
          </w:p>
        </w:tc>
        <w:tc>
          <w:tcPr>
            <w:tcW w:w="0" w:type="auto"/>
            <w:vAlign w:val="center"/>
          </w:tcPr>
          <w:p w:rsidRPr="0017433D" w:rsidR="00315371" w:rsidP="0017433D" w:rsidRDefault="00315371">
            <w:pPr>
              <w:rPr>
                <w:rFonts w:ascii="Verdana" w:hAnsi="Verdana"/>
                <w:sz w:val="16"/>
                <w:szCs w:val="16"/>
              </w:rPr>
            </w:pP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mutaties sinds Miljoenennota 2012</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7,5</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c>
          <w:tcPr>
            <w:tcW w:w="0" w:type="auto"/>
          </w:tcPr>
          <w:p w:rsidRPr="0017433D" w:rsidR="00315371" w:rsidP="0017433D" w:rsidRDefault="00315371">
            <w:pPr>
              <w:rPr>
                <w:rFonts w:ascii="Verdana" w:hAnsi="Verdana"/>
                <w:sz w:val="16"/>
                <w:szCs w:val="16"/>
              </w:rPr>
            </w:pP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 (subtotaal)</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17,2</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Internationale samenwerking</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0" w:type="auto"/>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17433D">
        <w:tc>
          <w:tcPr>
            <w:tcW w:w="0" w:type="auto"/>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17,2</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c>
          <w:tcPr>
            <w:tcW w:w="0" w:type="auto"/>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9,7</w:t>
            </w:r>
          </w:p>
        </w:tc>
      </w:tr>
    </w:tbl>
    <w:p w:rsidR="00315371" w:rsidRDefault="00315371">
      <w:pPr>
        <w:spacing w:after="200" w:line="276" w:lineRule="auto"/>
        <w:rPr>
          <w:rFonts w:ascii="Verdana" w:hAnsi="Verdana"/>
          <w:i/>
          <w:sz w:val="18"/>
          <w:szCs w:val="22"/>
          <w:lang w:eastAsia="en-US"/>
        </w:rPr>
      </w:pPr>
    </w:p>
    <w:p w:rsidRPr="0017433D" w:rsidR="00315371" w:rsidP="00212995" w:rsidRDefault="00315371">
      <w:pPr>
        <w:pStyle w:val="NoSpacing"/>
        <w:spacing w:line="276" w:lineRule="auto"/>
        <w:rPr>
          <w:i/>
          <w:szCs w:val="18"/>
        </w:rPr>
      </w:pPr>
      <w:r w:rsidRPr="0017433D">
        <w:rPr>
          <w:i/>
          <w:szCs w:val="18"/>
        </w:rPr>
        <w:t>Correctie</w:t>
      </w:r>
    </w:p>
    <w:p w:rsidRPr="0017433D" w:rsidR="00315371" w:rsidP="00212995" w:rsidRDefault="00315371">
      <w:pPr>
        <w:pStyle w:val="NoSpacing"/>
        <w:spacing w:line="276" w:lineRule="auto"/>
        <w:rPr>
          <w:szCs w:val="18"/>
        </w:rPr>
      </w:pPr>
      <w:r w:rsidRPr="0017433D">
        <w:rPr>
          <w:szCs w:val="18"/>
        </w:rPr>
        <w:t xml:space="preserve">Er stonden standen die abusievelijk als relevant voor het uitgavenkader waren aangemerkt. Deze standen zijn omgeboekt naar de correctie standen die niet-relevant zijn voor het uitgavenkader. </w:t>
      </w:r>
    </w:p>
    <w:p w:rsidRPr="0017433D" w:rsidR="00315371" w:rsidP="00212995" w:rsidRDefault="00315371">
      <w:pPr>
        <w:spacing w:line="276" w:lineRule="auto"/>
        <w:rPr>
          <w:rFonts w:ascii="Verdana" w:hAnsi="Verdana"/>
          <w:sz w:val="18"/>
          <w:szCs w:val="18"/>
        </w:rPr>
      </w:pPr>
    </w:p>
    <w:p w:rsidRPr="0017433D" w:rsidR="00315371" w:rsidP="00212995" w:rsidRDefault="00315371">
      <w:pPr>
        <w:pStyle w:val="NoSpacing"/>
        <w:spacing w:line="276" w:lineRule="auto"/>
        <w:rPr>
          <w:i/>
          <w:szCs w:val="18"/>
        </w:rPr>
      </w:pPr>
      <w:r w:rsidRPr="0017433D">
        <w:rPr>
          <w:i/>
          <w:szCs w:val="18"/>
        </w:rPr>
        <w:t>Diversen</w:t>
      </w:r>
    </w:p>
    <w:p w:rsidRPr="0017433D" w:rsidR="00315371" w:rsidP="00212995" w:rsidRDefault="00315371">
      <w:pPr>
        <w:spacing w:after="200" w:line="276" w:lineRule="auto"/>
        <w:rPr>
          <w:rFonts w:ascii="Verdana" w:hAnsi="Verdana"/>
          <w:sz w:val="18"/>
          <w:szCs w:val="18"/>
        </w:rPr>
      </w:pPr>
      <w:r w:rsidRPr="0017433D">
        <w:rPr>
          <w:rFonts w:ascii="Verdana" w:hAnsi="Verdana"/>
          <w:sz w:val="18"/>
          <w:szCs w:val="18"/>
        </w:rPr>
        <w:t>Het positief eindsaldo 2011 wordt in 2012 aan de Diergezondheidsfonds toegevoegd.</w:t>
      </w:r>
    </w:p>
    <w:p w:rsidR="00315371" w:rsidP="00212995" w:rsidRDefault="00315371">
      <w:pPr>
        <w:spacing w:after="200" w:line="276" w:lineRule="auto"/>
        <w:rPr>
          <w:rFonts w:ascii="Verdana" w:hAnsi="Verdana" w:cs="Arial"/>
          <w:i/>
          <w:sz w:val="18"/>
          <w:szCs w:val="18"/>
        </w:rPr>
      </w:pPr>
      <w:r>
        <w:rPr>
          <w:rFonts w:ascii="Verdana" w:hAnsi="Verdana" w:cs="Arial"/>
          <w:i/>
          <w:sz w:val="18"/>
          <w:szCs w:val="18"/>
        </w:rPr>
        <w:br w:type="page"/>
      </w:r>
    </w:p>
    <w:p w:rsidR="00315371" w:rsidP="00D43FD0" w:rsidRDefault="00315371">
      <w:pPr>
        <w:spacing w:line="360" w:lineRule="auto"/>
        <w:rPr>
          <w:rFonts w:ascii="Verdana" w:hAnsi="Verdana" w:cs="Arial"/>
          <w:b/>
          <w:sz w:val="18"/>
          <w:szCs w:val="18"/>
        </w:rPr>
      </w:pPr>
      <w:r>
        <w:rPr>
          <w:rFonts w:ascii="Verdana" w:hAnsi="Verdana" w:cs="Arial"/>
          <w:b/>
          <w:sz w:val="18"/>
          <w:szCs w:val="18"/>
        </w:rPr>
        <w:t>Accres Gemeentefonds/Provinciefonds</w:t>
      </w:r>
    </w:p>
    <w:tbl>
      <w:tblPr>
        <w:tblW w:w="5000" w:type="pct"/>
        <w:tblCellMar>
          <w:top w:w="15" w:type="dxa"/>
          <w:left w:w="15" w:type="dxa"/>
          <w:bottom w:w="15" w:type="dxa"/>
          <w:right w:w="15" w:type="dxa"/>
        </w:tblCellMar>
        <w:tblLook w:val="00A0"/>
      </w:tblPr>
      <w:tblGrid>
        <w:gridCol w:w="4082"/>
        <w:gridCol w:w="991"/>
        <w:gridCol w:w="988"/>
        <w:gridCol w:w="988"/>
        <w:gridCol w:w="988"/>
        <w:gridCol w:w="1065"/>
      </w:tblGrid>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c>
          <w:tcPr>
            <w:tcW w:w="544"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c>
          <w:tcPr>
            <w:tcW w:w="543"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c>
          <w:tcPr>
            <w:tcW w:w="543"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c>
          <w:tcPr>
            <w:tcW w:w="543"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c>
          <w:tcPr>
            <w:tcW w:w="585"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ACCRES GEMEENTEFONDS/PROVINCIEFONDS: UITGAVEN</w:t>
            </w:r>
          </w:p>
        </w:tc>
        <w:tc>
          <w:tcPr>
            <w:tcW w:w="2758" w:type="pct"/>
            <w:gridSpan w:val="5"/>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bedragen in miljoenen euro's</w:t>
            </w:r>
          </w:p>
        </w:tc>
      </w:tr>
      <w:tr w:rsidRPr="00677607" w:rsidR="00315371" w:rsidTr="00677607">
        <w:tc>
          <w:tcPr>
            <w:tcW w:w="2242" w:type="pct"/>
            <w:tcBorders>
              <w:top w:val="single" w:color="000000" w:sz="8" w:space="0"/>
              <w:left w:val="nil"/>
              <w:bottom w:val="single" w:color="000000" w:sz="8" w:space="0"/>
              <w:right w:val="nil"/>
            </w:tcBorders>
          </w:tcPr>
          <w:p w:rsidRPr="00677607" w:rsidR="00315371" w:rsidP="006576B5" w:rsidRDefault="00315371">
            <w:pPr>
              <w:jc w:val="right"/>
              <w:rPr>
                <w:rFonts w:ascii="Verdana" w:hAnsi="Verdana" w:cs="Courier New"/>
                <w:sz w:val="16"/>
                <w:szCs w:val="16"/>
              </w:rPr>
            </w:pPr>
          </w:p>
        </w:tc>
        <w:tc>
          <w:tcPr>
            <w:tcW w:w="544" w:type="pct"/>
            <w:tcBorders>
              <w:top w:val="single" w:color="000000" w:sz="8" w:space="0"/>
              <w:left w:val="nil"/>
              <w:bottom w:val="single" w:color="000000" w:sz="8" w:space="0"/>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2012</w:t>
            </w:r>
          </w:p>
        </w:tc>
        <w:tc>
          <w:tcPr>
            <w:tcW w:w="543" w:type="pct"/>
            <w:tcBorders>
              <w:top w:val="single" w:color="000000" w:sz="8" w:space="0"/>
              <w:left w:val="nil"/>
              <w:bottom w:val="single" w:color="000000" w:sz="8" w:space="0"/>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2013</w:t>
            </w:r>
          </w:p>
        </w:tc>
        <w:tc>
          <w:tcPr>
            <w:tcW w:w="543" w:type="pct"/>
            <w:tcBorders>
              <w:top w:val="single" w:color="000000" w:sz="8" w:space="0"/>
              <w:left w:val="nil"/>
              <w:bottom w:val="single" w:color="000000" w:sz="8" w:space="0"/>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2014</w:t>
            </w:r>
          </w:p>
        </w:tc>
        <w:tc>
          <w:tcPr>
            <w:tcW w:w="543" w:type="pct"/>
            <w:tcBorders>
              <w:top w:val="single" w:color="000000" w:sz="8" w:space="0"/>
              <w:left w:val="nil"/>
              <w:bottom w:val="single" w:color="000000" w:sz="8" w:space="0"/>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2015</w:t>
            </w:r>
          </w:p>
        </w:tc>
        <w:tc>
          <w:tcPr>
            <w:tcW w:w="585" w:type="pct"/>
            <w:tcBorders>
              <w:top w:val="single" w:color="000000" w:sz="8" w:space="0"/>
              <w:left w:val="nil"/>
              <w:bottom w:val="single" w:color="000000" w:sz="8" w:space="0"/>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2016</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Stand Miljoenennota 2012</w:t>
            </w:r>
          </w:p>
        </w:tc>
        <w:tc>
          <w:tcPr>
            <w:tcW w:w="544"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0,0</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155,5</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593,7</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693,3</w:t>
            </w:r>
          </w:p>
        </w:tc>
        <w:tc>
          <w:tcPr>
            <w:tcW w:w="585"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1.300,3</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Mee- en tegenvallers</w:t>
            </w:r>
          </w:p>
        </w:tc>
        <w:tc>
          <w:tcPr>
            <w:tcW w:w="544"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85" w:type="pct"/>
          </w:tcPr>
          <w:p w:rsidRPr="00677607" w:rsidR="00315371" w:rsidP="006576B5" w:rsidRDefault="00315371">
            <w:pPr>
              <w:rPr>
                <w:rFonts w:ascii="Verdana" w:hAnsi="Verdana"/>
                <w:sz w:val="16"/>
                <w:szCs w:val="16"/>
              </w:rPr>
            </w:pPr>
          </w:p>
        </w:tc>
      </w:tr>
      <w:tr w:rsidRPr="00677607" w:rsidR="00315371" w:rsidTr="00677607">
        <w:tc>
          <w:tcPr>
            <w:tcW w:w="2242" w:type="pct"/>
            <w:tcBorders>
              <w:left w:val="nil"/>
              <w:right w:val="nil"/>
            </w:tcBorders>
            <w:tcMar>
              <w:top w:w="15" w:type="dxa"/>
              <w:left w:w="224" w:type="dxa"/>
              <w:bottom w:w="15" w:type="dxa"/>
              <w:right w:w="15" w:type="dxa"/>
            </w:tcMar>
          </w:tcPr>
          <w:p w:rsidRPr="00677607" w:rsidR="00315371" w:rsidP="00677607" w:rsidRDefault="00315371">
            <w:pPr>
              <w:ind w:firstLine="160" w:firstLineChars="100"/>
              <w:rPr>
                <w:rFonts w:ascii="Verdana" w:hAnsi="Verdana" w:cs="Courier New"/>
                <w:sz w:val="16"/>
                <w:szCs w:val="16"/>
              </w:rPr>
            </w:pPr>
            <w:r w:rsidRPr="00677607">
              <w:rPr>
                <w:rFonts w:ascii="Verdana" w:hAnsi="Verdana" w:cs="Courier New"/>
                <w:sz w:val="16"/>
                <w:szCs w:val="16"/>
              </w:rPr>
              <w:t>Rijksbegroting in enge zin</w:t>
            </w:r>
          </w:p>
        </w:tc>
        <w:tc>
          <w:tcPr>
            <w:tcW w:w="544"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85" w:type="pct"/>
          </w:tcPr>
          <w:p w:rsidRPr="00677607" w:rsidR="00315371" w:rsidP="006576B5" w:rsidRDefault="00315371">
            <w:pPr>
              <w:rPr>
                <w:rFonts w:ascii="Verdana" w:hAnsi="Verdana"/>
                <w:sz w:val="16"/>
                <w:szCs w:val="16"/>
              </w:rPr>
            </w:pPr>
          </w:p>
        </w:tc>
      </w:tr>
      <w:tr w:rsidRPr="00677607" w:rsidR="00315371" w:rsidTr="00677607">
        <w:tc>
          <w:tcPr>
            <w:tcW w:w="2242" w:type="pct"/>
            <w:tcBorders>
              <w:left w:val="nil"/>
              <w:right w:val="nil"/>
            </w:tcBorders>
            <w:tcMar>
              <w:top w:w="15" w:type="dxa"/>
              <w:left w:w="449" w:type="dxa"/>
              <w:bottom w:w="15" w:type="dxa"/>
              <w:right w:w="15" w:type="dxa"/>
            </w:tcMar>
          </w:tcPr>
          <w:p w:rsidRPr="00677607" w:rsidR="00315371" w:rsidP="00677607" w:rsidRDefault="00315371">
            <w:pPr>
              <w:ind w:firstLine="320" w:firstLineChars="200"/>
              <w:rPr>
                <w:rFonts w:ascii="Verdana" w:hAnsi="Verdana" w:cs="Courier New"/>
                <w:sz w:val="16"/>
                <w:szCs w:val="16"/>
              </w:rPr>
            </w:pPr>
            <w:r w:rsidRPr="00677607">
              <w:rPr>
                <w:rFonts w:ascii="Verdana" w:hAnsi="Verdana" w:cs="Courier New"/>
                <w:sz w:val="16"/>
                <w:szCs w:val="16"/>
              </w:rPr>
              <w:t>Accres tranche 2012</w:t>
            </w:r>
          </w:p>
        </w:tc>
        <w:tc>
          <w:tcPr>
            <w:tcW w:w="544"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85"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c>
          <w:tcPr>
            <w:tcW w:w="544"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c>
          <w:tcPr>
            <w:tcW w:w="585"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-276,9</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Technische mutaties</w:t>
            </w:r>
          </w:p>
        </w:tc>
        <w:tc>
          <w:tcPr>
            <w:tcW w:w="544"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85" w:type="pct"/>
          </w:tcPr>
          <w:p w:rsidRPr="00677607" w:rsidR="00315371" w:rsidP="006576B5" w:rsidRDefault="00315371">
            <w:pPr>
              <w:rPr>
                <w:rFonts w:ascii="Verdana" w:hAnsi="Verdana"/>
                <w:sz w:val="16"/>
                <w:szCs w:val="16"/>
              </w:rPr>
            </w:pPr>
          </w:p>
        </w:tc>
      </w:tr>
      <w:tr w:rsidRPr="00677607" w:rsidR="00315371" w:rsidTr="00677607">
        <w:tc>
          <w:tcPr>
            <w:tcW w:w="2242" w:type="pct"/>
            <w:tcBorders>
              <w:left w:val="nil"/>
              <w:right w:val="nil"/>
            </w:tcBorders>
            <w:tcMar>
              <w:top w:w="15" w:type="dxa"/>
              <w:left w:w="224" w:type="dxa"/>
              <w:bottom w:w="15" w:type="dxa"/>
              <w:right w:w="15" w:type="dxa"/>
            </w:tcMar>
          </w:tcPr>
          <w:p w:rsidRPr="00677607" w:rsidR="00315371" w:rsidP="00677607" w:rsidRDefault="00315371">
            <w:pPr>
              <w:ind w:firstLine="160" w:firstLineChars="100"/>
              <w:rPr>
                <w:rFonts w:ascii="Verdana" w:hAnsi="Verdana" w:cs="Courier New"/>
                <w:sz w:val="16"/>
                <w:szCs w:val="16"/>
              </w:rPr>
            </w:pPr>
            <w:r w:rsidRPr="00677607">
              <w:rPr>
                <w:rFonts w:ascii="Verdana" w:hAnsi="Verdana" w:cs="Courier New"/>
                <w:sz w:val="16"/>
                <w:szCs w:val="16"/>
              </w:rPr>
              <w:t>Rijksbegroting in enge zin</w:t>
            </w:r>
          </w:p>
        </w:tc>
        <w:tc>
          <w:tcPr>
            <w:tcW w:w="544"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43" w:type="pct"/>
          </w:tcPr>
          <w:p w:rsidRPr="00677607" w:rsidR="00315371" w:rsidP="006576B5" w:rsidRDefault="00315371">
            <w:pPr>
              <w:rPr>
                <w:rFonts w:ascii="Verdana" w:hAnsi="Verdana"/>
                <w:sz w:val="16"/>
                <w:szCs w:val="16"/>
              </w:rPr>
            </w:pPr>
          </w:p>
        </w:tc>
        <w:tc>
          <w:tcPr>
            <w:tcW w:w="585" w:type="pct"/>
          </w:tcPr>
          <w:p w:rsidRPr="00677607" w:rsidR="00315371" w:rsidP="006576B5" w:rsidRDefault="00315371">
            <w:pPr>
              <w:rPr>
                <w:rFonts w:ascii="Verdana" w:hAnsi="Verdana"/>
                <w:sz w:val="16"/>
                <w:szCs w:val="16"/>
              </w:rPr>
            </w:pPr>
          </w:p>
        </w:tc>
      </w:tr>
      <w:tr w:rsidRPr="00677607" w:rsidR="00315371" w:rsidTr="00677607">
        <w:tc>
          <w:tcPr>
            <w:tcW w:w="2242" w:type="pct"/>
            <w:tcBorders>
              <w:left w:val="nil"/>
              <w:right w:val="nil"/>
            </w:tcBorders>
            <w:tcMar>
              <w:top w:w="15" w:type="dxa"/>
              <w:left w:w="449" w:type="dxa"/>
              <w:bottom w:w="15" w:type="dxa"/>
              <w:right w:w="15" w:type="dxa"/>
            </w:tcMar>
          </w:tcPr>
          <w:p w:rsidRPr="00677607" w:rsidR="00315371" w:rsidP="006263F1" w:rsidRDefault="00315371">
            <w:pPr>
              <w:ind w:firstLine="320" w:firstLineChars="200"/>
              <w:rPr>
                <w:rFonts w:ascii="Verdana" w:hAnsi="Verdana" w:cs="Courier New"/>
                <w:sz w:val="16"/>
                <w:szCs w:val="16"/>
              </w:rPr>
            </w:pPr>
            <w:r w:rsidRPr="00677607">
              <w:rPr>
                <w:rFonts w:ascii="Verdana" w:hAnsi="Verdana" w:cs="Courier New"/>
                <w:sz w:val="16"/>
                <w:szCs w:val="16"/>
              </w:rPr>
              <w:t>Overboeken accres</w:t>
            </w:r>
          </w:p>
        </w:tc>
        <w:tc>
          <w:tcPr>
            <w:tcW w:w="544"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256,3</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256,3</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256,3</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256,3</w:t>
            </w:r>
          </w:p>
        </w:tc>
        <w:tc>
          <w:tcPr>
            <w:tcW w:w="585"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256,3</w:t>
            </w:r>
          </w:p>
        </w:tc>
      </w:tr>
      <w:tr w:rsidRPr="00677607" w:rsidR="00315371" w:rsidTr="00677607">
        <w:tc>
          <w:tcPr>
            <w:tcW w:w="2242" w:type="pct"/>
            <w:tcBorders>
              <w:left w:val="nil"/>
              <w:right w:val="nil"/>
            </w:tcBorders>
            <w:tcMar>
              <w:top w:w="15" w:type="dxa"/>
              <w:left w:w="449" w:type="dxa"/>
              <w:bottom w:w="15" w:type="dxa"/>
              <w:right w:w="15" w:type="dxa"/>
            </w:tcMar>
          </w:tcPr>
          <w:p w:rsidRPr="00677607" w:rsidR="00315371" w:rsidP="00677607" w:rsidRDefault="00315371">
            <w:pPr>
              <w:ind w:firstLine="320" w:firstLineChars="200"/>
              <w:rPr>
                <w:rFonts w:ascii="Verdana" w:hAnsi="Verdana" w:cs="Courier New"/>
                <w:sz w:val="16"/>
                <w:szCs w:val="16"/>
              </w:rPr>
            </w:pPr>
            <w:r w:rsidRPr="00677607">
              <w:rPr>
                <w:rFonts w:ascii="Verdana" w:hAnsi="Verdana" w:cs="Courier New"/>
                <w:sz w:val="16"/>
                <w:szCs w:val="16"/>
              </w:rPr>
              <w:t>Diversen</w:t>
            </w:r>
          </w:p>
        </w:tc>
        <w:tc>
          <w:tcPr>
            <w:tcW w:w="544"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20,7</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20,7</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20,7</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20,7</w:t>
            </w:r>
          </w:p>
        </w:tc>
        <w:tc>
          <w:tcPr>
            <w:tcW w:w="585"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20,7</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 </w:t>
            </w:r>
          </w:p>
        </w:tc>
        <w:tc>
          <w:tcPr>
            <w:tcW w:w="544"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277,0</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277,0</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277,0</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277,0</w:t>
            </w:r>
          </w:p>
        </w:tc>
        <w:tc>
          <w:tcPr>
            <w:tcW w:w="585"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277,0</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p>
        </w:tc>
        <w:tc>
          <w:tcPr>
            <w:tcW w:w="544" w:type="pct"/>
            <w:vAlign w:val="center"/>
          </w:tcPr>
          <w:p w:rsidRPr="00677607" w:rsidR="00315371" w:rsidP="006576B5" w:rsidRDefault="00315371">
            <w:pPr>
              <w:rPr>
                <w:rFonts w:ascii="Verdana" w:hAnsi="Verdana"/>
                <w:sz w:val="16"/>
                <w:szCs w:val="16"/>
              </w:rPr>
            </w:pPr>
          </w:p>
        </w:tc>
        <w:tc>
          <w:tcPr>
            <w:tcW w:w="543" w:type="pct"/>
            <w:vAlign w:val="center"/>
          </w:tcPr>
          <w:p w:rsidRPr="00677607" w:rsidR="00315371" w:rsidP="006576B5" w:rsidRDefault="00315371">
            <w:pPr>
              <w:rPr>
                <w:rFonts w:ascii="Verdana" w:hAnsi="Verdana"/>
                <w:sz w:val="16"/>
                <w:szCs w:val="16"/>
              </w:rPr>
            </w:pPr>
          </w:p>
        </w:tc>
        <w:tc>
          <w:tcPr>
            <w:tcW w:w="543" w:type="pct"/>
            <w:vAlign w:val="center"/>
          </w:tcPr>
          <w:p w:rsidRPr="00677607" w:rsidR="00315371" w:rsidP="006576B5" w:rsidRDefault="00315371">
            <w:pPr>
              <w:rPr>
                <w:rFonts w:ascii="Verdana" w:hAnsi="Verdana"/>
                <w:sz w:val="16"/>
                <w:szCs w:val="16"/>
              </w:rPr>
            </w:pPr>
          </w:p>
        </w:tc>
        <w:tc>
          <w:tcPr>
            <w:tcW w:w="543" w:type="pct"/>
            <w:vAlign w:val="center"/>
          </w:tcPr>
          <w:p w:rsidRPr="00677607" w:rsidR="00315371" w:rsidP="006576B5" w:rsidRDefault="00315371">
            <w:pPr>
              <w:rPr>
                <w:rFonts w:ascii="Verdana" w:hAnsi="Verdana"/>
                <w:sz w:val="16"/>
                <w:szCs w:val="16"/>
              </w:rPr>
            </w:pPr>
          </w:p>
        </w:tc>
        <w:tc>
          <w:tcPr>
            <w:tcW w:w="585" w:type="pct"/>
            <w:vAlign w:val="center"/>
          </w:tcPr>
          <w:p w:rsidRPr="00677607" w:rsidR="00315371" w:rsidP="006576B5" w:rsidRDefault="00315371">
            <w:pPr>
              <w:rPr>
                <w:rFonts w:ascii="Verdana" w:hAnsi="Verdana"/>
                <w:sz w:val="16"/>
                <w:szCs w:val="16"/>
              </w:rPr>
            </w:pP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Totaal mutaties sinds Miljoenennota 2012</w:t>
            </w:r>
          </w:p>
        </w:tc>
        <w:tc>
          <w:tcPr>
            <w:tcW w:w="544"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0,0</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0,0</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0,0</w:t>
            </w:r>
          </w:p>
        </w:tc>
        <w:tc>
          <w:tcPr>
            <w:tcW w:w="543"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0,0</w:t>
            </w:r>
          </w:p>
        </w:tc>
        <w:tc>
          <w:tcPr>
            <w:tcW w:w="585" w:type="pct"/>
            <w:tcBorders>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0,0</w:t>
            </w:r>
          </w:p>
        </w:tc>
      </w:tr>
      <w:tr w:rsidRPr="00677607" w:rsidR="00315371" w:rsidTr="00677607">
        <w:tc>
          <w:tcPr>
            <w:tcW w:w="2242" w:type="pct"/>
            <w:tcBorders>
              <w:left w:val="nil"/>
              <w:right w:val="nil"/>
            </w:tcBorders>
          </w:tcPr>
          <w:p w:rsidRPr="00677607" w:rsidR="00315371" w:rsidP="006576B5" w:rsidRDefault="00315371">
            <w:pPr>
              <w:rPr>
                <w:rFonts w:ascii="Verdana" w:hAnsi="Verdana" w:cs="Courier New"/>
                <w:sz w:val="16"/>
                <w:szCs w:val="16"/>
              </w:rPr>
            </w:pPr>
            <w:r w:rsidRPr="00677607">
              <w:rPr>
                <w:rFonts w:ascii="Verdana" w:hAnsi="Verdana" w:cs="Courier New"/>
                <w:sz w:val="16"/>
                <w:szCs w:val="16"/>
              </w:rPr>
              <w:t>Stand Voorjaarsnota 2012</w:t>
            </w:r>
          </w:p>
        </w:tc>
        <w:tc>
          <w:tcPr>
            <w:tcW w:w="544"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0,0</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155,5</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593,7</w:t>
            </w:r>
          </w:p>
        </w:tc>
        <w:tc>
          <w:tcPr>
            <w:tcW w:w="543"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693,3</w:t>
            </w:r>
          </w:p>
        </w:tc>
        <w:tc>
          <w:tcPr>
            <w:tcW w:w="585" w:type="pct"/>
            <w:tcBorders>
              <w:top w:val="single" w:color="000000" w:sz="8" w:space="0"/>
              <w:left w:val="nil"/>
              <w:right w:val="nil"/>
            </w:tcBorders>
          </w:tcPr>
          <w:p w:rsidRPr="00677607" w:rsidR="00315371" w:rsidP="006576B5" w:rsidRDefault="00315371">
            <w:pPr>
              <w:jc w:val="right"/>
              <w:rPr>
                <w:rFonts w:ascii="Verdana" w:hAnsi="Verdana" w:cs="Courier New"/>
                <w:sz w:val="16"/>
                <w:szCs w:val="16"/>
              </w:rPr>
            </w:pPr>
            <w:r w:rsidRPr="00677607">
              <w:rPr>
                <w:rFonts w:ascii="Verdana" w:hAnsi="Verdana" w:cs="Courier New"/>
                <w:sz w:val="16"/>
                <w:szCs w:val="16"/>
              </w:rPr>
              <w:t>1.300,3</w:t>
            </w:r>
          </w:p>
        </w:tc>
      </w:tr>
    </w:tbl>
    <w:p w:rsidR="00315371" w:rsidP="00D43FD0" w:rsidRDefault="00315371">
      <w:pPr>
        <w:spacing w:line="360" w:lineRule="auto"/>
        <w:rPr>
          <w:rFonts w:ascii="Verdana" w:hAnsi="Verdana" w:cs="Arial"/>
          <w:b/>
          <w:sz w:val="18"/>
          <w:szCs w:val="18"/>
        </w:rPr>
      </w:pPr>
    </w:p>
    <w:p w:rsidRPr="00677607" w:rsidR="00315371" w:rsidRDefault="00315371">
      <w:pPr>
        <w:spacing w:line="276" w:lineRule="auto"/>
        <w:rPr>
          <w:rFonts w:ascii="Verdana" w:hAnsi="Verdana" w:cs="Arial"/>
          <w:i/>
          <w:sz w:val="18"/>
          <w:szCs w:val="18"/>
        </w:rPr>
      </w:pPr>
      <w:r w:rsidRPr="00677607">
        <w:rPr>
          <w:rFonts w:ascii="Verdana" w:hAnsi="Verdana" w:cs="Arial"/>
          <w:i/>
          <w:sz w:val="18"/>
          <w:szCs w:val="18"/>
        </w:rPr>
        <w:t>Accres tranche 2012</w:t>
      </w:r>
    </w:p>
    <w:p w:rsidR="00315371" w:rsidP="00365B48" w:rsidRDefault="00315371">
      <w:pPr>
        <w:rPr>
          <w:rFonts w:ascii="Verdana" w:hAnsi="Verdana"/>
          <w:sz w:val="18"/>
          <w:szCs w:val="18"/>
        </w:rPr>
      </w:pPr>
      <w:r w:rsidRPr="00D16812">
        <w:rPr>
          <w:rFonts w:ascii="Verdana" w:hAnsi="Verdana" w:cs="Verdana"/>
          <w:sz w:val="18"/>
          <w:szCs w:val="18"/>
        </w:rPr>
        <w:t xml:space="preserve">Als gevolg van mutaties in de netto gecorrigeerde rijksuitgaven </w:t>
      </w:r>
      <w:r>
        <w:rPr>
          <w:rFonts w:ascii="Verdana" w:hAnsi="Verdana" w:cs="Verdana"/>
          <w:sz w:val="18"/>
          <w:szCs w:val="18"/>
        </w:rPr>
        <w:t xml:space="preserve">valt het </w:t>
      </w:r>
      <w:r w:rsidRPr="00D16812">
        <w:rPr>
          <w:rFonts w:ascii="Verdana" w:hAnsi="Verdana" w:cs="Verdana"/>
          <w:sz w:val="18"/>
          <w:szCs w:val="18"/>
        </w:rPr>
        <w:t xml:space="preserve">accres 2012 </w:t>
      </w:r>
      <w:r>
        <w:rPr>
          <w:rFonts w:ascii="Verdana" w:hAnsi="Verdana" w:cs="Verdana"/>
          <w:sz w:val="18"/>
          <w:szCs w:val="18"/>
        </w:rPr>
        <w:t>lager uit.</w:t>
      </w:r>
    </w:p>
    <w:p w:rsidRPr="00677607" w:rsidR="00315371" w:rsidP="00677607" w:rsidRDefault="00315371">
      <w:pPr>
        <w:spacing w:line="276" w:lineRule="auto"/>
        <w:rPr>
          <w:rFonts w:ascii="Verdana" w:hAnsi="Verdana"/>
          <w:sz w:val="18"/>
          <w:szCs w:val="18"/>
        </w:rPr>
      </w:pPr>
    </w:p>
    <w:p w:rsidR="00315371" w:rsidRDefault="00315371">
      <w:pPr>
        <w:spacing w:line="276" w:lineRule="auto"/>
        <w:rPr>
          <w:rFonts w:ascii="Verdana" w:hAnsi="Verdana" w:cs="Arial"/>
          <w:b/>
          <w:sz w:val="18"/>
          <w:szCs w:val="18"/>
        </w:rPr>
      </w:pPr>
      <w:r>
        <w:rPr>
          <w:rFonts w:ascii="Verdana" w:hAnsi="Verdana" w:cs="Arial"/>
          <w:b/>
          <w:sz w:val="18"/>
          <w:szCs w:val="18"/>
        </w:rPr>
        <w:br w:type="page"/>
      </w:r>
    </w:p>
    <w:p w:rsidRPr="002065F2" w:rsidR="00315371" w:rsidP="00D43FD0" w:rsidRDefault="00315371">
      <w:pPr>
        <w:spacing w:line="360" w:lineRule="auto"/>
        <w:rPr>
          <w:rFonts w:ascii="Verdana" w:hAnsi="Verdana" w:cs="Arial"/>
          <w:b/>
          <w:sz w:val="18"/>
          <w:szCs w:val="18"/>
        </w:rPr>
      </w:pPr>
      <w:r w:rsidRPr="002065F2">
        <w:rPr>
          <w:rFonts w:ascii="Verdana" w:hAnsi="Verdana" w:cs="Arial"/>
          <w:b/>
          <w:sz w:val="18"/>
          <w:szCs w:val="18"/>
        </w:rPr>
        <w:t>BES-fonds</w:t>
      </w:r>
    </w:p>
    <w:tbl>
      <w:tblPr>
        <w:tblW w:w="5000" w:type="pct"/>
        <w:tblCellMar>
          <w:top w:w="15" w:type="dxa"/>
          <w:left w:w="15" w:type="dxa"/>
          <w:bottom w:w="15" w:type="dxa"/>
          <w:right w:w="15" w:type="dxa"/>
        </w:tblCellMar>
        <w:tblLook w:val="00A0"/>
      </w:tblPr>
      <w:tblGrid>
        <w:gridCol w:w="3781"/>
        <w:gridCol w:w="1065"/>
        <w:gridCol w:w="1065"/>
        <w:gridCol w:w="1065"/>
        <w:gridCol w:w="1065"/>
        <w:gridCol w:w="1061"/>
      </w:tblGrid>
      <w:tr w:rsidRPr="0017433D" w:rsidR="00315371" w:rsidTr="002065F2">
        <w:tc>
          <w:tcPr>
            <w:tcW w:w="2077" w:type="pct"/>
            <w:tcBorders>
              <w:left w:val="nil"/>
              <w:right w:val="nil"/>
            </w:tcBorders>
          </w:tcPr>
          <w:p w:rsidRPr="0017433D" w:rsidR="00315371" w:rsidP="00D43FD0" w:rsidRDefault="00315371">
            <w:pPr>
              <w:rPr>
                <w:rFonts w:ascii="Verdana" w:hAnsi="Verdana" w:cs="Courier New"/>
                <w:sz w:val="16"/>
                <w:szCs w:val="16"/>
              </w:rPr>
            </w:pPr>
            <w:r w:rsidRPr="0017433D">
              <w:rPr>
                <w:rFonts w:ascii="Verdana" w:hAnsi="Verdana" w:cs="Courier New"/>
                <w:sz w:val="16"/>
                <w:szCs w:val="16"/>
              </w:rPr>
              <w:t> </w:t>
            </w:r>
          </w:p>
        </w:tc>
        <w:tc>
          <w:tcPr>
            <w:tcW w:w="585"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85"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85"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85"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83"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r>
      <w:tr w:rsidRPr="0017433D" w:rsidR="00315371" w:rsidTr="0017433D">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I BES-FONDS: UITGAVEN</w:t>
            </w:r>
          </w:p>
        </w:tc>
        <w:tc>
          <w:tcPr>
            <w:tcW w:w="2923" w:type="pct"/>
            <w:gridSpan w:val="5"/>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bedragen in miljoenen euro's</w:t>
            </w:r>
          </w:p>
        </w:tc>
      </w:tr>
      <w:tr w:rsidRPr="0017433D" w:rsidR="00315371" w:rsidTr="002065F2">
        <w:tc>
          <w:tcPr>
            <w:tcW w:w="2077"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p>
        </w:tc>
        <w:tc>
          <w:tcPr>
            <w:tcW w:w="585"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2012</w:t>
            </w:r>
          </w:p>
        </w:tc>
        <w:tc>
          <w:tcPr>
            <w:tcW w:w="585"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2013</w:t>
            </w:r>
          </w:p>
        </w:tc>
        <w:tc>
          <w:tcPr>
            <w:tcW w:w="585"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2014</w:t>
            </w:r>
          </w:p>
        </w:tc>
        <w:tc>
          <w:tcPr>
            <w:tcW w:w="585"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2015</w:t>
            </w:r>
          </w:p>
        </w:tc>
        <w:tc>
          <w:tcPr>
            <w:tcW w:w="583"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2016</w:t>
            </w: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Miljoenennota 2012 (excl. IS)</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24,9</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24,9</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24,9</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24,9</w:t>
            </w:r>
          </w:p>
        </w:tc>
        <w:tc>
          <w:tcPr>
            <w:tcW w:w="58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24,9</w:t>
            </w: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Technische mutaties</w:t>
            </w: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3" w:type="pct"/>
          </w:tcPr>
          <w:p w:rsidRPr="0017433D" w:rsidR="00315371" w:rsidP="0017433D" w:rsidRDefault="00315371">
            <w:pPr>
              <w:rPr>
                <w:rFonts w:ascii="Verdana" w:hAnsi="Verdana"/>
                <w:sz w:val="16"/>
                <w:szCs w:val="16"/>
              </w:rPr>
            </w:pPr>
          </w:p>
        </w:tc>
      </w:tr>
      <w:tr w:rsidRPr="0017433D" w:rsidR="00315371" w:rsidTr="002065F2">
        <w:tc>
          <w:tcPr>
            <w:tcW w:w="2077" w:type="pct"/>
            <w:tcBorders>
              <w:left w:val="nil"/>
              <w:right w:val="nil"/>
            </w:tcBorders>
            <w:tcMar>
              <w:top w:w="15" w:type="dxa"/>
              <w:left w:w="169" w:type="dxa"/>
              <w:bottom w:w="15" w:type="dxa"/>
              <w:right w:w="15" w:type="dxa"/>
            </w:tcMar>
          </w:tcPr>
          <w:p w:rsidRPr="0017433D" w:rsidR="00315371" w:rsidP="0017433D" w:rsidRDefault="00315371">
            <w:pPr>
              <w:ind w:firstLine="160" w:firstLineChars="100"/>
              <w:rPr>
                <w:rFonts w:ascii="Verdana" w:hAnsi="Verdana" w:cs="Courier New"/>
                <w:sz w:val="16"/>
                <w:szCs w:val="16"/>
              </w:rPr>
            </w:pPr>
            <w:r w:rsidRPr="0017433D">
              <w:rPr>
                <w:rFonts w:ascii="Verdana" w:hAnsi="Verdana" w:cs="Courier New"/>
                <w:sz w:val="16"/>
                <w:szCs w:val="16"/>
              </w:rPr>
              <w:t>Rijksbegroting in enge zin</w:t>
            </w: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3" w:type="pct"/>
          </w:tcPr>
          <w:p w:rsidRPr="0017433D" w:rsidR="00315371" w:rsidP="0017433D" w:rsidRDefault="00315371">
            <w:pPr>
              <w:rPr>
                <w:rFonts w:ascii="Verdana" w:hAnsi="Verdana"/>
                <w:sz w:val="16"/>
                <w:szCs w:val="16"/>
              </w:rPr>
            </w:pPr>
          </w:p>
        </w:tc>
      </w:tr>
      <w:tr w:rsidRPr="0017433D" w:rsidR="00315371" w:rsidTr="002065F2">
        <w:tc>
          <w:tcPr>
            <w:tcW w:w="2077" w:type="pct"/>
            <w:tcBorders>
              <w:left w:val="nil"/>
              <w:right w:val="nil"/>
            </w:tcBorders>
            <w:tcMar>
              <w:top w:w="15" w:type="dxa"/>
              <w:left w:w="339" w:type="dxa"/>
              <w:bottom w:w="15" w:type="dxa"/>
              <w:right w:w="15" w:type="dxa"/>
            </w:tcMar>
          </w:tcPr>
          <w:p w:rsidRPr="0017433D" w:rsidR="00315371" w:rsidP="0017433D" w:rsidRDefault="00315371">
            <w:pPr>
              <w:ind w:firstLine="320" w:firstLineChars="200"/>
              <w:rPr>
                <w:rFonts w:ascii="Verdana" w:hAnsi="Verdana" w:cs="Courier New"/>
                <w:sz w:val="16"/>
                <w:szCs w:val="16"/>
              </w:rPr>
            </w:pPr>
            <w:r w:rsidRPr="0017433D">
              <w:rPr>
                <w:rFonts w:ascii="Verdana" w:hAnsi="Verdana" w:cs="Courier New"/>
                <w:sz w:val="16"/>
                <w:szCs w:val="16"/>
              </w:rPr>
              <w:t>Diversen</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8,5</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8,5</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p>
        </w:tc>
        <w:tc>
          <w:tcPr>
            <w:tcW w:w="585" w:type="pct"/>
            <w:vAlign w:val="center"/>
          </w:tcPr>
          <w:p w:rsidRPr="0017433D" w:rsidR="00315371" w:rsidP="0017433D" w:rsidRDefault="00315371">
            <w:pPr>
              <w:rPr>
                <w:rFonts w:ascii="Verdana" w:hAnsi="Verdana"/>
                <w:sz w:val="16"/>
                <w:szCs w:val="16"/>
              </w:rPr>
            </w:pPr>
          </w:p>
        </w:tc>
        <w:tc>
          <w:tcPr>
            <w:tcW w:w="585" w:type="pct"/>
            <w:vAlign w:val="center"/>
          </w:tcPr>
          <w:p w:rsidRPr="0017433D" w:rsidR="00315371" w:rsidP="0017433D" w:rsidRDefault="00315371">
            <w:pPr>
              <w:rPr>
                <w:rFonts w:ascii="Verdana" w:hAnsi="Verdana"/>
                <w:sz w:val="16"/>
                <w:szCs w:val="16"/>
              </w:rPr>
            </w:pPr>
          </w:p>
        </w:tc>
        <w:tc>
          <w:tcPr>
            <w:tcW w:w="585" w:type="pct"/>
            <w:vAlign w:val="center"/>
          </w:tcPr>
          <w:p w:rsidRPr="0017433D" w:rsidR="00315371" w:rsidP="0017433D" w:rsidRDefault="00315371">
            <w:pPr>
              <w:rPr>
                <w:rFonts w:ascii="Verdana" w:hAnsi="Verdana"/>
                <w:sz w:val="16"/>
                <w:szCs w:val="16"/>
              </w:rPr>
            </w:pPr>
          </w:p>
        </w:tc>
        <w:tc>
          <w:tcPr>
            <w:tcW w:w="585" w:type="pct"/>
            <w:vAlign w:val="center"/>
          </w:tcPr>
          <w:p w:rsidRPr="0017433D" w:rsidR="00315371" w:rsidP="0017433D" w:rsidRDefault="00315371">
            <w:pPr>
              <w:rPr>
                <w:rFonts w:ascii="Verdana" w:hAnsi="Verdana"/>
                <w:sz w:val="16"/>
                <w:szCs w:val="16"/>
              </w:rPr>
            </w:pPr>
          </w:p>
        </w:tc>
        <w:tc>
          <w:tcPr>
            <w:tcW w:w="583" w:type="pct"/>
            <w:vAlign w:val="center"/>
          </w:tcPr>
          <w:p w:rsidRPr="0017433D" w:rsidR="00315371" w:rsidP="0017433D" w:rsidRDefault="00315371">
            <w:pPr>
              <w:rPr>
                <w:rFonts w:ascii="Verdana" w:hAnsi="Verdana"/>
                <w:sz w:val="16"/>
                <w:szCs w:val="16"/>
              </w:rPr>
            </w:pP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mutaties sinds Miljoenennota 2012</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8,5</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c>
          <w:tcPr>
            <w:tcW w:w="58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5,5</w:t>
            </w: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5" w:type="pct"/>
          </w:tcPr>
          <w:p w:rsidRPr="0017433D" w:rsidR="00315371" w:rsidP="0017433D" w:rsidRDefault="00315371">
            <w:pPr>
              <w:rPr>
                <w:rFonts w:ascii="Verdana" w:hAnsi="Verdana"/>
                <w:sz w:val="16"/>
                <w:szCs w:val="16"/>
              </w:rPr>
            </w:pPr>
          </w:p>
        </w:tc>
        <w:tc>
          <w:tcPr>
            <w:tcW w:w="583" w:type="pct"/>
          </w:tcPr>
          <w:p w:rsidRPr="0017433D" w:rsidR="00315371" w:rsidP="0017433D" w:rsidRDefault="00315371">
            <w:pPr>
              <w:rPr>
                <w:rFonts w:ascii="Verdana" w:hAnsi="Verdana"/>
                <w:sz w:val="16"/>
                <w:szCs w:val="16"/>
              </w:rPr>
            </w:pP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 (subtotaal)</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33,4</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c>
          <w:tcPr>
            <w:tcW w:w="58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Internationale samenwerking</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85"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83"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2065F2">
        <w:tc>
          <w:tcPr>
            <w:tcW w:w="2077"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33,4</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c>
          <w:tcPr>
            <w:tcW w:w="585"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c>
          <w:tcPr>
            <w:tcW w:w="583"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30,4</w:t>
            </w:r>
          </w:p>
        </w:tc>
      </w:tr>
    </w:tbl>
    <w:p w:rsidR="00315371" w:rsidP="0017433D" w:rsidRDefault="00315371">
      <w:pPr>
        <w:spacing w:line="360" w:lineRule="auto"/>
        <w:rPr>
          <w:rFonts w:ascii="Verdana" w:hAnsi="Verdana" w:cs="Arial"/>
          <w:i/>
          <w:sz w:val="18"/>
          <w:szCs w:val="18"/>
        </w:rPr>
      </w:pPr>
    </w:p>
    <w:p w:rsidR="00315371" w:rsidP="0017433D" w:rsidRDefault="00315371">
      <w:pPr>
        <w:spacing w:line="360" w:lineRule="auto"/>
        <w:rPr>
          <w:rFonts w:ascii="Verdana" w:hAnsi="Verdana" w:cs="Arial"/>
          <w:i/>
          <w:sz w:val="18"/>
          <w:szCs w:val="18"/>
        </w:rPr>
      </w:pPr>
    </w:p>
    <w:tbl>
      <w:tblPr>
        <w:tblW w:w="5000" w:type="pct"/>
        <w:tblCellMar>
          <w:top w:w="15" w:type="dxa"/>
          <w:left w:w="15" w:type="dxa"/>
          <w:bottom w:w="15" w:type="dxa"/>
          <w:right w:w="15" w:type="dxa"/>
        </w:tblCellMar>
        <w:tblLook w:val="00A0"/>
      </w:tblPr>
      <w:tblGrid>
        <w:gridCol w:w="3862"/>
        <w:gridCol w:w="1048"/>
        <w:gridCol w:w="1049"/>
        <w:gridCol w:w="1049"/>
        <w:gridCol w:w="1049"/>
        <w:gridCol w:w="1045"/>
      </w:tblGrid>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6"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6"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6"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6"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6"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I BES-FONDS: NIET-BELASTINGONTVANGSTEN</w:t>
            </w:r>
          </w:p>
        </w:tc>
        <w:tc>
          <w:tcPr>
            <w:tcW w:w="2878" w:type="pct"/>
            <w:gridSpan w:val="5"/>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bedragen in miljoenen euro's</w:t>
            </w:r>
          </w:p>
        </w:tc>
      </w:tr>
      <w:tr w:rsidRPr="0017433D" w:rsidR="00315371" w:rsidTr="0017433D">
        <w:tc>
          <w:tcPr>
            <w:tcW w:w="2122"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p>
        </w:tc>
        <w:tc>
          <w:tcPr>
            <w:tcW w:w="576"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2012</w:t>
            </w:r>
          </w:p>
        </w:tc>
        <w:tc>
          <w:tcPr>
            <w:tcW w:w="576"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2013</w:t>
            </w:r>
          </w:p>
        </w:tc>
        <w:tc>
          <w:tcPr>
            <w:tcW w:w="576"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2014</w:t>
            </w:r>
          </w:p>
        </w:tc>
        <w:tc>
          <w:tcPr>
            <w:tcW w:w="576"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2015</w:t>
            </w:r>
          </w:p>
        </w:tc>
        <w:tc>
          <w:tcPr>
            <w:tcW w:w="576" w:type="pct"/>
            <w:tcBorders>
              <w:top w:val="single" w:color="000000" w:sz="6" w:space="0"/>
              <w:left w:val="nil"/>
              <w:bottom w:val="single" w:color="000000" w:sz="6" w:space="0"/>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2016</w:t>
            </w: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Miljoenennota 2012 (excl. IS)</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p>
        </w:tc>
        <w:tc>
          <w:tcPr>
            <w:tcW w:w="576" w:type="pct"/>
            <w:vAlign w:val="center"/>
          </w:tcPr>
          <w:p w:rsidRPr="0017433D" w:rsidR="00315371" w:rsidP="0017433D" w:rsidRDefault="00315371">
            <w:pPr>
              <w:rPr>
                <w:rFonts w:ascii="Verdana" w:hAnsi="Verdana"/>
                <w:sz w:val="16"/>
                <w:szCs w:val="16"/>
              </w:rPr>
            </w:pPr>
          </w:p>
        </w:tc>
        <w:tc>
          <w:tcPr>
            <w:tcW w:w="576" w:type="pct"/>
            <w:vAlign w:val="center"/>
          </w:tcPr>
          <w:p w:rsidRPr="0017433D" w:rsidR="00315371" w:rsidP="0017433D" w:rsidRDefault="00315371">
            <w:pPr>
              <w:rPr>
                <w:rFonts w:ascii="Verdana" w:hAnsi="Verdana"/>
                <w:sz w:val="16"/>
                <w:szCs w:val="16"/>
              </w:rPr>
            </w:pPr>
          </w:p>
        </w:tc>
        <w:tc>
          <w:tcPr>
            <w:tcW w:w="576" w:type="pct"/>
            <w:vAlign w:val="center"/>
          </w:tcPr>
          <w:p w:rsidRPr="0017433D" w:rsidR="00315371" w:rsidP="0017433D" w:rsidRDefault="00315371">
            <w:pPr>
              <w:rPr>
                <w:rFonts w:ascii="Verdana" w:hAnsi="Verdana"/>
                <w:sz w:val="16"/>
                <w:szCs w:val="16"/>
              </w:rPr>
            </w:pPr>
          </w:p>
        </w:tc>
        <w:tc>
          <w:tcPr>
            <w:tcW w:w="576" w:type="pct"/>
            <w:vAlign w:val="center"/>
          </w:tcPr>
          <w:p w:rsidRPr="0017433D" w:rsidR="00315371" w:rsidP="0017433D" w:rsidRDefault="00315371">
            <w:pPr>
              <w:rPr>
                <w:rFonts w:ascii="Verdana" w:hAnsi="Verdana"/>
                <w:sz w:val="16"/>
                <w:szCs w:val="16"/>
              </w:rPr>
            </w:pPr>
          </w:p>
        </w:tc>
        <w:tc>
          <w:tcPr>
            <w:tcW w:w="576" w:type="pct"/>
            <w:vAlign w:val="center"/>
          </w:tcPr>
          <w:p w:rsidRPr="0017433D" w:rsidR="00315371" w:rsidP="0017433D" w:rsidRDefault="00315371">
            <w:pPr>
              <w:rPr>
                <w:rFonts w:ascii="Verdana" w:hAnsi="Verdana"/>
                <w:sz w:val="16"/>
                <w:szCs w:val="16"/>
              </w:rPr>
            </w:pP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mutaties sinds Miljoenennota 2012</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 </w:t>
            </w:r>
          </w:p>
        </w:tc>
        <w:tc>
          <w:tcPr>
            <w:tcW w:w="576" w:type="pct"/>
          </w:tcPr>
          <w:p w:rsidRPr="0017433D" w:rsidR="00315371" w:rsidP="0017433D" w:rsidRDefault="00315371">
            <w:pPr>
              <w:rPr>
                <w:rFonts w:ascii="Verdana" w:hAnsi="Verdana"/>
                <w:sz w:val="16"/>
                <w:szCs w:val="16"/>
              </w:rPr>
            </w:pPr>
          </w:p>
        </w:tc>
        <w:tc>
          <w:tcPr>
            <w:tcW w:w="576" w:type="pct"/>
          </w:tcPr>
          <w:p w:rsidRPr="0017433D" w:rsidR="00315371" w:rsidP="0017433D" w:rsidRDefault="00315371">
            <w:pPr>
              <w:rPr>
                <w:rFonts w:ascii="Verdana" w:hAnsi="Verdana"/>
                <w:sz w:val="16"/>
                <w:szCs w:val="16"/>
              </w:rPr>
            </w:pPr>
          </w:p>
        </w:tc>
        <w:tc>
          <w:tcPr>
            <w:tcW w:w="576" w:type="pct"/>
          </w:tcPr>
          <w:p w:rsidRPr="0017433D" w:rsidR="00315371" w:rsidP="0017433D" w:rsidRDefault="00315371">
            <w:pPr>
              <w:rPr>
                <w:rFonts w:ascii="Verdana" w:hAnsi="Verdana"/>
                <w:sz w:val="16"/>
                <w:szCs w:val="16"/>
              </w:rPr>
            </w:pPr>
          </w:p>
        </w:tc>
        <w:tc>
          <w:tcPr>
            <w:tcW w:w="576" w:type="pct"/>
          </w:tcPr>
          <w:p w:rsidRPr="0017433D" w:rsidR="00315371" w:rsidP="0017433D" w:rsidRDefault="00315371">
            <w:pPr>
              <w:rPr>
                <w:rFonts w:ascii="Verdana" w:hAnsi="Verdana"/>
                <w:sz w:val="16"/>
                <w:szCs w:val="16"/>
              </w:rPr>
            </w:pPr>
          </w:p>
        </w:tc>
        <w:tc>
          <w:tcPr>
            <w:tcW w:w="576" w:type="pct"/>
          </w:tcPr>
          <w:p w:rsidRPr="0017433D" w:rsidR="00315371" w:rsidP="0017433D" w:rsidRDefault="00315371">
            <w:pPr>
              <w:rPr>
                <w:rFonts w:ascii="Verdana" w:hAnsi="Verdana"/>
                <w:sz w:val="16"/>
                <w:szCs w:val="16"/>
              </w:rPr>
            </w:pP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 (subtotaal)</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Totaal Internationale samenwerking</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r w:rsidRPr="0017433D" w:rsidR="00315371" w:rsidTr="0017433D">
        <w:tc>
          <w:tcPr>
            <w:tcW w:w="2122" w:type="pct"/>
            <w:tcBorders>
              <w:left w:val="nil"/>
              <w:right w:val="nil"/>
            </w:tcBorders>
          </w:tcPr>
          <w:p w:rsidRPr="0017433D" w:rsidR="00315371" w:rsidP="0017433D" w:rsidRDefault="00315371">
            <w:pPr>
              <w:rPr>
                <w:rFonts w:ascii="Verdana" w:hAnsi="Verdana" w:cs="Courier New"/>
                <w:sz w:val="16"/>
                <w:szCs w:val="16"/>
              </w:rPr>
            </w:pPr>
            <w:r w:rsidRPr="0017433D">
              <w:rPr>
                <w:rFonts w:ascii="Verdana" w:hAnsi="Verdana" w:cs="Courier New"/>
                <w:sz w:val="16"/>
                <w:szCs w:val="16"/>
              </w:rPr>
              <w:t>Stand Voorjaarsnota 2012</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c>
          <w:tcPr>
            <w:tcW w:w="576" w:type="pct"/>
            <w:tcBorders>
              <w:top w:val="single" w:color="000000" w:sz="6" w:space="0"/>
              <w:left w:val="nil"/>
              <w:right w:val="nil"/>
            </w:tcBorders>
          </w:tcPr>
          <w:p w:rsidRPr="0017433D" w:rsidR="00315371" w:rsidP="0017433D" w:rsidRDefault="00315371">
            <w:pPr>
              <w:jc w:val="right"/>
              <w:rPr>
                <w:rFonts w:ascii="Verdana" w:hAnsi="Verdana" w:cs="Courier New"/>
                <w:sz w:val="16"/>
                <w:szCs w:val="16"/>
              </w:rPr>
            </w:pPr>
            <w:r w:rsidRPr="0017433D">
              <w:rPr>
                <w:rFonts w:ascii="Verdana" w:hAnsi="Verdana" w:cs="Courier New"/>
                <w:sz w:val="16"/>
                <w:szCs w:val="16"/>
              </w:rPr>
              <w:t>0,0</w:t>
            </w:r>
          </w:p>
        </w:tc>
      </w:tr>
    </w:tbl>
    <w:p w:rsidR="00315371" w:rsidP="0017433D" w:rsidRDefault="00315371">
      <w:pPr>
        <w:spacing w:line="360" w:lineRule="auto"/>
        <w:rPr>
          <w:rFonts w:ascii="Verdana" w:hAnsi="Verdana" w:cs="Arial"/>
          <w:i/>
          <w:sz w:val="18"/>
          <w:szCs w:val="18"/>
        </w:rPr>
      </w:pPr>
    </w:p>
    <w:p w:rsidR="00315371" w:rsidP="002065F2" w:rsidRDefault="00315371">
      <w:pPr>
        <w:spacing w:line="276" w:lineRule="auto"/>
        <w:rPr>
          <w:rFonts w:ascii="Verdana" w:hAnsi="Verdana" w:cs="Arial"/>
          <w:i/>
          <w:sz w:val="18"/>
          <w:szCs w:val="18"/>
        </w:rPr>
      </w:pPr>
    </w:p>
    <w:p w:rsidRPr="0017300C" w:rsidR="00315371" w:rsidP="002065F2" w:rsidRDefault="00315371">
      <w:pPr>
        <w:spacing w:line="276" w:lineRule="auto"/>
        <w:rPr>
          <w:rFonts w:ascii="Verdana" w:hAnsi="Verdana" w:cs="Arial"/>
          <w:i/>
          <w:sz w:val="18"/>
          <w:szCs w:val="18"/>
        </w:rPr>
      </w:pPr>
      <w:r w:rsidRPr="0017300C">
        <w:rPr>
          <w:rFonts w:ascii="Verdana" w:hAnsi="Verdana" w:cs="Arial"/>
          <w:i/>
          <w:sz w:val="18"/>
          <w:szCs w:val="18"/>
        </w:rPr>
        <w:t>Diversen</w:t>
      </w:r>
    </w:p>
    <w:p w:rsidRPr="0017300C" w:rsidR="00315371" w:rsidP="002065F2" w:rsidRDefault="00315371">
      <w:pPr>
        <w:spacing w:line="276" w:lineRule="auto"/>
        <w:rPr>
          <w:rFonts w:ascii="Verdana" w:hAnsi="Verdana" w:cs="Arial"/>
          <w:sz w:val="18"/>
          <w:szCs w:val="18"/>
        </w:rPr>
      </w:pPr>
      <w:r w:rsidRPr="0017300C">
        <w:rPr>
          <w:rFonts w:ascii="Verdana" w:hAnsi="Verdana" w:cs="Arial"/>
          <w:sz w:val="18"/>
          <w:szCs w:val="18"/>
        </w:rPr>
        <w:t>De diversenpost bestaat grotendeels uit departementale bijdragen aan het BES-fonds in het kader van het afgeronde referentieonderzoek. Hierin werd geconcludeerd dat het fonds tekort schoot voor een adequate uitvoering van taken. Met deze verhoging worden de eilanden toereikend gefinancierd.</w:t>
      </w:r>
    </w:p>
    <w:p w:rsidR="00315371" w:rsidP="002065F2" w:rsidRDefault="00315371">
      <w:pPr>
        <w:spacing w:line="276" w:lineRule="auto"/>
      </w:pPr>
      <w:r>
        <w:br w:type="page"/>
      </w:r>
    </w:p>
    <w:p w:rsidRPr="00C11F96" w:rsidR="00315371" w:rsidP="00174971" w:rsidRDefault="00315371">
      <w:pPr>
        <w:rPr>
          <w:rFonts w:ascii="Verdana" w:hAnsi="Verdana" w:cs="Courier New"/>
          <w:b/>
          <w:sz w:val="18"/>
          <w:szCs w:val="18"/>
        </w:rPr>
      </w:pPr>
      <w:r w:rsidRPr="00C11F96">
        <w:rPr>
          <w:rFonts w:ascii="Verdana" w:hAnsi="Verdana" w:cs="Courier New"/>
          <w:b/>
          <w:sz w:val="18"/>
          <w:szCs w:val="18"/>
        </w:rPr>
        <w:t>Arbeidsvoorwaarden</w:t>
      </w:r>
    </w:p>
    <w:tbl>
      <w:tblPr>
        <w:tblW w:w="5000" w:type="pct"/>
        <w:tblCellMar>
          <w:top w:w="15" w:type="dxa"/>
          <w:left w:w="15" w:type="dxa"/>
          <w:bottom w:w="15" w:type="dxa"/>
          <w:right w:w="15" w:type="dxa"/>
        </w:tblCellMar>
        <w:tblLook w:val="00A0"/>
      </w:tblPr>
      <w:tblGrid>
        <w:gridCol w:w="3675"/>
        <w:gridCol w:w="1085"/>
        <w:gridCol w:w="1085"/>
        <w:gridCol w:w="1085"/>
        <w:gridCol w:w="1085"/>
        <w:gridCol w:w="1087"/>
      </w:tblGrid>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7"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ARBEIDSVOORWAARDEN: UITGAVEN</w:t>
            </w:r>
          </w:p>
        </w:tc>
        <w:tc>
          <w:tcPr>
            <w:tcW w:w="2981" w:type="pct"/>
            <w:gridSpan w:val="5"/>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bedragen in miljoenen euro's</w:t>
            </w:r>
          </w:p>
        </w:tc>
      </w:tr>
      <w:tr w:rsidRPr="00A601CB" w:rsidR="00315371" w:rsidTr="00A601CB">
        <w:tc>
          <w:tcPr>
            <w:tcW w:w="2019"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p>
        </w:tc>
        <w:tc>
          <w:tcPr>
            <w:tcW w:w="596"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2012</w:t>
            </w:r>
          </w:p>
        </w:tc>
        <w:tc>
          <w:tcPr>
            <w:tcW w:w="596"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2013</w:t>
            </w:r>
          </w:p>
        </w:tc>
        <w:tc>
          <w:tcPr>
            <w:tcW w:w="596"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2014</w:t>
            </w:r>
          </w:p>
        </w:tc>
        <w:tc>
          <w:tcPr>
            <w:tcW w:w="596"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2015</w:t>
            </w:r>
          </w:p>
        </w:tc>
        <w:tc>
          <w:tcPr>
            <w:tcW w:w="597"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2016</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Stand Miljoenennota 2012 (excl. IS)</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1.456,9</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3.048,7</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4.663,7</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6.199,6</w:t>
            </w:r>
          </w:p>
        </w:tc>
        <w:tc>
          <w:tcPr>
            <w:tcW w:w="597"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7.551,2</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Mee- en tegenvallers</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Rijksbegroting in enge zin</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Nominale ontwikkeling</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-221,7</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-540,3</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-836,3</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-997,5</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-1.093,1</w:t>
            </w: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Sociale zekerheid</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Nominale ontwikkeling</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-51,7</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-68,2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-77,8</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-78,2</w:t>
            </w: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Zorg</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Nominale ontwikkeling</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-9,5</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-25,3</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-37,5</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-44,8</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-51,2</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-232,6</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-617,3</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-942,0</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-1.120,1</w:t>
            </w:r>
          </w:p>
        </w:tc>
        <w:tc>
          <w:tcPr>
            <w:tcW w:w="597"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-1.222,5</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Beleidsmatige mutaties</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Rijksbegroting in enge zin</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Nullijn 2012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-790,1</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-792,7</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-794,4</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-793,9</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-790,6</w:t>
            </w: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Sociale zekerheid</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Nullijn 2012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-93,7</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-90,1</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-87,3</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-86,6</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-89,4</w:t>
            </w: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Zorg</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Nullijn 2012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-14,1</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-15,2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-16,3</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-17,4</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-18,0</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-897,9</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-898,0</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-898,0</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-897,9</w:t>
            </w:r>
          </w:p>
        </w:tc>
        <w:tc>
          <w:tcPr>
            <w:tcW w:w="597"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-898,0</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Technische mutaties</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Rijksbegroting in enge zin</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Loonbijstelling tranche 2012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-264,2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-261,4</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-256,2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-252,5</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-252,1</w:t>
            </w: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Sociale zekerheid</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Loonbijstelling tranche 2012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-40,3</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-38,4</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-36,6</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-35,6</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-36,0</w:t>
            </w: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Zorg</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Diversen</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-9,7</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-10,7</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-11,1</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-11,2</w:t>
            </w:r>
          </w:p>
        </w:tc>
      </w:tr>
      <w:tr w:rsidRPr="00A601CB" w:rsidR="00315371" w:rsidTr="00A601CB">
        <w:tc>
          <w:tcPr>
            <w:tcW w:w="2019"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Niet tot een ijklijn behorend</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Diversen</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-2,8</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-3,8</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-4,4</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-4,4</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-4,5</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-317,0</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-313,8</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-307,9</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-303,6</w:t>
            </w:r>
          </w:p>
        </w:tc>
        <w:tc>
          <w:tcPr>
            <w:tcW w:w="597"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-303,8</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p>
        </w:tc>
        <w:tc>
          <w:tcPr>
            <w:tcW w:w="596" w:type="pct"/>
            <w:vAlign w:val="center"/>
          </w:tcPr>
          <w:p w:rsidRPr="00A601CB" w:rsidR="00315371" w:rsidP="00A601CB" w:rsidRDefault="00315371">
            <w:pPr>
              <w:rPr>
                <w:rFonts w:ascii="Verdana" w:hAnsi="Verdana"/>
                <w:sz w:val="16"/>
                <w:szCs w:val="16"/>
              </w:rPr>
            </w:pPr>
          </w:p>
        </w:tc>
        <w:tc>
          <w:tcPr>
            <w:tcW w:w="596" w:type="pct"/>
            <w:vAlign w:val="center"/>
          </w:tcPr>
          <w:p w:rsidRPr="00A601CB" w:rsidR="00315371" w:rsidP="00A601CB" w:rsidRDefault="00315371">
            <w:pPr>
              <w:rPr>
                <w:rFonts w:ascii="Verdana" w:hAnsi="Verdana"/>
                <w:sz w:val="16"/>
                <w:szCs w:val="16"/>
              </w:rPr>
            </w:pPr>
          </w:p>
        </w:tc>
        <w:tc>
          <w:tcPr>
            <w:tcW w:w="596" w:type="pct"/>
            <w:vAlign w:val="center"/>
          </w:tcPr>
          <w:p w:rsidRPr="00A601CB" w:rsidR="00315371" w:rsidP="00A601CB" w:rsidRDefault="00315371">
            <w:pPr>
              <w:rPr>
                <w:rFonts w:ascii="Verdana" w:hAnsi="Verdana"/>
                <w:sz w:val="16"/>
                <w:szCs w:val="16"/>
              </w:rPr>
            </w:pPr>
          </w:p>
        </w:tc>
        <w:tc>
          <w:tcPr>
            <w:tcW w:w="596" w:type="pct"/>
            <w:vAlign w:val="center"/>
          </w:tcPr>
          <w:p w:rsidRPr="00A601CB" w:rsidR="00315371" w:rsidP="00A601CB" w:rsidRDefault="00315371">
            <w:pPr>
              <w:rPr>
                <w:rFonts w:ascii="Verdana" w:hAnsi="Verdana"/>
                <w:sz w:val="16"/>
                <w:szCs w:val="16"/>
              </w:rPr>
            </w:pPr>
          </w:p>
        </w:tc>
        <w:tc>
          <w:tcPr>
            <w:tcW w:w="597" w:type="pct"/>
            <w:vAlign w:val="center"/>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Totaal mutaties sinds Miljoenennota 2012</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-1.447,4</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-1.829,0</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-2.147,8</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-2.321,9</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-2.424,2</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6" w:type="pct"/>
          </w:tcPr>
          <w:p w:rsidRPr="00A601CB" w:rsidR="00315371" w:rsidP="00A601CB" w:rsidRDefault="00315371">
            <w:pPr>
              <w:rPr>
                <w:rFonts w:ascii="Verdana" w:hAnsi="Verdana"/>
                <w:sz w:val="16"/>
                <w:szCs w:val="16"/>
              </w:rPr>
            </w:pPr>
          </w:p>
        </w:tc>
        <w:tc>
          <w:tcPr>
            <w:tcW w:w="597" w:type="pct"/>
          </w:tcPr>
          <w:p w:rsidRPr="00A601CB" w:rsidR="00315371" w:rsidP="00A601CB" w:rsidRDefault="00315371">
            <w:pPr>
              <w:rPr>
                <w:rFonts w:ascii="Verdana" w:hAnsi="Verdana"/>
                <w:sz w:val="16"/>
                <w:szCs w:val="16"/>
              </w:rPr>
            </w:pP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Stand Voorjaarsnota 2012 (subtotaal)</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9,5</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1.219,7</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2.515,9</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3.877,7</w:t>
            </w:r>
          </w:p>
        </w:tc>
        <w:tc>
          <w:tcPr>
            <w:tcW w:w="597"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5.127,0</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Totaal Internationale samenwerking</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596"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597"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r>
      <w:tr w:rsidRPr="00A601CB" w:rsidR="00315371" w:rsidTr="00A601CB">
        <w:tc>
          <w:tcPr>
            <w:tcW w:w="2019"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Stand Voorjaarsnota 2012</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9,5</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1.219,7</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2.515,9</w:t>
            </w:r>
          </w:p>
        </w:tc>
        <w:tc>
          <w:tcPr>
            <w:tcW w:w="596"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3.877,7</w:t>
            </w:r>
          </w:p>
        </w:tc>
        <w:tc>
          <w:tcPr>
            <w:tcW w:w="597"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5.127,0</w:t>
            </w:r>
          </w:p>
        </w:tc>
      </w:tr>
    </w:tbl>
    <w:p w:rsidR="00315371" w:rsidP="00174971" w:rsidRDefault="00315371">
      <w:pPr>
        <w:rPr>
          <w:rFonts w:ascii="Verdana" w:hAnsi="Verdana" w:cs="Courier New"/>
          <w:i/>
          <w:sz w:val="18"/>
          <w:szCs w:val="18"/>
        </w:rPr>
      </w:pPr>
    </w:p>
    <w:p w:rsidR="00315371" w:rsidP="00174971" w:rsidRDefault="00315371">
      <w:pPr>
        <w:rPr>
          <w:rFonts w:ascii="Verdana" w:hAnsi="Verdana" w:cs="Courier New"/>
          <w:i/>
          <w:sz w:val="18"/>
          <w:szCs w:val="18"/>
        </w:rPr>
      </w:pPr>
    </w:p>
    <w:tbl>
      <w:tblPr>
        <w:tblW w:w="5000" w:type="pct"/>
        <w:tblCellMar>
          <w:top w:w="15" w:type="dxa"/>
          <w:left w:w="15" w:type="dxa"/>
          <w:bottom w:w="15" w:type="dxa"/>
          <w:right w:w="15" w:type="dxa"/>
        </w:tblCellMar>
        <w:tblLook w:val="00A0"/>
      </w:tblPr>
      <w:tblGrid>
        <w:gridCol w:w="4055"/>
        <w:gridCol w:w="1010"/>
        <w:gridCol w:w="1010"/>
        <w:gridCol w:w="1010"/>
        <w:gridCol w:w="1010"/>
        <w:gridCol w:w="1007"/>
      </w:tblGrid>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 </w:t>
            </w:r>
          </w:p>
        </w:tc>
        <w:tc>
          <w:tcPr>
            <w:tcW w:w="555"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 </w:t>
            </w:r>
          </w:p>
        </w:tc>
        <w:tc>
          <w:tcPr>
            <w:tcW w:w="555"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 </w:t>
            </w:r>
          </w:p>
        </w:tc>
        <w:tc>
          <w:tcPr>
            <w:tcW w:w="555"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 </w:t>
            </w:r>
          </w:p>
        </w:tc>
        <w:tc>
          <w:tcPr>
            <w:tcW w:w="555"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 </w:t>
            </w:r>
          </w:p>
        </w:tc>
        <w:tc>
          <w:tcPr>
            <w:tcW w:w="555"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 </w:t>
            </w: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ARBEIDSVOORWAARDEN: NIET-BELASTINGONTVANGSTEN</w:t>
            </w:r>
          </w:p>
        </w:tc>
        <w:tc>
          <w:tcPr>
            <w:tcW w:w="2773" w:type="pct"/>
            <w:gridSpan w:val="5"/>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bedragen in miljoenen euro's</w:t>
            </w:r>
          </w:p>
        </w:tc>
      </w:tr>
      <w:tr w:rsidRPr="00C11F96" w:rsidR="00315371" w:rsidTr="00C11F96">
        <w:tc>
          <w:tcPr>
            <w:tcW w:w="2227" w:type="pct"/>
            <w:tcBorders>
              <w:top w:val="single" w:color="000000" w:sz="6" w:space="0"/>
              <w:left w:val="nil"/>
              <w:bottom w:val="single" w:color="000000" w:sz="6" w:space="0"/>
              <w:right w:val="nil"/>
            </w:tcBorders>
          </w:tcPr>
          <w:p w:rsidRPr="00C11F96" w:rsidR="00315371" w:rsidP="002065F2" w:rsidRDefault="00315371">
            <w:pPr>
              <w:jc w:val="right"/>
              <w:rPr>
                <w:rFonts w:ascii="Verdana" w:hAnsi="Verdana" w:cs="Courier New"/>
                <w:sz w:val="16"/>
                <w:szCs w:val="16"/>
              </w:rPr>
            </w:pPr>
          </w:p>
        </w:tc>
        <w:tc>
          <w:tcPr>
            <w:tcW w:w="555" w:type="pct"/>
            <w:tcBorders>
              <w:top w:val="single" w:color="000000" w:sz="6" w:space="0"/>
              <w:left w:val="nil"/>
              <w:bottom w:val="single" w:color="000000" w:sz="6" w:space="0"/>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2012</w:t>
            </w:r>
          </w:p>
        </w:tc>
        <w:tc>
          <w:tcPr>
            <w:tcW w:w="555" w:type="pct"/>
            <w:tcBorders>
              <w:top w:val="single" w:color="000000" w:sz="6" w:space="0"/>
              <w:left w:val="nil"/>
              <w:bottom w:val="single" w:color="000000" w:sz="6" w:space="0"/>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2013</w:t>
            </w:r>
          </w:p>
        </w:tc>
        <w:tc>
          <w:tcPr>
            <w:tcW w:w="555" w:type="pct"/>
            <w:tcBorders>
              <w:top w:val="single" w:color="000000" w:sz="6" w:space="0"/>
              <w:left w:val="nil"/>
              <w:bottom w:val="single" w:color="000000" w:sz="6" w:space="0"/>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2014</w:t>
            </w:r>
          </w:p>
        </w:tc>
        <w:tc>
          <w:tcPr>
            <w:tcW w:w="555" w:type="pct"/>
            <w:tcBorders>
              <w:top w:val="single" w:color="000000" w:sz="6" w:space="0"/>
              <w:left w:val="nil"/>
              <w:bottom w:val="single" w:color="000000" w:sz="6" w:space="0"/>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2015</w:t>
            </w:r>
          </w:p>
        </w:tc>
        <w:tc>
          <w:tcPr>
            <w:tcW w:w="555" w:type="pct"/>
            <w:tcBorders>
              <w:top w:val="single" w:color="000000" w:sz="6" w:space="0"/>
              <w:left w:val="nil"/>
              <w:bottom w:val="single" w:color="000000" w:sz="6" w:space="0"/>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2016</w:t>
            </w: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Stand Miljoenennota 2012 (excl. IS)</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p>
        </w:tc>
        <w:tc>
          <w:tcPr>
            <w:tcW w:w="555" w:type="pct"/>
            <w:vAlign w:val="center"/>
          </w:tcPr>
          <w:p w:rsidRPr="00C11F96" w:rsidR="00315371" w:rsidP="002065F2" w:rsidRDefault="00315371">
            <w:pPr>
              <w:rPr>
                <w:rFonts w:ascii="Verdana" w:hAnsi="Verdana"/>
                <w:sz w:val="16"/>
                <w:szCs w:val="16"/>
              </w:rPr>
            </w:pPr>
          </w:p>
        </w:tc>
        <w:tc>
          <w:tcPr>
            <w:tcW w:w="555" w:type="pct"/>
            <w:vAlign w:val="center"/>
          </w:tcPr>
          <w:p w:rsidRPr="00C11F96" w:rsidR="00315371" w:rsidP="002065F2" w:rsidRDefault="00315371">
            <w:pPr>
              <w:rPr>
                <w:rFonts w:ascii="Verdana" w:hAnsi="Verdana"/>
                <w:sz w:val="16"/>
                <w:szCs w:val="16"/>
              </w:rPr>
            </w:pPr>
          </w:p>
        </w:tc>
        <w:tc>
          <w:tcPr>
            <w:tcW w:w="555" w:type="pct"/>
            <w:vAlign w:val="center"/>
          </w:tcPr>
          <w:p w:rsidRPr="00C11F96" w:rsidR="00315371" w:rsidP="002065F2" w:rsidRDefault="00315371">
            <w:pPr>
              <w:rPr>
                <w:rFonts w:ascii="Verdana" w:hAnsi="Verdana"/>
                <w:sz w:val="16"/>
                <w:szCs w:val="16"/>
              </w:rPr>
            </w:pPr>
          </w:p>
        </w:tc>
        <w:tc>
          <w:tcPr>
            <w:tcW w:w="555" w:type="pct"/>
            <w:vAlign w:val="center"/>
          </w:tcPr>
          <w:p w:rsidRPr="00C11F96" w:rsidR="00315371" w:rsidP="002065F2" w:rsidRDefault="00315371">
            <w:pPr>
              <w:rPr>
                <w:rFonts w:ascii="Verdana" w:hAnsi="Verdana"/>
                <w:sz w:val="16"/>
                <w:szCs w:val="16"/>
              </w:rPr>
            </w:pPr>
          </w:p>
        </w:tc>
        <w:tc>
          <w:tcPr>
            <w:tcW w:w="555" w:type="pct"/>
            <w:vAlign w:val="center"/>
          </w:tcPr>
          <w:p w:rsidRPr="00C11F96" w:rsidR="00315371" w:rsidP="002065F2" w:rsidRDefault="00315371">
            <w:pPr>
              <w:rPr>
                <w:rFonts w:ascii="Verdana" w:hAnsi="Verdana"/>
                <w:sz w:val="16"/>
                <w:szCs w:val="16"/>
              </w:rPr>
            </w:pP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Totaal mutaties sinds Miljoenennota 2012</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 </w:t>
            </w:r>
          </w:p>
        </w:tc>
        <w:tc>
          <w:tcPr>
            <w:tcW w:w="555" w:type="pct"/>
          </w:tcPr>
          <w:p w:rsidRPr="00C11F96" w:rsidR="00315371" w:rsidP="002065F2" w:rsidRDefault="00315371">
            <w:pPr>
              <w:rPr>
                <w:rFonts w:ascii="Verdana" w:hAnsi="Verdana"/>
                <w:sz w:val="16"/>
                <w:szCs w:val="16"/>
              </w:rPr>
            </w:pPr>
          </w:p>
        </w:tc>
        <w:tc>
          <w:tcPr>
            <w:tcW w:w="555" w:type="pct"/>
          </w:tcPr>
          <w:p w:rsidRPr="00C11F96" w:rsidR="00315371" w:rsidP="002065F2" w:rsidRDefault="00315371">
            <w:pPr>
              <w:rPr>
                <w:rFonts w:ascii="Verdana" w:hAnsi="Verdana"/>
                <w:sz w:val="16"/>
                <w:szCs w:val="16"/>
              </w:rPr>
            </w:pPr>
          </w:p>
        </w:tc>
        <w:tc>
          <w:tcPr>
            <w:tcW w:w="555" w:type="pct"/>
          </w:tcPr>
          <w:p w:rsidRPr="00C11F96" w:rsidR="00315371" w:rsidP="002065F2" w:rsidRDefault="00315371">
            <w:pPr>
              <w:rPr>
                <w:rFonts w:ascii="Verdana" w:hAnsi="Verdana"/>
                <w:sz w:val="16"/>
                <w:szCs w:val="16"/>
              </w:rPr>
            </w:pPr>
          </w:p>
        </w:tc>
        <w:tc>
          <w:tcPr>
            <w:tcW w:w="555" w:type="pct"/>
          </w:tcPr>
          <w:p w:rsidRPr="00C11F96" w:rsidR="00315371" w:rsidP="002065F2" w:rsidRDefault="00315371">
            <w:pPr>
              <w:rPr>
                <w:rFonts w:ascii="Verdana" w:hAnsi="Verdana"/>
                <w:sz w:val="16"/>
                <w:szCs w:val="16"/>
              </w:rPr>
            </w:pPr>
          </w:p>
        </w:tc>
        <w:tc>
          <w:tcPr>
            <w:tcW w:w="555" w:type="pct"/>
          </w:tcPr>
          <w:p w:rsidRPr="00C11F96" w:rsidR="00315371" w:rsidP="002065F2" w:rsidRDefault="00315371">
            <w:pPr>
              <w:rPr>
                <w:rFonts w:ascii="Verdana" w:hAnsi="Verdana"/>
                <w:sz w:val="16"/>
                <w:szCs w:val="16"/>
              </w:rPr>
            </w:pP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Stand Voorjaarsnota 2012 (subtotaal)</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Totaal Internationale samenwerking</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r>
      <w:tr w:rsidRPr="00C11F96" w:rsidR="00315371" w:rsidTr="00C11F96">
        <w:tc>
          <w:tcPr>
            <w:tcW w:w="2227" w:type="pct"/>
            <w:tcBorders>
              <w:left w:val="nil"/>
              <w:right w:val="nil"/>
            </w:tcBorders>
          </w:tcPr>
          <w:p w:rsidRPr="00C11F96" w:rsidR="00315371" w:rsidP="002065F2" w:rsidRDefault="00315371">
            <w:pPr>
              <w:rPr>
                <w:rFonts w:ascii="Verdana" w:hAnsi="Verdana" w:cs="Courier New"/>
                <w:sz w:val="16"/>
                <w:szCs w:val="16"/>
              </w:rPr>
            </w:pPr>
            <w:r w:rsidRPr="00C11F96">
              <w:rPr>
                <w:rFonts w:ascii="Verdana" w:hAnsi="Verdana" w:cs="Courier New"/>
                <w:sz w:val="16"/>
                <w:szCs w:val="16"/>
              </w:rPr>
              <w:t>Stand Voorjaarsnota 2012</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c>
          <w:tcPr>
            <w:tcW w:w="555" w:type="pct"/>
            <w:tcBorders>
              <w:top w:val="single" w:color="000000" w:sz="6" w:space="0"/>
              <w:left w:val="nil"/>
              <w:right w:val="nil"/>
            </w:tcBorders>
          </w:tcPr>
          <w:p w:rsidRPr="00C11F96" w:rsidR="00315371" w:rsidP="002065F2" w:rsidRDefault="00315371">
            <w:pPr>
              <w:jc w:val="right"/>
              <w:rPr>
                <w:rFonts w:ascii="Verdana" w:hAnsi="Verdana" w:cs="Courier New"/>
                <w:sz w:val="16"/>
                <w:szCs w:val="16"/>
              </w:rPr>
            </w:pPr>
            <w:r w:rsidRPr="00C11F96">
              <w:rPr>
                <w:rFonts w:ascii="Verdana" w:hAnsi="Verdana" w:cs="Courier New"/>
                <w:sz w:val="16"/>
                <w:szCs w:val="16"/>
              </w:rPr>
              <w:t>0,0</w:t>
            </w:r>
          </w:p>
        </w:tc>
      </w:tr>
    </w:tbl>
    <w:p w:rsidR="00315371" w:rsidP="00174971" w:rsidRDefault="00315371">
      <w:pPr>
        <w:rPr>
          <w:rFonts w:ascii="Verdana" w:hAnsi="Verdana" w:cs="Courier New"/>
          <w:i/>
          <w:sz w:val="18"/>
          <w:szCs w:val="18"/>
        </w:rPr>
      </w:pPr>
    </w:p>
    <w:p w:rsidR="00315371" w:rsidP="00174971" w:rsidRDefault="00315371">
      <w:pPr>
        <w:rPr>
          <w:rFonts w:ascii="Verdana" w:hAnsi="Verdana" w:cs="Courier New"/>
          <w:i/>
          <w:sz w:val="18"/>
          <w:szCs w:val="18"/>
        </w:rPr>
      </w:pPr>
    </w:p>
    <w:p w:rsidR="00315371" w:rsidP="00174971" w:rsidRDefault="00315371">
      <w:pPr>
        <w:rPr>
          <w:rFonts w:ascii="Verdana" w:hAnsi="Verdana" w:cs="Courier New"/>
          <w:i/>
          <w:sz w:val="18"/>
          <w:szCs w:val="18"/>
        </w:rPr>
      </w:pPr>
    </w:p>
    <w:p w:rsidRPr="007A0E2F" w:rsidR="00315371" w:rsidP="00212995" w:rsidRDefault="00315371">
      <w:pPr>
        <w:spacing w:line="276" w:lineRule="auto"/>
        <w:rPr>
          <w:rFonts w:ascii="Verdana" w:hAnsi="Verdana" w:cs="Courier New"/>
          <w:i/>
          <w:sz w:val="18"/>
          <w:szCs w:val="18"/>
        </w:rPr>
      </w:pPr>
      <w:r w:rsidRPr="007A0E2F">
        <w:rPr>
          <w:rFonts w:ascii="Verdana" w:hAnsi="Verdana" w:cs="Courier New"/>
          <w:i/>
          <w:sz w:val="18"/>
          <w:szCs w:val="18"/>
        </w:rPr>
        <w:t xml:space="preserve">Nominale ontwikkeling </w:t>
      </w:r>
    </w:p>
    <w:p w:rsidR="00315371" w:rsidP="00212995" w:rsidRDefault="00315371">
      <w:pPr>
        <w:spacing w:line="276" w:lineRule="auto"/>
        <w:rPr>
          <w:rFonts w:ascii="Verdana" w:hAnsi="Verdana"/>
          <w:sz w:val="18"/>
          <w:szCs w:val="18"/>
        </w:rPr>
      </w:pPr>
      <w:r w:rsidRPr="00823559">
        <w:rPr>
          <w:rFonts w:ascii="Verdana" w:hAnsi="Verdana"/>
          <w:sz w:val="18"/>
          <w:szCs w:val="18"/>
        </w:rPr>
        <w:t xml:space="preserve">Ten opzichte van de vorige Miljoenennota wordt de loon- en prijsontwikkeling nu </w:t>
      </w:r>
      <w:r>
        <w:rPr>
          <w:rFonts w:ascii="Verdana" w:hAnsi="Verdana"/>
          <w:sz w:val="18"/>
          <w:szCs w:val="18"/>
        </w:rPr>
        <w:t>lager</w:t>
      </w:r>
      <w:r w:rsidRPr="00823559">
        <w:rPr>
          <w:rFonts w:ascii="Verdana" w:hAnsi="Verdana"/>
          <w:sz w:val="18"/>
          <w:szCs w:val="18"/>
        </w:rPr>
        <w:t xml:space="preserve"> geraamd door het CPB. Deze ontwikkeling volgt uit de macro-bijstellingen.</w:t>
      </w:r>
      <w:r>
        <w:rPr>
          <w:rFonts w:ascii="Verdana" w:hAnsi="Verdana"/>
          <w:sz w:val="18"/>
          <w:szCs w:val="18"/>
        </w:rPr>
        <w:t xml:space="preserve"> </w:t>
      </w:r>
    </w:p>
    <w:p w:rsidR="00315371" w:rsidP="00212995" w:rsidRDefault="00315371">
      <w:pPr>
        <w:spacing w:line="276" w:lineRule="auto"/>
        <w:rPr>
          <w:rFonts w:ascii="Verdana" w:hAnsi="Verdana"/>
          <w:sz w:val="18"/>
          <w:szCs w:val="18"/>
        </w:rPr>
      </w:pPr>
    </w:p>
    <w:p w:rsidR="00315371" w:rsidP="00212995" w:rsidRDefault="00315371">
      <w:pPr>
        <w:spacing w:line="276" w:lineRule="auto"/>
        <w:rPr>
          <w:rFonts w:ascii="Verdana" w:hAnsi="Verdana"/>
          <w:sz w:val="18"/>
          <w:szCs w:val="18"/>
        </w:rPr>
      </w:pPr>
      <w:r>
        <w:rPr>
          <w:rFonts w:ascii="Verdana" w:hAnsi="Verdana"/>
          <w:sz w:val="18"/>
          <w:szCs w:val="18"/>
        </w:rPr>
        <w:t>Nullijn 2012</w:t>
      </w:r>
    </w:p>
    <w:p w:rsidR="00315371" w:rsidP="00212995" w:rsidRDefault="00315371">
      <w:pPr>
        <w:spacing w:line="276" w:lineRule="auto"/>
        <w:rPr>
          <w:rFonts w:ascii="Verdana" w:hAnsi="Verdana"/>
          <w:sz w:val="18"/>
          <w:szCs w:val="18"/>
        </w:rPr>
      </w:pPr>
      <w:r>
        <w:rPr>
          <w:rFonts w:ascii="Verdana" w:hAnsi="Verdana"/>
          <w:sz w:val="18"/>
          <w:szCs w:val="18"/>
        </w:rPr>
        <w:t>Dit betreft het inhouden van de nullijn 2012 voor ambtenaren zoals afgesproken in het Begrotingsakkoord.</w:t>
      </w:r>
    </w:p>
    <w:p w:rsidR="00315371" w:rsidP="00212995" w:rsidRDefault="00315371">
      <w:pPr>
        <w:spacing w:line="276" w:lineRule="auto"/>
        <w:rPr>
          <w:rFonts w:ascii="Verdana" w:hAnsi="Verdana"/>
          <w:sz w:val="18"/>
          <w:szCs w:val="18"/>
        </w:rPr>
      </w:pPr>
    </w:p>
    <w:p w:rsidRPr="00823559" w:rsidR="00315371" w:rsidP="00212995" w:rsidRDefault="00315371">
      <w:pPr>
        <w:spacing w:line="276" w:lineRule="auto"/>
        <w:rPr>
          <w:rFonts w:ascii="Verdana" w:hAnsi="Verdana"/>
          <w:sz w:val="18"/>
          <w:szCs w:val="18"/>
        </w:rPr>
      </w:pPr>
      <w:r w:rsidRPr="007A0E2F">
        <w:rPr>
          <w:rFonts w:ascii="Verdana" w:hAnsi="Verdana"/>
          <w:i/>
          <w:sz w:val="18"/>
          <w:szCs w:val="18"/>
        </w:rPr>
        <w:t>Loonbijstelling tranche 2012</w:t>
      </w:r>
      <w:r>
        <w:rPr>
          <w:rFonts w:ascii="Verdana" w:hAnsi="Verdana"/>
          <w:sz w:val="18"/>
          <w:szCs w:val="18"/>
        </w:rPr>
        <w:t xml:space="preserve"> </w:t>
      </w:r>
      <w:r>
        <w:rPr>
          <w:rFonts w:ascii="Verdana" w:hAnsi="Verdana"/>
          <w:sz w:val="18"/>
          <w:szCs w:val="18"/>
        </w:rPr>
        <w:br/>
        <w:t xml:space="preserve">De loonbijstelling tranche 2012 bestaat uit een vergoeding voor de sociale lasten voor de werkgever en is overgeboekt naar de departementale begrotingen. </w:t>
      </w:r>
    </w:p>
    <w:p w:rsidR="00315371" w:rsidP="00212995" w:rsidRDefault="00315371">
      <w:pPr>
        <w:spacing w:line="276" w:lineRule="auto"/>
        <w:rPr>
          <w:rFonts w:ascii="Courier New" w:hAnsi="Courier New" w:cs="Courier New"/>
          <w:sz w:val="14"/>
          <w:szCs w:val="14"/>
        </w:rPr>
      </w:pPr>
    </w:p>
    <w:p w:rsidR="00315371" w:rsidP="00212995" w:rsidRDefault="00315371">
      <w:pPr>
        <w:spacing w:line="276" w:lineRule="auto"/>
        <w:rPr>
          <w:rFonts w:ascii="Courier New" w:hAnsi="Courier New" w:cs="Courier New"/>
          <w:sz w:val="14"/>
          <w:szCs w:val="14"/>
        </w:rPr>
      </w:pPr>
      <w:r>
        <w:rPr>
          <w:rFonts w:ascii="Courier New" w:hAnsi="Courier New" w:cs="Courier New"/>
          <w:sz w:val="14"/>
          <w:szCs w:val="14"/>
        </w:rPr>
        <w:t> </w:t>
      </w:r>
    </w:p>
    <w:p w:rsidRPr="008D542A" w:rsidR="00315371" w:rsidP="00B92FA0" w:rsidRDefault="00315371">
      <w:pPr>
        <w:rPr>
          <w:rFonts w:ascii="Verdana" w:hAnsi="Verdana" w:cs="Courier New"/>
          <w:sz w:val="14"/>
          <w:szCs w:val="14"/>
        </w:rPr>
      </w:pPr>
    </w:p>
    <w:p w:rsidR="00315371" w:rsidRDefault="00315371">
      <w:pPr>
        <w:spacing w:after="200" w:line="276" w:lineRule="auto"/>
        <w:rPr>
          <w:rFonts w:ascii="Verdana" w:hAnsi="Verdana" w:cs="Courier New"/>
          <w:b/>
          <w:sz w:val="18"/>
          <w:szCs w:val="18"/>
        </w:rPr>
      </w:pPr>
      <w:r>
        <w:rPr>
          <w:rFonts w:ascii="Verdana" w:hAnsi="Verdana" w:cs="Courier New"/>
          <w:b/>
          <w:sz w:val="18"/>
          <w:szCs w:val="18"/>
        </w:rPr>
        <w:br w:type="page"/>
      </w:r>
    </w:p>
    <w:p w:rsidR="00315371" w:rsidP="00B92FA0" w:rsidRDefault="00315371">
      <w:pPr>
        <w:rPr>
          <w:rFonts w:ascii="Verdana" w:hAnsi="Verdana" w:cs="Courier New"/>
          <w:b/>
          <w:sz w:val="18"/>
          <w:szCs w:val="18"/>
        </w:rPr>
      </w:pPr>
      <w:r w:rsidRPr="00A601CB">
        <w:rPr>
          <w:rFonts w:ascii="Verdana" w:hAnsi="Verdana" w:cs="Courier New"/>
          <w:b/>
          <w:sz w:val="18"/>
          <w:szCs w:val="18"/>
        </w:rPr>
        <w:t>Koppeling uitkeringen</w:t>
      </w:r>
    </w:p>
    <w:tbl>
      <w:tblPr>
        <w:tblW w:w="5000" w:type="pct"/>
        <w:tblCellMar>
          <w:top w:w="15" w:type="dxa"/>
          <w:left w:w="15" w:type="dxa"/>
          <w:bottom w:w="15" w:type="dxa"/>
          <w:right w:w="15" w:type="dxa"/>
        </w:tblCellMar>
        <w:tblLook w:val="00A0"/>
      </w:tblPr>
      <w:tblGrid>
        <w:gridCol w:w="3812"/>
        <w:gridCol w:w="1043"/>
        <w:gridCol w:w="1043"/>
        <w:gridCol w:w="1043"/>
        <w:gridCol w:w="1043"/>
        <w:gridCol w:w="1118"/>
      </w:tblGrid>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73"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73"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73"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73"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61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KOPPELING UITKERINGEN: UITGAVEN</w:t>
            </w:r>
          </w:p>
        </w:tc>
        <w:tc>
          <w:tcPr>
            <w:tcW w:w="2906" w:type="pct"/>
            <w:gridSpan w:val="5"/>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bedragen in miljoenen euro's</w:t>
            </w:r>
          </w:p>
        </w:tc>
      </w:tr>
      <w:tr w:rsidRPr="00A601CB" w:rsidR="00315371" w:rsidTr="00A601CB">
        <w:tc>
          <w:tcPr>
            <w:tcW w:w="2094"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p>
        </w:tc>
        <w:tc>
          <w:tcPr>
            <w:tcW w:w="573"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2012</w:t>
            </w:r>
          </w:p>
        </w:tc>
        <w:tc>
          <w:tcPr>
            <w:tcW w:w="573"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2013</w:t>
            </w:r>
          </w:p>
        </w:tc>
        <w:tc>
          <w:tcPr>
            <w:tcW w:w="573"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2014</w:t>
            </w:r>
          </w:p>
        </w:tc>
        <w:tc>
          <w:tcPr>
            <w:tcW w:w="573"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2015</w:t>
            </w:r>
          </w:p>
        </w:tc>
        <w:tc>
          <w:tcPr>
            <w:tcW w:w="614" w:type="pct"/>
            <w:tcBorders>
              <w:top w:val="single" w:color="000000" w:sz="6" w:space="0"/>
              <w:left w:val="nil"/>
              <w:bottom w:val="single" w:color="000000" w:sz="6" w:space="0"/>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2016</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Stand Miljoenennota 2012 (excl. IS)</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113,8</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354,2</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582,5</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837,2</w:t>
            </w:r>
          </w:p>
        </w:tc>
        <w:tc>
          <w:tcPr>
            <w:tcW w:w="614"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1.111,3</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Mee- en tegenvallers</w:t>
            </w: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614" w:type="pct"/>
          </w:tcPr>
          <w:p w:rsidRPr="00A601CB" w:rsidR="00315371" w:rsidP="00A601CB" w:rsidRDefault="00315371">
            <w:pPr>
              <w:rPr>
                <w:rFonts w:ascii="Verdana" w:hAnsi="Verdana"/>
                <w:sz w:val="16"/>
                <w:szCs w:val="16"/>
              </w:rPr>
            </w:pPr>
          </w:p>
        </w:tc>
      </w:tr>
      <w:tr w:rsidRPr="00A601CB" w:rsidR="00315371" w:rsidTr="00A601CB">
        <w:tc>
          <w:tcPr>
            <w:tcW w:w="2094"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Sociale zekerheid</w:t>
            </w: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614" w:type="pct"/>
          </w:tcPr>
          <w:p w:rsidRPr="00A601CB" w:rsidR="00315371" w:rsidP="00A601CB" w:rsidRDefault="00315371">
            <w:pPr>
              <w:rPr>
                <w:rFonts w:ascii="Verdana" w:hAnsi="Verdana"/>
                <w:sz w:val="16"/>
                <w:szCs w:val="16"/>
              </w:rPr>
            </w:pPr>
          </w:p>
        </w:tc>
      </w:tr>
      <w:tr w:rsidRPr="00A601CB" w:rsidR="00315371" w:rsidTr="00A601CB">
        <w:tc>
          <w:tcPr>
            <w:tcW w:w="2094"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Nominale ontwikkeling</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-12,2</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-103,4</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-145,1</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-147,0</w:t>
            </w:r>
          </w:p>
        </w:tc>
        <w:tc>
          <w:tcPr>
            <w:tcW w:w="614"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-158,4</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-12,2</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-103,4</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-145,1</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-147,0</w:t>
            </w:r>
          </w:p>
        </w:tc>
        <w:tc>
          <w:tcPr>
            <w:tcW w:w="614"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-158,4</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Technische mutaties</w:t>
            </w: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614" w:type="pct"/>
          </w:tcPr>
          <w:p w:rsidRPr="00A601CB" w:rsidR="00315371" w:rsidP="00A601CB" w:rsidRDefault="00315371">
            <w:pPr>
              <w:rPr>
                <w:rFonts w:ascii="Verdana" w:hAnsi="Verdana"/>
                <w:sz w:val="16"/>
                <w:szCs w:val="16"/>
              </w:rPr>
            </w:pPr>
          </w:p>
        </w:tc>
      </w:tr>
      <w:tr w:rsidRPr="00A601CB" w:rsidR="00315371" w:rsidTr="00A601CB">
        <w:tc>
          <w:tcPr>
            <w:tcW w:w="2094" w:type="pct"/>
            <w:tcBorders>
              <w:left w:val="nil"/>
              <w:right w:val="nil"/>
            </w:tcBorders>
            <w:tcMar>
              <w:top w:w="15" w:type="dxa"/>
              <w:left w:w="180" w:type="dxa"/>
              <w:bottom w:w="15" w:type="dxa"/>
              <w:right w:w="15" w:type="dxa"/>
            </w:tcMar>
          </w:tcPr>
          <w:p w:rsidRPr="00A601CB" w:rsidR="00315371" w:rsidP="00A601CB" w:rsidRDefault="00315371">
            <w:pPr>
              <w:ind w:firstLine="160" w:firstLineChars="100"/>
              <w:rPr>
                <w:rFonts w:ascii="Verdana" w:hAnsi="Verdana" w:cs="Courier New"/>
                <w:sz w:val="16"/>
                <w:szCs w:val="16"/>
              </w:rPr>
            </w:pPr>
            <w:r w:rsidRPr="00A601CB">
              <w:rPr>
                <w:rFonts w:ascii="Verdana" w:hAnsi="Verdana" w:cs="Courier New"/>
                <w:sz w:val="16"/>
                <w:szCs w:val="16"/>
              </w:rPr>
              <w:t>Sociale zekerheid</w:t>
            </w: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614" w:type="pct"/>
          </w:tcPr>
          <w:p w:rsidRPr="00A601CB" w:rsidR="00315371" w:rsidP="00A601CB" w:rsidRDefault="00315371">
            <w:pPr>
              <w:rPr>
                <w:rFonts w:ascii="Verdana" w:hAnsi="Verdana"/>
                <w:sz w:val="16"/>
                <w:szCs w:val="16"/>
              </w:rPr>
            </w:pPr>
          </w:p>
        </w:tc>
      </w:tr>
      <w:tr w:rsidRPr="00A601CB" w:rsidR="00315371" w:rsidTr="00A601CB">
        <w:tc>
          <w:tcPr>
            <w:tcW w:w="2094" w:type="pct"/>
            <w:tcBorders>
              <w:left w:val="nil"/>
              <w:right w:val="nil"/>
            </w:tcBorders>
            <w:tcMar>
              <w:top w:w="15" w:type="dxa"/>
              <w:left w:w="360" w:type="dxa"/>
              <w:bottom w:w="15" w:type="dxa"/>
              <w:right w:w="15" w:type="dxa"/>
            </w:tcMar>
          </w:tcPr>
          <w:p w:rsidRPr="00A601CB" w:rsidR="00315371" w:rsidP="00A601CB" w:rsidRDefault="00315371">
            <w:pPr>
              <w:ind w:firstLine="320" w:firstLineChars="200"/>
              <w:rPr>
                <w:rFonts w:ascii="Verdana" w:hAnsi="Verdana" w:cs="Courier New"/>
                <w:sz w:val="16"/>
                <w:szCs w:val="16"/>
              </w:rPr>
            </w:pPr>
            <w:r w:rsidRPr="00A601CB">
              <w:rPr>
                <w:rFonts w:ascii="Verdana" w:hAnsi="Verdana" w:cs="Courier New"/>
                <w:sz w:val="16"/>
                <w:szCs w:val="16"/>
              </w:rPr>
              <w:t>Bruteringseffecten</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4,9</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58,1</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55,5</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48,2</w:t>
            </w:r>
          </w:p>
        </w:tc>
        <w:tc>
          <w:tcPr>
            <w:tcW w:w="614"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52,9</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4,9</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58,1</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55,5</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48,2</w:t>
            </w:r>
          </w:p>
        </w:tc>
        <w:tc>
          <w:tcPr>
            <w:tcW w:w="614"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52,9</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p>
        </w:tc>
        <w:tc>
          <w:tcPr>
            <w:tcW w:w="573" w:type="pct"/>
            <w:vAlign w:val="center"/>
          </w:tcPr>
          <w:p w:rsidRPr="00A601CB" w:rsidR="00315371" w:rsidP="00A601CB" w:rsidRDefault="00315371">
            <w:pPr>
              <w:rPr>
                <w:rFonts w:ascii="Verdana" w:hAnsi="Verdana"/>
                <w:sz w:val="16"/>
                <w:szCs w:val="16"/>
              </w:rPr>
            </w:pPr>
          </w:p>
        </w:tc>
        <w:tc>
          <w:tcPr>
            <w:tcW w:w="573" w:type="pct"/>
            <w:vAlign w:val="center"/>
          </w:tcPr>
          <w:p w:rsidRPr="00A601CB" w:rsidR="00315371" w:rsidP="00A601CB" w:rsidRDefault="00315371">
            <w:pPr>
              <w:rPr>
                <w:rFonts w:ascii="Verdana" w:hAnsi="Verdana"/>
                <w:sz w:val="16"/>
                <w:szCs w:val="16"/>
              </w:rPr>
            </w:pPr>
          </w:p>
        </w:tc>
        <w:tc>
          <w:tcPr>
            <w:tcW w:w="573" w:type="pct"/>
            <w:vAlign w:val="center"/>
          </w:tcPr>
          <w:p w:rsidRPr="00A601CB" w:rsidR="00315371" w:rsidP="00A601CB" w:rsidRDefault="00315371">
            <w:pPr>
              <w:rPr>
                <w:rFonts w:ascii="Verdana" w:hAnsi="Verdana"/>
                <w:sz w:val="16"/>
                <w:szCs w:val="16"/>
              </w:rPr>
            </w:pPr>
          </w:p>
        </w:tc>
        <w:tc>
          <w:tcPr>
            <w:tcW w:w="573" w:type="pct"/>
            <w:vAlign w:val="center"/>
          </w:tcPr>
          <w:p w:rsidRPr="00A601CB" w:rsidR="00315371" w:rsidP="00A601CB" w:rsidRDefault="00315371">
            <w:pPr>
              <w:rPr>
                <w:rFonts w:ascii="Verdana" w:hAnsi="Verdana"/>
                <w:sz w:val="16"/>
                <w:szCs w:val="16"/>
              </w:rPr>
            </w:pPr>
          </w:p>
        </w:tc>
        <w:tc>
          <w:tcPr>
            <w:tcW w:w="614" w:type="pct"/>
            <w:vAlign w:val="center"/>
          </w:tcPr>
          <w:p w:rsidRPr="00A601CB" w:rsidR="00315371" w:rsidP="00A601CB" w:rsidRDefault="00315371">
            <w:pPr>
              <w:rPr>
                <w:rFonts w:ascii="Verdana" w:hAnsi="Verdana"/>
                <w:sz w:val="16"/>
                <w:szCs w:val="16"/>
              </w:rPr>
            </w:pP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Totaal mutaties sinds Miljoenennota 2012</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-7,3</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-45,3</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-89,6</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-98,8</w:t>
            </w:r>
          </w:p>
        </w:tc>
        <w:tc>
          <w:tcPr>
            <w:tcW w:w="614"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-105,5</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 </w:t>
            </w: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573" w:type="pct"/>
          </w:tcPr>
          <w:p w:rsidRPr="00A601CB" w:rsidR="00315371" w:rsidP="00A601CB" w:rsidRDefault="00315371">
            <w:pPr>
              <w:rPr>
                <w:rFonts w:ascii="Verdana" w:hAnsi="Verdana"/>
                <w:sz w:val="16"/>
                <w:szCs w:val="16"/>
              </w:rPr>
            </w:pPr>
          </w:p>
        </w:tc>
        <w:tc>
          <w:tcPr>
            <w:tcW w:w="614" w:type="pct"/>
          </w:tcPr>
          <w:p w:rsidRPr="00A601CB" w:rsidR="00315371" w:rsidP="00A601CB" w:rsidRDefault="00315371">
            <w:pPr>
              <w:rPr>
                <w:rFonts w:ascii="Verdana" w:hAnsi="Verdana"/>
                <w:sz w:val="16"/>
                <w:szCs w:val="16"/>
              </w:rPr>
            </w:pP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Stand Voorjaarsnota 2012 (subtotaal)</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106,5</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308,9</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492,9</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738,4</w:t>
            </w:r>
          </w:p>
        </w:tc>
        <w:tc>
          <w:tcPr>
            <w:tcW w:w="614"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1.005,8</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Totaal Internationale samenwerking</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573"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c>
          <w:tcPr>
            <w:tcW w:w="614" w:type="pct"/>
            <w:tcBorders>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0,0</w:t>
            </w:r>
          </w:p>
        </w:tc>
      </w:tr>
      <w:tr w:rsidRPr="00A601CB" w:rsidR="00315371" w:rsidTr="00A601CB">
        <w:tc>
          <w:tcPr>
            <w:tcW w:w="2094" w:type="pct"/>
            <w:tcBorders>
              <w:left w:val="nil"/>
              <w:right w:val="nil"/>
            </w:tcBorders>
          </w:tcPr>
          <w:p w:rsidRPr="00A601CB" w:rsidR="00315371" w:rsidP="00A601CB" w:rsidRDefault="00315371">
            <w:pPr>
              <w:rPr>
                <w:rFonts w:ascii="Verdana" w:hAnsi="Verdana" w:cs="Courier New"/>
                <w:sz w:val="16"/>
                <w:szCs w:val="16"/>
              </w:rPr>
            </w:pPr>
            <w:r w:rsidRPr="00A601CB">
              <w:rPr>
                <w:rFonts w:ascii="Verdana" w:hAnsi="Verdana" w:cs="Courier New"/>
                <w:sz w:val="16"/>
                <w:szCs w:val="16"/>
              </w:rPr>
              <w:t>Stand Voorjaarsnota 2012</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106,5</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308,9</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492,9</w:t>
            </w:r>
          </w:p>
        </w:tc>
        <w:tc>
          <w:tcPr>
            <w:tcW w:w="573"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738,4</w:t>
            </w:r>
          </w:p>
        </w:tc>
        <w:tc>
          <w:tcPr>
            <w:tcW w:w="614" w:type="pct"/>
            <w:tcBorders>
              <w:top w:val="single" w:color="000000" w:sz="6" w:space="0"/>
              <w:left w:val="nil"/>
              <w:right w:val="nil"/>
            </w:tcBorders>
          </w:tcPr>
          <w:p w:rsidRPr="00A601CB" w:rsidR="00315371" w:rsidP="00A601CB" w:rsidRDefault="00315371">
            <w:pPr>
              <w:jc w:val="right"/>
              <w:rPr>
                <w:rFonts w:ascii="Verdana" w:hAnsi="Verdana" w:cs="Courier New"/>
                <w:sz w:val="16"/>
                <w:szCs w:val="16"/>
              </w:rPr>
            </w:pPr>
            <w:r w:rsidRPr="00A601CB">
              <w:rPr>
                <w:rFonts w:ascii="Verdana" w:hAnsi="Verdana" w:cs="Courier New"/>
                <w:sz w:val="16"/>
                <w:szCs w:val="16"/>
              </w:rPr>
              <w:t>1.005,8</w:t>
            </w:r>
          </w:p>
        </w:tc>
      </w:tr>
    </w:tbl>
    <w:p w:rsidR="00315371" w:rsidP="00B92FA0" w:rsidRDefault="00315371">
      <w:pPr>
        <w:rPr>
          <w:rFonts w:ascii="Verdana" w:hAnsi="Verdana" w:cs="Courier New"/>
          <w:b/>
          <w:sz w:val="18"/>
          <w:szCs w:val="18"/>
        </w:rPr>
      </w:pPr>
    </w:p>
    <w:p w:rsidRPr="00A601CB" w:rsidR="00315371" w:rsidP="00B92FA0" w:rsidRDefault="00315371">
      <w:pPr>
        <w:rPr>
          <w:rFonts w:ascii="Verdana" w:hAnsi="Verdana" w:cs="Courier New"/>
          <w:b/>
          <w:sz w:val="18"/>
          <w:szCs w:val="18"/>
        </w:rPr>
      </w:pPr>
    </w:p>
    <w:p w:rsidRPr="008D542A" w:rsidR="00315371" w:rsidP="00B92FA0" w:rsidRDefault="00315371">
      <w:pPr>
        <w:rPr>
          <w:rFonts w:ascii="Verdana" w:hAnsi="Verdana" w:cs="Courier New"/>
          <w:sz w:val="14"/>
          <w:szCs w:val="14"/>
        </w:rPr>
      </w:pPr>
      <w:r w:rsidRPr="008D542A">
        <w:rPr>
          <w:rFonts w:ascii="Verdana" w:hAnsi="Verdana" w:cs="Courier New"/>
          <w:sz w:val="14"/>
          <w:szCs w:val="14"/>
        </w:rPr>
        <w:t> </w:t>
      </w:r>
    </w:p>
    <w:p w:rsidR="00315371" w:rsidP="00212995" w:rsidRDefault="00315371">
      <w:pPr>
        <w:spacing w:line="276" w:lineRule="auto"/>
        <w:rPr>
          <w:rFonts w:ascii="Verdana" w:hAnsi="Verdana"/>
          <w:i/>
          <w:sz w:val="18"/>
          <w:szCs w:val="18"/>
        </w:rPr>
      </w:pPr>
      <w:r w:rsidRPr="00823559">
        <w:rPr>
          <w:rFonts w:ascii="Verdana" w:hAnsi="Verdana"/>
          <w:i/>
          <w:sz w:val="18"/>
          <w:szCs w:val="18"/>
        </w:rPr>
        <w:t>Nominale ontwikkeling</w:t>
      </w:r>
    </w:p>
    <w:p w:rsidRPr="00823559" w:rsidR="00315371" w:rsidP="00212995" w:rsidRDefault="00315371">
      <w:pPr>
        <w:spacing w:line="276" w:lineRule="auto"/>
        <w:rPr>
          <w:rFonts w:ascii="Verdana" w:hAnsi="Verdana"/>
          <w:sz w:val="18"/>
          <w:szCs w:val="18"/>
        </w:rPr>
      </w:pPr>
      <w:r w:rsidRPr="00823559">
        <w:rPr>
          <w:rFonts w:ascii="Verdana" w:hAnsi="Verdana"/>
          <w:sz w:val="18"/>
          <w:szCs w:val="18"/>
        </w:rPr>
        <w:t xml:space="preserve">Ten opzichte van de vorige Miljoenennota wordt de loon- en prijsontwikkeling nu </w:t>
      </w:r>
      <w:r>
        <w:rPr>
          <w:rFonts w:ascii="Verdana" w:hAnsi="Verdana"/>
          <w:sz w:val="18"/>
          <w:szCs w:val="18"/>
        </w:rPr>
        <w:t>lager</w:t>
      </w:r>
      <w:r w:rsidRPr="00823559">
        <w:rPr>
          <w:rFonts w:ascii="Verdana" w:hAnsi="Verdana"/>
          <w:sz w:val="18"/>
          <w:szCs w:val="18"/>
        </w:rPr>
        <w:t xml:space="preserve"> geraamd door het CPB. Deze ontwikkeling volgt uit de macro-bijstellingen.</w:t>
      </w:r>
    </w:p>
    <w:p w:rsidR="00315371" w:rsidP="00212995" w:rsidRDefault="00315371">
      <w:pPr>
        <w:spacing w:line="276" w:lineRule="auto"/>
        <w:rPr>
          <w:rFonts w:ascii="Verdana" w:hAnsi="Verdana" w:cs="Courier New"/>
          <w:sz w:val="18"/>
          <w:szCs w:val="18"/>
        </w:rPr>
      </w:pPr>
    </w:p>
    <w:p w:rsidRPr="00581C3A" w:rsidR="00315371" w:rsidP="00212995" w:rsidRDefault="00315371">
      <w:pPr>
        <w:spacing w:line="276" w:lineRule="auto"/>
        <w:rPr>
          <w:rFonts w:ascii="Verdana" w:hAnsi="Verdana"/>
          <w:i/>
          <w:sz w:val="18"/>
          <w:szCs w:val="18"/>
        </w:rPr>
      </w:pPr>
      <w:r w:rsidRPr="00581C3A">
        <w:rPr>
          <w:rFonts w:ascii="Verdana" w:hAnsi="Verdana"/>
          <w:i/>
          <w:sz w:val="18"/>
          <w:szCs w:val="18"/>
        </w:rPr>
        <w:t>Bruteringseffecten</w:t>
      </w:r>
    </w:p>
    <w:p w:rsidR="00315371" w:rsidP="00212995" w:rsidRDefault="00315371">
      <w:pPr>
        <w:spacing w:line="276" w:lineRule="auto"/>
        <w:rPr>
          <w:rFonts w:ascii="Verdana" w:hAnsi="Verdana"/>
          <w:sz w:val="18"/>
          <w:szCs w:val="18"/>
        </w:rPr>
      </w:pPr>
      <w:r w:rsidRPr="00581C3A">
        <w:rPr>
          <w:rFonts w:ascii="Verdana" w:hAnsi="Verdana"/>
          <w:sz w:val="18"/>
          <w:szCs w:val="18"/>
        </w:rPr>
        <w:t>Diverse uitkeringen zijn netto gekoppeld aan het netto minimum loon, maar kennen een ander bruto-netto traject dan het minimumloon. Wijzigingen in het bruto-netto traject van het minimumloon leiden tot aanpassing van het netto minimumloon. De uitkeringen die netto zijn gekoppeld worden evenredig aangepast, maar door het andere bruto-netto traject kan de bruto uitkering een afwijkende ontwikkeling vertonen dan die van het bruto minimumloon. Het effect hiervan op de uitkeringslasten wordt het bruteringseffect genoemd.</w:t>
      </w:r>
    </w:p>
    <w:p w:rsidR="00315371" w:rsidP="00212995" w:rsidRDefault="00315371">
      <w:pPr>
        <w:spacing w:after="200" w:line="276" w:lineRule="auto"/>
        <w:rPr>
          <w:rFonts w:ascii="Verdana" w:hAnsi="Verdana"/>
          <w:b/>
          <w:i/>
          <w:sz w:val="18"/>
          <w:szCs w:val="18"/>
        </w:rPr>
      </w:pPr>
      <w:r>
        <w:rPr>
          <w:rFonts w:ascii="Verdana" w:hAnsi="Verdana"/>
          <w:b/>
          <w:i/>
          <w:sz w:val="18"/>
          <w:szCs w:val="18"/>
        </w:rPr>
        <w:br w:type="page"/>
      </w:r>
    </w:p>
    <w:p w:rsidR="00315371" w:rsidP="00174971" w:rsidRDefault="00315371">
      <w:pPr>
        <w:spacing w:line="240" w:lineRule="exact"/>
        <w:rPr>
          <w:rFonts w:ascii="Verdana" w:hAnsi="Verdana" w:cs="Arial"/>
          <w:b/>
          <w:sz w:val="18"/>
          <w:szCs w:val="18"/>
        </w:rPr>
      </w:pPr>
      <w:r w:rsidRPr="00435346">
        <w:rPr>
          <w:rFonts w:ascii="Verdana" w:hAnsi="Verdana" w:cs="Arial"/>
          <w:b/>
          <w:sz w:val="18"/>
          <w:szCs w:val="18"/>
        </w:rPr>
        <w:t xml:space="preserve">Homogene Groep Internationale Samenwerking </w:t>
      </w:r>
    </w:p>
    <w:tbl>
      <w:tblPr>
        <w:tblW w:w="5000" w:type="pct"/>
        <w:tblCellMar>
          <w:top w:w="15" w:type="dxa"/>
          <w:left w:w="15" w:type="dxa"/>
          <w:bottom w:w="15" w:type="dxa"/>
          <w:right w:w="15" w:type="dxa"/>
        </w:tblCellMar>
        <w:tblLook w:val="00A0"/>
      </w:tblPr>
      <w:tblGrid>
        <w:gridCol w:w="4077"/>
        <w:gridCol w:w="876"/>
        <w:gridCol w:w="876"/>
        <w:gridCol w:w="876"/>
        <w:gridCol w:w="876"/>
        <w:gridCol w:w="877"/>
        <w:gridCol w:w="644"/>
      </w:tblGrid>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355"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HOMOGENE GROEP INTERNATIONALE SAMENWERKING: UITGAVEN</w:t>
            </w:r>
          </w:p>
        </w:tc>
        <w:tc>
          <w:tcPr>
            <w:tcW w:w="2406" w:type="pct"/>
            <w:gridSpan w:val="5"/>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bedragen in miljoenen euro's</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p>
        </w:tc>
        <w:tc>
          <w:tcPr>
            <w:tcW w:w="481"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2012</w:t>
            </w:r>
          </w:p>
        </w:tc>
        <w:tc>
          <w:tcPr>
            <w:tcW w:w="481"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2013</w:t>
            </w:r>
          </w:p>
        </w:tc>
        <w:tc>
          <w:tcPr>
            <w:tcW w:w="481"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2014</w:t>
            </w:r>
          </w:p>
        </w:tc>
        <w:tc>
          <w:tcPr>
            <w:tcW w:w="481"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2015</w:t>
            </w:r>
          </w:p>
        </w:tc>
        <w:tc>
          <w:tcPr>
            <w:tcW w:w="481"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2016</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Stand Miljoenennota 2012</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5.181,0</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5.004,3</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5.378,2</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5.649,6</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5.557,4</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Mee- en tegenvallers</w:t>
            </w: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144" w:type="dxa"/>
              <w:bottom w:w="15" w:type="dxa"/>
              <w:right w:w="15" w:type="dxa"/>
            </w:tcMar>
          </w:tcPr>
          <w:p w:rsidRPr="007F6AB6" w:rsidR="00315371" w:rsidP="007F6AB6" w:rsidRDefault="00315371">
            <w:pPr>
              <w:ind w:firstLine="160" w:firstLineChars="100"/>
              <w:rPr>
                <w:rFonts w:ascii="Verdana" w:hAnsi="Verdana" w:cs="Courier New"/>
                <w:sz w:val="16"/>
                <w:szCs w:val="16"/>
              </w:rPr>
            </w:pPr>
            <w:r w:rsidRPr="007F6AB6">
              <w:rPr>
                <w:rFonts w:ascii="Verdana" w:hAnsi="Verdana" w:cs="Courier New"/>
                <w:sz w:val="16"/>
                <w:szCs w:val="16"/>
              </w:rPr>
              <w:t>Rijksbegroting in enge zin</w:t>
            </w: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Bnp aanpassing</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-103,6</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-119,2</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-108,8</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-94,3</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-103,6</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-119,2</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-108,8</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-94,3</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Beleidsmatige mutaties</w:t>
            </w: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144" w:type="dxa"/>
              <w:bottom w:w="15" w:type="dxa"/>
              <w:right w:w="15" w:type="dxa"/>
            </w:tcMar>
          </w:tcPr>
          <w:p w:rsidRPr="007F6AB6" w:rsidR="00315371" w:rsidP="007F6AB6" w:rsidRDefault="00315371">
            <w:pPr>
              <w:ind w:firstLine="160" w:firstLineChars="100"/>
              <w:rPr>
                <w:rFonts w:ascii="Verdana" w:hAnsi="Verdana" w:cs="Courier New"/>
                <w:sz w:val="16"/>
                <w:szCs w:val="16"/>
              </w:rPr>
            </w:pPr>
            <w:r w:rsidRPr="007F6AB6">
              <w:rPr>
                <w:rFonts w:ascii="Verdana" w:hAnsi="Verdana" w:cs="Courier New"/>
                <w:sz w:val="16"/>
                <w:szCs w:val="16"/>
              </w:rPr>
              <w:t>Rijksbegroting in enge zin</w:t>
            </w: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Asieltoerekening</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35,0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15,9</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8,2</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12,2</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12,5</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Bescherming ambassades (naar defensie)</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-16,1</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Duurzaam milieugebruik wereldwijd</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-9,5</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-0,6</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-14,8</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-23,4</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-23,4</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Effectief armoedebeleid in ontwikkelingslanden</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-64,1</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-62,1</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-48,1</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-13,0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-13,0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Goed onderwijs</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-6,1</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-15,0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-15,0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Pr>
                <w:rFonts w:ascii="Verdana" w:hAnsi="Verdana" w:cs="Courier New"/>
                <w:sz w:val="16"/>
                <w:szCs w:val="16"/>
              </w:rPr>
              <w:t>HGIS</w:t>
            </w:r>
            <w:r w:rsidRPr="007F6AB6">
              <w:rPr>
                <w:rFonts w:ascii="Verdana" w:hAnsi="Verdana" w:cs="Courier New"/>
                <w:sz w:val="16"/>
                <w:szCs w:val="16"/>
              </w:rPr>
              <w:t xml:space="preserve"> eindejaarsmarge</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5,5</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106,5</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69,5</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Private sector ontwikkeling</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10,8</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16,1</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21,4</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21,4</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Seksuele en reproductieve gezondheid en rechten</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24,2</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23,4</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21,6</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35,3</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35,3</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Voedselzekerheid</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23,1</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26,5</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20,5</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1,8</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1,8</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Diversen</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10,5</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6,4</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4,6</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-12,2</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-10,7</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19,4</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115,0</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71,5</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7,1</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8,9</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Technische mutaties</w:t>
            </w: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144" w:type="dxa"/>
              <w:bottom w:w="15" w:type="dxa"/>
              <w:right w:w="15" w:type="dxa"/>
            </w:tcMar>
          </w:tcPr>
          <w:p w:rsidRPr="007F6AB6" w:rsidR="00315371" w:rsidP="007F6AB6" w:rsidRDefault="00315371">
            <w:pPr>
              <w:ind w:firstLine="160" w:firstLineChars="100"/>
              <w:rPr>
                <w:rFonts w:ascii="Verdana" w:hAnsi="Verdana" w:cs="Courier New"/>
                <w:sz w:val="16"/>
                <w:szCs w:val="16"/>
              </w:rPr>
            </w:pPr>
            <w:r w:rsidRPr="007F6AB6">
              <w:rPr>
                <w:rFonts w:ascii="Verdana" w:hAnsi="Verdana" w:cs="Courier New"/>
                <w:sz w:val="16"/>
                <w:szCs w:val="16"/>
              </w:rPr>
              <w:t>Rijksbegroting in enge zin</w:t>
            </w: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Diversen</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481" w:type="pct"/>
          </w:tcPr>
          <w:p w:rsidRPr="007F6AB6" w:rsidR="00315371" w:rsidP="007C26C8" w:rsidRDefault="00315371">
            <w:pPr>
              <w:rPr>
                <w:rFonts w:ascii="Verdana" w:hAnsi="Verdana"/>
                <w:sz w:val="16"/>
                <w:szCs w:val="16"/>
              </w:rPr>
            </w:pP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p>
        </w:tc>
        <w:tc>
          <w:tcPr>
            <w:tcW w:w="481" w:type="pct"/>
            <w:vAlign w:val="center"/>
          </w:tcPr>
          <w:p w:rsidRPr="007F6AB6" w:rsidR="00315371" w:rsidP="007C26C8" w:rsidRDefault="00315371">
            <w:pPr>
              <w:rPr>
                <w:rFonts w:ascii="Verdana" w:hAnsi="Verdana"/>
                <w:sz w:val="16"/>
                <w:szCs w:val="16"/>
              </w:rPr>
            </w:pPr>
          </w:p>
        </w:tc>
        <w:tc>
          <w:tcPr>
            <w:tcW w:w="481" w:type="pct"/>
            <w:vAlign w:val="center"/>
          </w:tcPr>
          <w:p w:rsidRPr="007F6AB6" w:rsidR="00315371" w:rsidP="007C26C8" w:rsidRDefault="00315371">
            <w:pPr>
              <w:rPr>
                <w:rFonts w:ascii="Verdana" w:hAnsi="Verdana"/>
                <w:sz w:val="16"/>
                <w:szCs w:val="16"/>
              </w:rPr>
            </w:pPr>
          </w:p>
        </w:tc>
        <w:tc>
          <w:tcPr>
            <w:tcW w:w="481" w:type="pct"/>
            <w:vAlign w:val="center"/>
          </w:tcPr>
          <w:p w:rsidRPr="007F6AB6" w:rsidR="00315371" w:rsidP="007C26C8" w:rsidRDefault="00315371">
            <w:pPr>
              <w:rPr>
                <w:rFonts w:ascii="Verdana" w:hAnsi="Verdana"/>
                <w:sz w:val="16"/>
                <w:szCs w:val="16"/>
              </w:rPr>
            </w:pPr>
          </w:p>
        </w:tc>
        <w:tc>
          <w:tcPr>
            <w:tcW w:w="481" w:type="pct"/>
            <w:vAlign w:val="center"/>
          </w:tcPr>
          <w:p w:rsidRPr="007F6AB6" w:rsidR="00315371" w:rsidP="007C26C8" w:rsidRDefault="00315371">
            <w:pPr>
              <w:rPr>
                <w:rFonts w:ascii="Verdana" w:hAnsi="Verdana"/>
                <w:sz w:val="16"/>
                <w:szCs w:val="16"/>
              </w:rPr>
            </w:pPr>
          </w:p>
        </w:tc>
        <w:tc>
          <w:tcPr>
            <w:tcW w:w="481" w:type="pct"/>
            <w:vAlign w:val="center"/>
          </w:tcPr>
          <w:p w:rsidRPr="007F6AB6" w:rsidR="00315371" w:rsidP="007C26C8" w:rsidRDefault="00315371">
            <w:pPr>
              <w:rPr>
                <w:rFonts w:ascii="Verdana" w:hAnsi="Verdana"/>
                <w:sz w:val="16"/>
                <w:szCs w:val="16"/>
              </w:rPr>
            </w:pPr>
          </w:p>
        </w:tc>
        <w:tc>
          <w:tcPr>
            <w:tcW w:w="355" w:type="pct"/>
            <w:vAlign w:val="center"/>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Totaal mutaties sinds Miljoenennota 2012</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-87,7</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-4,3</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-37,3</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-83,9</w:t>
            </w:r>
          </w:p>
        </w:tc>
        <w:tc>
          <w:tcPr>
            <w:tcW w:w="481"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8,9</w:t>
            </w:r>
          </w:p>
        </w:tc>
        <w:tc>
          <w:tcPr>
            <w:tcW w:w="355" w:type="pct"/>
          </w:tcPr>
          <w:p w:rsidRPr="007F6AB6" w:rsidR="00315371" w:rsidP="007C26C8" w:rsidRDefault="00315371">
            <w:pPr>
              <w:rPr>
                <w:rFonts w:ascii="Verdana" w:hAnsi="Verdana"/>
                <w:sz w:val="16"/>
                <w:szCs w:val="16"/>
              </w:rPr>
            </w:pPr>
          </w:p>
        </w:tc>
      </w:tr>
      <w:tr w:rsidRPr="007F6AB6" w:rsidR="00315371" w:rsidTr="00404A14">
        <w:tc>
          <w:tcPr>
            <w:tcW w:w="2240"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Stand Voorjaarsnota 2012</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5.093,3</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5.000,0</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5.340,8</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5.565,7</w:t>
            </w:r>
          </w:p>
        </w:tc>
        <w:tc>
          <w:tcPr>
            <w:tcW w:w="481"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5.566,3</w:t>
            </w:r>
          </w:p>
        </w:tc>
        <w:tc>
          <w:tcPr>
            <w:tcW w:w="355" w:type="pct"/>
          </w:tcPr>
          <w:p w:rsidRPr="007F6AB6" w:rsidR="00315371" w:rsidP="007C26C8" w:rsidRDefault="00315371">
            <w:pPr>
              <w:rPr>
                <w:rFonts w:ascii="Verdana" w:hAnsi="Verdana"/>
                <w:sz w:val="16"/>
                <w:szCs w:val="16"/>
              </w:rPr>
            </w:pPr>
          </w:p>
        </w:tc>
      </w:tr>
    </w:tbl>
    <w:p w:rsidR="00315371" w:rsidP="007B734A" w:rsidRDefault="00315371">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0A0"/>
      </w:tblPr>
      <w:tblGrid>
        <w:gridCol w:w="4733"/>
        <w:gridCol w:w="759"/>
        <w:gridCol w:w="759"/>
        <w:gridCol w:w="759"/>
        <w:gridCol w:w="759"/>
        <w:gridCol w:w="763"/>
        <w:gridCol w:w="555"/>
      </w:tblGrid>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1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1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1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1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1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305"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HOMOGENE GROEP INTERNATIONALE SAMENWERKING: NIET-BELASTINGONTVANGSTEN</w:t>
            </w:r>
          </w:p>
        </w:tc>
        <w:tc>
          <w:tcPr>
            <w:tcW w:w="2087" w:type="pct"/>
            <w:gridSpan w:val="5"/>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bedragen in miljoenen euro's</w:t>
            </w: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p>
        </w:tc>
        <w:tc>
          <w:tcPr>
            <w:tcW w:w="417"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2012</w:t>
            </w:r>
          </w:p>
        </w:tc>
        <w:tc>
          <w:tcPr>
            <w:tcW w:w="417"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2013</w:t>
            </w:r>
          </w:p>
        </w:tc>
        <w:tc>
          <w:tcPr>
            <w:tcW w:w="417"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2014</w:t>
            </w:r>
          </w:p>
        </w:tc>
        <w:tc>
          <w:tcPr>
            <w:tcW w:w="417"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2015</w:t>
            </w:r>
          </w:p>
        </w:tc>
        <w:tc>
          <w:tcPr>
            <w:tcW w:w="417" w:type="pct"/>
            <w:tcBorders>
              <w:top w:val="single" w:color="000000" w:sz="4" w:space="0"/>
              <w:left w:val="nil"/>
              <w:bottom w:val="single" w:color="000000" w:sz="4" w:space="0"/>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2016</w:t>
            </w: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Stand Miljoenennota 2012</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141,7</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149,5</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144,4</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133,2</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133,2</w:t>
            </w: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Technische mutaties</w:t>
            </w: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Mar>
              <w:top w:w="15" w:type="dxa"/>
              <w:left w:w="144" w:type="dxa"/>
              <w:bottom w:w="15" w:type="dxa"/>
              <w:right w:w="15" w:type="dxa"/>
            </w:tcMar>
          </w:tcPr>
          <w:p w:rsidRPr="007F6AB6" w:rsidR="00315371" w:rsidP="007F6AB6" w:rsidRDefault="00315371">
            <w:pPr>
              <w:ind w:firstLine="160" w:firstLineChars="100"/>
              <w:rPr>
                <w:rFonts w:ascii="Verdana" w:hAnsi="Verdana" w:cs="Courier New"/>
                <w:sz w:val="16"/>
                <w:szCs w:val="16"/>
              </w:rPr>
            </w:pPr>
            <w:r w:rsidRPr="007F6AB6">
              <w:rPr>
                <w:rFonts w:ascii="Verdana" w:hAnsi="Verdana" w:cs="Courier New"/>
                <w:sz w:val="16"/>
                <w:szCs w:val="16"/>
              </w:rPr>
              <w:t>Rijksbegroting in enge zin</w:t>
            </w: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Mar>
              <w:top w:w="15" w:type="dxa"/>
              <w:left w:w="288" w:type="dxa"/>
              <w:bottom w:w="15" w:type="dxa"/>
              <w:right w:w="15" w:type="dxa"/>
            </w:tcMar>
          </w:tcPr>
          <w:p w:rsidRPr="007F6AB6" w:rsidR="00315371" w:rsidP="007F6AB6" w:rsidRDefault="00315371">
            <w:pPr>
              <w:ind w:firstLine="320" w:firstLineChars="200"/>
              <w:rPr>
                <w:rFonts w:ascii="Verdana" w:hAnsi="Verdana" w:cs="Courier New"/>
                <w:sz w:val="16"/>
                <w:szCs w:val="16"/>
              </w:rPr>
            </w:pPr>
            <w:r w:rsidRPr="007F6AB6">
              <w:rPr>
                <w:rFonts w:ascii="Verdana" w:hAnsi="Verdana" w:cs="Courier New"/>
                <w:sz w:val="16"/>
                <w:szCs w:val="16"/>
              </w:rPr>
              <w:t>Diversen</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 </w:t>
            </w: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417" w:type="pct"/>
          </w:tcPr>
          <w:p w:rsidRPr="007F6AB6" w:rsidR="00315371" w:rsidP="007C26C8" w:rsidRDefault="00315371">
            <w:pPr>
              <w:rPr>
                <w:rFonts w:ascii="Verdana" w:hAnsi="Verdana"/>
                <w:sz w:val="16"/>
                <w:szCs w:val="16"/>
              </w:rPr>
            </w:pP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p>
        </w:tc>
        <w:tc>
          <w:tcPr>
            <w:tcW w:w="417" w:type="pct"/>
            <w:vAlign w:val="center"/>
          </w:tcPr>
          <w:p w:rsidRPr="007F6AB6" w:rsidR="00315371" w:rsidP="007C26C8" w:rsidRDefault="00315371">
            <w:pPr>
              <w:rPr>
                <w:rFonts w:ascii="Verdana" w:hAnsi="Verdana"/>
                <w:sz w:val="16"/>
                <w:szCs w:val="16"/>
              </w:rPr>
            </w:pPr>
          </w:p>
        </w:tc>
        <w:tc>
          <w:tcPr>
            <w:tcW w:w="417" w:type="pct"/>
            <w:vAlign w:val="center"/>
          </w:tcPr>
          <w:p w:rsidRPr="007F6AB6" w:rsidR="00315371" w:rsidP="007C26C8" w:rsidRDefault="00315371">
            <w:pPr>
              <w:rPr>
                <w:rFonts w:ascii="Verdana" w:hAnsi="Verdana"/>
                <w:sz w:val="16"/>
                <w:szCs w:val="16"/>
              </w:rPr>
            </w:pPr>
          </w:p>
        </w:tc>
        <w:tc>
          <w:tcPr>
            <w:tcW w:w="417" w:type="pct"/>
            <w:vAlign w:val="center"/>
          </w:tcPr>
          <w:p w:rsidRPr="007F6AB6" w:rsidR="00315371" w:rsidP="007C26C8" w:rsidRDefault="00315371">
            <w:pPr>
              <w:rPr>
                <w:rFonts w:ascii="Verdana" w:hAnsi="Verdana"/>
                <w:sz w:val="16"/>
                <w:szCs w:val="16"/>
              </w:rPr>
            </w:pPr>
          </w:p>
        </w:tc>
        <w:tc>
          <w:tcPr>
            <w:tcW w:w="417" w:type="pct"/>
            <w:vAlign w:val="center"/>
          </w:tcPr>
          <w:p w:rsidRPr="007F6AB6" w:rsidR="00315371" w:rsidP="007C26C8" w:rsidRDefault="00315371">
            <w:pPr>
              <w:rPr>
                <w:rFonts w:ascii="Verdana" w:hAnsi="Verdana"/>
                <w:sz w:val="16"/>
                <w:szCs w:val="16"/>
              </w:rPr>
            </w:pPr>
          </w:p>
        </w:tc>
        <w:tc>
          <w:tcPr>
            <w:tcW w:w="417" w:type="pct"/>
            <w:vAlign w:val="center"/>
          </w:tcPr>
          <w:p w:rsidRPr="007F6AB6" w:rsidR="00315371" w:rsidP="007C26C8" w:rsidRDefault="00315371">
            <w:pPr>
              <w:rPr>
                <w:rFonts w:ascii="Verdana" w:hAnsi="Verdana"/>
                <w:sz w:val="16"/>
                <w:szCs w:val="16"/>
              </w:rPr>
            </w:pPr>
          </w:p>
        </w:tc>
        <w:tc>
          <w:tcPr>
            <w:tcW w:w="305" w:type="pct"/>
            <w:vAlign w:val="center"/>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Totaal mutaties sinds Miljoenennota 2012</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3,4</w:t>
            </w:r>
          </w:p>
        </w:tc>
        <w:tc>
          <w:tcPr>
            <w:tcW w:w="417" w:type="pct"/>
            <w:tcBorders>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0,0</w:t>
            </w:r>
          </w:p>
        </w:tc>
        <w:tc>
          <w:tcPr>
            <w:tcW w:w="305" w:type="pct"/>
          </w:tcPr>
          <w:p w:rsidRPr="007F6AB6" w:rsidR="00315371" w:rsidP="007C26C8" w:rsidRDefault="00315371">
            <w:pPr>
              <w:rPr>
                <w:rFonts w:ascii="Verdana" w:hAnsi="Verdana"/>
                <w:sz w:val="16"/>
                <w:szCs w:val="16"/>
              </w:rPr>
            </w:pPr>
          </w:p>
        </w:tc>
      </w:tr>
      <w:tr w:rsidRPr="007F6AB6" w:rsidR="00315371" w:rsidTr="007F6AB6">
        <w:tc>
          <w:tcPr>
            <w:tcW w:w="2607" w:type="pct"/>
            <w:tcBorders>
              <w:left w:val="nil"/>
              <w:right w:val="nil"/>
            </w:tcBorders>
          </w:tcPr>
          <w:p w:rsidRPr="007F6AB6" w:rsidR="00315371" w:rsidP="007C26C8" w:rsidRDefault="00315371">
            <w:pPr>
              <w:rPr>
                <w:rFonts w:ascii="Verdana" w:hAnsi="Verdana" w:cs="Courier New"/>
                <w:sz w:val="16"/>
                <w:szCs w:val="16"/>
              </w:rPr>
            </w:pPr>
            <w:r w:rsidRPr="007F6AB6">
              <w:rPr>
                <w:rFonts w:ascii="Verdana" w:hAnsi="Verdana" w:cs="Courier New"/>
                <w:sz w:val="16"/>
                <w:szCs w:val="16"/>
              </w:rPr>
              <w:t>Stand Voorjaarsnota 2012</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138,4</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149,5</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144,4</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136,5</w:t>
            </w:r>
          </w:p>
        </w:tc>
        <w:tc>
          <w:tcPr>
            <w:tcW w:w="417" w:type="pct"/>
            <w:tcBorders>
              <w:top w:val="single" w:color="000000" w:sz="4" w:space="0"/>
              <w:left w:val="nil"/>
              <w:right w:val="nil"/>
            </w:tcBorders>
          </w:tcPr>
          <w:p w:rsidRPr="007F6AB6" w:rsidR="00315371" w:rsidP="007C26C8" w:rsidRDefault="00315371">
            <w:pPr>
              <w:jc w:val="right"/>
              <w:rPr>
                <w:rFonts w:ascii="Verdana" w:hAnsi="Verdana" w:cs="Courier New"/>
                <w:sz w:val="16"/>
                <w:szCs w:val="16"/>
              </w:rPr>
            </w:pPr>
            <w:r w:rsidRPr="007F6AB6">
              <w:rPr>
                <w:rFonts w:ascii="Verdana" w:hAnsi="Verdana" w:cs="Courier New"/>
                <w:sz w:val="16"/>
                <w:szCs w:val="16"/>
              </w:rPr>
              <w:t>133,2</w:t>
            </w:r>
          </w:p>
        </w:tc>
        <w:tc>
          <w:tcPr>
            <w:tcW w:w="305" w:type="pct"/>
          </w:tcPr>
          <w:p w:rsidRPr="007F6AB6" w:rsidR="00315371" w:rsidP="007C26C8" w:rsidRDefault="00315371">
            <w:pPr>
              <w:rPr>
                <w:rFonts w:ascii="Verdana" w:hAnsi="Verdana"/>
                <w:sz w:val="16"/>
                <w:szCs w:val="16"/>
              </w:rPr>
            </w:pPr>
          </w:p>
        </w:tc>
      </w:tr>
    </w:tbl>
    <w:p w:rsidR="00315371" w:rsidP="00174971" w:rsidRDefault="00315371">
      <w:pPr>
        <w:spacing w:line="240" w:lineRule="exact"/>
        <w:rPr>
          <w:rFonts w:ascii="Verdana" w:hAnsi="Verdana" w:cs="Arial"/>
          <w:sz w:val="18"/>
          <w:szCs w:val="18"/>
        </w:rPr>
      </w:pPr>
    </w:p>
    <w:p w:rsidRPr="005E406F" w:rsidR="00315371" w:rsidP="005E406F" w:rsidRDefault="00315371">
      <w:pPr>
        <w:spacing w:line="240" w:lineRule="exact"/>
        <w:rPr>
          <w:rFonts w:ascii="Verdana" w:hAnsi="Verdana"/>
          <w:sz w:val="18"/>
          <w:szCs w:val="18"/>
        </w:rPr>
      </w:pPr>
      <w:r w:rsidRPr="005E406F">
        <w:rPr>
          <w:rFonts w:ascii="Verdana" w:hAnsi="Verdana" w:cs="Arial"/>
          <w:sz w:val="18"/>
          <w:szCs w:val="18"/>
        </w:rPr>
        <w:t>De Homogene Groep Internationale Samenwerking (HGIS) is een aparte budgettaire constructie waarin de uitgaven aan Internationale Samenwerking van de verschillende departementen worden gebundeld. Het uitgavenniveau van de HGIS wordt aangepast voor macro-economische ontwikkelingen. Het ODA-deel van het HGIS budget is gekoppeld aan het bruto nationaal product (BNP) en wordt gecorrigeerd voor veranderingen van het BNP. Het non-ODA deel van de HGIS wordt gecorrigeerd voor prijsveranderingen.</w:t>
      </w:r>
      <w:r w:rsidRPr="005E406F" w:rsidDel="0068628D">
        <w:rPr>
          <w:rFonts w:ascii="Verdana" w:hAnsi="Verdana" w:cs="Arial"/>
          <w:sz w:val="18"/>
          <w:szCs w:val="18"/>
        </w:rPr>
        <w:t xml:space="preserve"> </w:t>
      </w:r>
      <w:r w:rsidRPr="005E406F">
        <w:rPr>
          <w:rFonts w:ascii="Verdana" w:hAnsi="Verdana" w:cs="Arial"/>
          <w:sz w:val="18"/>
          <w:szCs w:val="18"/>
        </w:rPr>
        <w:t>Het merendeel van de HGIS-uitgaven wordt via de begroting van Buitenlandse Zaken verantwoord.</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BNP aanpassing</w:t>
      </w:r>
    </w:p>
    <w:p w:rsidRPr="005E406F" w:rsidR="00315371" w:rsidP="005E406F" w:rsidRDefault="00315371">
      <w:pPr>
        <w:rPr>
          <w:rFonts w:ascii="Verdana" w:hAnsi="Verdana"/>
          <w:sz w:val="18"/>
          <w:szCs w:val="18"/>
        </w:rPr>
      </w:pPr>
      <w:r w:rsidRPr="005E406F">
        <w:rPr>
          <w:rFonts w:ascii="Verdana" w:hAnsi="Verdana"/>
          <w:sz w:val="18"/>
          <w:szCs w:val="18"/>
        </w:rPr>
        <w:t>Als gevolg van macro-economische ontwikkelingen is de omvang van de HGIS bijgesteld.</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Asieltoerekening</w:t>
      </w:r>
    </w:p>
    <w:p w:rsidRPr="005E406F" w:rsidR="00315371" w:rsidP="005E406F" w:rsidRDefault="00315371">
      <w:pPr>
        <w:rPr>
          <w:rFonts w:ascii="Verdana" w:hAnsi="Verdana"/>
          <w:sz w:val="18"/>
          <w:szCs w:val="18"/>
        </w:rPr>
      </w:pPr>
      <w:r w:rsidRPr="005E406F">
        <w:rPr>
          <w:rFonts w:ascii="Verdana" w:hAnsi="Verdana"/>
          <w:sz w:val="18"/>
          <w:szCs w:val="18"/>
        </w:rPr>
        <w:t>Conform de internationale criteria worden de kosten die zijn gemaakt voor de eerstejaarsopvang van asielzoekers uit de DAC-landen toegerekend aan het ODA-budget. Voor deze toerekening is een systematiek afgesproken tussen de ministers van Buitenlandse Zaken, Binnenlandse Zaken en Koninkrijksrelaties en Financiën. De instroom van asielzoekers laat een dalende trend zien. Actualisatie van de variabelen die in deze systematiek gehanteerd worden leidt daarom tot een structurele neerwaartse bijstelling van de toerekening. Hiervoor wordt het ODA-budget opwaarts gecorrigeerd.</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Bescherming ambassades (naar Defensie)</w:t>
      </w:r>
    </w:p>
    <w:p w:rsidRPr="005E406F" w:rsidR="00315371" w:rsidP="005E406F" w:rsidRDefault="00315371">
      <w:pPr>
        <w:rPr>
          <w:rFonts w:ascii="Verdana" w:hAnsi="Verdana"/>
          <w:sz w:val="18"/>
          <w:szCs w:val="18"/>
        </w:rPr>
      </w:pPr>
      <w:r w:rsidRPr="005E406F">
        <w:rPr>
          <w:rFonts w:ascii="Verdana" w:hAnsi="Verdana"/>
          <w:sz w:val="18"/>
          <w:szCs w:val="18"/>
        </w:rPr>
        <w:t xml:space="preserve">Het budget voor apparaatskosten wordt verlaagd met 16,1 mln. in verband met een overheveling van deze uitgaven naar Defensie. Het betreft hier beveiligingsuitgaven uitgevoerd door de Brigade Speciale Beveiligingsopdrachten in hoog-risico landen. </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Duurzaam milieugebruik wereldwijd</w:t>
      </w:r>
    </w:p>
    <w:p w:rsidRPr="005E406F" w:rsidR="00315371" w:rsidP="005E406F" w:rsidRDefault="00315371">
      <w:pPr>
        <w:rPr>
          <w:rFonts w:ascii="Verdana" w:hAnsi="Verdana"/>
          <w:sz w:val="18"/>
          <w:szCs w:val="18"/>
        </w:rPr>
      </w:pPr>
      <w:r w:rsidRPr="005E406F">
        <w:rPr>
          <w:rFonts w:ascii="Verdana" w:hAnsi="Verdana"/>
          <w:sz w:val="18"/>
          <w:szCs w:val="18"/>
        </w:rPr>
        <w:t>De uitgaven voor duurzaam milieugebruik wereldwijd zijn verlaagd met 9,7 mln. Dit wordt hoofdzakelijk veroorzaakt doordat programma’s in een aantal exitlanden op het gebied van biodiversiteit en bossen (Colombia en Guatamala) eerder aflopen dan was voorzien. Hierdoor zijn de ramingen bijgesteld. Daarnaast zijn uitgaven voor klimaat, energie en milieutechnologie in het Grote Meren gebied verlaagd naar aanleiding van het ingediende meerjarige startegische plan.</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Effectief armoedebeleid in ontwikkelingslanden</w:t>
      </w:r>
    </w:p>
    <w:p w:rsidRPr="005E406F" w:rsidR="00315371" w:rsidP="005E406F" w:rsidRDefault="00315371">
      <w:pPr>
        <w:rPr>
          <w:rFonts w:ascii="Verdana" w:hAnsi="Verdana"/>
          <w:sz w:val="18"/>
          <w:szCs w:val="18"/>
        </w:rPr>
      </w:pPr>
      <w:r w:rsidRPr="005E406F">
        <w:rPr>
          <w:rFonts w:ascii="Verdana" w:hAnsi="Verdana"/>
          <w:sz w:val="18"/>
          <w:szCs w:val="18"/>
        </w:rPr>
        <w:t>Door aanpassingen in de betalingsritmes aan de Wereldbank voor het Multilateral Debt Relief Initiative en het Heavily Indebted Poor Countries Initiative zijn deze uitgaven in 2011 gedaan. De raming voor 2012 wordt hierdoor verlaagd.</w:t>
      </w:r>
      <w:r w:rsidRPr="005E406F">
        <w:rPr>
          <w:rFonts w:ascii="Verdana" w:hAnsi="Verdana" w:cs="Courier New"/>
          <w:sz w:val="18"/>
          <w:szCs w:val="18"/>
        </w:rPr>
        <w:t xml:space="preserve"> Daarnaast worden, vanwege het gebruikelijke verdeelkarakter, mutaties gerelateerd aan een lager BNP op dit artikel verwerkt.</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Goed onderwijs</w:t>
      </w:r>
    </w:p>
    <w:p w:rsidRPr="005E406F" w:rsidR="00315371" w:rsidP="005E406F" w:rsidRDefault="00315371">
      <w:pPr>
        <w:rPr>
          <w:rFonts w:ascii="Verdana" w:hAnsi="Verdana"/>
          <w:sz w:val="18"/>
          <w:szCs w:val="18"/>
        </w:rPr>
      </w:pPr>
      <w:r w:rsidRPr="005E406F">
        <w:rPr>
          <w:rFonts w:ascii="Verdana" w:hAnsi="Verdana"/>
          <w:sz w:val="18"/>
          <w:szCs w:val="18"/>
        </w:rPr>
        <w:t>Voor de meerjarige verlaging van onderwijsprogramma het volgende: De meerjarige verlaging vanaf 2014 van het budget is de uitkomst van de goedkeuring van de Meerjarige Strategische plannen van de ambassades in de partnerlanden. Het betreft hierbij een verlaging op het thema onderwijs algemeen.</w:t>
      </w:r>
    </w:p>
    <w:p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HGIS eindejaarsmarge</w:t>
      </w:r>
    </w:p>
    <w:p w:rsidRPr="005E406F" w:rsidR="00315371" w:rsidP="005E406F" w:rsidRDefault="00315371">
      <w:pPr>
        <w:rPr>
          <w:rFonts w:ascii="Verdana" w:hAnsi="Verdana"/>
          <w:sz w:val="18"/>
          <w:szCs w:val="18"/>
        </w:rPr>
      </w:pPr>
      <w:r w:rsidRPr="005E406F">
        <w:rPr>
          <w:rFonts w:ascii="Verdana" w:hAnsi="Verdana"/>
          <w:sz w:val="18"/>
          <w:szCs w:val="18"/>
        </w:rPr>
        <w:t>De onderuitputting in 2011 is via de eindejaarsmarge doorgeschoven naar 2012. Vervolgens wordt deze verspreid over meerdere jaren uitgedeeld aan de HGIS-departementen.</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Private sector ontwikkeling</w:t>
      </w:r>
    </w:p>
    <w:p w:rsidRPr="005E406F" w:rsidR="00315371" w:rsidP="005E406F" w:rsidRDefault="00315371">
      <w:pPr>
        <w:rPr>
          <w:rFonts w:ascii="Verdana" w:hAnsi="Verdana"/>
          <w:sz w:val="18"/>
          <w:szCs w:val="18"/>
        </w:rPr>
      </w:pPr>
      <w:r w:rsidRPr="005E406F">
        <w:rPr>
          <w:rFonts w:ascii="Verdana" w:hAnsi="Verdana"/>
          <w:sz w:val="18"/>
          <w:szCs w:val="18"/>
        </w:rPr>
        <w:t>Op basis van de Meerjarig Strategische Plannen van de ambassades in de partnerlanden zijn de kasramingen voor private sector ontwikkeling meerjarig naar boven bijgesteld. Daarnaast wordt de bijdrage verhoogd vanwege het instellen van het Fonds Innovatieve Financiering.</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Seksuele en reproductieve gezondheid en rechten (SRGR)</w:t>
      </w:r>
    </w:p>
    <w:p w:rsidRPr="005E406F" w:rsidR="00315371" w:rsidP="005E406F" w:rsidRDefault="00315371">
      <w:pPr>
        <w:rPr>
          <w:rFonts w:ascii="Verdana" w:hAnsi="Verdana"/>
          <w:sz w:val="18"/>
          <w:szCs w:val="18"/>
        </w:rPr>
      </w:pPr>
      <w:r w:rsidRPr="005E406F">
        <w:rPr>
          <w:rFonts w:ascii="Verdana" w:hAnsi="Verdana"/>
          <w:sz w:val="18"/>
          <w:szCs w:val="18"/>
        </w:rPr>
        <w:t xml:space="preserve">De kasramingen voor uitgaven in de partnerlanden zijn aangepast op basis van de Meerjarig Strategische Plannen op het </w:t>
      </w:r>
      <w:bookmarkStart w:name="_GoBack" w:id="0"/>
      <w:bookmarkEnd w:id="0"/>
      <w:r w:rsidRPr="005E406F">
        <w:rPr>
          <w:rFonts w:ascii="Verdana" w:hAnsi="Verdana"/>
          <w:sz w:val="18"/>
          <w:szCs w:val="18"/>
        </w:rPr>
        <w:t>gebied van SRGR.</w:t>
      </w:r>
    </w:p>
    <w:p w:rsidRPr="005E406F" w:rsidR="00315371" w:rsidP="005E406F" w:rsidRDefault="00315371">
      <w:pPr>
        <w:rPr>
          <w:rFonts w:ascii="Verdana" w:hAnsi="Verdana"/>
          <w:i/>
          <w:sz w:val="18"/>
          <w:szCs w:val="18"/>
        </w:rPr>
      </w:pPr>
    </w:p>
    <w:p w:rsidRPr="005E406F" w:rsidR="00315371" w:rsidP="005E406F" w:rsidRDefault="00315371">
      <w:pPr>
        <w:rPr>
          <w:rFonts w:ascii="Verdana" w:hAnsi="Verdana"/>
          <w:i/>
          <w:sz w:val="18"/>
          <w:szCs w:val="18"/>
        </w:rPr>
      </w:pPr>
      <w:r w:rsidRPr="005E406F">
        <w:rPr>
          <w:rFonts w:ascii="Verdana" w:hAnsi="Verdana"/>
          <w:i/>
          <w:sz w:val="18"/>
          <w:szCs w:val="18"/>
        </w:rPr>
        <w:t>Voedselzekerheid</w:t>
      </w:r>
    </w:p>
    <w:p w:rsidRPr="005E406F" w:rsidR="00315371" w:rsidP="005E406F" w:rsidRDefault="00315371">
      <w:pPr>
        <w:rPr>
          <w:rFonts w:ascii="Verdana" w:hAnsi="Verdana"/>
          <w:sz w:val="18"/>
          <w:szCs w:val="18"/>
        </w:rPr>
      </w:pPr>
      <w:r w:rsidRPr="005E406F">
        <w:rPr>
          <w:rFonts w:ascii="Verdana" w:hAnsi="Verdana"/>
          <w:sz w:val="18"/>
          <w:szCs w:val="18"/>
        </w:rPr>
        <w:t>Op basis van de Meerjarig Strategische Plannen van de ambassades in de partnerlanden zijn de kasramingen voor het speerpunt voedselzekerheid meerjarig naar boven.</w:t>
      </w:r>
    </w:p>
    <w:p w:rsidRPr="00435346" w:rsidR="00315371" w:rsidP="00435346" w:rsidRDefault="00315371">
      <w:pPr>
        <w:spacing w:line="276" w:lineRule="auto"/>
        <w:rPr>
          <w:rFonts w:ascii="Verdana" w:hAnsi="Verdana"/>
          <w:sz w:val="18"/>
          <w:szCs w:val="18"/>
        </w:rPr>
      </w:pPr>
    </w:p>
    <w:p w:rsidRPr="00435346" w:rsidR="00315371" w:rsidP="00435346" w:rsidRDefault="00315371">
      <w:pPr>
        <w:spacing w:after="200" w:line="276" w:lineRule="auto"/>
        <w:rPr>
          <w:rFonts w:ascii="Verdana" w:hAnsi="Verdana"/>
          <w:b/>
          <w:sz w:val="18"/>
          <w:szCs w:val="18"/>
        </w:rPr>
      </w:pPr>
      <w:r w:rsidRPr="00435346">
        <w:rPr>
          <w:rFonts w:ascii="Verdana" w:hAnsi="Verdana"/>
          <w:b/>
          <w:sz w:val="18"/>
          <w:szCs w:val="18"/>
        </w:rPr>
        <w:br w:type="page"/>
      </w:r>
    </w:p>
    <w:p w:rsidR="00315371" w:rsidP="00982A96" w:rsidRDefault="00315371">
      <w:pPr>
        <w:spacing w:line="276" w:lineRule="auto"/>
        <w:rPr>
          <w:rFonts w:ascii="Verdana" w:hAnsi="Verdana"/>
          <w:b/>
          <w:sz w:val="18"/>
          <w:szCs w:val="18"/>
        </w:rPr>
      </w:pPr>
      <w:r w:rsidRPr="00982A96">
        <w:rPr>
          <w:rFonts w:ascii="Verdana" w:hAnsi="Verdana"/>
          <w:b/>
          <w:sz w:val="18"/>
          <w:szCs w:val="18"/>
        </w:rPr>
        <w:t>Aanv</w:t>
      </w:r>
      <w:r>
        <w:rPr>
          <w:rFonts w:ascii="Verdana" w:hAnsi="Verdana"/>
          <w:b/>
          <w:sz w:val="18"/>
          <w:szCs w:val="18"/>
        </w:rPr>
        <w:t>ullende P</w:t>
      </w:r>
      <w:r w:rsidRPr="00982A96">
        <w:rPr>
          <w:rFonts w:ascii="Verdana" w:hAnsi="Verdana"/>
          <w:b/>
          <w:sz w:val="18"/>
          <w:szCs w:val="18"/>
        </w:rPr>
        <w:t>ost</w:t>
      </w:r>
    </w:p>
    <w:tbl>
      <w:tblPr>
        <w:tblW w:w="5000" w:type="pct"/>
        <w:tblCellMar>
          <w:top w:w="15" w:type="dxa"/>
          <w:left w:w="15" w:type="dxa"/>
          <w:bottom w:w="15" w:type="dxa"/>
          <w:right w:w="15" w:type="dxa"/>
        </w:tblCellMar>
        <w:tblLook w:val="00A0"/>
      </w:tblPr>
      <w:tblGrid>
        <w:gridCol w:w="4081"/>
        <w:gridCol w:w="1001"/>
        <w:gridCol w:w="1001"/>
        <w:gridCol w:w="1003"/>
        <w:gridCol w:w="1003"/>
        <w:gridCol w:w="998"/>
      </w:tblGrid>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51"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51"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49"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ALGEMEEN: UITGAVEN</w:t>
            </w:r>
          </w:p>
        </w:tc>
        <w:tc>
          <w:tcPr>
            <w:tcW w:w="2750" w:type="pct"/>
            <w:gridSpan w:val="5"/>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bedragen in miljoenen euro's</w:t>
            </w:r>
          </w:p>
        </w:tc>
      </w:tr>
      <w:tr w:rsidRPr="006079C7" w:rsidR="00315371" w:rsidTr="00991D3F">
        <w:tc>
          <w:tcPr>
            <w:tcW w:w="2250" w:type="pct"/>
            <w:tcBorders>
              <w:top w:val="single" w:color="000000" w:sz="8" w:space="0"/>
              <w:left w:val="nil"/>
              <w:bottom w:val="single" w:color="000000" w:sz="8" w:space="0"/>
              <w:right w:val="nil"/>
            </w:tcBorders>
          </w:tcPr>
          <w:p w:rsidRPr="006079C7" w:rsidR="00315371" w:rsidP="000D5CC9" w:rsidRDefault="00315371">
            <w:pPr>
              <w:jc w:val="right"/>
              <w:rPr>
                <w:rFonts w:ascii="Verdana" w:hAnsi="Verdana" w:cs="Courier New"/>
                <w:sz w:val="16"/>
                <w:szCs w:val="16"/>
              </w:rPr>
            </w:pPr>
          </w:p>
        </w:tc>
        <w:tc>
          <w:tcPr>
            <w:tcW w:w="550" w:type="pct"/>
            <w:tcBorders>
              <w:top w:val="single" w:color="000000" w:sz="8" w:space="0"/>
              <w:left w:val="nil"/>
              <w:bottom w:val="single" w:color="000000" w:sz="8" w:space="0"/>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2012</w:t>
            </w:r>
          </w:p>
        </w:tc>
        <w:tc>
          <w:tcPr>
            <w:tcW w:w="550" w:type="pct"/>
            <w:tcBorders>
              <w:top w:val="single" w:color="000000" w:sz="8" w:space="0"/>
              <w:left w:val="nil"/>
              <w:bottom w:val="single" w:color="000000" w:sz="8" w:space="0"/>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2013</w:t>
            </w:r>
          </w:p>
        </w:tc>
        <w:tc>
          <w:tcPr>
            <w:tcW w:w="551" w:type="pct"/>
            <w:tcBorders>
              <w:top w:val="single" w:color="000000" w:sz="8" w:space="0"/>
              <w:left w:val="nil"/>
              <w:bottom w:val="single" w:color="000000" w:sz="8" w:space="0"/>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2014</w:t>
            </w:r>
          </w:p>
        </w:tc>
        <w:tc>
          <w:tcPr>
            <w:tcW w:w="551" w:type="pct"/>
            <w:tcBorders>
              <w:top w:val="single" w:color="000000" w:sz="8" w:space="0"/>
              <w:left w:val="nil"/>
              <w:bottom w:val="single" w:color="000000" w:sz="8" w:space="0"/>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2015</w:t>
            </w:r>
          </w:p>
        </w:tc>
        <w:tc>
          <w:tcPr>
            <w:tcW w:w="549" w:type="pct"/>
            <w:tcBorders>
              <w:top w:val="single" w:color="000000" w:sz="8" w:space="0"/>
              <w:left w:val="nil"/>
              <w:bottom w:val="single" w:color="000000" w:sz="8" w:space="0"/>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2016</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Stand Miljoenennota 2012 (excl. IS)</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4,8</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67,3</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299,1</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408,6</w:t>
            </w:r>
          </w:p>
        </w:tc>
        <w:tc>
          <w:tcPr>
            <w:tcW w:w="549"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375,1</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Beleidsmatige mutaties</w:t>
            </w:r>
          </w:p>
        </w:tc>
        <w:tc>
          <w:tcPr>
            <w:tcW w:w="550" w:type="pct"/>
          </w:tcPr>
          <w:p w:rsidRPr="006079C7" w:rsidR="00315371" w:rsidP="000D5CC9" w:rsidRDefault="00315371">
            <w:pPr>
              <w:rPr>
                <w:rFonts w:ascii="Verdana" w:hAnsi="Verdana"/>
                <w:sz w:val="16"/>
                <w:szCs w:val="16"/>
              </w:rPr>
            </w:pPr>
          </w:p>
        </w:tc>
        <w:tc>
          <w:tcPr>
            <w:tcW w:w="550"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49" w:type="pct"/>
          </w:tcPr>
          <w:p w:rsidRPr="006079C7" w:rsidR="00315371" w:rsidP="000D5CC9" w:rsidRDefault="00315371">
            <w:pPr>
              <w:rPr>
                <w:rFonts w:ascii="Verdana" w:hAnsi="Verdana"/>
                <w:sz w:val="16"/>
                <w:szCs w:val="16"/>
              </w:rPr>
            </w:pPr>
          </w:p>
        </w:tc>
      </w:tr>
      <w:tr w:rsidRPr="006079C7" w:rsidR="00315371" w:rsidTr="00991D3F">
        <w:tc>
          <w:tcPr>
            <w:tcW w:w="2250" w:type="pct"/>
            <w:tcBorders>
              <w:left w:val="nil"/>
              <w:right w:val="nil"/>
            </w:tcBorders>
            <w:tcMar>
              <w:top w:w="15" w:type="dxa"/>
              <w:left w:w="224" w:type="dxa"/>
              <w:bottom w:w="15" w:type="dxa"/>
              <w:right w:w="15" w:type="dxa"/>
            </w:tcMar>
          </w:tcPr>
          <w:p w:rsidRPr="006079C7" w:rsidR="00315371" w:rsidP="006079C7" w:rsidRDefault="00315371">
            <w:pPr>
              <w:ind w:firstLine="160" w:firstLineChars="100"/>
              <w:rPr>
                <w:rFonts w:ascii="Verdana" w:hAnsi="Verdana" w:cs="Courier New"/>
                <w:sz w:val="16"/>
                <w:szCs w:val="16"/>
              </w:rPr>
            </w:pPr>
            <w:r w:rsidRPr="006079C7">
              <w:rPr>
                <w:rFonts w:ascii="Verdana" w:hAnsi="Verdana" w:cs="Courier New"/>
                <w:sz w:val="16"/>
                <w:szCs w:val="16"/>
              </w:rPr>
              <w:t>Rijksbegroting in enge zin</w:t>
            </w:r>
          </w:p>
        </w:tc>
        <w:tc>
          <w:tcPr>
            <w:tcW w:w="550" w:type="pct"/>
          </w:tcPr>
          <w:p w:rsidRPr="006079C7" w:rsidR="00315371" w:rsidP="000D5CC9" w:rsidRDefault="00315371">
            <w:pPr>
              <w:rPr>
                <w:rFonts w:ascii="Verdana" w:hAnsi="Verdana"/>
                <w:sz w:val="16"/>
                <w:szCs w:val="16"/>
              </w:rPr>
            </w:pPr>
          </w:p>
        </w:tc>
        <w:tc>
          <w:tcPr>
            <w:tcW w:w="550"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49" w:type="pct"/>
          </w:tcPr>
          <w:p w:rsidRPr="006079C7" w:rsidR="00315371" w:rsidP="000D5CC9" w:rsidRDefault="00315371">
            <w:pPr>
              <w:rPr>
                <w:rFonts w:ascii="Verdana" w:hAnsi="Verdana"/>
                <w:sz w:val="16"/>
                <w:szCs w:val="16"/>
              </w:rPr>
            </w:pPr>
          </w:p>
        </w:tc>
      </w:tr>
      <w:tr w:rsidRPr="006079C7" w:rsidR="00315371" w:rsidTr="00991D3F">
        <w:tc>
          <w:tcPr>
            <w:tcW w:w="2250" w:type="pct"/>
            <w:tcBorders>
              <w:left w:val="nil"/>
              <w:right w:val="nil"/>
            </w:tcBorders>
            <w:tcMar>
              <w:top w:w="15" w:type="dxa"/>
              <w:left w:w="449" w:type="dxa"/>
              <w:bottom w:w="15" w:type="dxa"/>
              <w:right w:w="15" w:type="dxa"/>
            </w:tcMar>
          </w:tcPr>
          <w:p w:rsidRPr="006079C7" w:rsidR="00315371" w:rsidP="006079C7" w:rsidRDefault="00315371">
            <w:pPr>
              <w:ind w:firstLine="320" w:firstLineChars="200"/>
              <w:rPr>
                <w:rFonts w:ascii="Verdana" w:hAnsi="Verdana" w:cs="Courier New"/>
                <w:sz w:val="16"/>
                <w:szCs w:val="16"/>
              </w:rPr>
            </w:pPr>
            <w:r w:rsidRPr="006079C7">
              <w:rPr>
                <w:rFonts w:ascii="Verdana" w:hAnsi="Verdana" w:cs="Courier New"/>
                <w:sz w:val="16"/>
                <w:szCs w:val="16"/>
              </w:rPr>
              <w:t>Duurzame economie: zonnepanelen</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22,0</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r>
      <w:tr w:rsidRPr="006079C7" w:rsidR="00315371" w:rsidTr="00991D3F">
        <w:tc>
          <w:tcPr>
            <w:tcW w:w="2250" w:type="pct"/>
            <w:tcBorders>
              <w:left w:val="nil"/>
              <w:right w:val="nil"/>
            </w:tcBorders>
            <w:tcMar>
              <w:top w:w="15" w:type="dxa"/>
              <w:left w:w="449" w:type="dxa"/>
              <w:bottom w:w="15" w:type="dxa"/>
              <w:right w:w="15" w:type="dxa"/>
            </w:tcMar>
          </w:tcPr>
          <w:p w:rsidRPr="006079C7" w:rsidR="00315371" w:rsidP="006079C7" w:rsidRDefault="00315371">
            <w:pPr>
              <w:ind w:firstLine="320" w:firstLineChars="200"/>
              <w:rPr>
                <w:rFonts w:ascii="Verdana" w:hAnsi="Verdana" w:cs="Courier New"/>
                <w:sz w:val="16"/>
                <w:szCs w:val="16"/>
              </w:rPr>
            </w:pPr>
            <w:r w:rsidRPr="006079C7">
              <w:rPr>
                <w:rFonts w:ascii="Verdana" w:hAnsi="Verdana" w:cs="Courier New"/>
                <w:sz w:val="16"/>
                <w:szCs w:val="16"/>
              </w:rPr>
              <w:t>Invulling in=uit</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240,0</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r>
      <w:tr w:rsidRPr="006079C7" w:rsidR="00315371" w:rsidTr="00991D3F">
        <w:tc>
          <w:tcPr>
            <w:tcW w:w="2250" w:type="pct"/>
            <w:tcBorders>
              <w:left w:val="nil"/>
              <w:right w:val="nil"/>
            </w:tcBorders>
            <w:tcMar>
              <w:top w:w="15" w:type="dxa"/>
              <w:left w:w="449" w:type="dxa"/>
              <w:bottom w:w="15" w:type="dxa"/>
              <w:right w:w="15" w:type="dxa"/>
            </w:tcMar>
          </w:tcPr>
          <w:p w:rsidRPr="006079C7" w:rsidR="00315371" w:rsidP="006079C7" w:rsidRDefault="00315371">
            <w:pPr>
              <w:ind w:firstLine="320" w:firstLineChars="200"/>
              <w:rPr>
                <w:rFonts w:ascii="Verdana" w:hAnsi="Verdana" w:cs="Courier New"/>
                <w:sz w:val="16"/>
                <w:szCs w:val="16"/>
              </w:rPr>
            </w:pPr>
            <w:r w:rsidRPr="006079C7">
              <w:rPr>
                <w:rFonts w:ascii="Verdana" w:hAnsi="Verdana" w:cs="Courier New"/>
                <w:sz w:val="16"/>
                <w:szCs w:val="16"/>
              </w:rPr>
              <w:t>Ramingstechnische veronderstelling in=uit</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-747,5</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-106,5</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-69,5</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r>
      <w:tr w:rsidRPr="006079C7" w:rsidR="00315371" w:rsidTr="00991D3F">
        <w:tc>
          <w:tcPr>
            <w:tcW w:w="2250" w:type="pct"/>
            <w:tcBorders>
              <w:left w:val="nil"/>
              <w:right w:val="nil"/>
            </w:tcBorders>
            <w:tcMar>
              <w:top w:w="15" w:type="dxa"/>
              <w:left w:w="449" w:type="dxa"/>
              <w:bottom w:w="15" w:type="dxa"/>
              <w:right w:w="15" w:type="dxa"/>
            </w:tcMar>
          </w:tcPr>
          <w:p w:rsidRPr="006079C7" w:rsidR="00315371" w:rsidP="006079C7" w:rsidRDefault="00315371">
            <w:pPr>
              <w:ind w:firstLine="320" w:firstLineChars="200"/>
              <w:rPr>
                <w:rFonts w:ascii="Verdana" w:hAnsi="Verdana" w:cs="Courier New"/>
                <w:sz w:val="16"/>
                <w:szCs w:val="16"/>
              </w:rPr>
            </w:pPr>
            <w:r w:rsidRPr="006079C7">
              <w:rPr>
                <w:rFonts w:ascii="Verdana" w:hAnsi="Verdana" w:cs="Courier New"/>
                <w:sz w:val="16"/>
                <w:szCs w:val="16"/>
              </w:rPr>
              <w:t xml:space="preserve">Uitkering reservering </w:t>
            </w:r>
            <w:r>
              <w:rPr>
                <w:rFonts w:ascii="Verdana" w:hAnsi="Verdana" w:cs="Courier New"/>
                <w:sz w:val="16"/>
                <w:szCs w:val="16"/>
              </w:rPr>
              <w:t>HSA I</w:t>
            </w:r>
            <w:r w:rsidRPr="006079C7">
              <w:rPr>
                <w:rFonts w:ascii="Verdana" w:hAnsi="Verdana" w:cs="Courier New"/>
                <w:sz w:val="16"/>
                <w:szCs w:val="16"/>
              </w:rPr>
              <w:t>&amp;</w:t>
            </w:r>
            <w:r>
              <w:rPr>
                <w:rFonts w:ascii="Verdana" w:hAnsi="Verdana" w:cs="Courier New"/>
                <w:sz w:val="16"/>
                <w:szCs w:val="16"/>
              </w:rPr>
              <w:t>M</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-12,2</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-27,2</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-27,2</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-17,2</w:t>
            </w:r>
          </w:p>
        </w:tc>
      </w:tr>
      <w:tr w:rsidRPr="006079C7" w:rsidR="00315371" w:rsidTr="00991D3F">
        <w:tc>
          <w:tcPr>
            <w:tcW w:w="2250" w:type="pct"/>
            <w:tcBorders>
              <w:left w:val="nil"/>
              <w:right w:val="nil"/>
            </w:tcBorders>
            <w:tcMar>
              <w:top w:w="15" w:type="dxa"/>
              <w:left w:w="449" w:type="dxa"/>
              <w:bottom w:w="15" w:type="dxa"/>
              <w:right w:w="15" w:type="dxa"/>
            </w:tcMar>
          </w:tcPr>
          <w:p w:rsidRPr="006079C7" w:rsidR="00315371" w:rsidP="006079C7" w:rsidRDefault="00315371">
            <w:pPr>
              <w:ind w:firstLine="320" w:firstLineChars="200"/>
              <w:rPr>
                <w:rFonts w:ascii="Verdana" w:hAnsi="Verdana" w:cs="Courier New"/>
                <w:sz w:val="16"/>
                <w:szCs w:val="16"/>
              </w:rPr>
            </w:pPr>
            <w:r w:rsidRPr="006079C7">
              <w:rPr>
                <w:rFonts w:ascii="Verdana" w:hAnsi="Verdana" w:cs="Courier New"/>
                <w:sz w:val="16"/>
                <w:szCs w:val="16"/>
              </w:rPr>
              <w:t>Diversen</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-12,8</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-12,8</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-12,8</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-12,8</w:t>
            </w:r>
          </w:p>
        </w:tc>
      </w:tr>
      <w:tr w:rsidRPr="006079C7" w:rsidR="00315371" w:rsidTr="00991D3F">
        <w:tc>
          <w:tcPr>
            <w:tcW w:w="2250" w:type="pct"/>
            <w:tcBorders>
              <w:left w:val="nil"/>
              <w:right w:val="nil"/>
            </w:tcBorders>
            <w:tcMar>
              <w:top w:w="15" w:type="dxa"/>
              <w:left w:w="224" w:type="dxa"/>
              <w:bottom w:w="15" w:type="dxa"/>
              <w:right w:w="15" w:type="dxa"/>
            </w:tcMar>
          </w:tcPr>
          <w:p w:rsidRPr="006079C7" w:rsidR="00315371" w:rsidP="006079C7" w:rsidRDefault="00315371">
            <w:pPr>
              <w:ind w:firstLine="160" w:firstLineChars="100"/>
              <w:rPr>
                <w:rFonts w:ascii="Verdana" w:hAnsi="Verdana" w:cs="Courier New"/>
                <w:sz w:val="16"/>
                <w:szCs w:val="16"/>
              </w:rPr>
            </w:pPr>
            <w:r w:rsidRPr="006079C7">
              <w:rPr>
                <w:rFonts w:ascii="Verdana" w:hAnsi="Verdana" w:cs="Courier New"/>
                <w:sz w:val="16"/>
                <w:szCs w:val="16"/>
              </w:rPr>
              <w:t>Sociale zekerheid</w:t>
            </w:r>
          </w:p>
        </w:tc>
        <w:tc>
          <w:tcPr>
            <w:tcW w:w="550" w:type="pct"/>
          </w:tcPr>
          <w:p w:rsidRPr="006079C7" w:rsidR="00315371" w:rsidP="000D5CC9" w:rsidRDefault="00315371">
            <w:pPr>
              <w:rPr>
                <w:rFonts w:ascii="Verdana" w:hAnsi="Verdana"/>
                <w:sz w:val="16"/>
                <w:szCs w:val="16"/>
              </w:rPr>
            </w:pPr>
          </w:p>
        </w:tc>
        <w:tc>
          <w:tcPr>
            <w:tcW w:w="550"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49" w:type="pct"/>
          </w:tcPr>
          <w:p w:rsidRPr="006079C7" w:rsidR="00315371" w:rsidP="000D5CC9" w:rsidRDefault="00315371">
            <w:pPr>
              <w:rPr>
                <w:rFonts w:ascii="Verdana" w:hAnsi="Verdana"/>
                <w:sz w:val="16"/>
                <w:szCs w:val="16"/>
              </w:rPr>
            </w:pPr>
          </w:p>
        </w:tc>
      </w:tr>
      <w:tr w:rsidRPr="006079C7" w:rsidR="00315371" w:rsidTr="00991D3F">
        <w:tc>
          <w:tcPr>
            <w:tcW w:w="2250" w:type="pct"/>
            <w:tcBorders>
              <w:left w:val="nil"/>
              <w:right w:val="nil"/>
            </w:tcBorders>
            <w:tcMar>
              <w:top w:w="15" w:type="dxa"/>
              <w:left w:w="449" w:type="dxa"/>
              <w:bottom w:w="15" w:type="dxa"/>
              <w:right w:w="15" w:type="dxa"/>
            </w:tcMar>
          </w:tcPr>
          <w:p w:rsidRPr="006079C7" w:rsidR="00315371" w:rsidP="006079C7" w:rsidRDefault="00315371">
            <w:pPr>
              <w:ind w:firstLine="320" w:firstLineChars="200"/>
              <w:rPr>
                <w:rFonts w:ascii="Verdana" w:hAnsi="Verdana" w:cs="Courier New"/>
                <w:sz w:val="16"/>
                <w:szCs w:val="16"/>
              </w:rPr>
            </w:pPr>
            <w:r w:rsidRPr="006079C7">
              <w:rPr>
                <w:rFonts w:ascii="Verdana" w:hAnsi="Verdana" w:cs="Courier New"/>
                <w:sz w:val="16"/>
                <w:szCs w:val="16"/>
              </w:rPr>
              <w:t>Ramingstechnische veronderstelling in=uit</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-23,3</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-508,8</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-101,5</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-109,5</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-40,0</w:t>
            </w:r>
          </w:p>
        </w:tc>
        <w:tc>
          <w:tcPr>
            <w:tcW w:w="549"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-30,0</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Technische mutaties</w:t>
            </w:r>
          </w:p>
        </w:tc>
        <w:tc>
          <w:tcPr>
            <w:tcW w:w="550" w:type="pct"/>
          </w:tcPr>
          <w:p w:rsidRPr="006079C7" w:rsidR="00315371" w:rsidP="000D5CC9" w:rsidRDefault="00315371">
            <w:pPr>
              <w:rPr>
                <w:rFonts w:ascii="Verdana" w:hAnsi="Verdana"/>
                <w:sz w:val="16"/>
                <w:szCs w:val="16"/>
              </w:rPr>
            </w:pPr>
          </w:p>
        </w:tc>
        <w:tc>
          <w:tcPr>
            <w:tcW w:w="550"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49" w:type="pct"/>
          </w:tcPr>
          <w:p w:rsidRPr="006079C7" w:rsidR="00315371" w:rsidP="000D5CC9" w:rsidRDefault="00315371">
            <w:pPr>
              <w:rPr>
                <w:rFonts w:ascii="Verdana" w:hAnsi="Verdana"/>
                <w:sz w:val="16"/>
                <w:szCs w:val="16"/>
              </w:rPr>
            </w:pPr>
          </w:p>
        </w:tc>
      </w:tr>
      <w:tr w:rsidRPr="006079C7" w:rsidR="00315371" w:rsidTr="00991D3F">
        <w:tc>
          <w:tcPr>
            <w:tcW w:w="2250" w:type="pct"/>
            <w:tcBorders>
              <w:left w:val="nil"/>
              <w:right w:val="nil"/>
            </w:tcBorders>
            <w:tcMar>
              <w:top w:w="15" w:type="dxa"/>
              <w:left w:w="224" w:type="dxa"/>
              <w:bottom w:w="15" w:type="dxa"/>
              <w:right w:w="15" w:type="dxa"/>
            </w:tcMar>
          </w:tcPr>
          <w:p w:rsidRPr="006079C7" w:rsidR="00315371" w:rsidP="006079C7" w:rsidRDefault="00315371">
            <w:pPr>
              <w:ind w:firstLine="160" w:firstLineChars="100"/>
              <w:rPr>
                <w:rFonts w:ascii="Verdana" w:hAnsi="Verdana" w:cs="Courier New"/>
                <w:sz w:val="16"/>
                <w:szCs w:val="16"/>
              </w:rPr>
            </w:pPr>
            <w:r w:rsidRPr="006079C7">
              <w:rPr>
                <w:rFonts w:ascii="Verdana" w:hAnsi="Verdana" w:cs="Courier New"/>
                <w:sz w:val="16"/>
                <w:szCs w:val="16"/>
              </w:rPr>
              <w:t>Rijksbegroting in enge zin</w:t>
            </w:r>
          </w:p>
        </w:tc>
        <w:tc>
          <w:tcPr>
            <w:tcW w:w="550" w:type="pct"/>
          </w:tcPr>
          <w:p w:rsidRPr="006079C7" w:rsidR="00315371" w:rsidP="000D5CC9" w:rsidRDefault="00315371">
            <w:pPr>
              <w:rPr>
                <w:rFonts w:ascii="Verdana" w:hAnsi="Verdana"/>
                <w:sz w:val="16"/>
                <w:szCs w:val="16"/>
              </w:rPr>
            </w:pPr>
          </w:p>
        </w:tc>
        <w:tc>
          <w:tcPr>
            <w:tcW w:w="550"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49" w:type="pct"/>
          </w:tcPr>
          <w:p w:rsidRPr="006079C7" w:rsidR="00315371" w:rsidP="000D5CC9" w:rsidRDefault="00315371">
            <w:pPr>
              <w:rPr>
                <w:rFonts w:ascii="Verdana" w:hAnsi="Verdana"/>
                <w:sz w:val="16"/>
                <w:szCs w:val="16"/>
              </w:rPr>
            </w:pPr>
          </w:p>
        </w:tc>
      </w:tr>
      <w:tr w:rsidRPr="006079C7" w:rsidR="00315371" w:rsidTr="00991D3F">
        <w:tc>
          <w:tcPr>
            <w:tcW w:w="2250" w:type="pct"/>
            <w:tcBorders>
              <w:left w:val="nil"/>
              <w:right w:val="nil"/>
            </w:tcBorders>
            <w:tcMar>
              <w:top w:w="15" w:type="dxa"/>
              <w:left w:w="449" w:type="dxa"/>
              <w:bottom w:w="15" w:type="dxa"/>
              <w:right w:w="15" w:type="dxa"/>
            </w:tcMar>
          </w:tcPr>
          <w:p w:rsidRPr="006079C7" w:rsidR="00315371" w:rsidP="006079C7" w:rsidRDefault="00315371">
            <w:pPr>
              <w:ind w:firstLine="320" w:firstLineChars="200"/>
              <w:rPr>
                <w:rFonts w:ascii="Verdana" w:hAnsi="Verdana" w:cs="Courier New"/>
                <w:sz w:val="16"/>
                <w:szCs w:val="16"/>
              </w:rPr>
            </w:pPr>
            <w:r w:rsidRPr="006079C7">
              <w:rPr>
                <w:rFonts w:ascii="Verdana" w:hAnsi="Verdana" w:cs="Courier New"/>
                <w:sz w:val="16"/>
                <w:szCs w:val="16"/>
              </w:rPr>
              <w:t>Diversen</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0,1</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0,2</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0,3</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0,6</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0,7</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0,1</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0,2</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0,3</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0,6</w:t>
            </w:r>
          </w:p>
        </w:tc>
        <w:tc>
          <w:tcPr>
            <w:tcW w:w="549"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0,7</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p>
        </w:tc>
        <w:tc>
          <w:tcPr>
            <w:tcW w:w="550" w:type="pct"/>
            <w:vAlign w:val="center"/>
          </w:tcPr>
          <w:p w:rsidRPr="006079C7" w:rsidR="00315371" w:rsidP="000D5CC9" w:rsidRDefault="00315371">
            <w:pPr>
              <w:rPr>
                <w:rFonts w:ascii="Verdana" w:hAnsi="Verdana"/>
                <w:sz w:val="16"/>
                <w:szCs w:val="16"/>
              </w:rPr>
            </w:pPr>
          </w:p>
        </w:tc>
        <w:tc>
          <w:tcPr>
            <w:tcW w:w="550" w:type="pct"/>
            <w:vAlign w:val="center"/>
          </w:tcPr>
          <w:p w:rsidRPr="006079C7" w:rsidR="00315371" w:rsidP="000D5CC9" w:rsidRDefault="00315371">
            <w:pPr>
              <w:rPr>
                <w:rFonts w:ascii="Verdana" w:hAnsi="Verdana"/>
                <w:sz w:val="16"/>
                <w:szCs w:val="16"/>
              </w:rPr>
            </w:pPr>
          </w:p>
        </w:tc>
        <w:tc>
          <w:tcPr>
            <w:tcW w:w="551" w:type="pct"/>
            <w:vAlign w:val="center"/>
          </w:tcPr>
          <w:p w:rsidRPr="006079C7" w:rsidR="00315371" w:rsidP="000D5CC9" w:rsidRDefault="00315371">
            <w:pPr>
              <w:rPr>
                <w:rFonts w:ascii="Verdana" w:hAnsi="Verdana"/>
                <w:sz w:val="16"/>
                <w:szCs w:val="16"/>
              </w:rPr>
            </w:pPr>
          </w:p>
        </w:tc>
        <w:tc>
          <w:tcPr>
            <w:tcW w:w="551" w:type="pct"/>
            <w:vAlign w:val="center"/>
          </w:tcPr>
          <w:p w:rsidRPr="006079C7" w:rsidR="00315371" w:rsidP="000D5CC9" w:rsidRDefault="00315371">
            <w:pPr>
              <w:rPr>
                <w:rFonts w:ascii="Verdana" w:hAnsi="Verdana"/>
                <w:sz w:val="16"/>
                <w:szCs w:val="16"/>
              </w:rPr>
            </w:pPr>
          </w:p>
        </w:tc>
        <w:tc>
          <w:tcPr>
            <w:tcW w:w="549" w:type="pct"/>
            <w:vAlign w:val="center"/>
          </w:tcPr>
          <w:p w:rsidRPr="006079C7" w:rsidR="00315371" w:rsidP="000D5CC9" w:rsidRDefault="00315371">
            <w:pPr>
              <w:rPr>
                <w:rFonts w:ascii="Verdana" w:hAnsi="Verdana"/>
                <w:sz w:val="16"/>
                <w:szCs w:val="16"/>
              </w:rPr>
            </w:pP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Totaal mutaties sinds Miljoenennota 2012</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-508,6</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-101,3</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-109,2</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-39,5</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-29,3</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 </w:t>
            </w:r>
          </w:p>
        </w:tc>
        <w:tc>
          <w:tcPr>
            <w:tcW w:w="550" w:type="pct"/>
          </w:tcPr>
          <w:p w:rsidRPr="006079C7" w:rsidR="00315371" w:rsidP="000D5CC9" w:rsidRDefault="00315371">
            <w:pPr>
              <w:rPr>
                <w:rFonts w:ascii="Verdana" w:hAnsi="Verdana"/>
                <w:sz w:val="16"/>
                <w:szCs w:val="16"/>
              </w:rPr>
            </w:pPr>
          </w:p>
        </w:tc>
        <w:tc>
          <w:tcPr>
            <w:tcW w:w="550"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51" w:type="pct"/>
          </w:tcPr>
          <w:p w:rsidRPr="006079C7" w:rsidR="00315371" w:rsidP="000D5CC9" w:rsidRDefault="00315371">
            <w:pPr>
              <w:rPr>
                <w:rFonts w:ascii="Verdana" w:hAnsi="Verdana"/>
                <w:sz w:val="16"/>
                <w:szCs w:val="16"/>
              </w:rPr>
            </w:pPr>
          </w:p>
        </w:tc>
        <w:tc>
          <w:tcPr>
            <w:tcW w:w="549" w:type="pct"/>
          </w:tcPr>
          <w:p w:rsidRPr="006079C7" w:rsidR="00315371" w:rsidP="000D5CC9" w:rsidRDefault="00315371">
            <w:pPr>
              <w:rPr>
                <w:rFonts w:ascii="Verdana" w:hAnsi="Verdana"/>
                <w:sz w:val="16"/>
                <w:szCs w:val="16"/>
              </w:rPr>
            </w:pP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Stand Voorjaarsnota 2012 (subtotaal)</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-503,8</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-34,0</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189,9</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369,2</w:t>
            </w:r>
          </w:p>
        </w:tc>
        <w:tc>
          <w:tcPr>
            <w:tcW w:w="549"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345,8</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Totaal Internationale samenwerking</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0"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51"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c>
          <w:tcPr>
            <w:tcW w:w="549" w:type="pct"/>
            <w:tcBorders>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0,0</w:t>
            </w:r>
          </w:p>
        </w:tc>
      </w:tr>
      <w:tr w:rsidRPr="006079C7" w:rsidR="00315371" w:rsidTr="00991D3F">
        <w:tc>
          <w:tcPr>
            <w:tcW w:w="2250" w:type="pct"/>
            <w:tcBorders>
              <w:left w:val="nil"/>
              <w:right w:val="nil"/>
            </w:tcBorders>
          </w:tcPr>
          <w:p w:rsidRPr="006079C7" w:rsidR="00315371" w:rsidP="000D5CC9" w:rsidRDefault="00315371">
            <w:pPr>
              <w:rPr>
                <w:rFonts w:ascii="Verdana" w:hAnsi="Verdana" w:cs="Courier New"/>
                <w:sz w:val="16"/>
                <w:szCs w:val="16"/>
              </w:rPr>
            </w:pPr>
            <w:r w:rsidRPr="006079C7">
              <w:rPr>
                <w:rFonts w:ascii="Verdana" w:hAnsi="Verdana" w:cs="Courier New"/>
                <w:sz w:val="16"/>
                <w:szCs w:val="16"/>
              </w:rPr>
              <w:t>Stand Voorjaarsnota 2012</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-503,8</w:t>
            </w:r>
          </w:p>
        </w:tc>
        <w:tc>
          <w:tcPr>
            <w:tcW w:w="550"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-34,0</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189,9</w:t>
            </w:r>
          </w:p>
        </w:tc>
        <w:tc>
          <w:tcPr>
            <w:tcW w:w="551"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369,2</w:t>
            </w:r>
          </w:p>
        </w:tc>
        <w:tc>
          <w:tcPr>
            <w:tcW w:w="549" w:type="pct"/>
            <w:tcBorders>
              <w:top w:val="single" w:color="000000" w:sz="8" w:space="0"/>
              <w:left w:val="nil"/>
              <w:right w:val="nil"/>
            </w:tcBorders>
          </w:tcPr>
          <w:p w:rsidRPr="006079C7" w:rsidR="00315371" w:rsidP="000D5CC9" w:rsidRDefault="00315371">
            <w:pPr>
              <w:jc w:val="right"/>
              <w:rPr>
                <w:rFonts w:ascii="Verdana" w:hAnsi="Verdana" w:cs="Courier New"/>
                <w:sz w:val="16"/>
                <w:szCs w:val="16"/>
              </w:rPr>
            </w:pPr>
            <w:r w:rsidRPr="006079C7">
              <w:rPr>
                <w:rFonts w:ascii="Verdana" w:hAnsi="Verdana" w:cs="Courier New"/>
                <w:sz w:val="16"/>
                <w:szCs w:val="16"/>
              </w:rPr>
              <w:t>345,8</w:t>
            </w:r>
          </w:p>
        </w:tc>
      </w:tr>
    </w:tbl>
    <w:p w:rsidR="00315371" w:rsidP="00982A96" w:rsidRDefault="00315371">
      <w:pPr>
        <w:spacing w:line="276" w:lineRule="auto"/>
        <w:rPr>
          <w:rFonts w:ascii="Verdana" w:hAnsi="Verdana"/>
          <w:b/>
          <w:sz w:val="18"/>
          <w:szCs w:val="18"/>
        </w:rPr>
      </w:pPr>
    </w:p>
    <w:p w:rsidR="00315371" w:rsidP="00982A96" w:rsidRDefault="00315371">
      <w:pPr>
        <w:spacing w:line="276" w:lineRule="auto"/>
        <w:rPr>
          <w:rFonts w:ascii="Verdana" w:hAnsi="Verdana"/>
          <w:b/>
          <w:sz w:val="18"/>
          <w:szCs w:val="18"/>
        </w:rPr>
      </w:pPr>
    </w:p>
    <w:p w:rsidR="00315371" w:rsidP="006576B5" w:rsidRDefault="00315371">
      <w:pPr>
        <w:spacing w:line="276" w:lineRule="auto"/>
        <w:rPr>
          <w:rFonts w:ascii="Verdana" w:hAnsi="Verdana"/>
          <w:i/>
          <w:sz w:val="18"/>
          <w:szCs w:val="18"/>
        </w:rPr>
      </w:pPr>
      <w:r w:rsidRPr="006576B5">
        <w:rPr>
          <w:rFonts w:ascii="Verdana" w:hAnsi="Verdana"/>
          <w:i/>
          <w:sz w:val="18"/>
          <w:szCs w:val="18"/>
        </w:rPr>
        <w:t>Duurzame economie</w:t>
      </w:r>
      <w:r>
        <w:rPr>
          <w:rFonts w:ascii="Verdana" w:hAnsi="Verdana"/>
          <w:i/>
          <w:sz w:val="18"/>
          <w:szCs w:val="18"/>
        </w:rPr>
        <w:t>: zonnepanelen</w:t>
      </w:r>
    </w:p>
    <w:p w:rsidR="00315371" w:rsidP="006576B5" w:rsidRDefault="00315371">
      <w:pPr>
        <w:spacing w:line="276" w:lineRule="auto"/>
      </w:pPr>
      <w:r>
        <w:rPr>
          <w:rFonts w:ascii="Verdana" w:hAnsi="Verdana"/>
          <w:sz w:val="18"/>
          <w:szCs w:val="18"/>
        </w:rPr>
        <w:t>Per 1 juli 2012 komt 22 mln. budget beschikbaar voor een tijdelijke subsidieregeling voor investeringen in zonnepanelen voor kleinverbruikers. Kleinverbruikers kunnen een subsidie van 15% van de aanschafprijs ontvangen. De subsidie eindigt in 2013. Er wordt zo snel mogelijk een uitvoeringsregeling bekendgemaakt.</w:t>
      </w:r>
    </w:p>
    <w:p w:rsidR="00315371" w:rsidP="006576B5" w:rsidRDefault="00315371">
      <w:pPr>
        <w:spacing w:line="276" w:lineRule="auto"/>
        <w:rPr>
          <w:rFonts w:ascii="Verdana" w:hAnsi="Verdana"/>
          <w:b/>
          <w:sz w:val="18"/>
          <w:szCs w:val="18"/>
        </w:rPr>
      </w:pPr>
    </w:p>
    <w:p w:rsidRPr="00572E9C" w:rsidR="00315371" w:rsidP="006576B5" w:rsidRDefault="00315371">
      <w:pPr>
        <w:spacing w:line="276" w:lineRule="auto"/>
        <w:rPr>
          <w:rFonts w:ascii="Verdana" w:hAnsi="Verdana"/>
          <w:i/>
          <w:sz w:val="18"/>
          <w:szCs w:val="18"/>
        </w:rPr>
      </w:pPr>
      <w:r w:rsidRPr="00572E9C">
        <w:rPr>
          <w:rFonts w:ascii="Verdana" w:hAnsi="Verdana"/>
          <w:i/>
          <w:sz w:val="18"/>
          <w:szCs w:val="18"/>
        </w:rPr>
        <w:t>Ramingstechnische veronderstelling in=uit en invulling in=uit</w:t>
      </w:r>
    </w:p>
    <w:p w:rsidRPr="00572E9C" w:rsidR="00315371" w:rsidP="006576B5" w:rsidRDefault="00315371">
      <w:pPr>
        <w:spacing w:line="276" w:lineRule="auto"/>
        <w:rPr>
          <w:rFonts w:ascii="Verdana" w:hAnsi="Verdana"/>
          <w:sz w:val="18"/>
          <w:szCs w:val="18"/>
        </w:rPr>
      </w:pPr>
      <w:r w:rsidRPr="00572E9C">
        <w:rPr>
          <w:rFonts w:ascii="Verdana" w:hAnsi="Verdana"/>
          <w:sz w:val="18"/>
          <w:szCs w:val="18"/>
        </w:rPr>
        <w:t>Bij Voorjaarsnota wordt de eindejaarsmarge uitgekeerd aan de departementale begrotingen. Als tegenhanger hiervan wordt de ramingstechnische veronderstelling in+uit op de Aanvullende Post verwerkt. Hierbij wordt er vanuit gegaan dat de onderuitputting die zich in 2011 heeft voortgedaan ook in 2012 zal optreden. De eindejaarsmarge voor de HGIS-middelen en de daarmee corresponderende in=uit wordt over drie jaren verspreid. Bij Voorjaarsnota wordt de in=uit voor 0,2 mld. ingevuld. Een bedrag gelijk aan de kaderoverschrijding 2011.</w:t>
      </w:r>
    </w:p>
    <w:p w:rsidRPr="00572E9C" w:rsidR="00315371" w:rsidP="006576B5" w:rsidRDefault="00315371">
      <w:pPr>
        <w:spacing w:line="276" w:lineRule="auto"/>
        <w:rPr>
          <w:rFonts w:ascii="Verdana" w:hAnsi="Verdana"/>
          <w:sz w:val="18"/>
          <w:szCs w:val="18"/>
        </w:rPr>
      </w:pPr>
    </w:p>
    <w:p w:rsidRPr="00572E9C" w:rsidR="00315371" w:rsidP="006576B5" w:rsidRDefault="00315371">
      <w:pPr>
        <w:spacing w:line="276" w:lineRule="auto"/>
        <w:rPr>
          <w:rFonts w:ascii="Verdana" w:hAnsi="Verdana"/>
          <w:i/>
          <w:sz w:val="18"/>
          <w:szCs w:val="18"/>
        </w:rPr>
      </w:pPr>
      <w:r w:rsidRPr="00572E9C">
        <w:rPr>
          <w:rFonts w:ascii="Verdana" w:hAnsi="Verdana"/>
          <w:i/>
          <w:sz w:val="18"/>
          <w:szCs w:val="18"/>
        </w:rPr>
        <w:t>Uitkering reservering HSA I&amp;M</w:t>
      </w:r>
    </w:p>
    <w:p w:rsidRPr="00572E9C" w:rsidR="00315371" w:rsidP="006576B5" w:rsidRDefault="00315371">
      <w:pPr>
        <w:spacing w:line="276" w:lineRule="auto"/>
        <w:rPr>
          <w:rFonts w:ascii="Verdana" w:hAnsi="Verdana"/>
          <w:sz w:val="18"/>
          <w:szCs w:val="18"/>
        </w:rPr>
      </w:pPr>
      <w:r w:rsidRPr="00572E9C">
        <w:rPr>
          <w:rFonts w:ascii="Verdana" w:hAnsi="Verdana"/>
          <w:sz w:val="18"/>
          <w:szCs w:val="18"/>
        </w:rPr>
        <w:t>Bij voorjaarsnota 2011 was op de Aanvullende Post een voorziening getroffen van 375 mln. voor het oplossen van problematiek bij de High Speed Alliance (HSA). Nu er een akkoord is over de HSA-problematiek (onderhandelakkoord IenM-NS, 21-10-2011) wordt dit bedrag overgeboekt naar de beleidsve</w:t>
      </w:r>
      <w:r>
        <w:rPr>
          <w:rFonts w:ascii="Verdana" w:hAnsi="Verdana"/>
          <w:sz w:val="18"/>
          <w:szCs w:val="18"/>
        </w:rPr>
        <w:t>rantwoordelijke departementen.</w:t>
      </w:r>
      <w:r>
        <w:rPr>
          <w:rFonts w:ascii="Verdana" w:hAnsi="Verdana"/>
          <w:sz w:val="18"/>
          <w:szCs w:val="18"/>
        </w:rPr>
        <w:br/>
      </w:r>
    </w:p>
    <w:p w:rsidR="00315371" w:rsidP="00212995" w:rsidRDefault="00315371">
      <w:pPr>
        <w:spacing w:line="276" w:lineRule="auto"/>
      </w:pPr>
    </w:p>
    <w:sectPr w:rsidR="00315371" w:rsidSect="000B3CAB">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71" w:rsidRDefault="00315371" w:rsidP="002905DD">
      <w:r>
        <w:separator/>
      </w:r>
    </w:p>
  </w:endnote>
  <w:endnote w:type="continuationSeparator" w:id="0">
    <w:p w:rsidR="00315371" w:rsidRDefault="00315371" w:rsidP="00290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OGODD K+ Univers">
    <w:altName w:val="Univers"/>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TE1745C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71" w:rsidRDefault="00315371" w:rsidP="002905DD">
      <w:r>
        <w:separator/>
      </w:r>
    </w:p>
  </w:footnote>
  <w:footnote w:type="continuationSeparator" w:id="0">
    <w:p w:rsidR="00315371" w:rsidRDefault="00315371" w:rsidP="00290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971"/>
    <w:rsid w:val="0000443C"/>
    <w:rsid w:val="00020871"/>
    <w:rsid w:val="00026DAD"/>
    <w:rsid w:val="000309EB"/>
    <w:rsid w:val="00030E53"/>
    <w:rsid w:val="00034D40"/>
    <w:rsid w:val="000454D7"/>
    <w:rsid w:val="000625B7"/>
    <w:rsid w:val="00064DE5"/>
    <w:rsid w:val="00090D4C"/>
    <w:rsid w:val="00091536"/>
    <w:rsid w:val="000A6374"/>
    <w:rsid w:val="000B3CAB"/>
    <w:rsid w:val="000B4E38"/>
    <w:rsid w:val="000C1722"/>
    <w:rsid w:val="000D477A"/>
    <w:rsid w:val="000D5CC9"/>
    <w:rsid w:val="000D7016"/>
    <w:rsid w:val="000E01F8"/>
    <w:rsid w:val="000E7CF4"/>
    <w:rsid w:val="000F3E9C"/>
    <w:rsid w:val="000F615A"/>
    <w:rsid w:val="0011133F"/>
    <w:rsid w:val="0011182D"/>
    <w:rsid w:val="00122882"/>
    <w:rsid w:val="00131397"/>
    <w:rsid w:val="00157D55"/>
    <w:rsid w:val="0017300C"/>
    <w:rsid w:val="0017433D"/>
    <w:rsid w:val="00174971"/>
    <w:rsid w:val="00181269"/>
    <w:rsid w:val="001A2D35"/>
    <w:rsid w:val="001B2A57"/>
    <w:rsid w:val="001D1BC1"/>
    <w:rsid w:val="001F0A48"/>
    <w:rsid w:val="001F1356"/>
    <w:rsid w:val="002065F2"/>
    <w:rsid w:val="00212995"/>
    <w:rsid w:val="0021408B"/>
    <w:rsid w:val="002144DB"/>
    <w:rsid w:val="00224099"/>
    <w:rsid w:val="00230A83"/>
    <w:rsid w:val="002528B4"/>
    <w:rsid w:val="00271CB7"/>
    <w:rsid w:val="002905DD"/>
    <w:rsid w:val="002B2CBC"/>
    <w:rsid w:val="002B5FE1"/>
    <w:rsid w:val="002D094B"/>
    <w:rsid w:val="002E345F"/>
    <w:rsid w:val="0030281E"/>
    <w:rsid w:val="0031286C"/>
    <w:rsid w:val="00312E84"/>
    <w:rsid w:val="00315371"/>
    <w:rsid w:val="00344227"/>
    <w:rsid w:val="00365B48"/>
    <w:rsid w:val="00383EE3"/>
    <w:rsid w:val="0038590D"/>
    <w:rsid w:val="00394A05"/>
    <w:rsid w:val="00395379"/>
    <w:rsid w:val="00396626"/>
    <w:rsid w:val="003A358B"/>
    <w:rsid w:val="003D345C"/>
    <w:rsid w:val="003D65D5"/>
    <w:rsid w:val="003E1EAA"/>
    <w:rsid w:val="003F27EF"/>
    <w:rsid w:val="00404A14"/>
    <w:rsid w:val="00406846"/>
    <w:rsid w:val="00415735"/>
    <w:rsid w:val="00435346"/>
    <w:rsid w:val="00457E12"/>
    <w:rsid w:val="00463CBD"/>
    <w:rsid w:val="00464A79"/>
    <w:rsid w:val="00475D8F"/>
    <w:rsid w:val="00485A82"/>
    <w:rsid w:val="00485EF4"/>
    <w:rsid w:val="004B1619"/>
    <w:rsid w:val="004C5B78"/>
    <w:rsid w:val="004C7BC6"/>
    <w:rsid w:val="004D6EE3"/>
    <w:rsid w:val="004E1AE4"/>
    <w:rsid w:val="0050026F"/>
    <w:rsid w:val="00502936"/>
    <w:rsid w:val="00510B35"/>
    <w:rsid w:val="00535B2B"/>
    <w:rsid w:val="00550893"/>
    <w:rsid w:val="00550D8E"/>
    <w:rsid w:val="005555C6"/>
    <w:rsid w:val="00572E9C"/>
    <w:rsid w:val="00574B34"/>
    <w:rsid w:val="00580C7F"/>
    <w:rsid w:val="00581C3A"/>
    <w:rsid w:val="00597D67"/>
    <w:rsid w:val="005B131E"/>
    <w:rsid w:val="005B4FD3"/>
    <w:rsid w:val="005C1001"/>
    <w:rsid w:val="005D61D2"/>
    <w:rsid w:val="005D6259"/>
    <w:rsid w:val="005D68A2"/>
    <w:rsid w:val="005E406F"/>
    <w:rsid w:val="005E67E7"/>
    <w:rsid w:val="006002D0"/>
    <w:rsid w:val="00605CED"/>
    <w:rsid w:val="006079C7"/>
    <w:rsid w:val="00612354"/>
    <w:rsid w:val="006263F1"/>
    <w:rsid w:val="006576B5"/>
    <w:rsid w:val="00677607"/>
    <w:rsid w:val="0068628D"/>
    <w:rsid w:val="00697641"/>
    <w:rsid w:val="006A4DA8"/>
    <w:rsid w:val="006B0319"/>
    <w:rsid w:val="006C2F4C"/>
    <w:rsid w:val="006D254B"/>
    <w:rsid w:val="006E0876"/>
    <w:rsid w:val="0070799A"/>
    <w:rsid w:val="0071290E"/>
    <w:rsid w:val="00776F1C"/>
    <w:rsid w:val="00793100"/>
    <w:rsid w:val="00795864"/>
    <w:rsid w:val="007A0E2F"/>
    <w:rsid w:val="007B0C4F"/>
    <w:rsid w:val="007B734A"/>
    <w:rsid w:val="007C26C8"/>
    <w:rsid w:val="007C6A75"/>
    <w:rsid w:val="007E5772"/>
    <w:rsid w:val="007F2D41"/>
    <w:rsid w:val="007F6AB6"/>
    <w:rsid w:val="00800DE7"/>
    <w:rsid w:val="00801D82"/>
    <w:rsid w:val="0081744C"/>
    <w:rsid w:val="00823559"/>
    <w:rsid w:val="008914D4"/>
    <w:rsid w:val="008D542A"/>
    <w:rsid w:val="008D5BD0"/>
    <w:rsid w:val="0090380C"/>
    <w:rsid w:val="00922993"/>
    <w:rsid w:val="009362D9"/>
    <w:rsid w:val="009432D7"/>
    <w:rsid w:val="009461C8"/>
    <w:rsid w:val="00946554"/>
    <w:rsid w:val="00957E0D"/>
    <w:rsid w:val="00980437"/>
    <w:rsid w:val="00982A96"/>
    <w:rsid w:val="00991D3F"/>
    <w:rsid w:val="009A3969"/>
    <w:rsid w:val="009A5BAD"/>
    <w:rsid w:val="00A1334B"/>
    <w:rsid w:val="00A15500"/>
    <w:rsid w:val="00A5251A"/>
    <w:rsid w:val="00A55234"/>
    <w:rsid w:val="00A57E11"/>
    <w:rsid w:val="00A601CB"/>
    <w:rsid w:val="00A87857"/>
    <w:rsid w:val="00A9228E"/>
    <w:rsid w:val="00AA2967"/>
    <w:rsid w:val="00AA3D9B"/>
    <w:rsid w:val="00AC50E8"/>
    <w:rsid w:val="00AD3591"/>
    <w:rsid w:val="00AF019D"/>
    <w:rsid w:val="00B06639"/>
    <w:rsid w:val="00B92032"/>
    <w:rsid w:val="00B92FA0"/>
    <w:rsid w:val="00BB547D"/>
    <w:rsid w:val="00BB553E"/>
    <w:rsid w:val="00BC49E1"/>
    <w:rsid w:val="00BD5E26"/>
    <w:rsid w:val="00BE3B92"/>
    <w:rsid w:val="00C11F96"/>
    <w:rsid w:val="00C54CF7"/>
    <w:rsid w:val="00C61910"/>
    <w:rsid w:val="00C74FFD"/>
    <w:rsid w:val="00C96EBD"/>
    <w:rsid w:val="00CA2E44"/>
    <w:rsid w:val="00CC7A3D"/>
    <w:rsid w:val="00CE2A5B"/>
    <w:rsid w:val="00CE7197"/>
    <w:rsid w:val="00D16812"/>
    <w:rsid w:val="00D43FD0"/>
    <w:rsid w:val="00D56080"/>
    <w:rsid w:val="00D625AF"/>
    <w:rsid w:val="00DD331C"/>
    <w:rsid w:val="00DD33B1"/>
    <w:rsid w:val="00DE78BE"/>
    <w:rsid w:val="00DF174B"/>
    <w:rsid w:val="00DF7782"/>
    <w:rsid w:val="00E03713"/>
    <w:rsid w:val="00E110ED"/>
    <w:rsid w:val="00E12684"/>
    <w:rsid w:val="00E254C2"/>
    <w:rsid w:val="00E36A10"/>
    <w:rsid w:val="00E42437"/>
    <w:rsid w:val="00E6527F"/>
    <w:rsid w:val="00F23944"/>
    <w:rsid w:val="00F326A8"/>
    <w:rsid w:val="00F34652"/>
    <w:rsid w:val="00F3501F"/>
    <w:rsid w:val="00F45413"/>
    <w:rsid w:val="00FA36B4"/>
    <w:rsid w:val="00FA7B4F"/>
    <w:rsid w:val="00FB16C3"/>
    <w:rsid w:val="00FB210C"/>
    <w:rsid w:val="00FB221E"/>
    <w:rsid w:val="00FC10D1"/>
    <w:rsid w:val="00FD2531"/>
    <w:rsid w:val="00FD4588"/>
    <w:rsid w:val="00FE3CF7"/>
    <w:rsid w:val="00FE48B3"/>
    <w:rsid w:val="00FF60F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971"/>
    <w:rPr>
      <w:rFonts w:ascii="Times New Roman" w:eastAsia="Times New Roman" w:hAnsi="Times New Roman"/>
      <w:sz w:val="24"/>
      <w:szCs w:val="24"/>
    </w:rPr>
  </w:style>
  <w:style w:type="paragraph" w:styleId="Heading4">
    <w:name w:val="heading 4"/>
    <w:basedOn w:val="Normal"/>
    <w:link w:val="Heading4Char"/>
    <w:uiPriority w:val="99"/>
    <w:qFormat/>
    <w:rsid w:val="00CE2A5B"/>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E2A5B"/>
    <w:rPr>
      <w:rFonts w:ascii="Times New Roman" w:hAnsi="Times New Roman" w:cs="Times New Roman"/>
      <w:b/>
      <w:bCs/>
      <w:sz w:val="24"/>
      <w:szCs w:val="24"/>
      <w:lang w:eastAsia="nl-NL"/>
    </w:rPr>
  </w:style>
  <w:style w:type="paragraph" w:customStyle="1" w:styleId="Default">
    <w:name w:val="Default"/>
    <w:uiPriority w:val="99"/>
    <w:rsid w:val="00174971"/>
    <w:pPr>
      <w:autoSpaceDE w:val="0"/>
      <w:autoSpaceDN w:val="0"/>
      <w:adjustRightInd w:val="0"/>
    </w:pPr>
    <w:rPr>
      <w:rFonts w:ascii="Verdana" w:hAnsi="Verdana" w:cs="Verdana"/>
      <w:color w:val="000000"/>
      <w:sz w:val="24"/>
      <w:szCs w:val="24"/>
      <w:lang w:eastAsia="en-US"/>
    </w:rPr>
  </w:style>
  <w:style w:type="paragraph" w:styleId="NoSpacing">
    <w:name w:val="No Spacing"/>
    <w:uiPriority w:val="99"/>
    <w:qFormat/>
    <w:rsid w:val="00174971"/>
    <w:rPr>
      <w:rFonts w:ascii="Verdana" w:hAnsi="Verdana"/>
      <w:sz w:val="18"/>
      <w:lang w:eastAsia="en-US"/>
    </w:rPr>
  </w:style>
  <w:style w:type="paragraph" w:styleId="BodyText">
    <w:name w:val="Body Text"/>
    <w:basedOn w:val="Normal"/>
    <w:link w:val="BodyTextChar"/>
    <w:uiPriority w:val="99"/>
    <w:rsid w:val="00457E12"/>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BodyTextChar">
    <w:name w:val="Body Text Char"/>
    <w:basedOn w:val="DefaultParagraphFont"/>
    <w:link w:val="BodyText"/>
    <w:uiPriority w:val="99"/>
    <w:locked/>
    <w:rsid w:val="00457E12"/>
    <w:rPr>
      <w:rFonts w:ascii="Arial" w:hAnsi="Arial" w:cs="Times New Roman"/>
      <w:sz w:val="20"/>
      <w:szCs w:val="20"/>
      <w:lang w:eastAsia="nl-NL"/>
    </w:rPr>
  </w:style>
  <w:style w:type="character" w:styleId="CommentReference">
    <w:name w:val="annotation reference"/>
    <w:basedOn w:val="DefaultParagraphFont"/>
    <w:uiPriority w:val="99"/>
    <w:semiHidden/>
    <w:rsid w:val="00CE2A5B"/>
    <w:rPr>
      <w:rFonts w:cs="Times New Roman"/>
      <w:sz w:val="16"/>
      <w:szCs w:val="16"/>
    </w:rPr>
  </w:style>
  <w:style w:type="paragraph" w:styleId="CommentText">
    <w:name w:val="annotation text"/>
    <w:basedOn w:val="Normal"/>
    <w:link w:val="CommentTextChar"/>
    <w:uiPriority w:val="99"/>
    <w:semiHidden/>
    <w:rsid w:val="00CE2A5B"/>
    <w:rPr>
      <w:sz w:val="20"/>
      <w:szCs w:val="20"/>
    </w:rPr>
  </w:style>
  <w:style w:type="character" w:customStyle="1" w:styleId="CommentTextChar">
    <w:name w:val="Comment Text Char"/>
    <w:basedOn w:val="DefaultParagraphFont"/>
    <w:link w:val="CommentText"/>
    <w:uiPriority w:val="99"/>
    <w:semiHidden/>
    <w:locked/>
    <w:rsid w:val="00CE2A5B"/>
    <w:rPr>
      <w:rFonts w:ascii="Times New Roman" w:hAnsi="Times New Roman" w:cs="Times New Roman"/>
      <w:sz w:val="20"/>
      <w:szCs w:val="20"/>
      <w:lang w:eastAsia="nl-NL"/>
    </w:rPr>
  </w:style>
  <w:style w:type="paragraph" w:styleId="BalloonText">
    <w:name w:val="Balloon Text"/>
    <w:basedOn w:val="Normal"/>
    <w:link w:val="BalloonTextChar"/>
    <w:uiPriority w:val="99"/>
    <w:semiHidden/>
    <w:rsid w:val="00CE2A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2A5B"/>
    <w:rPr>
      <w:rFonts w:ascii="Tahoma" w:hAnsi="Tahoma" w:cs="Tahoma"/>
      <w:sz w:val="16"/>
      <w:szCs w:val="16"/>
      <w:lang w:eastAsia="nl-NL"/>
    </w:rPr>
  </w:style>
  <w:style w:type="paragraph" w:styleId="NormalWeb">
    <w:name w:val="Normal (Web)"/>
    <w:basedOn w:val="Normal"/>
    <w:uiPriority w:val="99"/>
    <w:rsid w:val="00FB210C"/>
    <w:pPr>
      <w:spacing w:before="100" w:beforeAutospacing="1" w:after="100" w:afterAutospacing="1"/>
    </w:pPr>
  </w:style>
  <w:style w:type="paragraph" w:styleId="PlainText">
    <w:name w:val="Plain Text"/>
    <w:basedOn w:val="Normal"/>
    <w:link w:val="PlainTextChar"/>
    <w:uiPriority w:val="99"/>
    <w:semiHidden/>
    <w:rsid w:val="0071290E"/>
    <w:rPr>
      <w:rFonts w:eastAsia="Calibri"/>
    </w:rPr>
  </w:style>
  <w:style w:type="character" w:customStyle="1" w:styleId="PlainTextChar">
    <w:name w:val="Plain Text Char"/>
    <w:basedOn w:val="DefaultParagraphFont"/>
    <w:link w:val="PlainText"/>
    <w:uiPriority w:val="99"/>
    <w:semiHidden/>
    <w:locked/>
    <w:rsid w:val="0071290E"/>
    <w:rPr>
      <w:rFonts w:ascii="Times New Roman" w:hAnsi="Times New Roman" w:cs="Times New Roman"/>
      <w:sz w:val="24"/>
      <w:szCs w:val="24"/>
      <w:lang w:eastAsia="nl-NL"/>
    </w:rPr>
  </w:style>
  <w:style w:type="paragraph" w:styleId="Header">
    <w:name w:val="header"/>
    <w:basedOn w:val="Normal"/>
    <w:link w:val="HeaderChar"/>
    <w:uiPriority w:val="99"/>
    <w:semiHidden/>
    <w:rsid w:val="00E12684"/>
    <w:pPr>
      <w:tabs>
        <w:tab w:val="center" w:pos="4536"/>
        <w:tab w:val="right" w:pos="9072"/>
      </w:tabs>
    </w:pPr>
  </w:style>
  <w:style w:type="character" w:customStyle="1" w:styleId="HeaderChar">
    <w:name w:val="Header Char"/>
    <w:basedOn w:val="DefaultParagraphFont"/>
    <w:link w:val="Header"/>
    <w:uiPriority w:val="99"/>
    <w:semiHidden/>
    <w:locked/>
    <w:rsid w:val="00E12684"/>
    <w:rPr>
      <w:rFonts w:ascii="Times New Roman" w:hAnsi="Times New Roman" w:cs="Times New Roman"/>
      <w:sz w:val="24"/>
      <w:szCs w:val="24"/>
      <w:lang w:eastAsia="nl-NL"/>
    </w:rPr>
  </w:style>
  <w:style w:type="paragraph" w:styleId="Footer">
    <w:name w:val="footer"/>
    <w:basedOn w:val="Normal"/>
    <w:link w:val="FooterChar"/>
    <w:uiPriority w:val="99"/>
    <w:semiHidden/>
    <w:rsid w:val="002905DD"/>
    <w:pPr>
      <w:tabs>
        <w:tab w:val="center" w:pos="4536"/>
        <w:tab w:val="right" w:pos="9072"/>
      </w:tabs>
    </w:pPr>
  </w:style>
  <w:style w:type="character" w:customStyle="1" w:styleId="FooterChar">
    <w:name w:val="Footer Char"/>
    <w:basedOn w:val="DefaultParagraphFont"/>
    <w:link w:val="Footer"/>
    <w:uiPriority w:val="99"/>
    <w:semiHidden/>
    <w:locked/>
    <w:rsid w:val="002905DD"/>
    <w:rPr>
      <w:rFonts w:ascii="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820343707">
      <w:marLeft w:val="0"/>
      <w:marRight w:val="0"/>
      <w:marTop w:val="0"/>
      <w:marBottom w:val="0"/>
      <w:divBdr>
        <w:top w:val="none" w:sz="0" w:space="0" w:color="auto"/>
        <w:left w:val="none" w:sz="0" w:space="0" w:color="auto"/>
        <w:bottom w:val="none" w:sz="0" w:space="0" w:color="auto"/>
        <w:right w:val="none" w:sz="0" w:space="0" w:color="auto"/>
      </w:divBdr>
    </w:div>
    <w:div w:id="1820343708">
      <w:marLeft w:val="0"/>
      <w:marRight w:val="0"/>
      <w:marTop w:val="0"/>
      <w:marBottom w:val="0"/>
      <w:divBdr>
        <w:top w:val="none" w:sz="0" w:space="0" w:color="auto"/>
        <w:left w:val="none" w:sz="0" w:space="0" w:color="auto"/>
        <w:bottom w:val="none" w:sz="0" w:space="0" w:color="auto"/>
        <w:right w:val="none" w:sz="0" w:space="0" w:color="auto"/>
      </w:divBdr>
    </w:div>
    <w:div w:id="1820343709">
      <w:marLeft w:val="0"/>
      <w:marRight w:val="0"/>
      <w:marTop w:val="0"/>
      <w:marBottom w:val="0"/>
      <w:divBdr>
        <w:top w:val="none" w:sz="0" w:space="0" w:color="auto"/>
        <w:left w:val="none" w:sz="0" w:space="0" w:color="auto"/>
        <w:bottom w:val="none" w:sz="0" w:space="0" w:color="auto"/>
        <w:right w:val="none" w:sz="0" w:space="0" w:color="auto"/>
      </w:divBdr>
    </w:div>
    <w:div w:id="1820343710">
      <w:marLeft w:val="0"/>
      <w:marRight w:val="0"/>
      <w:marTop w:val="0"/>
      <w:marBottom w:val="0"/>
      <w:divBdr>
        <w:top w:val="none" w:sz="0" w:space="0" w:color="auto"/>
        <w:left w:val="none" w:sz="0" w:space="0" w:color="auto"/>
        <w:bottom w:val="none" w:sz="0" w:space="0" w:color="auto"/>
        <w:right w:val="none" w:sz="0" w:space="0" w:color="auto"/>
      </w:divBdr>
    </w:div>
    <w:div w:id="1820343711">
      <w:marLeft w:val="0"/>
      <w:marRight w:val="0"/>
      <w:marTop w:val="0"/>
      <w:marBottom w:val="0"/>
      <w:divBdr>
        <w:top w:val="none" w:sz="0" w:space="0" w:color="auto"/>
        <w:left w:val="none" w:sz="0" w:space="0" w:color="auto"/>
        <w:bottom w:val="none" w:sz="0" w:space="0" w:color="auto"/>
        <w:right w:val="none" w:sz="0" w:space="0" w:color="auto"/>
      </w:divBdr>
    </w:div>
    <w:div w:id="1820343712">
      <w:marLeft w:val="0"/>
      <w:marRight w:val="0"/>
      <w:marTop w:val="0"/>
      <w:marBottom w:val="0"/>
      <w:divBdr>
        <w:top w:val="none" w:sz="0" w:space="0" w:color="auto"/>
        <w:left w:val="none" w:sz="0" w:space="0" w:color="auto"/>
        <w:bottom w:val="none" w:sz="0" w:space="0" w:color="auto"/>
        <w:right w:val="none" w:sz="0" w:space="0" w:color="auto"/>
      </w:divBdr>
    </w:div>
    <w:div w:id="1820343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84</ap:Pages>
  <ap:Words>15029</ap:Words>
  <ap:Characters>-32766</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2012-05-25T13:11:00.0000000Z</lastPrinted>
  <dcterms:created xsi:type="dcterms:W3CDTF">2012-05-25T18:42:00.0000000Z</dcterms:created>
  <dcterms:modified xsi:type="dcterms:W3CDTF">2012-05-25T18:42:00.0000000Z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0x010100E3D37B3CF4EC304DB398ABF09B4024E2</vt:lpwstr>
  </property>
</Properties>
</file>