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71873" w:rsidR="00F333B0" w:rsidP="0078796E" w:rsidRDefault="00F333B0">
      <w:pPr>
        <w:rPr>
          <w:rFonts w:ascii="Times New Roman" w:hAnsi="Times New Roman"/>
          <w:b/>
          <w:sz w:val="18"/>
          <w:szCs w:val="18"/>
          <w:u w:val="single"/>
        </w:rPr>
      </w:pPr>
      <w:bookmarkStart w:name="_GoBack" w:id="0"/>
      <w:bookmarkEnd w:id="0"/>
      <w:r w:rsidRPr="00E71873">
        <w:rPr>
          <w:rFonts w:ascii="Times New Roman" w:hAnsi="Times New Roman"/>
          <w:b/>
          <w:sz w:val="18"/>
          <w:szCs w:val="18"/>
          <w:u w:val="single"/>
        </w:rPr>
        <w:t>Memo voor Commissie VWS</w:t>
      </w:r>
    </w:p>
    <w:p w:rsidRPr="00E71873" w:rsidR="00F333B0" w:rsidRDefault="00B1443C">
      <w:pPr>
        <w:rPr>
          <w:rFonts w:ascii="Times New Roman" w:hAnsi="Times New Roman"/>
          <w:sz w:val="18"/>
          <w:szCs w:val="18"/>
        </w:rPr>
      </w:pPr>
      <w:r w:rsidRPr="00E71873">
        <w:rPr>
          <w:rFonts w:ascii="Times New Roman" w:hAnsi="Times New Roman"/>
          <w:sz w:val="18"/>
          <w:szCs w:val="18"/>
        </w:rPr>
        <w:t>Betreft</w:t>
      </w:r>
      <w:r w:rsidR="00745101">
        <w:rPr>
          <w:rFonts w:ascii="Times New Roman" w:hAnsi="Times New Roman"/>
          <w:sz w:val="18"/>
          <w:szCs w:val="18"/>
        </w:rPr>
        <w:t>: het organiseren van een ronde</w:t>
      </w:r>
      <w:r w:rsidRPr="00E71873" w:rsidR="00F333B0">
        <w:rPr>
          <w:rFonts w:ascii="Times New Roman" w:hAnsi="Times New Roman"/>
          <w:sz w:val="18"/>
          <w:szCs w:val="18"/>
        </w:rPr>
        <w:t>tafelgesprek over jongeren met een lich</w:t>
      </w:r>
      <w:r w:rsidR="00BC7FF8">
        <w:rPr>
          <w:rFonts w:ascii="Times New Roman" w:hAnsi="Times New Roman"/>
          <w:sz w:val="18"/>
          <w:szCs w:val="18"/>
        </w:rPr>
        <w:t xml:space="preserve">t verstandelijke beperking (de </w:t>
      </w:r>
      <w:r w:rsidRPr="00E71873" w:rsidR="00F333B0">
        <w:rPr>
          <w:rFonts w:ascii="Times New Roman" w:hAnsi="Times New Roman"/>
          <w:sz w:val="18"/>
          <w:szCs w:val="18"/>
        </w:rPr>
        <w:t>LVG-groep)</w:t>
      </w:r>
    </w:p>
    <w:p w:rsidRPr="00E71873" w:rsidR="00F333B0" w:rsidRDefault="00F333B0">
      <w:pPr>
        <w:rPr>
          <w:rFonts w:ascii="Times New Roman" w:hAnsi="Times New Roman"/>
          <w:sz w:val="18"/>
          <w:szCs w:val="18"/>
        </w:rPr>
      </w:pPr>
      <w:r w:rsidRPr="00E71873">
        <w:rPr>
          <w:rFonts w:ascii="Times New Roman" w:hAnsi="Times New Roman"/>
          <w:sz w:val="18"/>
          <w:szCs w:val="18"/>
        </w:rPr>
        <w:t>Van:  Mona Keijzer (CDA)</w:t>
      </w:r>
    </w:p>
    <w:p w:rsidRPr="00E71873" w:rsidR="00F333B0" w:rsidP="00AA4894" w:rsidRDefault="00F333B0">
      <w:pPr>
        <w:rPr>
          <w:rFonts w:ascii="Times New Roman" w:hAnsi="Times New Roman"/>
          <w:b/>
          <w:sz w:val="18"/>
          <w:szCs w:val="18"/>
          <w:u w:val="single"/>
        </w:rPr>
      </w:pPr>
      <w:r w:rsidRPr="00E71873">
        <w:rPr>
          <w:rFonts w:ascii="Times New Roman" w:hAnsi="Times New Roman"/>
          <w:b/>
          <w:sz w:val="18"/>
          <w:szCs w:val="18"/>
          <w:u w:val="single"/>
        </w:rPr>
        <w:t xml:space="preserve">Achtergrondinformatie in verband met organiseren rondetafelgesprek over LVG jongeren </w:t>
      </w:r>
    </w:p>
    <w:p w:rsidRPr="00E71873" w:rsidR="00F333B0" w:rsidP="00AA4894" w:rsidRDefault="00F333B0">
      <w:pPr>
        <w:rPr>
          <w:rFonts w:ascii="Times New Roman" w:hAnsi="Times New Roman"/>
          <w:sz w:val="18"/>
          <w:szCs w:val="18"/>
        </w:rPr>
      </w:pPr>
      <w:r w:rsidRPr="00E71873">
        <w:rPr>
          <w:rFonts w:ascii="Times New Roman" w:hAnsi="Times New Roman"/>
          <w:sz w:val="18"/>
          <w:szCs w:val="18"/>
        </w:rPr>
        <w:t>In de ons omringende landen komt men met een IQ dat lager is dan 70</w:t>
      </w:r>
      <w:r w:rsidR="00E71873">
        <w:rPr>
          <w:rFonts w:ascii="Times New Roman" w:hAnsi="Times New Roman"/>
          <w:sz w:val="18"/>
          <w:szCs w:val="18"/>
        </w:rPr>
        <w:t xml:space="preserve"> niet</w:t>
      </w:r>
      <w:r w:rsidRPr="00E71873">
        <w:rPr>
          <w:rFonts w:ascii="Times New Roman" w:hAnsi="Times New Roman"/>
          <w:sz w:val="18"/>
          <w:szCs w:val="18"/>
        </w:rPr>
        <w:t xml:space="preserve"> in aanmerking voor zorg. In Nederland komen ook zogenaamde licht verstandelijk gehandicapten, dat zijn mensen met een IQ tussen de 70 en 85, voor AWBZ-zorg in aanmerking.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12"/>
      </w:tblGrid>
      <w:tr w:rsidRPr="00E71873" w:rsidR="00F333B0">
        <w:tc>
          <w:tcPr>
            <w:tcW w:w="9212" w:type="dxa"/>
          </w:tcPr>
          <w:p w:rsidRPr="00E71873" w:rsidR="00F333B0" w:rsidP="000A31DA" w:rsidRDefault="00F333B0">
            <w:pPr>
              <w:spacing w:after="0" w:line="240" w:lineRule="auto"/>
              <w:rPr>
                <w:rFonts w:ascii="Times New Roman" w:hAnsi="Times New Roman"/>
                <w:sz w:val="18"/>
                <w:szCs w:val="18"/>
              </w:rPr>
            </w:pPr>
          </w:p>
          <w:p w:rsidRPr="00E71873" w:rsidR="00F333B0" w:rsidP="000A31DA" w:rsidRDefault="00F333B0">
            <w:pPr>
              <w:numPr>
                <w:ilvl w:val="0"/>
                <w:numId w:val="1"/>
              </w:numPr>
              <w:autoSpaceDE w:val="0"/>
              <w:autoSpaceDN w:val="0"/>
              <w:adjustRightInd w:val="0"/>
              <w:spacing w:after="0" w:line="240" w:lineRule="auto"/>
              <w:rPr>
                <w:rFonts w:ascii="Times New Roman" w:hAnsi="Times New Roman"/>
                <w:sz w:val="18"/>
                <w:szCs w:val="18"/>
              </w:rPr>
            </w:pPr>
            <w:r w:rsidRPr="00E71873">
              <w:rPr>
                <w:rFonts w:ascii="Times New Roman" w:hAnsi="Times New Roman"/>
                <w:sz w:val="18"/>
                <w:szCs w:val="18"/>
              </w:rPr>
              <w:t>Research voor Beleid geeft</w:t>
            </w:r>
            <w:r w:rsidR="00BC7FF8">
              <w:rPr>
                <w:rFonts w:ascii="Times New Roman" w:hAnsi="Times New Roman"/>
                <w:sz w:val="18"/>
                <w:szCs w:val="18"/>
              </w:rPr>
              <w:t xml:space="preserve"> aan dat er in 2011 ongeveer 15.</w:t>
            </w:r>
            <w:r w:rsidRPr="00E71873">
              <w:rPr>
                <w:rFonts w:ascii="Times New Roman" w:hAnsi="Times New Roman"/>
                <w:sz w:val="18"/>
                <w:szCs w:val="18"/>
              </w:rPr>
              <w:t xml:space="preserve">000 zwakbegaafde jongeren in zorg zijn. De meesten hebben een indicatie voor begeleiding (40%) of voor een intramuraal zorgpakket (40%). Veel jongeren (35%) kiezen voor een pgb. </w:t>
            </w:r>
          </w:p>
          <w:p w:rsidRPr="00E71873" w:rsidR="00F333B0" w:rsidP="000A31DA" w:rsidRDefault="00F333B0">
            <w:pPr>
              <w:numPr>
                <w:ilvl w:val="0"/>
                <w:numId w:val="1"/>
              </w:numPr>
              <w:autoSpaceDE w:val="0"/>
              <w:autoSpaceDN w:val="0"/>
              <w:adjustRightInd w:val="0"/>
              <w:spacing w:after="0" w:line="240" w:lineRule="auto"/>
              <w:rPr>
                <w:rFonts w:ascii="Times New Roman" w:hAnsi="Times New Roman"/>
                <w:sz w:val="18"/>
                <w:szCs w:val="18"/>
              </w:rPr>
            </w:pPr>
            <w:r w:rsidRPr="00E71873">
              <w:rPr>
                <w:rFonts w:ascii="Times New Roman" w:hAnsi="Times New Roman"/>
                <w:sz w:val="18"/>
                <w:szCs w:val="18"/>
              </w:rPr>
              <w:t>Onder de volwassenenzorg zou</w:t>
            </w:r>
            <w:r w:rsidR="00BC7FF8">
              <w:rPr>
                <w:rFonts w:ascii="Times New Roman" w:hAnsi="Times New Roman"/>
                <w:sz w:val="18"/>
                <w:szCs w:val="18"/>
              </w:rPr>
              <w:t>den er volgens Research v</w:t>
            </w:r>
            <w:r w:rsidRPr="00E71873">
              <w:rPr>
                <w:rFonts w:ascii="Times New Roman" w:hAnsi="Times New Roman"/>
                <w:sz w:val="18"/>
                <w:szCs w:val="18"/>
              </w:rPr>
              <w:t xml:space="preserve">oor </w:t>
            </w:r>
            <w:r w:rsidR="00BC7FF8">
              <w:rPr>
                <w:rFonts w:ascii="Times New Roman" w:hAnsi="Times New Roman"/>
                <w:sz w:val="18"/>
                <w:szCs w:val="18"/>
              </w:rPr>
              <w:t>Beleid 18.000 tot 28.</w:t>
            </w:r>
            <w:r w:rsidRPr="00E71873">
              <w:rPr>
                <w:rFonts w:ascii="Times New Roman" w:hAnsi="Times New Roman"/>
                <w:sz w:val="18"/>
                <w:szCs w:val="18"/>
              </w:rPr>
              <w:t xml:space="preserve">000 zwakbegaafd zijn. Ongeveer een derde heeft een indicatie voor begeleiding en de helft komt in aanmerking voor een intramuraal zorgpakket. Daarnaast komt 13% in aanmerking voor verzorging &amp; verpleging. </w:t>
            </w:r>
          </w:p>
          <w:p w:rsidRPr="00E71873" w:rsidR="00F333B0" w:rsidP="000A31DA" w:rsidRDefault="00F333B0">
            <w:pPr>
              <w:numPr>
                <w:ilvl w:val="0"/>
                <w:numId w:val="1"/>
              </w:numPr>
              <w:autoSpaceDE w:val="0"/>
              <w:autoSpaceDN w:val="0"/>
              <w:adjustRightInd w:val="0"/>
              <w:spacing w:after="0" w:line="240" w:lineRule="auto"/>
              <w:rPr>
                <w:rFonts w:ascii="Times New Roman" w:hAnsi="Times New Roman"/>
                <w:sz w:val="18"/>
                <w:szCs w:val="18"/>
              </w:rPr>
            </w:pPr>
            <w:r w:rsidRPr="00E71873">
              <w:rPr>
                <w:rFonts w:ascii="Times New Roman" w:hAnsi="Times New Roman"/>
                <w:sz w:val="18"/>
                <w:szCs w:val="18"/>
              </w:rPr>
              <w:t>Een groot deel van de zwakbegaafden komt nu nog in aanmerking voor verblijf. Voor de jongere zwakbegaafden heeft 40% van de indicatie daarop betrekking. Bij jongeren gaat het dan vooral om situaties waarin het gezin van herkomst te weinig draagkracht heeft en de problematiek van de jongere te groot is om hem of haar thuis te houden. Bij de volwassenen heeft ongeveer de helft van de indicatie betrekking op verblijf. De behoefte aan verblijf heeft ermee te maken dat veel zelfstandig wonende volwassenen soms vastlopen in een bepaalde fase van hun leven. Redenen hiervoor kunnen zijn verlies van baan of partner, het hebben van schulden en betalingsachterstanden, met eventueel als gevolg (dreigende) uitzetting uit de woning. Ook het wegvallen van steunfiguren in h</w:t>
            </w:r>
            <w:r w:rsidR="00BC7FF8">
              <w:rPr>
                <w:rFonts w:ascii="Times New Roman" w:hAnsi="Times New Roman"/>
                <w:sz w:val="18"/>
                <w:szCs w:val="18"/>
              </w:rPr>
              <w:t>et netwerk kan een rol spelen</w:t>
            </w:r>
            <w:r w:rsidRPr="00E71873">
              <w:rPr>
                <w:rFonts w:ascii="Times New Roman" w:hAnsi="Times New Roman"/>
                <w:sz w:val="18"/>
                <w:szCs w:val="18"/>
              </w:rPr>
              <w:t xml:space="preserve">. </w:t>
            </w:r>
          </w:p>
          <w:p w:rsidRPr="00E71873" w:rsidR="00F333B0" w:rsidP="00BA5946" w:rsidRDefault="00F333B0">
            <w:pPr>
              <w:pStyle w:val="Lijstalinea1"/>
              <w:numPr>
                <w:ilvl w:val="0"/>
                <w:numId w:val="1"/>
              </w:numPr>
              <w:autoSpaceDE w:val="0"/>
              <w:autoSpaceDN w:val="0"/>
              <w:adjustRightInd w:val="0"/>
              <w:spacing w:after="0" w:line="240" w:lineRule="auto"/>
              <w:rPr>
                <w:rFonts w:ascii="Times New Roman" w:hAnsi="Times New Roman"/>
                <w:sz w:val="18"/>
                <w:szCs w:val="18"/>
              </w:rPr>
            </w:pPr>
            <w:r w:rsidRPr="00E71873">
              <w:rPr>
                <w:rFonts w:ascii="Times New Roman" w:hAnsi="Times New Roman"/>
                <w:sz w:val="18"/>
                <w:szCs w:val="18"/>
              </w:rPr>
              <w:t xml:space="preserve">Jongere zwakbegaafden (tot en met 23 jaar) komen in aanmerking voor jeugdzorg. De </w:t>
            </w:r>
            <w:r w:rsidR="00BC7FF8">
              <w:rPr>
                <w:rFonts w:ascii="Times New Roman" w:hAnsi="Times New Roman"/>
                <w:sz w:val="18"/>
                <w:szCs w:val="18"/>
              </w:rPr>
              <w:t>indicaties</w:t>
            </w:r>
            <w:r w:rsidR="00BA5946">
              <w:rPr>
                <w:rFonts w:ascii="Times New Roman" w:hAnsi="Times New Roman"/>
                <w:sz w:val="18"/>
                <w:szCs w:val="18"/>
              </w:rPr>
              <w:t>telling</w:t>
            </w:r>
            <w:r w:rsidR="00BC7FF8">
              <w:rPr>
                <w:rFonts w:ascii="Times New Roman" w:hAnsi="Times New Roman"/>
                <w:sz w:val="18"/>
                <w:szCs w:val="18"/>
              </w:rPr>
              <w:t xml:space="preserve"> vind</w:t>
            </w:r>
            <w:r w:rsidR="00BA5946">
              <w:rPr>
                <w:rFonts w:ascii="Times New Roman" w:hAnsi="Times New Roman"/>
                <w:sz w:val="18"/>
                <w:szCs w:val="18"/>
              </w:rPr>
              <w:t>t</w:t>
            </w:r>
            <w:r w:rsidRPr="00E71873">
              <w:rPr>
                <w:rFonts w:ascii="Times New Roman" w:hAnsi="Times New Roman"/>
                <w:sz w:val="18"/>
                <w:szCs w:val="18"/>
              </w:rPr>
              <w:t xml:space="preserve"> daar echter op dezelfde wijze plaats als in de AWBZ. </w:t>
            </w:r>
          </w:p>
        </w:tc>
      </w:tr>
    </w:tbl>
    <w:p w:rsidRPr="00E71873" w:rsidR="00F333B0" w:rsidP="00AA4894" w:rsidRDefault="00F333B0">
      <w:pPr>
        <w:rPr>
          <w:rFonts w:ascii="Times New Roman" w:hAnsi="Times New Roman"/>
          <w:sz w:val="18"/>
          <w:szCs w:val="18"/>
        </w:rPr>
      </w:pPr>
      <w:r w:rsidRPr="00E71873">
        <w:rPr>
          <w:rFonts w:ascii="Times New Roman" w:hAnsi="Times New Roman"/>
          <w:sz w:val="18"/>
          <w:szCs w:val="18"/>
        </w:rPr>
        <w:t>De komende jaren staan er een aantal decentralisaties op stapel waarin deze doelgroep specifieke aandacht verdient. We noemen specifiek de decentralisatie</w:t>
      </w:r>
      <w:r w:rsidR="00BC7FF8">
        <w:rPr>
          <w:rFonts w:ascii="Times New Roman" w:hAnsi="Times New Roman"/>
          <w:sz w:val="18"/>
          <w:szCs w:val="18"/>
        </w:rPr>
        <w:t>s</w:t>
      </w:r>
      <w:r w:rsidRPr="00E71873">
        <w:rPr>
          <w:rFonts w:ascii="Times New Roman" w:hAnsi="Times New Roman"/>
          <w:sz w:val="18"/>
          <w:szCs w:val="18"/>
        </w:rPr>
        <w:t xml:space="preserve"> van; </w:t>
      </w:r>
    </w:p>
    <w:p w:rsidRPr="00E71873" w:rsidR="00F333B0" w:rsidP="007A01A7" w:rsidRDefault="00F333B0">
      <w:pPr>
        <w:pStyle w:val="Lijstalinea1"/>
        <w:numPr>
          <w:ilvl w:val="0"/>
          <w:numId w:val="5"/>
        </w:numPr>
        <w:rPr>
          <w:rFonts w:ascii="Times New Roman" w:hAnsi="Times New Roman"/>
          <w:sz w:val="18"/>
          <w:szCs w:val="18"/>
        </w:rPr>
      </w:pPr>
      <w:r w:rsidRPr="00E71873">
        <w:rPr>
          <w:rFonts w:ascii="Times New Roman" w:hAnsi="Times New Roman"/>
          <w:sz w:val="18"/>
          <w:szCs w:val="18"/>
        </w:rPr>
        <w:t>de begeleiding (inclusief dagbesteding) uit de AWBZ naar de gemeenten</w:t>
      </w:r>
      <w:r w:rsidR="00BC7FF8">
        <w:rPr>
          <w:rFonts w:ascii="Times New Roman" w:hAnsi="Times New Roman"/>
          <w:sz w:val="18"/>
          <w:szCs w:val="18"/>
        </w:rPr>
        <w:t>;</w:t>
      </w:r>
    </w:p>
    <w:p w:rsidRPr="00E71873" w:rsidR="00F333B0" w:rsidP="007A01A7" w:rsidRDefault="00F333B0">
      <w:pPr>
        <w:pStyle w:val="Lijstalinea1"/>
        <w:numPr>
          <w:ilvl w:val="0"/>
          <w:numId w:val="5"/>
        </w:numPr>
        <w:rPr>
          <w:rFonts w:ascii="Times New Roman" w:hAnsi="Times New Roman"/>
          <w:sz w:val="18"/>
          <w:szCs w:val="18"/>
        </w:rPr>
      </w:pPr>
      <w:r w:rsidRPr="00E71873">
        <w:rPr>
          <w:rFonts w:ascii="Times New Roman" w:hAnsi="Times New Roman"/>
          <w:sz w:val="18"/>
          <w:szCs w:val="18"/>
        </w:rPr>
        <w:t>de jeugdzorg naar de gemeenten</w:t>
      </w:r>
      <w:r w:rsidR="00BC7FF8">
        <w:rPr>
          <w:rFonts w:ascii="Times New Roman" w:hAnsi="Times New Roman"/>
          <w:sz w:val="18"/>
          <w:szCs w:val="18"/>
        </w:rPr>
        <w:t>;</w:t>
      </w:r>
    </w:p>
    <w:p w:rsidR="00F333B0" w:rsidP="007A01A7" w:rsidRDefault="00F333B0">
      <w:pPr>
        <w:pStyle w:val="Lijstalinea1"/>
        <w:numPr>
          <w:ilvl w:val="0"/>
          <w:numId w:val="5"/>
        </w:numPr>
        <w:rPr>
          <w:rFonts w:ascii="Times New Roman" w:hAnsi="Times New Roman"/>
          <w:sz w:val="18"/>
          <w:szCs w:val="18"/>
        </w:rPr>
      </w:pPr>
      <w:r w:rsidRPr="00E71873">
        <w:rPr>
          <w:rFonts w:ascii="Times New Roman" w:hAnsi="Times New Roman"/>
          <w:sz w:val="18"/>
          <w:szCs w:val="18"/>
        </w:rPr>
        <w:t xml:space="preserve">het </w:t>
      </w:r>
      <w:proofErr w:type="spellStart"/>
      <w:r w:rsidRPr="00E71873">
        <w:rPr>
          <w:rFonts w:ascii="Times New Roman" w:hAnsi="Times New Roman"/>
          <w:sz w:val="18"/>
          <w:szCs w:val="18"/>
        </w:rPr>
        <w:t>extramural</w:t>
      </w:r>
      <w:r w:rsidR="00BC7FF8">
        <w:rPr>
          <w:rFonts w:ascii="Times New Roman" w:hAnsi="Times New Roman"/>
          <w:sz w:val="18"/>
          <w:szCs w:val="18"/>
        </w:rPr>
        <w:t>iseren</w:t>
      </w:r>
      <w:proofErr w:type="spellEnd"/>
      <w:r w:rsidR="00BC7FF8">
        <w:rPr>
          <w:rFonts w:ascii="Times New Roman" w:hAnsi="Times New Roman"/>
          <w:sz w:val="18"/>
          <w:szCs w:val="18"/>
        </w:rPr>
        <w:t xml:space="preserve"> van zorgzwaartepakket 4;</w:t>
      </w:r>
    </w:p>
    <w:p w:rsidRPr="00E71873" w:rsidR="00E71873" w:rsidP="007A01A7" w:rsidRDefault="00E71873">
      <w:pPr>
        <w:pStyle w:val="Lijstalinea1"/>
        <w:numPr>
          <w:ilvl w:val="0"/>
          <w:numId w:val="5"/>
        </w:numPr>
        <w:rPr>
          <w:rFonts w:ascii="Times New Roman" w:hAnsi="Times New Roman"/>
          <w:sz w:val="18"/>
          <w:szCs w:val="18"/>
        </w:rPr>
      </w:pPr>
      <w:r w:rsidRPr="00E71873">
        <w:rPr>
          <w:rFonts w:ascii="Times New Roman" w:hAnsi="Times New Roman"/>
          <w:sz w:val="18"/>
          <w:szCs w:val="18"/>
        </w:rPr>
        <w:t>De bezuiniging op het praktijkonderwijs (IQ 60-80)</w:t>
      </w:r>
      <w:r w:rsidR="00BC7FF8">
        <w:rPr>
          <w:rFonts w:ascii="Times New Roman" w:hAnsi="Times New Roman"/>
          <w:sz w:val="18"/>
          <w:szCs w:val="18"/>
        </w:rPr>
        <w:t>.</w:t>
      </w:r>
      <w:r w:rsidRPr="00E71873">
        <w:rPr>
          <w:rFonts w:ascii="Times New Roman" w:hAnsi="Times New Roman"/>
          <w:sz w:val="18"/>
          <w:szCs w:val="18"/>
        </w:rPr>
        <w:t xml:space="preserve">  </w:t>
      </w:r>
    </w:p>
    <w:p w:rsidRPr="00E71873" w:rsidR="00F333B0" w:rsidP="00C37063" w:rsidRDefault="00F333B0">
      <w:pPr>
        <w:autoSpaceDE w:val="0"/>
        <w:autoSpaceDN w:val="0"/>
        <w:adjustRightInd w:val="0"/>
        <w:spacing w:after="0" w:line="240" w:lineRule="auto"/>
        <w:rPr>
          <w:rFonts w:ascii="Times New Roman" w:hAnsi="Times New Roman"/>
          <w:sz w:val="18"/>
          <w:szCs w:val="18"/>
        </w:rPr>
      </w:pPr>
      <w:r w:rsidRPr="00E71873">
        <w:rPr>
          <w:rFonts w:ascii="Times New Roman" w:hAnsi="Times New Roman"/>
          <w:sz w:val="18"/>
          <w:szCs w:val="18"/>
        </w:rPr>
        <w:t xml:space="preserve">Kenmerkend voor de groep zwakbegaafden is dat de verstandelijke beperking meestal niet aan de buitenkant zichtbaar is. Dat maakt dat zwakbegaafden nogal eens worden overschat en op hun tenen moeten lopen. Vaak is er bij zwakbegaafden sprake van aanvullende gedragsproblematiek.  </w:t>
      </w:r>
    </w:p>
    <w:p w:rsidRPr="00E71873" w:rsidR="00F333B0" w:rsidRDefault="00F333B0">
      <w:pPr>
        <w:rPr>
          <w:rFonts w:ascii="Times New Roman" w:hAnsi="Times New Roman"/>
          <w:sz w:val="18"/>
          <w:szCs w:val="18"/>
        </w:rPr>
      </w:pPr>
      <w:r w:rsidRPr="00E71873">
        <w:rPr>
          <w:rFonts w:ascii="Times New Roman" w:hAnsi="Times New Roman"/>
          <w:sz w:val="18"/>
          <w:szCs w:val="18"/>
        </w:rPr>
        <w:t>Onderwerpen die tijdens het ronde tafelgesprek aan de orde kunnen komen zijn;</w:t>
      </w:r>
    </w:p>
    <w:p w:rsidRPr="00E71873" w:rsidR="00F333B0" w:rsidP="003207BD" w:rsidRDefault="00F333B0">
      <w:pPr>
        <w:pStyle w:val="Lijstalinea1"/>
        <w:numPr>
          <w:ilvl w:val="0"/>
          <w:numId w:val="4"/>
        </w:numPr>
        <w:rPr>
          <w:rFonts w:ascii="Times New Roman" w:hAnsi="Times New Roman"/>
          <w:sz w:val="18"/>
          <w:szCs w:val="18"/>
        </w:rPr>
      </w:pPr>
      <w:r w:rsidRPr="00E71873">
        <w:rPr>
          <w:rFonts w:ascii="Times New Roman" w:hAnsi="Times New Roman"/>
          <w:sz w:val="18"/>
          <w:szCs w:val="18"/>
        </w:rPr>
        <w:t>Hebben gemeenten specifieke kennis in huis om deze ‘groep’ te herkennen?</w:t>
      </w:r>
    </w:p>
    <w:p w:rsidRPr="00E71873" w:rsidR="00F333B0" w:rsidP="003207BD" w:rsidRDefault="00F333B0">
      <w:pPr>
        <w:pStyle w:val="Lijstalinea1"/>
        <w:numPr>
          <w:ilvl w:val="0"/>
          <w:numId w:val="4"/>
        </w:numPr>
        <w:rPr>
          <w:rFonts w:ascii="Times New Roman" w:hAnsi="Times New Roman"/>
          <w:sz w:val="18"/>
          <w:szCs w:val="18"/>
        </w:rPr>
      </w:pPr>
      <w:r w:rsidRPr="00E71873">
        <w:rPr>
          <w:rFonts w:ascii="Times New Roman" w:hAnsi="Times New Roman"/>
          <w:sz w:val="18"/>
          <w:szCs w:val="18"/>
        </w:rPr>
        <w:t>Is er een lokaal (regionaal) aanbod voor deze doelgroep</w:t>
      </w:r>
      <w:r w:rsidRPr="00E71873" w:rsidR="007A2C84">
        <w:rPr>
          <w:rFonts w:ascii="Times New Roman" w:hAnsi="Times New Roman"/>
          <w:sz w:val="18"/>
          <w:szCs w:val="18"/>
        </w:rPr>
        <w:t>?</w:t>
      </w:r>
    </w:p>
    <w:p w:rsidRPr="00E71873" w:rsidR="00F333B0" w:rsidP="003207BD" w:rsidRDefault="00F333B0">
      <w:pPr>
        <w:pStyle w:val="Lijstalinea1"/>
        <w:numPr>
          <w:ilvl w:val="0"/>
          <w:numId w:val="4"/>
        </w:numPr>
        <w:rPr>
          <w:rFonts w:ascii="Times New Roman" w:hAnsi="Times New Roman"/>
          <w:sz w:val="18"/>
          <w:szCs w:val="18"/>
        </w:rPr>
      </w:pPr>
      <w:r w:rsidRPr="00E71873">
        <w:rPr>
          <w:rFonts w:ascii="Times New Roman" w:hAnsi="Times New Roman"/>
          <w:sz w:val="18"/>
          <w:szCs w:val="18"/>
        </w:rPr>
        <w:t xml:space="preserve">Hoe kan de gemeente zorgen dat LVG- jongeren niet tussen </w:t>
      </w:r>
      <w:r w:rsidR="00BC7FF8">
        <w:rPr>
          <w:rFonts w:ascii="Times New Roman" w:hAnsi="Times New Roman"/>
          <w:sz w:val="18"/>
          <w:szCs w:val="18"/>
        </w:rPr>
        <w:t>wal en het schip terecht</w:t>
      </w:r>
      <w:r w:rsidRPr="00E71873">
        <w:rPr>
          <w:rFonts w:ascii="Times New Roman" w:hAnsi="Times New Roman"/>
          <w:sz w:val="18"/>
          <w:szCs w:val="18"/>
        </w:rPr>
        <w:t>komen?</w:t>
      </w:r>
    </w:p>
    <w:p w:rsidRPr="00E71873" w:rsidR="00F333B0" w:rsidP="003207BD" w:rsidRDefault="00F333B0">
      <w:pPr>
        <w:pStyle w:val="Lijstalinea1"/>
        <w:numPr>
          <w:ilvl w:val="0"/>
          <w:numId w:val="4"/>
        </w:numPr>
        <w:rPr>
          <w:rFonts w:ascii="Times New Roman" w:hAnsi="Times New Roman"/>
          <w:sz w:val="18"/>
          <w:szCs w:val="18"/>
        </w:rPr>
      </w:pPr>
      <w:r w:rsidRPr="00E71873">
        <w:rPr>
          <w:rFonts w:ascii="Times New Roman" w:hAnsi="Times New Roman"/>
          <w:sz w:val="18"/>
          <w:szCs w:val="18"/>
        </w:rPr>
        <w:t>Hoe verhoudt deze groep zich binnen het extramuraliseren van ZZP 4 (en ZZP 3)</w:t>
      </w:r>
      <w:r w:rsidR="00BC7FF8">
        <w:rPr>
          <w:rFonts w:ascii="Times New Roman" w:hAnsi="Times New Roman"/>
          <w:sz w:val="18"/>
          <w:szCs w:val="18"/>
        </w:rPr>
        <w:t xml:space="preserve"> (o</w:t>
      </w:r>
      <w:r w:rsidR="00745101">
        <w:rPr>
          <w:rFonts w:ascii="Times New Roman" w:hAnsi="Times New Roman"/>
          <w:sz w:val="18"/>
          <w:szCs w:val="18"/>
        </w:rPr>
        <w:t xml:space="preserve">vergang </w:t>
      </w:r>
      <w:r w:rsidR="00BC7FF8">
        <w:rPr>
          <w:rFonts w:ascii="Times New Roman" w:hAnsi="Times New Roman"/>
          <w:sz w:val="18"/>
          <w:szCs w:val="18"/>
        </w:rPr>
        <w:t>jeugd naar volwassenheid)?</w:t>
      </w:r>
    </w:p>
    <w:p w:rsidRPr="00E71873" w:rsidR="00F333B0" w:rsidP="003207BD" w:rsidRDefault="00F333B0">
      <w:pPr>
        <w:pStyle w:val="Lijstalinea1"/>
        <w:numPr>
          <w:ilvl w:val="0"/>
          <w:numId w:val="4"/>
        </w:numPr>
        <w:rPr>
          <w:rFonts w:ascii="Times New Roman" w:hAnsi="Times New Roman"/>
          <w:sz w:val="18"/>
          <w:szCs w:val="18"/>
        </w:rPr>
      </w:pPr>
      <w:r w:rsidRPr="00E71873">
        <w:rPr>
          <w:rFonts w:ascii="Times New Roman" w:hAnsi="Times New Roman"/>
          <w:sz w:val="18"/>
          <w:szCs w:val="18"/>
        </w:rPr>
        <w:t>Hoe zorgen we ervoor dat er</w:t>
      </w:r>
      <w:r w:rsidR="001E546E">
        <w:rPr>
          <w:rFonts w:ascii="Times New Roman" w:hAnsi="Times New Roman"/>
          <w:sz w:val="18"/>
          <w:szCs w:val="18"/>
        </w:rPr>
        <w:t xml:space="preserve"> elders</w:t>
      </w:r>
      <w:r w:rsidRPr="00E71873">
        <w:rPr>
          <w:rFonts w:ascii="Times New Roman" w:hAnsi="Times New Roman"/>
          <w:sz w:val="18"/>
          <w:szCs w:val="18"/>
        </w:rPr>
        <w:t xml:space="preserve"> geen waterbed</w:t>
      </w:r>
      <w:r w:rsidRPr="00E71873" w:rsidR="007A2C84">
        <w:rPr>
          <w:rFonts w:ascii="Times New Roman" w:hAnsi="Times New Roman"/>
          <w:sz w:val="18"/>
          <w:szCs w:val="18"/>
        </w:rPr>
        <w:t xml:space="preserve"> wordt gecreëerd?</w:t>
      </w:r>
    </w:p>
    <w:p w:rsidRPr="00E71873" w:rsidR="00F333B0" w:rsidP="00003C32" w:rsidRDefault="00BC7FF8">
      <w:pPr>
        <w:rPr>
          <w:rFonts w:ascii="Times New Roman" w:hAnsi="Times New Roman"/>
          <w:sz w:val="18"/>
          <w:szCs w:val="18"/>
        </w:rPr>
      </w:pPr>
      <w:r>
        <w:rPr>
          <w:rFonts w:ascii="Times New Roman" w:hAnsi="Times New Roman"/>
          <w:sz w:val="18"/>
          <w:szCs w:val="18"/>
        </w:rPr>
        <w:t>Uit te nodigen voor het ronde</w:t>
      </w:r>
      <w:r w:rsidRPr="00E71873" w:rsidR="00F333B0">
        <w:rPr>
          <w:rFonts w:ascii="Times New Roman" w:hAnsi="Times New Roman"/>
          <w:sz w:val="18"/>
          <w:szCs w:val="18"/>
        </w:rPr>
        <w:t>tafelgesprek</w:t>
      </w:r>
      <w:r w:rsidR="00745101">
        <w:rPr>
          <w:rFonts w:ascii="Times New Roman" w:hAnsi="Times New Roman"/>
          <w:sz w:val="18"/>
          <w:szCs w:val="18"/>
        </w:rPr>
        <w:t>:</w:t>
      </w:r>
    </w:p>
    <w:p w:rsidR="00F333B0" w:rsidP="007A2C84" w:rsidRDefault="00E71873">
      <w:pPr>
        <w:numPr>
          <w:ilvl w:val="0"/>
          <w:numId w:val="9"/>
        </w:numPr>
        <w:rPr>
          <w:rFonts w:ascii="Times New Roman" w:hAnsi="Times New Roman"/>
          <w:sz w:val="18"/>
          <w:szCs w:val="18"/>
        </w:rPr>
      </w:pPr>
      <w:r>
        <w:rPr>
          <w:rFonts w:ascii="Times New Roman" w:hAnsi="Times New Roman"/>
          <w:sz w:val="18"/>
          <w:szCs w:val="18"/>
        </w:rPr>
        <w:t>Deskundige van MEE Nederland</w:t>
      </w:r>
    </w:p>
    <w:p w:rsidR="00E71873" w:rsidP="007A2C84" w:rsidRDefault="00E71873">
      <w:pPr>
        <w:numPr>
          <w:ilvl w:val="0"/>
          <w:numId w:val="9"/>
        </w:numPr>
        <w:rPr>
          <w:rFonts w:ascii="Times New Roman" w:hAnsi="Times New Roman"/>
          <w:sz w:val="18"/>
          <w:szCs w:val="18"/>
        </w:rPr>
      </w:pPr>
      <w:r>
        <w:rPr>
          <w:rFonts w:ascii="Times New Roman" w:hAnsi="Times New Roman"/>
          <w:sz w:val="18"/>
          <w:szCs w:val="18"/>
        </w:rPr>
        <w:t>Deskundige van Federatie opvang</w:t>
      </w:r>
    </w:p>
    <w:p w:rsidR="00E71873" w:rsidP="007A2C84" w:rsidRDefault="001E546E">
      <w:pPr>
        <w:numPr>
          <w:ilvl w:val="0"/>
          <w:numId w:val="9"/>
        </w:numPr>
        <w:rPr>
          <w:rFonts w:ascii="Times New Roman" w:hAnsi="Times New Roman"/>
          <w:sz w:val="18"/>
          <w:szCs w:val="18"/>
        </w:rPr>
      </w:pPr>
      <w:r>
        <w:rPr>
          <w:rFonts w:ascii="Times New Roman" w:hAnsi="Times New Roman"/>
          <w:sz w:val="18"/>
          <w:szCs w:val="18"/>
        </w:rPr>
        <w:t>Deskundige verblijfsinstelling LVG groep</w:t>
      </w:r>
    </w:p>
    <w:p w:rsidR="001E546E" w:rsidP="007A2C84" w:rsidRDefault="001E546E">
      <w:pPr>
        <w:numPr>
          <w:ilvl w:val="0"/>
          <w:numId w:val="9"/>
        </w:numPr>
        <w:rPr>
          <w:rFonts w:ascii="Times New Roman" w:hAnsi="Times New Roman"/>
          <w:sz w:val="18"/>
          <w:szCs w:val="18"/>
        </w:rPr>
      </w:pPr>
      <w:r>
        <w:rPr>
          <w:rFonts w:ascii="Times New Roman" w:hAnsi="Times New Roman"/>
          <w:sz w:val="18"/>
          <w:szCs w:val="18"/>
        </w:rPr>
        <w:t>Deskundige landelijk werkverband Praktijkonderwijs</w:t>
      </w:r>
    </w:p>
    <w:p w:rsidR="001E546E" w:rsidP="007A2C84" w:rsidRDefault="001E546E">
      <w:pPr>
        <w:numPr>
          <w:ilvl w:val="0"/>
          <w:numId w:val="9"/>
        </w:numPr>
        <w:rPr>
          <w:rFonts w:ascii="Times New Roman" w:hAnsi="Times New Roman"/>
          <w:sz w:val="18"/>
          <w:szCs w:val="18"/>
        </w:rPr>
      </w:pPr>
      <w:r>
        <w:rPr>
          <w:rFonts w:ascii="Times New Roman" w:hAnsi="Times New Roman"/>
          <w:sz w:val="18"/>
          <w:szCs w:val="18"/>
        </w:rPr>
        <w:t>Wethouder van een kleine en centrumgemeente</w:t>
      </w:r>
    </w:p>
    <w:p w:rsidRPr="00E71873" w:rsidR="001E546E" w:rsidP="007A2C84" w:rsidRDefault="000C5E6E">
      <w:pPr>
        <w:numPr>
          <w:ilvl w:val="0"/>
          <w:numId w:val="9"/>
        </w:numPr>
        <w:rPr>
          <w:rFonts w:ascii="Times New Roman" w:hAnsi="Times New Roman"/>
          <w:sz w:val="18"/>
          <w:szCs w:val="18"/>
        </w:rPr>
      </w:pPr>
      <w:r>
        <w:rPr>
          <w:rFonts w:ascii="Times New Roman" w:hAnsi="Times New Roman"/>
          <w:sz w:val="18"/>
          <w:szCs w:val="18"/>
        </w:rPr>
        <w:t>Research voor beleid.</w:t>
      </w:r>
    </w:p>
    <w:sectPr w:rsidRPr="00E71873" w:rsidR="001E546E" w:rsidSect="0041451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65C"/>
    <w:multiLevelType w:val="hybridMultilevel"/>
    <w:tmpl w:val="DDD61D14"/>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DC332D0"/>
    <w:multiLevelType w:val="hybridMultilevel"/>
    <w:tmpl w:val="367E091E"/>
    <w:lvl w:ilvl="0" w:tplc="48869B54">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5D814EA"/>
    <w:multiLevelType w:val="hybridMultilevel"/>
    <w:tmpl w:val="CE6C7D02"/>
    <w:lvl w:ilvl="0" w:tplc="48869B54">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3BFB4C6B"/>
    <w:multiLevelType w:val="hybridMultilevel"/>
    <w:tmpl w:val="C4AA3F2C"/>
    <w:lvl w:ilvl="0" w:tplc="48869B54">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CD4256C"/>
    <w:multiLevelType w:val="multilevel"/>
    <w:tmpl w:val="DDD61D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A5923A3"/>
    <w:multiLevelType w:val="hybridMultilevel"/>
    <w:tmpl w:val="B06A4D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7B181F5F"/>
    <w:multiLevelType w:val="hybridMultilevel"/>
    <w:tmpl w:val="30DA6F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BF425B3"/>
    <w:multiLevelType w:val="hybridMultilevel"/>
    <w:tmpl w:val="F0F0D2F6"/>
    <w:lvl w:ilvl="0" w:tplc="48869B54">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6"/>
  </w:num>
  <w:num w:numId="4">
    <w:abstractNumId w:val="7"/>
  </w:num>
  <w:num w:numId="5">
    <w:abstractNumId w:val="1"/>
  </w:num>
  <w:num w:numId="6">
    <w:abstractNumId w:val="3"/>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FC"/>
    <w:rsid w:val="00003C32"/>
    <w:rsid w:val="000A31DA"/>
    <w:rsid w:val="000C5E6E"/>
    <w:rsid w:val="000F0932"/>
    <w:rsid w:val="001E546E"/>
    <w:rsid w:val="001F6C34"/>
    <w:rsid w:val="00276EFC"/>
    <w:rsid w:val="003207BD"/>
    <w:rsid w:val="00414512"/>
    <w:rsid w:val="006926BE"/>
    <w:rsid w:val="00745101"/>
    <w:rsid w:val="0078796E"/>
    <w:rsid w:val="007A01A7"/>
    <w:rsid w:val="007A2C84"/>
    <w:rsid w:val="00850AD1"/>
    <w:rsid w:val="00AA4894"/>
    <w:rsid w:val="00B1443C"/>
    <w:rsid w:val="00B26041"/>
    <w:rsid w:val="00BA5946"/>
    <w:rsid w:val="00BC7FF8"/>
    <w:rsid w:val="00C37063"/>
    <w:rsid w:val="00E71873"/>
    <w:rsid w:val="00F333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4512"/>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87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jstalinea1">
    <w:name w:val="Lijstalinea1"/>
    <w:basedOn w:val="Standaard"/>
    <w:uiPriority w:val="34"/>
    <w:qFormat/>
    <w:rsid w:val="00850A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4512"/>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87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jstalinea1">
    <w:name w:val="Lijstalinea1"/>
    <w:basedOn w:val="Standaard"/>
    <w:uiPriority w:val="34"/>
    <w:qFormat/>
    <w:rsid w:val="00850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472879">
      <w:marLeft w:val="0"/>
      <w:marRight w:val="0"/>
      <w:marTop w:val="0"/>
      <w:marBottom w:val="0"/>
      <w:divBdr>
        <w:top w:val="none" w:sz="0" w:space="0" w:color="auto"/>
        <w:left w:val="none" w:sz="0" w:space="0" w:color="auto"/>
        <w:bottom w:val="none" w:sz="0" w:space="0" w:color="auto"/>
        <w:right w:val="none" w:sz="0" w:space="0" w:color="auto"/>
      </w:divBdr>
    </w:div>
    <w:div w:id="5924728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502</ap:Words>
  <ap:Characters>2864</ap:Characters>
  <ap:DocSecurity>4</ap:DocSecurity>
  <ap:Lines>23</ap:Lines>
  <ap:Paragraphs>6</ap:Paragraphs>
  <ap:ScaleCrop>false</ap:ScaleCrop>
  <ap:HeadingPairs>
    <vt:vector baseType="variant" size="2">
      <vt:variant>
        <vt:lpstr>Titel</vt:lpstr>
      </vt:variant>
      <vt:variant>
        <vt:i4>1</vt:i4>
      </vt:variant>
    </vt:vector>
  </ap:HeadingPairs>
  <ap:TitlesOfParts>
    <vt:vector baseType="lpstr" size="1">
      <vt:lpstr>Memo voor Commissie VWS</vt:lpstr>
    </vt:vector>
  </ap:TitlesOfParts>
  <ap:LinksUpToDate>false</ap:LinksUpToDate>
  <ap:CharactersWithSpaces>3360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2012-12-04T14:42:00.0000000Z</dcterms:created>
  <dcterms:modified xsi:type="dcterms:W3CDTF">2012-12-04T14:42:00.0000000Z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0x010100C24FD566F3B8E541916DCC73DDFF4F22</vt:lpwstr>
  </property>
</Properties>
</file>