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97" w:rsidRDefault="00A45B97">
      <w:pPr>
        <w:rPr>
          <w:rFonts w:ascii="Verdana" w:hAnsi="Verdana" w:cs="Verdana"/>
          <w:sz w:val="20"/>
          <w:szCs w:val="20"/>
        </w:rPr>
      </w:pPr>
    </w:p>
    <w:p w:rsidR="00A45B97" w:rsidRDefault="00A45B97">
      <w:pPr>
        <w:rPr>
          <w:rFonts w:ascii="Verdana" w:hAnsi="Verdana" w:cs="Verdana"/>
          <w:sz w:val="20"/>
          <w:szCs w:val="20"/>
        </w:rPr>
      </w:pPr>
    </w:p>
    <w:p w:rsidR="00D65523" w:rsidP="00225B7B" w:rsidRDefault="00E4579E">
      <w:pPr>
        <w:rPr>
          <w:rFonts w:ascii="Verdana" w:hAnsi="Verdana" w:cs="Verdana"/>
          <w:b/>
          <w:sz w:val="20"/>
          <w:szCs w:val="20"/>
        </w:rPr>
      </w:pPr>
      <w:r>
        <w:rPr>
          <w:rFonts w:ascii="Verdana" w:hAnsi="Verdana" w:cs="Verdana"/>
          <w:b/>
          <w:sz w:val="20"/>
          <w:szCs w:val="20"/>
        </w:rPr>
        <w:tab/>
      </w:r>
      <w:r>
        <w:rPr>
          <w:rFonts w:ascii="Verdana" w:hAnsi="Verdana" w:cs="Verdana"/>
          <w:b/>
          <w:sz w:val="20"/>
          <w:szCs w:val="20"/>
        </w:rPr>
        <w:tab/>
      </w:r>
      <w:r w:rsidRPr="00D65523" w:rsidR="00D65523">
        <w:rPr>
          <w:rFonts w:ascii="Verdana" w:hAnsi="Verdana" w:cs="Verdana"/>
          <w:b/>
          <w:sz w:val="20"/>
          <w:szCs w:val="20"/>
        </w:rPr>
        <w:t>HOOFDLIJNENNOTITIE COMPTABILITEITSWET</w:t>
      </w:r>
    </w:p>
    <w:p w:rsidR="001E7A2F" w:rsidRDefault="001E7A2F">
      <w:pPr>
        <w:rPr>
          <w:rFonts w:ascii="Verdana" w:hAnsi="Verdana" w:cs="Verdana"/>
          <w:b/>
          <w:sz w:val="20"/>
          <w:szCs w:val="20"/>
        </w:rPr>
      </w:pPr>
    </w:p>
    <w:p w:rsidRPr="00D65523" w:rsidR="00BA53F7" w:rsidRDefault="00BA53F7">
      <w:pPr>
        <w:rPr>
          <w:rFonts w:ascii="Verdana" w:hAnsi="Verdana" w:cs="Verdana"/>
          <w:b/>
          <w:sz w:val="20"/>
          <w:szCs w:val="20"/>
        </w:rPr>
      </w:pPr>
    </w:p>
    <w:p w:rsidR="00D65523" w:rsidRDefault="00D65523">
      <w:pPr>
        <w:rPr>
          <w:rFonts w:ascii="Verdana" w:hAnsi="Verdana" w:cs="Verdana"/>
          <w:sz w:val="20"/>
          <w:szCs w:val="20"/>
        </w:rPr>
      </w:pPr>
    </w:p>
    <w:p w:rsidR="00D65523" w:rsidRDefault="00D65523">
      <w:pPr>
        <w:rPr>
          <w:rFonts w:ascii="Verdana" w:hAnsi="Verdana" w:cs="Verdana"/>
          <w:sz w:val="20"/>
          <w:szCs w:val="20"/>
        </w:rPr>
      </w:pPr>
    </w:p>
    <w:p w:rsidR="00A45B97" w:rsidRDefault="00A45B97">
      <w:pPr>
        <w:rPr>
          <w:rFonts w:ascii="Verdana" w:hAnsi="Verdana" w:cs="Verdana"/>
          <w:i/>
          <w:iCs/>
          <w:sz w:val="20"/>
          <w:szCs w:val="20"/>
          <w:u w:val="single"/>
        </w:rPr>
      </w:pPr>
      <w:r>
        <w:rPr>
          <w:rFonts w:ascii="Verdana" w:hAnsi="Verdana" w:cs="Verdana"/>
          <w:i/>
          <w:iCs/>
          <w:sz w:val="20"/>
          <w:szCs w:val="20"/>
          <w:u w:val="single"/>
        </w:rPr>
        <w:t>1. Karakter van de Comptabiliteitswet</w:t>
      </w:r>
      <w:r>
        <w:rPr>
          <w:rFonts w:ascii="Verdana" w:hAnsi="Verdana" w:cs="Verdana"/>
          <w:i/>
          <w:iCs/>
          <w:sz w:val="20"/>
          <w:szCs w:val="20"/>
          <w:u w:val="single"/>
        </w:rPr>
        <w:br/>
      </w:r>
    </w:p>
    <w:p w:rsidR="00A45B97" w:rsidRDefault="00A45B97">
      <w:pPr>
        <w:rPr>
          <w:rFonts w:ascii="Verdana" w:hAnsi="Verdana" w:cs="Verdana"/>
          <w:sz w:val="20"/>
          <w:szCs w:val="20"/>
        </w:rPr>
      </w:pPr>
      <w:r>
        <w:rPr>
          <w:rFonts w:ascii="Verdana" w:hAnsi="Verdana" w:cs="Verdana"/>
          <w:sz w:val="20"/>
          <w:szCs w:val="20"/>
        </w:rPr>
        <w:t>De Comptabiliteitswet is voornamelijk een interne organisatiewet</w:t>
      </w:r>
      <w:r w:rsidR="00E4579E">
        <w:rPr>
          <w:rFonts w:ascii="Verdana" w:hAnsi="Verdana" w:cs="Verdana"/>
          <w:sz w:val="20"/>
          <w:szCs w:val="20"/>
        </w:rPr>
        <w:t xml:space="preserve"> </w:t>
      </w:r>
      <w:r>
        <w:rPr>
          <w:rFonts w:ascii="Verdana" w:hAnsi="Verdana" w:cs="Verdana"/>
          <w:sz w:val="20"/>
          <w:szCs w:val="20"/>
        </w:rPr>
        <w:t>op basis van artikel 105 van de Grondwet</w:t>
      </w:r>
      <w:r>
        <w:rPr>
          <w:rStyle w:val="Voetnootmarkering"/>
          <w:rFonts w:ascii="Verdana" w:hAnsi="Verdana" w:cs="Verdana"/>
          <w:sz w:val="20"/>
          <w:szCs w:val="20"/>
        </w:rPr>
        <w:footnoteReference w:id="1"/>
      </w:r>
      <w:r>
        <w:rPr>
          <w:rFonts w:ascii="Verdana" w:hAnsi="Verdana" w:cs="Verdana"/>
          <w:sz w:val="20"/>
          <w:szCs w:val="20"/>
        </w:rPr>
        <w:t xml:space="preserve">. De Comptabiliteitswet regelt de inrichting en organisatie van de Staat vanuit </w:t>
      </w:r>
      <w:r w:rsidR="00E4579E">
        <w:rPr>
          <w:rFonts w:ascii="Verdana" w:hAnsi="Verdana" w:cs="Verdana"/>
          <w:sz w:val="20"/>
          <w:szCs w:val="20"/>
        </w:rPr>
        <w:t xml:space="preserve">een </w:t>
      </w:r>
      <w:r>
        <w:rPr>
          <w:rFonts w:ascii="Verdana" w:hAnsi="Verdana" w:cs="Verdana"/>
          <w:sz w:val="20"/>
          <w:szCs w:val="20"/>
        </w:rPr>
        <w:t xml:space="preserve">financiële </w:t>
      </w:r>
      <w:r w:rsidR="00E4579E">
        <w:rPr>
          <w:rFonts w:ascii="Verdana" w:hAnsi="Verdana" w:cs="Verdana"/>
          <w:sz w:val="20"/>
          <w:szCs w:val="20"/>
        </w:rPr>
        <w:t xml:space="preserve">invalshoek. </w:t>
      </w:r>
      <w:r>
        <w:rPr>
          <w:rFonts w:ascii="Verdana" w:hAnsi="Verdana" w:cs="Verdana"/>
          <w:sz w:val="20"/>
          <w:szCs w:val="20"/>
        </w:rPr>
        <w:t xml:space="preserve">De Comptabiliteitswet </w:t>
      </w:r>
      <w:r w:rsidR="00793EEB">
        <w:rPr>
          <w:rFonts w:ascii="Verdana" w:hAnsi="Verdana" w:cs="Verdana"/>
          <w:sz w:val="20"/>
          <w:szCs w:val="20"/>
        </w:rPr>
        <w:t>bevat nauwelijks extern werkende bepalingen</w:t>
      </w:r>
      <w:r>
        <w:rPr>
          <w:rFonts w:ascii="Verdana" w:hAnsi="Verdana" w:cs="Verdana"/>
          <w:sz w:val="20"/>
          <w:szCs w:val="20"/>
        </w:rPr>
        <w:t xml:space="preserve">; de wet </w:t>
      </w:r>
      <w:r w:rsidR="00793EEB">
        <w:rPr>
          <w:rFonts w:ascii="Verdana" w:hAnsi="Verdana" w:cs="Verdana"/>
          <w:sz w:val="20"/>
          <w:szCs w:val="20"/>
        </w:rPr>
        <w:t xml:space="preserve">bevat in beginsel geen bindende bepalingen voor </w:t>
      </w:r>
      <w:r>
        <w:rPr>
          <w:rFonts w:ascii="Verdana" w:hAnsi="Verdana" w:cs="Verdana"/>
          <w:sz w:val="20"/>
          <w:szCs w:val="20"/>
        </w:rPr>
        <w:t>burgers, bedrijven</w:t>
      </w:r>
      <w:r w:rsidR="00E97C69">
        <w:rPr>
          <w:rFonts w:ascii="Verdana" w:hAnsi="Verdana" w:cs="Verdana"/>
          <w:sz w:val="20"/>
          <w:szCs w:val="20"/>
        </w:rPr>
        <w:t>,</w:t>
      </w:r>
      <w:r>
        <w:rPr>
          <w:rFonts w:ascii="Verdana" w:hAnsi="Verdana" w:cs="Verdana"/>
          <w:sz w:val="20"/>
          <w:szCs w:val="20"/>
        </w:rPr>
        <w:t xml:space="preserve"> organisaties en instellingen buiten de rijksdienst </w:t>
      </w:r>
      <w:r>
        <w:rPr>
          <w:rStyle w:val="Voetnootmarkering"/>
          <w:rFonts w:ascii="Verdana" w:hAnsi="Verdana" w:cs="Verdana"/>
          <w:sz w:val="20"/>
          <w:szCs w:val="20"/>
        </w:rPr>
        <w:footnoteReference w:id="2"/>
      </w:r>
      <w:r>
        <w:rPr>
          <w:rFonts w:ascii="Verdana" w:hAnsi="Verdana" w:cs="Verdana"/>
          <w:sz w:val="20"/>
          <w:szCs w:val="20"/>
        </w:rPr>
        <w:t xml:space="preserve">. </w:t>
      </w:r>
    </w:p>
    <w:p w:rsidR="00A45B97" w:rsidRDefault="00A45B97">
      <w:pPr>
        <w:rPr>
          <w:rFonts w:ascii="Verdana" w:hAnsi="Verdana" w:cs="Verdana"/>
          <w:sz w:val="20"/>
          <w:szCs w:val="20"/>
        </w:rPr>
      </w:pPr>
    </w:p>
    <w:p w:rsidR="00A45B97" w:rsidRDefault="00A45B97">
      <w:pPr>
        <w:rPr>
          <w:rFonts w:ascii="Verdana" w:hAnsi="Verdana" w:cs="Verdana"/>
          <w:sz w:val="20"/>
          <w:szCs w:val="20"/>
        </w:rPr>
      </w:pPr>
      <w:r>
        <w:rPr>
          <w:rFonts w:ascii="Verdana" w:hAnsi="Verdana" w:cs="Verdana"/>
          <w:sz w:val="20"/>
          <w:szCs w:val="20"/>
        </w:rPr>
        <w:t>De Comptabiliteitswet is belangrijk voor de dagelijkse praktijk van de beleids- en bedrijfsvoering</w:t>
      </w:r>
      <w:r w:rsidR="00EB24CF">
        <w:rPr>
          <w:rStyle w:val="Voetnootmarkering"/>
          <w:rFonts w:ascii="Verdana" w:hAnsi="Verdana" w:cs="Verdana"/>
          <w:sz w:val="20"/>
          <w:szCs w:val="20"/>
        </w:rPr>
        <w:footnoteReference w:id="3"/>
      </w:r>
      <w:r>
        <w:rPr>
          <w:rFonts w:ascii="Verdana" w:hAnsi="Verdana" w:cs="Verdana"/>
          <w:sz w:val="20"/>
          <w:szCs w:val="20"/>
        </w:rPr>
        <w:t xml:space="preserve"> binnen de rijksdienst</w:t>
      </w:r>
      <w:r w:rsidR="00E4579E">
        <w:rPr>
          <w:rFonts w:ascii="Verdana" w:hAnsi="Verdana" w:cs="Verdana"/>
          <w:sz w:val="20"/>
          <w:szCs w:val="20"/>
        </w:rPr>
        <w:t>:</w:t>
      </w:r>
      <w:r w:rsidR="00A33E3A">
        <w:rPr>
          <w:rFonts w:ascii="Verdana" w:hAnsi="Verdana" w:cs="Verdana"/>
          <w:sz w:val="20"/>
          <w:szCs w:val="20"/>
        </w:rPr>
        <w:t xml:space="preserve"> </w:t>
      </w:r>
      <w:r>
        <w:rPr>
          <w:rFonts w:ascii="Verdana" w:hAnsi="Verdana" w:cs="Verdana"/>
          <w:sz w:val="20"/>
          <w:szCs w:val="20"/>
        </w:rPr>
        <w:t>de ministeries</w:t>
      </w:r>
      <w:r w:rsidR="00A33E3A">
        <w:rPr>
          <w:rFonts w:ascii="Verdana" w:hAnsi="Verdana" w:cs="Verdana"/>
          <w:sz w:val="20"/>
          <w:szCs w:val="20"/>
        </w:rPr>
        <w:t xml:space="preserve"> (kerndepartementen</w:t>
      </w:r>
      <w:r w:rsidR="00E4579E">
        <w:rPr>
          <w:rFonts w:ascii="Verdana" w:hAnsi="Verdana" w:cs="Verdana"/>
          <w:sz w:val="20"/>
          <w:szCs w:val="20"/>
        </w:rPr>
        <w:t xml:space="preserve">, </w:t>
      </w:r>
      <w:r w:rsidR="00A33E3A">
        <w:rPr>
          <w:rFonts w:ascii="Verdana" w:hAnsi="Verdana" w:cs="Verdana"/>
          <w:sz w:val="20"/>
          <w:szCs w:val="20"/>
        </w:rPr>
        <w:t>agentschappen</w:t>
      </w:r>
      <w:r w:rsidR="00E4579E">
        <w:rPr>
          <w:rFonts w:ascii="Verdana" w:hAnsi="Verdana" w:cs="Verdana"/>
          <w:sz w:val="20"/>
          <w:szCs w:val="20"/>
        </w:rPr>
        <w:t xml:space="preserve"> en andere uitvoerende diensten</w:t>
      </w:r>
      <w:r w:rsidR="00A33E3A">
        <w:rPr>
          <w:rFonts w:ascii="Verdana" w:hAnsi="Verdana" w:cs="Verdana"/>
          <w:sz w:val="20"/>
          <w:szCs w:val="20"/>
        </w:rPr>
        <w:t xml:space="preserve">) en </w:t>
      </w:r>
      <w:r>
        <w:rPr>
          <w:rFonts w:ascii="Verdana" w:hAnsi="Verdana" w:cs="Verdana"/>
          <w:sz w:val="20"/>
          <w:szCs w:val="20"/>
        </w:rPr>
        <w:t xml:space="preserve">de </w:t>
      </w:r>
      <w:r w:rsidR="00BC3E0E">
        <w:rPr>
          <w:rFonts w:ascii="Verdana" w:hAnsi="Verdana" w:cs="Verdana"/>
          <w:sz w:val="20"/>
          <w:szCs w:val="20"/>
        </w:rPr>
        <w:t>H</w:t>
      </w:r>
      <w:r>
        <w:rPr>
          <w:rFonts w:ascii="Verdana" w:hAnsi="Verdana" w:cs="Verdana"/>
          <w:sz w:val="20"/>
          <w:szCs w:val="20"/>
        </w:rPr>
        <w:t xml:space="preserve">oge </w:t>
      </w:r>
      <w:r w:rsidR="00BC3E0E">
        <w:rPr>
          <w:rFonts w:ascii="Verdana" w:hAnsi="Verdana" w:cs="Verdana"/>
          <w:sz w:val="20"/>
          <w:szCs w:val="20"/>
        </w:rPr>
        <w:t>C</w:t>
      </w:r>
      <w:r>
        <w:rPr>
          <w:rFonts w:ascii="Verdana" w:hAnsi="Verdana" w:cs="Verdana"/>
          <w:sz w:val="20"/>
          <w:szCs w:val="20"/>
        </w:rPr>
        <w:t>olleges van Staat</w:t>
      </w:r>
      <w:r w:rsidR="00A33E3A">
        <w:rPr>
          <w:rFonts w:ascii="Verdana" w:hAnsi="Verdana" w:cs="Verdana"/>
          <w:sz w:val="20"/>
          <w:szCs w:val="20"/>
        </w:rPr>
        <w:t xml:space="preserve">. </w:t>
      </w:r>
      <w:r>
        <w:rPr>
          <w:rFonts w:ascii="Verdana" w:hAnsi="Verdana" w:cs="Verdana"/>
          <w:sz w:val="20"/>
          <w:szCs w:val="20"/>
        </w:rPr>
        <w:t>Om die reden is het van belang dat deze wet en de daarop gebaseerde lagere comptabele regelgeving</w:t>
      </w:r>
      <w:r w:rsidR="00E4579E">
        <w:rPr>
          <w:rFonts w:ascii="Verdana" w:hAnsi="Verdana" w:cs="Verdana"/>
          <w:sz w:val="20"/>
          <w:szCs w:val="20"/>
        </w:rPr>
        <w:t xml:space="preserve"> </w:t>
      </w:r>
      <w:r>
        <w:rPr>
          <w:rFonts w:ascii="Verdana" w:hAnsi="Verdana" w:cs="Verdana"/>
          <w:sz w:val="20"/>
          <w:szCs w:val="20"/>
        </w:rPr>
        <w:t>voor de dagelijkse praktijk helderheid verschaft over de regels die gelden voor</w:t>
      </w:r>
      <w:proofErr w:type="gramStart"/>
      <w:r>
        <w:rPr>
          <w:rFonts w:ascii="Verdana" w:hAnsi="Verdana" w:cs="Verdana"/>
          <w:sz w:val="20"/>
          <w:szCs w:val="20"/>
        </w:rPr>
        <w:t>:</w:t>
      </w:r>
      <w:r>
        <w:rPr>
          <w:rFonts w:ascii="Verdana" w:hAnsi="Verdana" w:cs="Verdana"/>
          <w:sz w:val="20"/>
          <w:szCs w:val="20"/>
        </w:rPr>
        <w:br/>
      </w:r>
      <w:proofErr w:type="gramEnd"/>
    </w:p>
    <w:p w:rsidR="00A45B97" w:rsidRDefault="00A45B97">
      <w:pPr>
        <w:pStyle w:val="Lijstalinea"/>
        <w:numPr>
          <w:ilvl w:val="0"/>
          <w:numId w:val="27"/>
        </w:numPr>
        <w:rPr>
          <w:rFonts w:ascii="Verdana" w:hAnsi="Verdana" w:cs="Verdana"/>
          <w:sz w:val="20"/>
          <w:szCs w:val="20"/>
        </w:rPr>
      </w:pPr>
      <w:proofErr w:type="gramStart"/>
      <w:r>
        <w:rPr>
          <w:rFonts w:ascii="Verdana" w:hAnsi="Verdana" w:cs="Verdana"/>
          <w:sz w:val="20"/>
          <w:szCs w:val="20"/>
        </w:rPr>
        <w:t xml:space="preserve">de relevante </w:t>
      </w:r>
      <w:r>
        <w:rPr>
          <w:rFonts w:ascii="Verdana" w:hAnsi="Verdana" w:cs="Verdana"/>
          <w:i/>
          <w:iCs/>
          <w:sz w:val="20"/>
          <w:szCs w:val="20"/>
        </w:rPr>
        <w:t>financiële processen</w:t>
      </w:r>
      <w:r>
        <w:rPr>
          <w:rFonts w:ascii="Verdana" w:hAnsi="Verdana" w:cs="Verdana"/>
          <w:sz w:val="20"/>
          <w:szCs w:val="20"/>
        </w:rPr>
        <w:t>: het begrotings- en verantwoordingsproces en het financieel beheer bij de departementen;</w:t>
      </w:r>
      <w:proofErr w:type="gramEnd"/>
    </w:p>
    <w:p w:rsidR="00A45B97" w:rsidRDefault="00A45B97">
      <w:pPr>
        <w:pStyle w:val="Lijstalinea"/>
        <w:numPr>
          <w:ilvl w:val="0"/>
          <w:numId w:val="27"/>
        </w:numPr>
        <w:rPr>
          <w:rFonts w:ascii="Verdana" w:hAnsi="Verdana" w:cs="Verdana"/>
          <w:sz w:val="20"/>
          <w:szCs w:val="20"/>
        </w:rPr>
      </w:pPr>
      <w:r>
        <w:rPr>
          <w:rFonts w:ascii="Verdana" w:hAnsi="Verdana" w:cs="Verdana"/>
          <w:sz w:val="20"/>
          <w:szCs w:val="20"/>
        </w:rPr>
        <w:t xml:space="preserve">de </w:t>
      </w:r>
      <w:r>
        <w:rPr>
          <w:rFonts w:ascii="Verdana" w:hAnsi="Verdana" w:cs="Verdana"/>
          <w:i/>
          <w:iCs/>
          <w:sz w:val="20"/>
          <w:szCs w:val="20"/>
        </w:rPr>
        <w:t xml:space="preserve">actoren </w:t>
      </w:r>
      <w:r>
        <w:rPr>
          <w:rFonts w:ascii="Verdana" w:hAnsi="Verdana" w:cs="Verdana"/>
          <w:sz w:val="20"/>
          <w:szCs w:val="20"/>
        </w:rPr>
        <w:t>die daarin een rol spelen</w:t>
      </w:r>
      <w:r w:rsidR="00E4579E">
        <w:rPr>
          <w:rFonts w:ascii="Verdana" w:hAnsi="Verdana" w:cs="Verdana"/>
          <w:sz w:val="20"/>
          <w:szCs w:val="20"/>
        </w:rPr>
        <w:t xml:space="preserve">, </w:t>
      </w:r>
      <w:r>
        <w:rPr>
          <w:rFonts w:ascii="Verdana" w:hAnsi="Verdana" w:cs="Verdana"/>
          <w:sz w:val="20"/>
          <w:szCs w:val="20"/>
        </w:rPr>
        <w:t xml:space="preserve">zoals de ministers en de besturen van de hoge colleges, de Minister van Financiën als de centrale coördinator van het financieel beleid, de directeur FEZ </w:t>
      </w:r>
      <w:r w:rsidR="00E4579E">
        <w:rPr>
          <w:rFonts w:ascii="Verdana" w:hAnsi="Verdana" w:cs="Verdana"/>
          <w:sz w:val="20"/>
          <w:szCs w:val="20"/>
        </w:rPr>
        <w:t xml:space="preserve">(= financieel economische zaken) </w:t>
      </w:r>
      <w:r>
        <w:rPr>
          <w:rFonts w:ascii="Verdana" w:hAnsi="Verdana" w:cs="Verdana"/>
          <w:sz w:val="20"/>
          <w:szCs w:val="20"/>
        </w:rPr>
        <w:t>als de financiële controller binnen een departement, de interne auditor als de financiële controleur en de Algemene Rekenkamer als de externe controleur;</w:t>
      </w:r>
    </w:p>
    <w:p w:rsidR="00A45B97" w:rsidRDefault="00A45B97">
      <w:pPr>
        <w:pStyle w:val="Lijstalinea"/>
        <w:numPr>
          <w:ilvl w:val="0"/>
          <w:numId w:val="27"/>
        </w:numPr>
        <w:rPr>
          <w:rFonts w:ascii="Verdana" w:hAnsi="Verdana" w:cs="Verdana"/>
          <w:sz w:val="20"/>
          <w:szCs w:val="20"/>
        </w:rPr>
      </w:pPr>
      <w:proofErr w:type="gramStart"/>
      <w:r>
        <w:rPr>
          <w:rFonts w:ascii="Verdana" w:hAnsi="Verdana" w:cs="Verdana"/>
          <w:sz w:val="20"/>
          <w:szCs w:val="20"/>
        </w:rPr>
        <w:t xml:space="preserve">de </w:t>
      </w:r>
      <w:r>
        <w:rPr>
          <w:rFonts w:ascii="Verdana" w:hAnsi="Verdana" w:cs="Verdana"/>
          <w:i/>
          <w:iCs/>
          <w:sz w:val="20"/>
          <w:szCs w:val="20"/>
        </w:rPr>
        <w:t>informatie</w:t>
      </w:r>
      <w:r>
        <w:rPr>
          <w:rFonts w:ascii="Verdana" w:hAnsi="Verdana" w:cs="Verdana"/>
          <w:sz w:val="20"/>
          <w:szCs w:val="20"/>
        </w:rPr>
        <w:t xml:space="preserve"> die voor de</w:t>
      </w:r>
      <w:r w:rsidR="00E4579E">
        <w:rPr>
          <w:rFonts w:ascii="Verdana" w:hAnsi="Verdana" w:cs="Verdana"/>
          <w:sz w:val="20"/>
          <w:szCs w:val="20"/>
        </w:rPr>
        <w:t xml:space="preserve"> eerdergenoemde</w:t>
      </w:r>
      <w:r>
        <w:rPr>
          <w:rFonts w:ascii="Verdana" w:hAnsi="Verdana" w:cs="Verdana"/>
          <w:sz w:val="20"/>
          <w:szCs w:val="20"/>
        </w:rPr>
        <w:t xml:space="preserve"> processen nodig is: zowel </w:t>
      </w:r>
      <w:r w:rsidR="00E4579E">
        <w:rPr>
          <w:rFonts w:ascii="Verdana" w:hAnsi="Verdana" w:cs="Verdana"/>
          <w:sz w:val="20"/>
          <w:szCs w:val="20"/>
        </w:rPr>
        <w:t xml:space="preserve">de </w:t>
      </w:r>
      <w:r>
        <w:rPr>
          <w:rFonts w:ascii="Verdana" w:hAnsi="Verdana" w:cs="Verdana"/>
          <w:sz w:val="20"/>
          <w:szCs w:val="20"/>
        </w:rPr>
        <w:t>informatie voor de interne sturing binnen ministeries als de informatievoorziening aan de Staten-Generaal;</w:t>
      </w:r>
      <w:proofErr w:type="gramEnd"/>
    </w:p>
    <w:p w:rsidR="00A45B97" w:rsidRDefault="00A45B97">
      <w:pPr>
        <w:pStyle w:val="Lijstalinea"/>
        <w:numPr>
          <w:ilvl w:val="0"/>
          <w:numId w:val="27"/>
        </w:numPr>
        <w:rPr>
          <w:rFonts w:ascii="Verdana" w:hAnsi="Verdana" w:cs="Verdana"/>
          <w:sz w:val="20"/>
          <w:szCs w:val="20"/>
        </w:rPr>
      </w:pPr>
      <w:r>
        <w:rPr>
          <w:rFonts w:ascii="Verdana" w:hAnsi="Verdana" w:cs="Verdana"/>
          <w:sz w:val="20"/>
          <w:szCs w:val="20"/>
        </w:rPr>
        <w:t>de</w:t>
      </w:r>
      <w:r>
        <w:rPr>
          <w:rFonts w:ascii="Verdana" w:hAnsi="Verdana" w:cs="Verdana"/>
          <w:i/>
          <w:iCs/>
          <w:sz w:val="20"/>
          <w:szCs w:val="20"/>
        </w:rPr>
        <w:t xml:space="preserve"> normering</w:t>
      </w:r>
      <w:r>
        <w:rPr>
          <w:rFonts w:ascii="Verdana" w:hAnsi="Verdana" w:cs="Verdana"/>
          <w:sz w:val="20"/>
          <w:szCs w:val="20"/>
        </w:rPr>
        <w:t xml:space="preserve"> van de</w:t>
      </w:r>
      <w:r w:rsidR="00E4579E">
        <w:rPr>
          <w:rFonts w:ascii="Verdana" w:hAnsi="Verdana" w:cs="Verdana"/>
          <w:sz w:val="20"/>
          <w:szCs w:val="20"/>
        </w:rPr>
        <w:t xml:space="preserve">ze </w:t>
      </w:r>
      <w:r>
        <w:rPr>
          <w:rFonts w:ascii="Verdana" w:hAnsi="Verdana" w:cs="Verdana"/>
          <w:sz w:val="20"/>
          <w:szCs w:val="20"/>
        </w:rPr>
        <w:t xml:space="preserve">processen en </w:t>
      </w:r>
      <w:r w:rsidR="003F6ACE">
        <w:rPr>
          <w:rFonts w:ascii="Verdana" w:hAnsi="Verdana" w:cs="Verdana"/>
          <w:sz w:val="20"/>
          <w:szCs w:val="20"/>
        </w:rPr>
        <w:t xml:space="preserve">van </w:t>
      </w:r>
      <w:r w:rsidR="00FD27E9">
        <w:rPr>
          <w:rFonts w:ascii="Verdana" w:hAnsi="Verdana" w:cs="Verdana"/>
          <w:sz w:val="20"/>
          <w:szCs w:val="20"/>
        </w:rPr>
        <w:t xml:space="preserve">de </w:t>
      </w:r>
      <w:r>
        <w:rPr>
          <w:rFonts w:ascii="Verdana" w:hAnsi="Verdana" w:cs="Verdana"/>
          <w:sz w:val="20"/>
          <w:szCs w:val="20"/>
        </w:rPr>
        <w:t>benodigde informatie.</w:t>
      </w:r>
      <w:r>
        <w:rPr>
          <w:rFonts w:ascii="Verdana" w:hAnsi="Verdana" w:cs="Verdana"/>
          <w:sz w:val="20"/>
          <w:szCs w:val="20"/>
        </w:rPr>
        <w:br/>
      </w:r>
    </w:p>
    <w:p w:rsidR="00A45B97" w:rsidRDefault="00A45B97">
      <w:pPr>
        <w:rPr>
          <w:rFonts w:ascii="Verdana" w:hAnsi="Verdana" w:cs="Verdana"/>
          <w:sz w:val="20"/>
          <w:szCs w:val="20"/>
        </w:rPr>
      </w:pPr>
      <w:r>
        <w:rPr>
          <w:rFonts w:ascii="Verdana" w:hAnsi="Verdana" w:cs="Verdana"/>
          <w:sz w:val="20"/>
          <w:szCs w:val="20"/>
        </w:rPr>
        <w:t xml:space="preserve">De Comptabiliteitswet en de lagere comptabele regels vormen zo het kader waarbinnen de sturing en de beheersing van de beleids- en bedrijfsvoering binnen de rijksdienst plaatsvindt en aan de hand waarvan de Staten-Generaal vanuit de financiële invalshoek haar politieke controlefunctie uitoefent. </w:t>
      </w:r>
    </w:p>
    <w:p w:rsidR="0070353C" w:rsidRDefault="0070353C">
      <w:pPr>
        <w:rPr>
          <w:rFonts w:ascii="Verdana" w:hAnsi="Verdana" w:cs="Verdana"/>
          <w:sz w:val="20"/>
          <w:szCs w:val="20"/>
        </w:rPr>
      </w:pPr>
    </w:p>
    <w:p w:rsidR="00A45B97" w:rsidRDefault="00A45B97">
      <w:pPr>
        <w:keepNext/>
        <w:ind w:left="708" w:hanging="708"/>
        <w:rPr>
          <w:rFonts w:ascii="Verdana" w:hAnsi="Verdana" w:cs="Verdana"/>
          <w:i/>
          <w:iCs/>
          <w:sz w:val="20"/>
          <w:szCs w:val="20"/>
          <w:u w:val="single"/>
        </w:rPr>
      </w:pPr>
    </w:p>
    <w:p w:rsidR="00A45B97" w:rsidRDefault="00A45B97">
      <w:pPr>
        <w:keepNext/>
        <w:ind w:left="708" w:hanging="708"/>
        <w:rPr>
          <w:rFonts w:ascii="Verdana" w:hAnsi="Verdana" w:cs="Verdana"/>
          <w:i/>
          <w:iCs/>
          <w:sz w:val="20"/>
          <w:szCs w:val="20"/>
          <w:u w:val="single"/>
        </w:rPr>
      </w:pPr>
      <w:r>
        <w:rPr>
          <w:rFonts w:ascii="Verdana" w:hAnsi="Verdana" w:cs="Verdana"/>
          <w:i/>
          <w:iCs/>
          <w:sz w:val="20"/>
          <w:szCs w:val="20"/>
          <w:u w:val="single"/>
        </w:rPr>
        <w:t>2. Functies van de Comptabiliteitswet</w:t>
      </w:r>
    </w:p>
    <w:p w:rsidR="00A45B97" w:rsidRDefault="00A45B97">
      <w:pPr>
        <w:keepNext/>
        <w:rPr>
          <w:rFonts w:ascii="Verdana" w:hAnsi="Verdana" w:cs="Verdana"/>
          <w:sz w:val="20"/>
          <w:szCs w:val="20"/>
        </w:rPr>
      </w:pPr>
    </w:p>
    <w:p w:rsidR="00A45B97" w:rsidRDefault="00A45B97">
      <w:pPr>
        <w:rPr>
          <w:rFonts w:ascii="Verdana" w:hAnsi="Verdana" w:cs="Verdana"/>
          <w:sz w:val="20"/>
          <w:szCs w:val="20"/>
        </w:rPr>
      </w:pPr>
      <w:r>
        <w:rPr>
          <w:rFonts w:ascii="Verdana" w:hAnsi="Verdana" w:cs="Verdana"/>
          <w:sz w:val="20"/>
          <w:szCs w:val="20"/>
        </w:rPr>
        <w:t xml:space="preserve">De belangrijkste functie van de Comptabiliteitswet vanuit het perspectief van de Staten-Generaal is het </w:t>
      </w:r>
      <w:r w:rsidRPr="00A33E3A" w:rsidR="00A33E3A">
        <w:rPr>
          <w:rFonts w:ascii="Verdana" w:hAnsi="Verdana" w:cs="Verdana"/>
          <w:i/>
          <w:sz w:val="20"/>
          <w:szCs w:val="20"/>
        </w:rPr>
        <w:t>waarborgen</w:t>
      </w:r>
      <w:r>
        <w:rPr>
          <w:rFonts w:ascii="Verdana" w:hAnsi="Verdana" w:cs="Verdana"/>
          <w:i/>
          <w:iCs/>
          <w:sz w:val="20"/>
          <w:szCs w:val="20"/>
        </w:rPr>
        <w:t xml:space="preserve"> van het budgetrecht</w:t>
      </w:r>
      <w:r>
        <w:rPr>
          <w:rFonts w:ascii="Verdana" w:hAnsi="Verdana" w:cs="Verdana"/>
          <w:sz w:val="20"/>
          <w:szCs w:val="20"/>
        </w:rPr>
        <w:t xml:space="preserve">. De Kamers oefenen dit essentiële recht uit enerzijds via het goedkeuren van de begrotingen, waaronder de suppletoire wetten en de slotwetten, en anderzijds door de dechargeverlening over het gevoerde financieel beheer aan de hand van de jaarverslagen en de rapportages over </w:t>
      </w:r>
      <w:proofErr w:type="gramStart"/>
      <w:r>
        <w:rPr>
          <w:rFonts w:ascii="Verdana" w:hAnsi="Verdana" w:cs="Verdana"/>
          <w:sz w:val="20"/>
          <w:szCs w:val="20"/>
        </w:rPr>
        <w:t>de</w:t>
      </w:r>
      <w:proofErr w:type="gramEnd"/>
      <w:r>
        <w:rPr>
          <w:rFonts w:ascii="Verdana" w:hAnsi="Verdana" w:cs="Verdana"/>
          <w:sz w:val="20"/>
          <w:szCs w:val="20"/>
        </w:rPr>
        <w:t xml:space="preserve"> verantwoordingsonderzoeken van de Algemene Rekenkamer.</w:t>
      </w:r>
    </w:p>
    <w:p w:rsidR="00A45B97" w:rsidRDefault="00A45B97">
      <w:pPr>
        <w:rPr>
          <w:rFonts w:ascii="Verdana" w:hAnsi="Verdana" w:cs="Verdana"/>
          <w:sz w:val="20"/>
          <w:szCs w:val="20"/>
        </w:rPr>
      </w:pPr>
    </w:p>
    <w:p w:rsidR="00A45B97" w:rsidRDefault="00A45B97">
      <w:pPr>
        <w:rPr>
          <w:rFonts w:ascii="Verdana" w:hAnsi="Verdana" w:cs="Verdana"/>
          <w:sz w:val="20"/>
          <w:szCs w:val="20"/>
        </w:rPr>
      </w:pPr>
      <w:r>
        <w:rPr>
          <w:rFonts w:ascii="Verdana" w:hAnsi="Verdana" w:cs="Verdana"/>
          <w:sz w:val="20"/>
          <w:szCs w:val="20"/>
        </w:rPr>
        <w:t xml:space="preserve">Om het budgetrecht adequaat uit te kunnen oefenen zijn betrouwbare en toegankelijke begrotings- en verantwoordingsstukken essentieel. Centrale voorschriften zijn daarbij een voorwaarde voor een goede informatievoorziening aan de Staten-Generaal. </w:t>
      </w:r>
      <w:r w:rsidR="00921FDD">
        <w:rPr>
          <w:rFonts w:ascii="Verdana" w:hAnsi="Verdana" w:cs="Verdana"/>
          <w:sz w:val="20"/>
          <w:szCs w:val="20"/>
        </w:rPr>
        <w:t xml:space="preserve">Het doel </w:t>
      </w:r>
      <w:r>
        <w:rPr>
          <w:rFonts w:ascii="Verdana" w:hAnsi="Verdana" w:cs="Verdana"/>
          <w:sz w:val="20"/>
          <w:szCs w:val="20"/>
        </w:rPr>
        <w:t xml:space="preserve">van </w:t>
      </w:r>
      <w:r>
        <w:rPr>
          <w:rFonts w:ascii="Verdana" w:hAnsi="Verdana" w:cs="Verdana"/>
          <w:sz w:val="20"/>
          <w:szCs w:val="20"/>
        </w:rPr>
        <w:lastRenderedPageBreak/>
        <w:t xml:space="preserve">deze voorschriften is vooral te waarborgen dat de informatie in die stukken relevant en betrouwbaar is en zoveel mogelijk uniform wordt gepresenteerd. </w:t>
      </w:r>
    </w:p>
    <w:p w:rsidR="00A45B97" w:rsidRDefault="00A45B97">
      <w:pPr>
        <w:rPr>
          <w:rFonts w:ascii="Verdana" w:hAnsi="Verdana" w:cs="Verdana"/>
          <w:sz w:val="20"/>
          <w:szCs w:val="20"/>
        </w:rPr>
      </w:pPr>
    </w:p>
    <w:p w:rsidR="00A45B97" w:rsidRDefault="00A45B97">
      <w:pPr>
        <w:rPr>
          <w:rFonts w:ascii="Verdana" w:hAnsi="Verdana" w:cs="Verdana"/>
          <w:sz w:val="20"/>
          <w:szCs w:val="20"/>
        </w:rPr>
      </w:pPr>
      <w:r>
        <w:rPr>
          <w:rFonts w:ascii="Verdana" w:hAnsi="Verdana" w:cs="Verdana"/>
          <w:sz w:val="20"/>
          <w:szCs w:val="20"/>
        </w:rPr>
        <w:t xml:space="preserve">Over wat als </w:t>
      </w:r>
      <w:r>
        <w:rPr>
          <w:rFonts w:ascii="Verdana" w:hAnsi="Verdana" w:cs="Verdana"/>
          <w:i/>
          <w:iCs/>
          <w:sz w:val="20"/>
          <w:szCs w:val="20"/>
        </w:rPr>
        <w:t>relevante</w:t>
      </w:r>
      <w:r>
        <w:rPr>
          <w:rFonts w:ascii="Verdana" w:hAnsi="Verdana" w:cs="Verdana"/>
          <w:sz w:val="20"/>
          <w:szCs w:val="20"/>
        </w:rPr>
        <w:t xml:space="preserve"> informatie moet worden beschouwd, is geen eenduidig en tijdonafhankelijk antwoord te geven; de regering en de Tweede Kamer zullen daarover steeds opnieuw met elkaar in overleg moeten </w:t>
      </w:r>
      <w:r w:rsidR="003F6ACE">
        <w:rPr>
          <w:rFonts w:ascii="Verdana" w:hAnsi="Verdana" w:cs="Verdana"/>
          <w:sz w:val="20"/>
          <w:szCs w:val="20"/>
        </w:rPr>
        <w:t>treden</w:t>
      </w:r>
      <w:r>
        <w:rPr>
          <w:rFonts w:ascii="Verdana" w:hAnsi="Verdana" w:cs="Verdana"/>
          <w:sz w:val="20"/>
          <w:szCs w:val="20"/>
        </w:rPr>
        <w:t xml:space="preserve">, </w:t>
      </w:r>
      <w:proofErr w:type="gramStart"/>
      <w:r>
        <w:rPr>
          <w:rFonts w:ascii="Verdana" w:hAnsi="Verdana" w:cs="Verdana"/>
          <w:sz w:val="20"/>
          <w:szCs w:val="20"/>
        </w:rPr>
        <w:t>hetgeen</w:t>
      </w:r>
      <w:proofErr w:type="gramEnd"/>
      <w:r>
        <w:rPr>
          <w:rFonts w:ascii="Verdana" w:hAnsi="Verdana" w:cs="Verdana"/>
          <w:sz w:val="20"/>
          <w:szCs w:val="20"/>
        </w:rPr>
        <w:t xml:space="preserve"> ook in de afgelopen decennia </w:t>
      </w:r>
      <w:r w:rsidR="00A33E3A">
        <w:rPr>
          <w:rFonts w:ascii="Verdana" w:hAnsi="Verdana" w:cs="Verdana"/>
          <w:sz w:val="20"/>
          <w:szCs w:val="20"/>
        </w:rPr>
        <w:t xml:space="preserve">is gebeurd </w:t>
      </w:r>
      <w:r>
        <w:rPr>
          <w:rFonts w:ascii="Verdana" w:hAnsi="Verdana" w:cs="Verdana"/>
          <w:sz w:val="20"/>
          <w:szCs w:val="20"/>
        </w:rPr>
        <w:t xml:space="preserve">(operatie comptabel bestel, instelling van agentschappen, de operatie Van Beleidsbegroting Tot Beleidsverantwoording ’VBTB’ en recent met </w:t>
      </w:r>
      <w:r w:rsidR="00A33E3A">
        <w:rPr>
          <w:rFonts w:ascii="Verdana" w:hAnsi="Verdana" w:cs="Verdana"/>
          <w:sz w:val="20"/>
          <w:szCs w:val="20"/>
        </w:rPr>
        <w:t>Verantwoord Begroten)</w:t>
      </w:r>
      <w:r>
        <w:rPr>
          <w:rFonts w:ascii="Verdana" w:hAnsi="Verdana" w:cs="Verdana"/>
          <w:sz w:val="20"/>
          <w:szCs w:val="20"/>
        </w:rPr>
        <w:t xml:space="preserve">. </w:t>
      </w:r>
      <w:proofErr w:type="gramStart"/>
      <w:r>
        <w:rPr>
          <w:rFonts w:ascii="Verdana" w:hAnsi="Verdana" w:cs="Verdana"/>
          <w:sz w:val="20"/>
          <w:szCs w:val="20"/>
        </w:rPr>
        <w:t xml:space="preserve">Om te komen tot </w:t>
      </w:r>
      <w:r>
        <w:rPr>
          <w:rFonts w:ascii="Verdana" w:hAnsi="Verdana" w:cs="Verdana"/>
          <w:i/>
          <w:iCs/>
          <w:sz w:val="20"/>
          <w:szCs w:val="20"/>
        </w:rPr>
        <w:t>betrouwbare</w:t>
      </w:r>
      <w:r>
        <w:rPr>
          <w:rFonts w:ascii="Verdana" w:hAnsi="Verdana" w:cs="Verdana"/>
          <w:sz w:val="20"/>
          <w:szCs w:val="20"/>
        </w:rPr>
        <w:t xml:space="preserve"> informatie worden eisen gesteld aan de processen</w:t>
      </w:r>
      <w:r>
        <w:rPr>
          <w:rFonts w:ascii="Verdana" w:hAnsi="Verdana" w:cs="Verdana"/>
          <w:i/>
          <w:iCs/>
          <w:sz w:val="20"/>
          <w:szCs w:val="20"/>
        </w:rPr>
        <w:t xml:space="preserve">, </w:t>
      </w:r>
      <w:r>
        <w:rPr>
          <w:rFonts w:ascii="Verdana" w:hAnsi="Verdana" w:cs="Verdana"/>
          <w:sz w:val="20"/>
          <w:szCs w:val="20"/>
        </w:rPr>
        <w:t>zoals aan het begrotings- en verantwoordingsproces, en aan de financiële administraties.</w:t>
      </w:r>
      <w:proofErr w:type="gramEnd"/>
    </w:p>
    <w:p w:rsidR="00A45B97" w:rsidRDefault="00A45B97">
      <w:pPr>
        <w:pStyle w:val="Tekstopmerking"/>
        <w:rPr>
          <w:rFonts w:ascii="Verdana" w:hAnsi="Verdana" w:cs="Verdana"/>
        </w:rPr>
      </w:pPr>
    </w:p>
    <w:p w:rsidR="00A45B97" w:rsidRDefault="00A45B97">
      <w:pPr>
        <w:pStyle w:val="Tekstopmerking"/>
        <w:rPr>
          <w:rFonts w:ascii="Verdana" w:hAnsi="Verdana" w:cs="Verdana"/>
        </w:rPr>
      </w:pPr>
      <w:r>
        <w:rPr>
          <w:rFonts w:ascii="Verdana" w:hAnsi="Verdana" w:cs="Verdana"/>
        </w:rPr>
        <w:t xml:space="preserve">Een tweede belangrijke functie van de Comptabiliteitswet is het op een doeltreffende en doelmatige wijze vormgeven </w:t>
      </w:r>
      <w:r w:rsidR="00FD27E9">
        <w:rPr>
          <w:rFonts w:ascii="Verdana" w:hAnsi="Verdana" w:cs="Verdana"/>
        </w:rPr>
        <w:t>v</w:t>
      </w:r>
      <w:r>
        <w:rPr>
          <w:rFonts w:ascii="Verdana" w:hAnsi="Verdana" w:cs="Verdana"/>
        </w:rPr>
        <w:t xml:space="preserve">an de </w:t>
      </w:r>
      <w:r>
        <w:rPr>
          <w:rFonts w:ascii="Verdana" w:hAnsi="Verdana" w:cs="Verdana"/>
          <w:i/>
          <w:iCs/>
        </w:rPr>
        <w:t>interne sturing en beheersing</w:t>
      </w:r>
      <w:r>
        <w:rPr>
          <w:rFonts w:ascii="Verdana" w:hAnsi="Verdana" w:cs="Verdana"/>
        </w:rPr>
        <w:t xml:space="preserve"> van de beleids- en bedrijfsvoering binnen de rijksdienst. Om die reden bevat de Comptabiliteitswet voorschriften voor de financiële- en de auditfunctie. De financiële functie bestaat vooral uit de </w:t>
      </w:r>
      <w:proofErr w:type="spellStart"/>
      <w:r>
        <w:rPr>
          <w:rFonts w:ascii="Verdana" w:hAnsi="Verdana" w:cs="Verdana"/>
        </w:rPr>
        <w:t>control</w:t>
      </w:r>
      <w:proofErr w:type="spellEnd"/>
      <w:r>
        <w:rPr>
          <w:rFonts w:ascii="Verdana" w:hAnsi="Verdana" w:cs="Verdana"/>
        </w:rPr>
        <w:t xml:space="preserve">- of interne </w:t>
      </w:r>
      <w:proofErr w:type="spellStart"/>
      <w:r>
        <w:rPr>
          <w:rFonts w:ascii="Verdana" w:hAnsi="Verdana" w:cs="Verdana"/>
        </w:rPr>
        <w:t>toezichtsfunctie</w:t>
      </w:r>
      <w:proofErr w:type="spellEnd"/>
      <w:r>
        <w:rPr>
          <w:rFonts w:ascii="Verdana" w:hAnsi="Verdana" w:cs="Verdana"/>
        </w:rPr>
        <w:t xml:space="preserve"> (primair uitgeoefend door de directies FEZ); de auditfunctie wordt uitgeoefend door interne auditors, die onlangs organisatorisch zijn samengebracht in de Auditdienst Rijk (ADR). </w:t>
      </w:r>
    </w:p>
    <w:p w:rsidR="00A45B97" w:rsidRDefault="00A45B97">
      <w:pPr>
        <w:pStyle w:val="Tekstopmerking"/>
        <w:rPr>
          <w:rFonts w:ascii="Verdana" w:hAnsi="Verdana" w:cs="Verdana"/>
        </w:rPr>
      </w:pPr>
    </w:p>
    <w:p w:rsidR="00A45B97" w:rsidRDefault="00A45B97">
      <w:pPr>
        <w:pStyle w:val="Tekstopmerking"/>
        <w:rPr>
          <w:rFonts w:ascii="Verdana" w:hAnsi="Verdana" w:cs="Verdana"/>
        </w:rPr>
      </w:pPr>
      <w:r>
        <w:rPr>
          <w:rFonts w:ascii="Verdana" w:hAnsi="Verdana" w:cs="Verdana"/>
        </w:rPr>
        <w:t xml:space="preserve">De Minister van Financiën heeft in dit geheel een coördinerende en daarmee een afgeleide toezichthoudende functie. Daarnaast heeft de Algemene Rekenkamer als </w:t>
      </w:r>
      <w:r w:rsidR="00BC3E0E">
        <w:rPr>
          <w:rFonts w:ascii="Verdana" w:hAnsi="Verdana" w:cs="Verdana"/>
        </w:rPr>
        <w:t>H</w:t>
      </w:r>
      <w:r>
        <w:rPr>
          <w:rFonts w:ascii="Verdana" w:hAnsi="Verdana" w:cs="Verdana"/>
        </w:rPr>
        <w:t xml:space="preserve">oog </w:t>
      </w:r>
      <w:r w:rsidR="00BC3E0E">
        <w:rPr>
          <w:rFonts w:ascii="Verdana" w:hAnsi="Verdana" w:cs="Verdana"/>
        </w:rPr>
        <w:t>C</w:t>
      </w:r>
      <w:r>
        <w:rPr>
          <w:rFonts w:ascii="Verdana" w:hAnsi="Verdana" w:cs="Verdana"/>
        </w:rPr>
        <w:t>ollege van Staat een onafhankelijke positie als externe controleur van de regering. De taak van de Algemene Rekenkamer volgt direct uit de artikelen 76 - 78 van de Grondwet en wordt verder uitgewerkt in de Comptabiliteitswet.</w:t>
      </w:r>
    </w:p>
    <w:p w:rsidR="00BB79A7" w:rsidRDefault="00BB79A7">
      <w:pPr>
        <w:pStyle w:val="Tekstopmerking"/>
        <w:rPr>
          <w:rFonts w:ascii="Verdana" w:hAnsi="Verdana" w:cs="Verdana"/>
        </w:rPr>
      </w:pPr>
    </w:p>
    <w:p w:rsidR="00A45B97" w:rsidRDefault="00A45B97">
      <w:pPr>
        <w:rPr>
          <w:rFonts w:ascii="Verdana" w:hAnsi="Verdana" w:cs="Verdana"/>
          <w:i/>
          <w:iCs/>
          <w:sz w:val="20"/>
          <w:szCs w:val="20"/>
          <w:u w:val="single"/>
        </w:rPr>
      </w:pPr>
      <w:r>
        <w:rPr>
          <w:rFonts w:ascii="Verdana" w:hAnsi="Verdana" w:cs="Verdana"/>
          <w:i/>
          <w:iCs/>
          <w:sz w:val="20"/>
          <w:szCs w:val="20"/>
          <w:u w:val="single"/>
        </w:rPr>
        <w:t xml:space="preserve">3. Het domein van Comptabiliteitswet </w:t>
      </w:r>
    </w:p>
    <w:p w:rsidR="00574DF3" w:rsidRDefault="00574DF3">
      <w:pPr>
        <w:rPr>
          <w:rFonts w:ascii="Verdana" w:hAnsi="Verdana" w:cs="Verdana"/>
          <w:sz w:val="20"/>
          <w:szCs w:val="20"/>
        </w:rPr>
      </w:pPr>
    </w:p>
    <w:p w:rsidR="00097C22" w:rsidP="00337CA5" w:rsidRDefault="00A45B97">
      <w:pPr>
        <w:rPr>
          <w:rFonts w:ascii="Verdana" w:hAnsi="Verdana" w:cs="Verdana"/>
          <w:sz w:val="20"/>
          <w:szCs w:val="20"/>
        </w:rPr>
      </w:pPr>
      <w:r>
        <w:rPr>
          <w:rFonts w:ascii="Verdana" w:hAnsi="Verdana" w:cs="Verdana"/>
          <w:sz w:val="20"/>
          <w:szCs w:val="20"/>
        </w:rPr>
        <w:t xml:space="preserve">De Comptabiliteitswet heeft </w:t>
      </w:r>
      <w:r w:rsidRPr="00A33E3A" w:rsidR="00A33E3A">
        <w:rPr>
          <w:rFonts w:ascii="Verdana" w:hAnsi="Verdana" w:cs="Verdana"/>
          <w:i/>
          <w:sz w:val="20"/>
          <w:szCs w:val="20"/>
        </w:rPr>
        <w:t>primair</w:t>
      </w:r>
      <w:r w:rsidR="00A33E3A">
        <w:rPr>
          <w:rFonts w:ascii="Verdana" w:hAnsi="Verdana" w:cs="Verdana"/>
          <w:sz w:val="20"/>
          <w:szCs w:val="20"/>
        </w:rPr>
        <w:t xml:space="preserve"> </w:t>
      </w:r>
      <w:r>
        <w:rPr>
          <w:rFonts w:ascii="Verdana" w:hAnsi="Verdana" w:cs="Verdana"/>
          <w:sz w:val="20"/>
          <w:szCs w:val="20"/>
        </w:rPr>
        <w:t xml:space="preserve">als domein de rijksbegroting, het begrotingsbeheer en de financiële bedrijfsvoering van de </w:t>
      </w:r>
      <w:r w:rsidRPr="005539A4">
        <w:rPr>
          <w:rFonts w:ascii="Verdana" w:hAnsi="Verdana" w:cs="Verdana"/>
          <w:i/>
          <w:sz w:val="20"/>
          <w:szCs w:val="20"/>
        </w:rPr>
        <w:t>rijksdienst</w:t>
      </w:r>
      <w:r>
        <w:rPr>
          <w:rFonts w:ascii="Verdana" w:hAnsi="Verdana" w:cs="Verdana"/>
          <w:sz w:val="20"/>
          <w:szCs w:val="20"/>
        </w:rPr>
        <w:t>.</w:t>
      </w:r>
      <w:r w:rsidRPr="005B2855" w:rsidR="005B2855">
        <w:rPr>
          <w:rFonts w:ascii="Verdana" w:hAnsi="Verdana" w:cs="Verdana"/>
          <w:sz w:val="20"/>
          <w:szCs w:val="20"/>
        </w:rPr>
        <w:t xml:space="preserve"> </w:t>
      </w:r>
      <w:r w:rsidR="005B2855">
        <w:rPr>
          <w:rFonts w:ascii="Verdana" w:hAnsi="Verdana" w:cs="Verdana"/>
          <w:sz w:val="20"/>
          <w:szCs w:val="20"/>
        </w:rPr>
        <w:t xml:space="preserve">Kern is het waarborgen dat de </w:t>
      </w:r>
      <w:r w:rsidRPr="00337CA5" w:rsidR="005B2855">
        <w:rPr>
          <w:rFonts w:ascii="Verdana" w:hAnsi="Verdana" w:cs="Verdana"/>
          <w:i/>
          <w:sz w:val="20"/>
          <w:szCs w:val="20"/>
        </w:rPr>
        <w:t>begrotingsmiddelen</w:t>
      </w:r>
      <w:r w:rsidR="005B2855">
        <w:rPr>
          <w:rFonts w:ascii="Verdana" w:hAnsi="Verdana" w:cs="Verdana"/>
          <w:sz w:val="20"/>
          <w:szCs w:val="20"/>
        </w:rPr>
        <w:t xml:space="preserve"> rechtmatig en doelmatig worden besteed.</w:t>
      </w:r>
      <w:r>
        <w:rPr>
          <w:rFonts w:ascii="Verdana" w:hAnsi="Verdana" w:cs="Verdana"/>
          <w:sz w:val="20"/>
          <w:szCs w:val="20"/>
        </w:rPr>
        <w:t xml:space="preserve"> </w:t>
      </w:r>
      <w:r w:rsidR="00097C22">
        <w:rPr>
          <w:rFonts w:ascii="Verdana" w:hAnsi="Verdana" w:cs="Verdana"/>
          <w:sz w:val="20"/>
          <w:szCs w:val="20"/>
        </w:rPr>
        <w:t>Naast begrotingsmiddelen zijn er premiemiddelen, die niet via de rijksbegroting lopen</w:t>
      </w:r>
      <w:r w:rsidR="00F24499">
        <w:rPr>
          <w:rFonts w:ascii="Verdana" w:hAnsi="Verdana" w:cs="Verdana"/>
          <w:sz w:val="20"/>
          <w:szCs w:val="20"/>
        </w:rPr>
        <w:t>.</w:t>
      </w:r>
    </w:p>
    <w:p w:rsidR="00C11B5D" w:rsidRDefault="00C11B5D">
      <w:pPr>
        <w:rPr>
          <w:rFonts w:ascii="Verdana" w:hAnsi="Verdana" w:cs="Verdana"/>
          <w:sz w:val="20"/>
          <w:szCs w:val="20"/>
        </w:rPr>
      </w:pPr>
    </w:p>
    <w:p w:rsidRPr="00C11B5D" w:rsidR="00C11B5D" w:rsidRDefault="00F24499">
      <w:pPr>
        <w:rPr>
          <w:rFonts w:ascii="Verdana" w:hAnsi="Verdana" w:cs="Verdana"/>
          <w:i/>
          <w:sz w:val="20"/>
          <w:szCs w:val="20"/>
        </w:rPr>
      </w:pPr>
      <w:r>
        <w:rPr>
          <w:rFonts w:ascii="Verdana" w:hAnsi="Verdana" w:cs="Verdana"/>
          <w:i/>
          <w:sz w:val="20"/>
          <w:szCs w:val="20"/>
        </w:rPr>
        <w:t>B</w:t>
      </w:r>
      <w:r w:rsidR="00C11B5D">
        <w:rPr>
          <w:rFonts w:ascii="Verdana" w:hAnsi="Verdana" w:cs="Verdana"/>
          <w:i/>
          <w:sz w:val="20"/>
          <w:szCs w:val="20"/>
        </w:rPr>
        <w:t>egrotingsmiddelen</w:t>
      </w:r>
    </w:p>
    <w:p w:rsidR="008657EE" w:rsidRDefault="00C627EC">
      <w:pPr>
        <w:rPr>
          <w:rFonts w:ascii="Verdana" w:hAnsi="Verdana" w:cs="Verdana"/>
          <w:sz w:val="20"/>
          <w:szCs w:val="20"/>
        </w:rPr>
      </w:pPr>
      <w:r>
        <w:rPr>
          <w:rFonts w:ascii="Verdana" w:hAnsi="Verdana" w:cs="Verdana"/>
          <w:sz w:val="20"/>
          <w:szCs w:val="20"/>
        </w:rPr>
        <w:t xml:space="preserve">Met de begrotingsmiddelen worden uitgaven verricht door de ministeries, waaronder de agentschappen, maar ook door de </w:t>
      </w:r>
      <w:r w:rsidR="00BC3E0E">
        <w:rPr>
          <w:rFonts w:ascii="Verdana" w:hAnsi="Verdana" w:cs="Verdana"/>
          <w:sz w:val="20"/>
          <w:szCs w:val="20"/>
        </w:rPr>
        <w:t>H</w:t>
      </w:r>
      <w:r>
        <w:rPr>
          <w:rFonts w:ascii="Verdana" w:hAnsi="Verdana" w:cs="Verdana"/>
          <w:sz w:val="20"/>
          <w:szCs w:val="20"/>
        </w:rPr>
        <w:t xml:space="preserve">oge </w:t>
      </w:r>
      <w:r w:rsidR="00BC3E0E">
        <w:rPr>
          <w:rFonts w:ascii="Verdana" w:hAnsi="Verdana" w:cs="Verdana"/>
          <w:sz w:val="20"/>
          <w:szCs w:val="20"/>
        </w:rPr>
        <w:t>C</w:t>
      </w:r>
      <w:r>
        <w:rPr>
          <w:rFonts w:ascii="Verdana" w:hAnsi="Verdana" w:cs="Verdana"/>
          <w:sz w:val="20"/>
          <w:szCs w:val="20"/>
        </w:rPr>
        <w:t>olleges van Staat.</w:t>
      </w:r>
      <w:r w:rsidR="007A0B3E">
        <w:rPr>
          <w:rFonts w:ascii="Verdana" w:hAnsi="Verdana" w:cs="Verdana"/>
          <w:sz w:val="20"/>
          <w:szCs w:val="20"/>
        </w:rPr>
        <w:t xml:space="preserve"> </w:t>
      </w:r>
      <w:r w:rsidR="00574DF3">
        <w:rPr>
          <w:rFonts w:ascii="Verdana" w:hAnsi="Verdana" w:cs="Verdana"/>
          <w:sz w:val="20"/>
          <w:szCs w:val="20"/>
        </w:rPr>
        <w:t>Vanuit de begroting worden ook budgetten overgedragen aan</w:t>
      </w:r>
      <w:r w:rsidR="00A45B97">
        <w:rPr>
          <w:rFonts w:ascii="Verdana" w:hAnsi="Verdana" w:cs="Verdana"/>
          <w:sz w:val="20"/>
          <w:szCs w:val="20"/>
        </w:rPr>
        <w:t xml:space="preserve"> derden (instellingen</w:t>
      </w:r>
      <w:r w:rsidR="00574DF3">
        <w:rPr>
          <w:rFonts w:ascii="Verdana" w:hAnsi="Verdana" w:cs="Verdana"/>
          <w:sz w:val="20"/>
          <w:szCs w:val="20"/>
        </w:rPr>
        <w:t xml:space="preserve"> op afstand van de rijksdienst). </w:t>
      </w:r>
      <w:r w:rsidR="00BC3E0E">
        <w:rPr>
          <w:rFonts w:ascii="Verdana" w:hAnsi="Verdana" w:cs="Verdana"/>
          <w:sz w:val="20"/>
          <w:szCs w:val="20"/>
        </w:rPr>
        <w:t xml:space="preserve">Als </w:t>
      </w:r>
      <w:r w:rsidR="00793EEB">
        <w:rPr>
          <w:rFonts w:ascii="Verdana" w:hAnsi="Verdana" w:cs="Verdana"/>
          <w:sz w:val="20"/>
          <w:szCs w:val="20"/>
        </w:rPr>
        <w:t xml:space="preserve">voorbeeld </w:t>
      </w:r>
      <w:r w:rsidR="00A45B97">
        <w:rPr>
          <w:rFonts w:ascii="Verdana" w:hAnsi="Verdana" w:cs="Verdana"/>
          <w:sz w:val="20"/>
          <w:szCs w:val="20"/>
        </w:rPr>
        <w:t>de onderwijssector</w:t>
      </w:r>
      <w:r w:rsidR="00921FDD">
        <w:rPr>
          <w:rFonts w:ascii="Verdana" w:hAnsi="Verdana" w:cs="Verdana"/>
          <w:sz w:val="20"/>
          <w:szCs w:val="20"/>
        </w:rPr>
        <w:t>. D</w:t>
      </w:r>
      <w:r w:rsidR="00A45B97">
        <w:rPr>
          <w:rFonts w:ascii="Verdana" w:hAnsi="Verdana" w:cs="Verdana"/>
          <w:sz w:val="20"/>
          <w:szCs w:val="20"/>
        </w:rPr>
        <w:t xml:space="preserve">eze sector verzorgt binnen de </w:t>
      </w:r>
      <w:r w:rsidR="00921FDD">
        <w:rPr>
          <w:rFonts w:ascii="Verdana" w:hAnsi="Verdana" w:cs="Verdana"/>
          <w:sz w:val="20"/>
          <w:szCs w:val="20"/>
        </w:rPr>
        <w:t xml:space="preserve">specifiek </w:t>
      </w:r>
      <w:r w:rsidR="00A45B97">
        <w:rPr>
          <w:rFonts w:ascii="Verdana" w:hAnsi="Verdana" w:cs="Verdana"/>
          <w:sz w:val="20"/>
          <w:szCs w:val="20"/>
        </w:rPr>
        <w:t xml:space="preserve">wettelijke kaders het onderwijs aan leerlingen en studenten en ontvangt daarvoor publieke middelen voornamelijk uit de begroting van het </w:t>
      </w:r>
      <w:r w:rsidR="00D005B9">
        <w:rPr>
          <w:rFonts w:ascii="Verdana" w:hAnsi="Verdana" w:cs="Verdana"/>
          <w:sz w:val="20"/>
          <w:szCs w:val="20"/>
        </w:rPr>
        <w:t>M</w:t>
      </w:r>
      <w:r w:rsidR="00A45B97">
        <w:rPr>
          <w:rFonts w:ascii="Verdana" w:hAnsi="Verdana" w:cs="Verdana"/>
          <w:sz w:val="20"/>
          <w:szCs w:val="20"/>
        </w:rPr>
        <w:t>inisterie van O</w:t>
      </w:r>
      <w:r w:rsidR="004F4150">
        <w:rPr>
          <w:rFonts w:ascii="Verdana" w:hAnsi="Verdana" w:cs="Verdana"/>
          <w:sz w:val="20"/>
          <w:szCs w:val="20"/>
        </w:rPr>
        <w:t>C</w:t>
      </w:r>
      <w:r w:rsidR="00574DF3">
        <w:rPr>
          <w:rFonts w:ascii="Verdana" w:hAnsi="Verdana" w:cs="Verdana"/>
          <w:sz w:val="20"/>
          <w:szCs w:val="20"/>
        </w:rPr>
        <w:t>W</w:t>
      </w:r>
      <w:r w:rsidR="00A45B97">
        <w:rPr>
          <w:rFonts w:ascii="Verdana" w:hAnsi="Verdana" w:cs="Verdana"/>
          <w:sz w:val="20"/>
          <w:szCs w:val="20"/>
        </w:rPr>
        <w:t>. In de</w:t>
      </w:r>
      <w:r w:rsidR="00346185">
        <w:rPr>
          <w:rFonts w:ascii="Verdana" w:hAnsi="Verdana" w:cs="Verdana"/>
          <w:sz w:val="20"/>
          <w:szCs w:val="20"/>
        </w:rPr>
        <w:t>ze</w:t>
      </w:r>
      <w:r w:rsidR="00A45B97">
        <w:rPr>
          <w:rFonts w:ascii="Verdana" w:hAnsi="Verdana" w:cs="Verdana"/>
          <w:sz w:val="20"/>
          <w:szCs w:val="20"/>
        </w:rPr>
        <w:t xml:space="preserve"> </w:t>
      </w:r>
      <w:r w:rsidR="00A45B97">
        <w:rPr>
          <w:rFonts w:ascii="Verdana" w:hAnsi="Verdana" w:cs="Verdana"/>
          <w:i/>
          <w:iCs/>
          <w:sz w:val="20"/>
          <w:szCs w:val="20"/>
        </w:rPr>
        <w:t xml:space="preserve">sectorwetgeving </w:t>
      </w:r>
      <w:r w:rsidR="00A45B97">
        <w:rPr>
          <w:rFonts w:ascii="Verdana" w:hAnsi="Verdana" w:cs="Verdana"/>
          <w:sz w:val="20"/>
          <w:szCs w:val="20"/>
        </w:rPr>
        <w:t xml:space="preserve">worden </w:t>
      </w:r>
      <w:r w:rsidR="00346185">
        <w:rPr>
          <w:rFonts w:ascii="Verdana" w:hAnsi="Verdana" w:cs="Verdana"/>
          <w:sz w:val="20"/>
          <w:szCs w:val="20"/>
        </w:rPr>
        <w:t xml:space="preserve">specifieke </w:t>
      </w:r>
      <w:r w:rsidR="00A45B97">
        <w:rPr>
          <w:rFonts w:ascii="Verdana" w:hAnsi="Verdana" w:cs="Verdana"/>
          <w:sz w:val="20"/>
          <w:szCs w:val="20"/>
        </w:rPr>
        <w:t xml:space="preserve">eisen gesteld aan de taakuitvoering, de bekostiging, het toezicht op de taakuitvoering en het toezicht op de inning, het beheer, de besteding en de verantwoording van de beschikbare publieke middelen. </w:t>
      </w:r>
    </w:p>
    <w:p w:rsidR="00574DF3" w:rsidRDefault="00A45B97">
      <w:pPr>
        <w:rPr>
          <w:rFonts w:ascii="Verdana" w:hAnsi="Verdana" w:cs="Verdana"/>
          <w:sz w:val="20"/>
          <w:szCs w:val="20"/>
        </w:rPr>
      </w:pPr>
      <w:r>
        <w:rPr>
          <w:rFonts w:ascii="Verdana" w:hAnsi="Verdana" w:cs="Verdana"/>
          <w:sz w:val="20"/>
          <w:szCs w:val="20"/>
        </w:rPr>
        <w:t xml:space="preserve">De Comptabiliteitswet bevat </w:t>
      </w:r>
      <w:r w:rsidRPr="00574DF3">
        <w:rPr>
          <w:rFonts w:ascii="Verdana" w:hAnsi="Verdana" w:cs="Verdana"/>
          <w:i/>
          <w:sz w:val="20"/>
          <w:szCs w:val="20"/>
        </w:rPr>
        <w:t>generieke regels</w:t>
      </w:r>
      <w:r>
        <w:rPr>
          <w:rFonts w:ascii="Verdana" w:hAnsi="Verdana" w:cs="Verdana"/>
          <w:sz w:val="20"/>
          <w:szCs w:val="20"/>
        </w:rPr>
        <w:t xml:space="preserve">, in aanvulling op deze specifieke sectorwetgeving, en stelt algemene eisen aan de verantwoording en het toezicht op begrotingsgeld dat door </w:t>
      </w:r>
      <w:r w:rsidR="00346185">
        <w:rPr>
          <w:rFonts w:ascii="Verdana" w:hAnsi="Verdana" w:cs="Verdana"/>
          <w:sz w:val="20"/>
          <w:szCs w:val="20"/>
        </w:rPr>
        <w:t xml:space="preserve">deze </w:t>
      </w:r>
      <w:r>
        <w:rPr>
          <w:rFonts w:ascii="Verdana" w:hAnsi="Verdana" w:cs="Verdana"/>
          <w:sz w:val="20"/>
          <w:szCs w:val="20"/>
        </w:rPr>
        <w:t xml:space="preserve">derden wordt besteed. </w:t>
      </w:r>
      <w:r w:rsidR="00346185">
        <w:rPr>
          <w:rFonts w:ascii="Verdana" w:hAnsi="Verdana" w:cs="Verdana"/>
          <w:sz w:val="20"/>
          <w:szCs w:val="20"/>
        </w:rPr>
        <w:t>Onderwijsinstellingen en vergelijkbare organisaties worden in de Comptabiliteitswet als ‘RWT’ beschouwd: rechtspersonen met een wettelijk geregelde taak.</w:t>
      </w:r>
    </w:p>
    <w:p w:rsidR="00574DF3" w:rsidRDefault="00346185">
      <w:pPr>
        <w:rPr>
          <w:rFonts w:ascii="Verdana" w:hAnsi="Verdana" w:cs="Verdana"/>
          <w:sz w:val="20"/>
          <w:szCs w:val="20"/>
        </w:rPr>
      </w:pPr>
      <w:r>
        <w:rPr>
          <w:rFonts w:ascii="Verdana" w:hAnsi="Verdana" w:cs="Verdana"/>
          <w:sz w:val="20"/>
          <w:szCs w:val="20"/>
        </w:rPr>
        <w:t>D</w:t>
      </w:r>
      <w:r w:rsidR="00A45B97">
        <w:rPr>
          <w:rFonts w:ascii="Verdana" w:hAnsi="Verdana" w:cs="Verdana"/>
          <w:sz w:val="20"/>
          <w:szCs w:val="20"/>
        </w:rPr>
        <w:t xml:space="preserve">e Comptabiliteitswet </w:t>
      </w:r>
      <w:r>
        <w:rPr>
          <w:rFonts w:ascii="Verdana" w:hAnsi="Verdana" w:cs="Verdana"/>
          <w:sz w:val="20"/>
          <w:szCs w:val="20"/>
        </w:rPr>
        <w:t>regelt ook</w:t>
      </w:r>
      <w:r w:rsidR="00A45B97">
        <w:rPr>
          <w:rFonts w:ascii="Verdana" w:hAnsi="Verdana" w:cs="Verdana"/>
          <w:sz w:val="20"/>
          <w:szCs w:val="20"/>
        </w:rPr>
        <w:t xml:space="preserve"> dat dergelijke RWT’s hun tijdelijk overtollige middelen</w:t>
      </w:r>
      <w:r w:rsidR="00C11B5D">
        <w:rPr>
          <w:rFonts w:ascii="Verdana" w:hAnsi="Verdana" w:cs="Verdana"/>
          <w:sz w:val="20"/>
          <w:szCs w:val="20"/>
        </w:rPr>
        <w:t xml:space="preserve"> </w:t>
      </w:r>
      <w:r>
        <w:rPr>
          <w:rFonts w:ascii="Verdana" w:hAnsi="Verdana" w:cs="Verdana"/>
          <w:sz w:val="20"/>
          <w:szCs w:val="20"/>
        </w:rPr>
        <w:t>i</w:t>
      </w:r>
      <w:r w:rsidR="00A45B97">
        <w:rPr>
          <w:rFonts w:ascii="Verdana" w:hAnsi="Verdana" w:cs="Verdana"/>
          <w:sz w:val="20"/>
          <w:szCs w:val="20"/>
        </w:rPr>
        <w:t>n de schatkist</w:t>
      </w:r>
      <w:r>
        <w:rPr>
          <w:rFonts w:ascii="Verdana" w:hAnsi="Verdana" w:cs="Verdana"/>
          <w:sz w:val="20"/>
          <w:szCs w:val="20"/>
        </w:rPr>
        <w:t xml:space="preserve"> </w:t>
      </w:r>
      <w:r w:rsidR="00F554EC">
        <w:rPr>
          <w:rFonts w:ascii="Verdana" w:hAnsi="Verdana" w:cs="Verdana"/>
          <w:sz w:val="20"/>
          <w:szCs w:val="20"/>
        </w:rPr>
        <w:t xml:space="preserve">kunnen </w:t>
      </w:r>
      <w:r>
        <w:rPr>
          <w:rFonts w:ascii="Verdana" w:hAnsi="Verdana" w:cs="Verdana"/>
          <w:sz w:val="20"/>
          <w:szCs w:val="20"/>
        </w:rPr>
        <w:t>aanhouden</w:t>
      </w:r>
      <w:r w:rsidR="00A45B97">
        <w:rPr>
          <w:rFonts w:ascii="Verdana" w:hAnsi="Verdana" w:cs="Verdana"/>
          <w:sz w:val="20"/>
          <w:szCs w:val="20"/>
        </w:rPr>
        <w:t xml:space="preserve">; het zogenoemde ‘schatkistbankieren’. Dit is niet alleen doelmatig voor de publieke sector als geheel, maar ook </w:t>
      </w:r>
      <w:r w:rsidR="00C84D0A">
        <w:rPr>
          <w:rFonts w:ascii="Verdana" w:hAnsi="Verdana" w:cs="Verdana"/>
          <w:sz w:val="20"/>
          <w:szCs w:val="20"/>
        </w:rPr>
        <w:t>risicoarm</w:t>
      </w:r>
      <w:r w:rsidR="00A45B97">
        <w:rPr>
          <w:rFonts w:ascii="Verdana" w:hAnsi="Verdana" w:cs="Verdana"/>
          <w:sz w:val="20"/>
          <w:szCs w:val="20"/>
        </w:rPr>
        <w:t xml:space="preserve"> voor die instellingen.</w:t>
      </w:r>
      <w:r w:rsidR="00574DF3">
        <w:rPr>
          <w:rFonts w:ascii="Verdana" w:hAnsi="Verdana" w:cs="Verdana"/>
          <w:sz w:val="20"/>
          <w:szCs w:val="20"/>
        </w:rPr>
        <w:t xml:space="preserve"> </w:t>
      </w:r>
    </w:p>
    <w:p w:rsidR="000878BB" w:rsidP="00A95D26" w:rsidRDefault="000878BB">
      <w:pPr>
        <w:rPr>
          <w:rFonts w:ascii="Verdana" w:hAnsi="Verdana" w:cs="Arial"/>
          <w:sz w:val="20"/>
          <w:szCs w:val="20"/>
        </w:rPr>
      </w:pPr>
    </w:p>
    <w:p w:rsidRPr="007F2A0C" w:rsidR="007F2A0C" w:rsidP="00A95D26" w:rsidRDefault="007F2A0C">
      <w:pPr>
        <w:rPr>
          <w:rFonts w:ascii="Verdana" w:hAnsi="Verdana" w:cs="Arial"/>
          <w:i/>
          <w:sz w:val="20"/>
          <w:szCs w:val="20"/>
        </w:rPr>
      </w:pPr>
      <w:r>
        <w:rPr>
          <w:rFonts w:ascii="Verdana" w:hAnsi="Verdana" w:cs="Arial"/>
          <w:i/>
          <w:sz w:val="20"/>
          <w:szCs w:val="20"/>
        </w:rPr>
        <w:t>Premiemiddelen</w:t>
      </w:r>
    </w:p>
    <w:p w:rsidRPr="00A25EC0" w:rsidR="00371D5B" w:rsidP="00A95D26" w:rsidRDefault="00A95D26">
      <w:pPr>
        <w:rPr>
          <w:rFonts w:ascii="Verdana" w:hAnsi="Verdana" w:cs="Arial"/>
          <w:sz w:val="20"/>
          <w:szCs w:val="20"/>
        </w:rPr>
      </w:pPr>
      <w:r w:rsidRPr="00A25EC0">
        <w:rPr>
          <w:rFonts w:ascii="Verdana" w:hAnsi="Verdana" w:cs="Arial"/>
          <w:sz w:val="20"/>
          <w:szCs w:val="20"/>
        </w:rPr>
        <w:t xml:space="preserve">De financiering van collectieve uitgaven verloopt bij twee belangrijke sectoren - de zorg en de sociale zekerheid </w:t>
      </w:r>
      <w:r w:rsidRPr="00A25EC0" w:rsidR="00246BA8">
        <w:rPr>
          <w:rFonts w:ascii="Verdana" w:hAnsi="Verdana" w:cs="Arial"/>
          <w:sz w:val="20"/>
          <w:szCs w:val="20"/>
        </w:rPr>
        <w:t>en arbeidsmarkt</w:t>
      </w:r>
      <w:r w:rsidRPr="00A25EC0">
        <w:rPr>
          <w:rFonts w:ascii="Verdana" w:hAnsi="Verdana" w:cs="Arial"/>
          <w:sz w:val="20"/>
          <w:szCs w:val="20"/>
        </w:rPr>
        <w:t>- niet primair via de rijksbegroting, maar via premiemiddelen in beheer van sociale fondsen</w:t>
      </w:r>
      <w:r w:rsidRPr="00A25EC0" w:rsidR="00371D5B">
        <w:rPr>
          <w:rFonts w:ascii="Verdana" w:hAnsi="Verdana" w:cs="Arial"/>
          <w:sz w:val="20"/>
          <w:szCs w:val="20"/>
        </w:rPr>
        <w:t xml:space="preserve">. Financiering van de fondsen vindt voornamelijk plaats via premies. Premies kunnen worden beschouwd als een bestemmingsheffing: vooraf wordt vastgesteld waaraan deze middelen worden besteed </w:t>
      </w:r>
      <w:r w:rsidRPr="00A25EC0" w:rsidR="00371D5B">
        <w:rPr>
          <w:rFonts w:ascii="Verdana" w:hAnsi="Verdana" w:cs="Arial"/>
          <w:sz w:val="20"/>
          <w:szCs w:val="20"/>
        </w:rPr>
        <w:lastRenderedPageBreak/>
        <w:t>(werkloosheidsuitgaven, zorguitgaven etc</w:t>
      </w:r>
      <w:r w:rsidRPr="00A25EC0" w:rsidR="003F0072">
        <w:rPr>
          <w:rFonts w:ascii="Verdana" w:hAnsi="Verdana" w:cs="Arial"/>
          <w:sz w:val="20"/>
          <w:szCs w:val="20"/>
        </w:rPr>
        <w:t>.</w:t>
      </w:r>
      <w:r w:rsidRPr="00A25EC0" w:rsidR="00371D5B">
        <w:rPr>
          <w:rFonts w:ascii="Verdana" w:hAnsi="Verdana" w:cs="Arial"/>
          <w:sz w:val="20"/>
          <w:szCs w:val="20"/>
        </w:rPr>
        <w:t>)</w:t>
      </w:r>
      <w:r w:rsidRPr="00A25EC0" w:rsidR="003F0072">
        <w:rPr>
          <w:rFonts w:ascii="Verdana" w:hAnsi="Verdana" w:cs="Arial"/>
          <w:sz w:val="20"/>
          <w:szCs w:val="20"/>
        </w:rPr>
        <w:t>.</w:t>
      </w:r>
      <w:r w:rsidRPr="00A25EC0" w:rsidR="00371D5B">
        <w:rPr>
          <w:rFonts w:ascii="Verdana" w:hAnsi="Verdana" w:cs="Arial"/>
          <w:sz w:val="20"/>
          <w:szCs w:val="20"/>
        </w:rPr>
        <w:t xml:space="preserve"> </w:t>
      </w:r>
      <w:r w:rsidRPr="00A25EC0" w:rsidR="00246BA8">
        <w:rPr>
          <w:rFonts w:ascii="Verdana" w:hAnsi="Verdana" w:cs="Arial"/>
          <w:sz w:val="20"/>
          <w:szCs w:val="20"/>
        </w:rPr>
        <w:t>Slechts een deel van de financiering van de fondsen loopt via een rijksbijdrage ten laste van de rijksbegroting. Deze rijksbijdragen zijn wel in de begroting van het Ministerie van VWS respectievelijk het Ministerie van SZW opgenomen en vallen dan ook volledig onder de werking van de Comptabiliteitswet.</w:t>
      </w:r>
    </w:p>
    <w:p w:rsidRPr="00A25EC0" w:rsidR="002E7B71" w:rsidP="005B2855" w:rsidRDefault="002E7B71">
      <w:pPr>
        <w:pStyle w:val="Tekstopmerking"/>
        <w:rPr>
          <w:rFonts w:ascii="Verdana" w:hAnsi="Verdana" w:cs="Arial"/>
        </w:rPr>
      </w:pPr>
    </w:p>
    <w:p w:rsidRPr="00A25EC0" w:rsidR="002E7B71" w:rsidP="005B2855" w:rsidRDefault="002E7B71">
      <w:pPr>
        <w:pStyle w:val="Tekstopmerking"/>
        <w:rPr>
          <w:rFonts w:ascii="Verdana" w:hAnsi="Verdana" w:cs="Arial"/>
        </w:rPr>
      </w:pPr>
      <w:r w:rsidRPr="00A25EC0">
        <w:rPr>
          <w:rFonts w:ascii="Verdana" w:hAnsi="Verdana" w:cs="Arial"/>
        </w:rPr>
        <w:t>Bij de premiemiddelen ligt de bestemming al vast; ze dienen ter financiering van specifieke fondsen waarmee sociale uitkeringen</w:t>
      </w:r>
      <w:r w:rsidRPr="00A25EC0" w:rsidR="00845885">
        <w:rPr>
          <w:rFonts w:ascii="Verdana" w:hAnsi="Verdana" w:cs="Arial"/>
        </w:rPr>
        <w:t xml:space="preserve"> </w:t>
      </w:r>
      <w:r w:rsidRPr="00A25EC0" w:rsidR="00E0008B">
        <w:rPr>
          <w:rFonts w:ascii="Verdana" w:hAnsi="Verdana" w:cs="Arial"/>
        </w:rPr>
        <w:t xml:space="preserve">worden </w:t>
      </w:r>
      <w:r w:rsidRPr="00A25EC0" w:rsidR="00845885">
        <w:rPr>
          <w:rFonts w:ascii="Verdana" w:hAnsi="Verdana" w:cs="Arial"/>
        </w:rPr>
        <w:t>verstrekt</w:t>
      </w:r>
      <w:r w:rsidRPr="00A25EC0">
        <w:rPr>
          <w:rFonts w:ascii="Verdana" w:hAnsi="Verdana" w:cs="Arial"/>
        </w:rPr>
        <w:t xml:space="preserve"> dan wel zorguitgaven worden verricht. Deze middelen gaan </w:t>
      </w:r>
      <w:r w:rsidRPr="00A25EC0">
        <w:rPr>
          <w:rFonts w:ascii="Verdana" w:hAnsi="Verdana" w:cs="Arial"/>
          <w:i/>
        </w:rPr>
        <w:t>rechtstreeks</w:t>
      </w:r>
      <w:r w:rsidRPr="00A25EC0">
        <w:rPr>
          <w:rFonts w:ascii="Verdana" w:hAnsi="Verdana" w:cs="Arial"/>
        </w:rPr>
        <w:t xml:space="preserve"> naar de fondsen dan wel rechtstreeks naar de zorgverzekeraar. Deze middelen </w:t>
      </w:r>
      <w:r w:rsidRPr="00A25EC0" w:rsidR="00C95C28">
        <w:rPr>
          <w:rFonts w:ascii="Verdana" w:hAnsi="Verdana" w:cs="Arial"/>
        </w:rPr>
        <w:t xml:space="preserve">zijn geen </w:t>
      </w:r>
      <w:r w:rsidRPr="00A25EC0">
        <w:rPr>
          <w:rFonts w:ascii="Verdana" w:hAnsi="Verdana" w:cs="Arial"/>
        </w:rPr>
        <w:t xml:space="preserve">begrotingsmiddelen van een minister. </w:t>
      </w:r>
    </w:p>
    <w:p w:rsidRPr="00A25EC0" w:rsidR="0003762E" w:rsidRDefault="0003762E">
      <w:pPr>
        <w:rPr>
          <w:rFonts w:ascii="Verdana" w:hAnsi="Verdana" w:cs="Arial"/>
          <w:sz w:val="20"/>
          <w:szCs w:val="20"/>
        </w:rPr>
      </w:pPr>
    </w:p>
    <w:p w:rsidRPr="00A25EC0" w:rsidR="00041CB1" w:rsidP="00041CB1" w:rsidRDefault="00041CB1">
      <w:pPr>
        <w:rPr>
          <w:rFonts w:ascii="Verdana" w:hAnsi="Verdana" w:cs="Verdana"/>
          <w:sz w:val="20"/>
          <w:szCs w:val="20"/>
          <w:u w:val="single"/>
        </w:rPr>
      </w:pPr>
      <w:r w:rsidRPr="00A25EC0">
        <w:rPr>
          <w:rFonts w:ascii="Verdana" w:hAnsi="Verdana" w:cs="Verdana"/>
          <w:sz w:val="20"/>
          <w:szCs w:val="20"/>
          <w:u w:val="single"/>
        </w:rPr>
        <w:t>4. Uitgangspunten</w:t>
      </w:r>
    </w:p>
    <w:p w:rsidRPr="00A25EC0" w:rsidR="00041CB1" w:rsidP="00041CB1" w:rsidRDefault="00041CB1">
      <w:pPr>
        <w:rPr>
          <w:rFonts w:ascii="Verdana" w:hAnsi="Verdana" w:cs="Verdana"/>
          <w:sz w:val="20"/>
          <w:szCs w:val="20"/>
        </w:rPr>
      </w:pPr>
    </w:p>
    <w:p w:rsidRPr="00A25EC0" w:rsidR="00041CB1" w:rsidP="00041CB1" w:rsidRDefault="00041CB1">
      <w:pPr>
        <w:rPr>
          <w:rFonts w:ascii="Verdana" w:hAnsi="Verdana" w:cs="Verdana"/>
          <w:sz w:val="20"/>
          <w:szCs w:val="20"/>
        </w:rPr>
      </w:pPr>
      <w:r w:rsidRPr="00A25EC0">
        <w:rPr>
          <w:rFonts w:ascii="Verdana" w:hAnsi="Verdana" w:cs="Verdana"/>
          <w:sz w:val="20"/>
          <w:szCs w:val="20"/>
        </w:rPr>
        <w:t xml:space="preserve">De </w:t>
      </w:r>
      <w:proofErr w:type="gramStart"/>
      <w:r w:rsidRPr="00A25EC0">
        <w:rPr>
          <w:rFonts w:ascii="Verdana" w:hAnsi="Verdana" w:cs="Verdana"/>
          <w:sz w:val="20"/>
          <w:szCs w:val="20"/>
        </w:rPr>
        <w:t>algehele</w:t>
      </w:r>
      <w:proofErr w:type="gramEnd"/>
      <w:r w:rsidRPr="00A25EC0">
        <w:rPr>
          <w:rFonts w:ascii="Verdana" w:hAnsi="Verdana" w:cs="Verdana"/>
          <w:sz w:val="20"/>
          <w:szCs w:val="20"/>
        </w:rPr>
        <w:t xml:space="preserve"> herziening van de Comptabiliteitswet is gebaseerd op een aantal uitgangspunten. Deze worden per punt nader toegelicht.</w:t>
      </w:r>
    </w:p>
    <w:p w:rsidRPr="00A25EC0" w:rsidR="00041CB1" w:rsidP="00041CB1" w:rsidRDefault="00041CB1">
      <w:pPr>
        <w:rPr>
          <w:rFonts w:ascii="Verdana" w:hAnsi="Verdana" w:cs="Verdana"/>
          <w:sz w:val="20"/>
          <w:szCs w:val="20"/>
        </w:rPr>
      </w:pPr>
    </w:p>
    <w:p w:rsidRPr="00A25EC0" w:rsidR="00041CB1" w:rsidP="00041CB1" w:rsidRDefault="00041CB1">
      <w:pPr>
        <w:rPr>
          <w:rFonts w:ascii="Verdana" w:hAnsi="Verdana" w:cs="Verdana"/>
          <w:i/>
          <w:iCs/>
          <w:sz w:val="20"/>
          <w:szCs w:val="20"/>
        </w:rPr>
      </w:pPr>
      <w:r w:rsidRPr="00A25EC0">
        <w:rPr>
          <w:rFonts w:ascii="Verdana" w:hAnsi="Verdana" w:cs="Verdana"/>
          <w:i/>
          <w:iCs/>
          <w:sz w:val="20"/>
          <w:szCs w:val="20"/>
        </w:rPr>
        <w:t xml:space="preserve">Wettelijke hoofdlijnen rond comptabel stelsel </w:t>
      </w:r>
    </w:p>
    <w:p w:rsidRPr="00A25EC0" w:rsidR="00041CB1" w:rsidP="00041CB1" w:rsidRDefault="00041CB1">
      <w:pPr>
        <w:rPr>
          <w:rFonts w:ascii="Verdana" w:hAnsi="Verdana" w:cs="Verdana"/>
          <w:sz w:val="20"/>
          <w:szCs w:val="20"/>
        </w:rPr>
      </w:pPr>
      <w:r w:rsidRPr="00A25EC0">
        <w:rPr>
          <w:rFonts w:ascii="Verdana" w:hAnsi="Verdana" w:cs="Verdana"/>
          <w:sz w:val="20"/>
          <w:szCs w:val="20"/>
        </w:rPr>
        <w:t xml:space="preserve">De hoofdlijnen van het Nederlandse comptabele stelsel horen thuis in de Comptabiliteitswet. Dat is ook de opdracht van de Grondwetgever in artikel 105 en dat geldt zeker voor de bevoegdheden van de Kamers, de taken en bevoegdheden van de Algemene Rekenkamer en de verantwoordelijkheid van elke minister voor de begroting en het financieel beheer van een departement. </w:t>
      </w:r>
    </w:p>
    <w:p w:rsidRPr="00A25EC0" w:rsidR="00041CB1" w:rsidP="00041CB1" w:rsidRDefault="00041CB1">
      <w:pPr>
        <w:rPr>
          <w:rFonts w:ascii="Verdana" w:hAnsi="Verdana" w:cs="Verdana"/>
          <w:sz w:val="20"/>
          <w:szCs w:val="20"/>
        </w:rPr>
      </w:pPr>
      <w:r w:rsidRPr="00A25EC0">
        <w:rPr>
          <w:rFonts w:ascii="Verdana" w:hAnsi="Verdana" w:cs="Verdana"/>
          <w:sz w:val="20"/>
          <w:szCs w:val="20"/>
        </w:rPr>
        <w:t xml:space="preserve">De taken, de bevoegdheden en de positionering van de financiële functie en de auditfunctie zijn momenteel in het Besluit taak FEZ </w:t>
      </w:r>
      <w:r w:rsidR="007F2A0C">
        <w:rPr>
          <w:rFonts w:ascii="Verdana" w:hAnsi="Verdana" w:cs="Verdana"/>
          <w:sz w:val="20"/>
          <w:szCs w:val="20"/>
        </w:rPr>
        <w:t>resp.</w:t>
      </w:r>
      <w:r w:rsidRPr="00A25EC0">
        <w:rPr>
          <w:rFonts w:ascii="Verdana" w:hAnsi="Verdana" w:cs="Verdana"/>
          <w:sz w:val="20"/>
          <w:szCs w:val="20"/>
        </w:rPr>
        <w:t xml:space="preserve"> het Besluit taak DAD opgenomen. Dit strookt niet met het beginsel om de hoofdlijnen in de wet op te nemen. Om die reden wordt juist wél voorgesteld om deze taken op hoofdlijnen in de wet op te nemen. Deze opname in de wet biedt betere waarborgen voor de onafhankelijk</w:t>
      </w:r>
      <w:r w:rsidR="00C84D0A">
        <w:rPr>
          <w:rFonts w:ascii="Verdana" w:hAnsi="Verdana" w:cs="Verdana"/>
          <w:sz w:val="20"/>
          <w:szCs w:val="20"/>
        </w:rPr>
        <w:t>e</w:t>
      </w:r>
      <w:r w:rsidRPr="00A25EC0">
        <w:rPr>
          <w:rFonts w:ascii="Verdana" w:hAnsi="Verdana" w:cs="Verdana"/>
          <w:sz w:val="20"/>
          <w:szCs w:val="20"/>
        </w:rPr>
        <w:t xml:space="preserve"> positionering van deze functies ten opzichte van de beleids- en bedrijfsvoeringskolom binnen departementen.</w:t>
      </w:r>
    </w:p>
    <w:p w:rsidRPr="00A25EC0" w:rsidR="00041CB1" w:rsidP="00041CB1" w:rsidRDefault="00041CB1">
      <w:pPr>
        <w:rPr>
          <w:rFonts w:ascii="Verdana" w:hAnsi="Verdana" w:cs="Verdana"/>
          <w:sz w:val="20"/>
          <w:szCs w:val="20"/>
        </w:rPr>
      </w:pPr>
    </w:p>
    <w:p w:rsidRPr="00A25EC0" w:rsidR="00041CB1" w:rsidP="00041CB1" w:rsidRDefault="00041CB1">
      <w:pPr>
        <w:rPr>
          <w:rFonts w:ascii="Verdana" w:hAnsi="Verdana" w:cs="Verdana"/>
          <w:sz w:val="20"/>
          <w:szCs w:val="20"/>
        </w:rPr>
      </w:pPr>
      <w:r w:rsidRPr="00A25EC0">
        <w:rPr>
          <w:rFonts w:ascii="Verdana" w:hAnsi="Verdana" w:cs="Verdana"/>
          <w:sz w:val="20"/>
          <w:szCs w:val="20"/>
        </w:rPr>
        <w:t xml:space="preserve">Gedetailleerde voorschriften horen niet in de wet zelf thuis. In de nieuwe Comptabiliteitswet wordt voorgesteld om dergelijke gedetailleerde voorschriften zoveel mogelijk </w:t>
      </w:r>
      <w:r w:rsidR="00793EEB">
        <w:rPr>
          <w:rFonts w:ascii="Verdana" w:hAnsi="Verdana" w:cs="Verdana"/>
          <w:sz w:val="20"/>
          <w:szCs w:val="20"/>
        </w:rPr>
        <w:t xml:space="preserve">te </w:t>
      </w:r>
      <w:r w:rsidRPr="00A25EC0">
        <w:rPr>
          <w:rFonts w:ascii="Verdana" w:hAnsi="Verdana" w:cs="Verdana"/>
          <w:sz w:val="20"/>
          <w:szCs w:val="20"/>
        </w:rPr>
        <w:t xml:space="preserve">vervangen door globale voorschriften; nadere uitvoeringsvoorschriften worden in lagere regelgeving opgenomen. Dit bevordert niet alleen de flexibiliteit en daarmee ook de doelmatigheid en de actualiteit van de comptabele regelgeving, maar zorgt ook voor een toekomstbestendige en minder onderhoudsgevoelige Comptabiliteitswet. </w:t>
      </w:r>
    </w:p>
    <w:p w:rsidRPr="0077792E" w:rsidR="00041CB1" w:rsidP="00041CB1" w:rsidRDefault="00041CB1">
      <w:pPr>
        <w:rPr>
          <w:rFonts w:ascii="Verdana" w:hAnsi="Verdana" w:cs="Verdana"/>
          <w:sz w:val="18"/>
          <w:szCs w:val="18"/>
        </w:rPr>
      </w:pPr>
      <w:r w:rsidRPr="00A25EC0">
        <w:rPr>
          <w:rFonts w:ascii="Verdana" w:hAnsi="Verdana" w:cs="Verdana"/>
          <w:sz w:val="20"/>
          <w:szCs w:val="20"/>
        </w:rPr>
        <w:t xml:space="preserve">Een voorbeeld ter verduidelijking. In de nieuwe Comptabiliteitswet wordt een categorie departementale begrotingen onderscheiden, waarbinnen alleen nog de begroting van Nationale Schuld </w:t>
      </w:r>
      <w:r w:rsidR="00BB149F">
        <w:rPr>
          <w:rFonts w:ascii="Verdana" w:hAnsi="Verdana" w:cs="Verdana"/>
          <w:sz w:val="20"/>
          <w:szCs w:val="20"/>
        </w:rPr>
        <w:t>en Financiën</w:t>
      </w:r>
      <w:r w:rsidR="0087541E">
        <w:rPr>
          <w:rFonts w:ascii="Verdana" w:hAnsi="Verdana" w:cs="Verdana"/>
          <w:sz w:val="20"/>
          <w:szCs w:val="20"/>
        </w:rPr>
        <w:t xml:space="preserve"> </w:t>
      </w:r>
      <w:r w:rsidR="00BB149F">
        <w:rPr>
          <w:rFonts w:ascii="Verdana" w:hAnsi="Verdana" w:cs="Verdana"/>
          <w:sz w:val="20"/>
          <w:szCs w:val="20"/>
        </w:rPr>
        <w:t xml:space="preserve">(hoofdstuk IX) </w:t>
      </w:r>
      <w:r w:rsidRPr="00A25EC0">
        <w:rPr>
          <w:rFonts w:ascii="Verdana" w:hAnsi="Verdana" w:cs="Verdana"/>
          <w:sz w:val="20"/>
          <w:szCs w:val="20"/>
        </w:rPr>
        <w:t xml:space="preserve">met naam wordt genoemd. Toevoeging van een nieuwe begroting aan de rijksbegroting, hoeft dus niet meer tot wijziging van de Comptabiliteitswet te leiden. De begrotingen </w:t>
      </w:r>
      <w:r w:rsidRPr="009D7848" w:rsidR="009D7848">
        <w:rPr>
          <w:rFonts w:ascii="Verdana" w:hAnsi="Verdana" w:cs="Verdana"/>
          <w:sz w:val="20"/>
          <w:szCs w:val="20"/>
        </w:rPr>
        <w:t>van de Staten-Generaal en van de in de Grondwet genoemde Hoge Colleges van Staat blijven overigens expliciet en afzonderlijk in de wet vermeld.</w:t>
      </w:r>
    </w:p>
    <w:p w:rsidRPr="00A25EC0" w:rsidR="00041CB1" w:rsidP="00041CB1" w:rsidRDefault="00041CB1">
      <w:pPr>
        <w:rPr>
          <w:rFonts w:ascii="Verdana" w:hAnsi="Verdana" w:cs="Verdana"/>
          <w:sz w:val="20"/>
          <w:szCs w:val="20"/>
        </w:rPr>
      </w:pPr>
    </w:p>
    <w:p w:rsidRPr="00A25EC0" w:rsidR="00041CB1" w:rsidP="00041CB1" w:rsidRDefault="00041CB1">
      <w:pPr>
        <w:outlineLvl w:val="0"/>
        <w:rPr>
          <w:rFonts w:ascii="Verdana" w:hAnsi="Verdana" w:cs="Verdana"/>
          <w:i/>
          <w:iCs/>
          <w:sz w:val="20"/>
          <w:szCs w:val="20"/>
        </w:rPr>
      </w:pPr>
      <w:r w:rsidRPr="00A25EC0">
        <w:rPr>
          <w:rFonts w:ascii="Verdana" w:hAnsi="Verdana" w:cs="Verdana"/>
          <w:i/>
          <w:iCs/>
          <w:sz w:val="20"/>
          <w:szCs w:val="20"/>
        </w:rPr>
        <w:t>Heldere definities, duidelijke normen</w:t>
      </w:r>
    </w:p>
    <w:p w:rsidRPr="00A25EC0" w:rsidR="00041CB1" w:rsidP="00041CB1" w:rsidRDefault="00041CB1">
      <w:pPr>
        <w:outlineLvl w:val="0"/>
        <w:rPr>
          <w:rFonts w:ascii="Verdana" w:hAnsi="Verdana" w:cs="Verdana"/>
          <w:sz w:val="20"/>
          <w:szCs w:val="20"/>
        </w:rPr>
      </w:pPr>
      <w:r w:rsidRPr="00A25EC0">
        <w:rPr>
          <w:rFonts w:ascii="Verdana" w:hAnsi="Verdana" w:cs="Verdana"/>
          <w:sz w:val="20"/>
          <w:szCs w:val="20"/>
        </w:rPr>
        <w:t>Om de kwaliteit van de informatie in de begrotings- en verantwoordingsstukken te bevorderen zijn heldere definities van de belangrijkste begrippen nodig. Hiermee wordt de betrouwbaarheid, de uniformiteit en de vergelijkbaarheid van de informatie die aan de</w:t>
      </w:r>
      <w:r w:rsidR="00793EEB">
        <w:rPr>
          <w:rFonts w:ascii="Verdana" w:hAnsi="Verdana" w:cs="Verdana"/>
          <w:sz w:val="20"/>
          <w:szCs w:val="20"/>
        </w:rPr>
        <w:t xml:space="preserve"> Staten-Generaal </w:t>
      </w:r>
      <w:r w:rsidRPr="00A25EC0">
        <w:rPr>
          <w:rFonts w:ascii="Verdana" w:hAnsi="Verdana" w:cs="Verdana"/>
          <w:sz w:val="20"/>
          <w:szCs w:val="20"/>
        </w:rPr>
        <w:t xml:space="preserve">wordt overlegd, vergroot. Daarnaast wordt hiermee bevorderd dat er minder interpretatieverschillen kunnen ontstaan. In de nieuwe Comptabiliteitswet zal daarom een aantal </w:t>
      </w:r>
      <w:r w:rsidR="00F937E4">
        <w:rPr>
          <w:rFonts w:ascii="Verdana" w:hAnsi="Verdana" w:cs="Verdana"/>
          <w:sz w:val="20"/>
          <w:szCs w:val="20"/>
        </w:rPr>
        <w:t>belangrijke</w:t>
      </w:r>
      <w:r w:rsidRPr="00A25EC0">
        <w:rPr>
          <w:rFonts w:ascii="Verdana" w:hAnsi="Verdana" w:cs="Verdana"/>
          <w:sz w:val="20"/>
          <w:szCs w:val="20"/>
        </w:rPr>
        <w:t xml:space="preserve"> definitie</w:t>
      </w:r>
      <w:r w:rsidR="00814172">
        <w:rPr>
          <w:rFonts w:ascii="Verdana" w:hAnsi="Verdana" w:cs="Verdana"/>
          <w:sz w:val="20"/>
          <w:szCs w:val="20"/>
        </w:rPr>
        <w:t>s</w:t>
      </w:r>
      <w:r w:rsidRPr="00A25EC0">
        <w:rPr>
          <w:rFonts w:ascii="Verdana" w:hAnsi="Verdana" w:cs="Verdana"/>
          <w:sz w:val="20"/>
          <w:szCs w:val="20"/>
        </w:rPr>
        <w:t xml:space="preserve"> worden opgenomen. Tevens </w:t>
      </w:r>
      <w:r w:rsidR="0087541E">
        <w:rPr>
          <w:rFonts w:ascii="Verdana" w:hAnsi="Verdana" w:cs="Verdana"/>
          <w:sz w:val="20"/>
          <w:szCs w:val="20"/>
        </w:rPr>
        <w:t>zal</w:t>
      </w:r>
      <w:r w:rsidRPr="00A25EC0">
        <w:rPr>
          <w:rFonts w:ascii="Verdana" w:hAnsi="Verdana" w:cs="Verdana"/>
          <w:sz w:val="20"/>
          <w:szCs w:val="20"/>
        </w:rPr>
        <w:t xml:space="preserve"> de Minister van Financiën een comptabele begrippenlijst </w:t>
      </w:r>
      <w:r w:rsidR="0087541E">
        <w:rPr>
          <w:rFonts w:ascii="Verdana" w:hAnsi="Verdana" w:cs="Verdana"/>
          <w:sz w:val="20"/>
          <w:szCs w:val="20"/>
        </w:rPr>
        <w:t>op</w:t>
      </w:r>
      <w:r w:rsidRPr="00A25EC0">
        <w:rPr>
          <w:rFonts w:ascii="Verdana" w:hAnsi="Verdana" w:cs="Verdana"/>
          <w:sz w:val="20"/>
          <w:szCs w:val="20"/>
        </w:rPr>
        <w:t>stellen, waarin v</w:t>
      </w:r>
      <w:r w:rsidR="0087541E">
        <w:rPr>
          <w:rFonts w:ascii="Verdana" w:hAnsi="Verdana" w:cs="Verdana"/>
          <w:sz w:val="20"/>
          <w:szCs w:val="20"/>
        </w:rPr>
        <w:t>an</w:t>
      </w:r>
      <w:r w:rsidRPr="00A25EC0">
        <w:rPr>
          <w:rFonts w:ascii="Verdana" w:hAnsi="Verdana" w:cs="Verdana"/>
          <w:sz w:val="20"/>
          <w:szCs w:val="20"/>
        </w:rPr>
        <w:t xml:space="preserve"> meer begrippen definities worden opgenomen. </w:t>
      </w:r>
    </w:p>
    <w:p w:rsidRPr="00A25EC0" w:rsidR="00041CB1" w:rsidP="00041CB1" w:rsidRDefault="00041CB1">
      <w:pPr>
        <w:tabs>
          <w:tab w:val="left" w:pos="-284"/>
        </w:tabs>
        <w:ind w:hanging="284"/>
        <w:outlineLvl w:val="0"/>
        <w:rPr>
          <w:rFonts w:ascii="Verdana" w:hAnsi="Verdana" w:cs="Verdana"/>
          <w:i/>
          <w:iCs/>
          <w:sz w:val="20"/>
          <w:szCs w:val="20"/>
          <w:u w:val="single"/>
        </w:rPr>
      </w:pPr>
    </w:p>
    <w:p w:rsidRPr="00A25EC0" w:rsidR="00041CB1" w:rsidP="00041CB1" w:rsidRDefault="00041CB1">
      <w:pPr>
        <w:spacing w:line="240" w:lineRule="atLeast"/>
        <w:rPr>
          <w:rFonts w:ascii="Verdana" w:hAnsi="Verdana" w:cs="Verdana"/>
          <w:sz w:val="20"/>
          <w:szCs w:val="20"/>
        </w:rPr>
      </w:pPr>
      <w:r w:rsidRPr="00A25EC0">
        <w:rPr>
          <w:rFonts w:ascii="Verdana" w:hAnsi="Verdana" w:cs="Verdana"/>
          <w:sz w:val="20"/>
          <w:szCs w:val="20"/>
        </w:rPr>
        <w:t xml:space="preserve">In aansluiting op het </w:t>
      </w:r>
      <w:r w:rsidR="00793EEB">
        <w:rPr>
          <w:rFonts w:ascii="Verdana" w:hAnsi="Verdana" w:cs="Verdana"/>
          <w:i/>
          <w:iCs/>
          <w:sz w:val="20"/>
          <w:szCs w:val="20"/>
        </w:rPr>
        <w:t>w</w:t>
      </w:r>
      <w:r w:rsidRPr="00A25EC0">
        <w:rPr>
          <w:rFonts w:ascii="Verdana" w:hAnsi="Verdana" w:cs="Verdana"/>
          <w:i/>
          <w:iCs/>
          <w:sz w:val="20"/>
          <w:szCs w:val="20"/>
        </w:rPr>
        <w:t xml:space="preserve">etsvoorstel </w:t>
      </w:r>
      <w:r w:rsidR="00793EEB">
        <w:rPr>
          <w:rFonts w:ascii="Verdana" w:hAnsi="Verdana" w:cs="Verdana"/>
          <w:i/>
          <w:iCs/>
          <w:sz w:val="20"/>
          <w:szCs w:val="20"/>
        </w:rPr>
        <w:t>H</w:t>
      </w:r>
      <w:r w:rsidRPr="00A25EC0">
        <w:rPr>
          <w:rFonts w:ascii="Verdana" w:hAnsi="Verdana" w:cs="Verdana"/>
          <w:i/>
          <w:iCs/>
          <w:sz w:val="20"/>
          <w:szCs w:val="20"/>
        </w:rPr>
        <w:t>oudbare overheidsfinanciën</w:t>
      </w:r>
      <w:r w:rsidRPr="00A25EC0">
        <w:rPr>
          <w:rFonts w:ascii="Verdana" w:hAnsi="Verdana" w:cs="Verdana"/>
          <w:sz w:val="20"/>
          <w:szCs w:val="20"/>
        </w:rPr>
        <w:t>, wordt voorgesteld om in de nieuwe Comptabiliteitswet aandacht te besteden aan de budgettaire kaderstelling voor de Rijksbegroting. Begrotingsplafonds en begrotingsregels worden in de Comptabiliteitswet geïntroduceerd als kaders waaraan voldaan moet worden bij het opstellen van de begroting in meerjarig perspectief. De normen voor het begrotings- en verantwoordingsproces, voor de overige beleids- en bedrijfsvoeringsprocessen en voor de begrotingen- en de verantwoordingsinformatie, worden samengebracht in een afzonderlijk hoofdstuk.</w:t>
      </w:r>
    </w:p>
    <w:p w:rsidRPr="00A25EC0" w:rsidR="007A0B3E" w:rsidRDefault="007A0B3E">
      <w:pPr>
        <w:rPr>
          <w:rFonts w:ascii="Verdana" w:hAnsi="Verdana" w:cs="Arial"/>
          <w:sz w:val="20"/>
          <w:szCs w:val="20"/>
        </w:rPr>
      </w:pPr>
    </w:p>
    <w:p w:rsidRPr="00A25EC0" w:rsidR="00BB79A7" w:rsidP="00BB79A7" w:rsidRDefault="00041CB1">
      <w:pPr>
        <w:spacing w:line="240" w:lineRule="atLeast"/>
        <w:rPr>
          <w:rFonts w:ascii="Verdana" w:hAnsi="Verdana" w:cs="Verdana"/>
          <w:i/>
          <w:iCs/>
          <w:sz w:val="20"/>
          <w:szCs w:val="20"/>
          <w:u w:val="single"/>
        </w:rPr>
      </w:pPr>
      <w:r w:rsidRPr="00A25EC0">
        <w:rPr>
          <w:rFonts w:ascii="Verdana" w:hAnsi="Verdana" w:cs="Verdana"/>
          <w:i/>
          <w:iCs/>
          <w:sz w:val="20"/>
          <w:szCs w:val="20"/>
          <w:u w:val="single"/>
        </w:rPr>
        <w:t>5</w:t>
      </w:r>
      <w:r w:rsidRPr="00A25EC0" w:rsidR="00BB79A7">
        <w:rPr>
          <w:rFonts w:ascii="Verdana" w:hAnsi="Verdana" w:cs="Verdana"/>
          <w:i/>
          <w:iCs/>
          <w:sz w:val="20"/>
          <w:szCs w:val="20"/>
          <w:u w:val="single"/>
        </w:rPr>
        <w:t>. Structuur van de nieuwe Comptabiliteitswet</w:t>
      </w:r>
    </w:p>
    <w:p w:rsidRPr="00A25EC0" w:rsidR="00BB79A7" w:rsidP="00BB79A7" w:rsidRDefault="00BB79A7">
      <w:pPr>
        <w:spacing w:line="240" w:lineRule="atLeast"/>
        <w:rPr>
          <w:rFonts w:ascii="Verdana" w:hAnsi="Verdana" w:cs="Verdana"/>
          <w:sz w:val="20"/>
          <w:szCs w:val="20"/>
        </w:rPr>
      </w:pPr>
    </w:p>
    <w:p w:rsidR="00DA15F6" w:rsidP="00BB79A7" w:rsidRDefault="00BB79A7">
      <w:pPr>
        <w:spacing w:line="240" w:lineRule="atLeast"/>
        <w:rPr>
          <w:rFonts w:ascii="Verdana" w:hAnsi="Verdana" w:cs="Verdana"/>
          <w:noProof/>
          <w:sz w:val="20"/>
          <w:szCs w:val="20"/>
        </w:rPr>
      </w:pPr>
      <w:r w:rsidRPr="00A25EC0">
        <w:rPr>
          <w:rFonts w:ascii="Verdana" w:hAnsi="Verdana" w:cs="Verdana"/>
          <w:sz w:val="20"/>
          <w:szCs w:val="20"/>
        </w:rPr>
        <w:t>Het voorstel is dat de functies</w:t>
      </w:r>
      <w:r w:rsidR="0053795D">
        <w:rPr>
          <w:rFonts w:ascii="Verdana" w:hAnsi="Verdana" w:cs="Verdana"/>
          <w:sz w:val="20"/>
          <w:szCs w:val="20"/>
        </w:rPr>
        <w:t xml:space="preserve"> van en de</w:t>
      </w:r>
      <w:r w:rsidRPr="00A25EC0">
        <w:rPr>
          <w:rFonts w:ascii="Verdana" w:hAnsi="Verdana" w:cs="Verdana"/>
          <w:sz w:val="20"/>
          <w:szCs w:val="20"/>
        </w:rPr>
        <w:t xml:space="preserve"> uitgangspunten </w:t>
      </w:r>
      <w:r w:rsidR="0053795D">
        <w:rPr>
          <w:rFonts w:ascii="Verdana" w:hAnsi="Verdana" w:cs="Verdana"/>
          <w:sz w:val="20"/>
          <w:szCs w:val="20"/>
        </w:rPr>
        <w:t>voor de</w:t>
      </w:r>
      <w:r w:rsidRPr="00A25EC0" w:rsidR="000F3892">
        <w:rPr>
          <w:rFonts w:ascii="Verdana" w:hAnsi="Verdana" w:cs="Verdana"/>
          <w:sz w:val="20"/>
          <w:szCs w:val="20"/>
        </w:rPr>
        <w:t xml:space="preserve"> comptabele regel</w:t>
      </w:r>
      <w:r w:rsidRPr="00A25EC0">
        <w:rPr>
          <w:rFonts w:ascii="Verdana" w:hAnsi="Verdana" w:cs="Verdana"/>
          <w:sz w:val="20"/>
          <w:szCs w:val="20"/>
        </w:rPr>
        <w:t>geving leiden tot de volgende structuur van het wetsvoorstel in voorbereiding:</w:t>
      </w:r>
      <w:r w:rsidRPr="00A25EC0">
        <w:rPr>
          <w:rFonts w:ascii="Verdana" w:hAnsi="Verdana" w:cs="Verdana"/>
          <w:noProof/>
          <w:sz w:val="20"/>
          <w:szCs w:val="20"/>
        </w:rPr>
        <w:t xml:space="preserve"> </w:t>
      </w:r>
    </w:p>
    <w:p w:rsidR="00BB79A7" w:rsidP="00BB79A7" w:rsidRDefault="00BB79A7">
      <w:pPr>
        <w:spacing w:line="240" w:lineRule="atLeast"/>
        <w:rPr>
          <w:rFonts w:ascii="Verdana" w:hAnsi="Verdana" w:cs="Verdana"/>
          <w:noProof/>
          <w:sz w:val="20"/>
          <w:szCs w:val="20"/>
        </w:rPr>
      </w:pPr>
      <w:r w:rsidRPr="00A25EC0">
        <w:rPr>
          <w:rFonts w:ascii="Verdana" w:hAnsi="Verdana" w:cs="Verdana"/>
          <w:noProof/>
          <w:sz w:val="20"/>
          <w:szCs w:val="20"/>
        </w:rPr>
        <w:br/>
      </w:r>
    </w:p>
    <w:p w:rsidR="002845A3" w:rsidP="00BB79A7" w:rsidRDefault="002845A3">
      <w:pPr>
        <w:spacing w:line="240" w:lineRule="atLeast"/>
        <w:rPr>
          <w:rFonts w:ascii="Verdana" w:hAnsi="Verdana" w:cs="Verdana"/>
          <w:noProof/>
          <w:sz w:val="20"/>
          <w:szCs w:val="20"/>
        </w:rPr>
      </w:pPr>
    </w:p>
    <w:p w:rsidRPr="00A25EC0" w:rsidR="00DA15F6" w:rsidP="00BB79A7" w:rsidRDefault="00DA15F6">
      <w:pPr>
        <w:spacing w:line="240" w:lineRule="atLeast"/>
        <w:rPr>
          <w:rFonts w:ascii="Verdana" w:hAnsi="Verdana" w:cs="Verdana"/>
          <w:noProof/>
          <w:sz w:val="20"/>
          <w:szCs w:val="20"/>
        </w:rPr>
      </w:pPr>
      <w:r w:rsidRPr="00DA15F6">
        <w:rPr>
          <w:rFonts w:ascii="Verdana" w:hAnsi="Verdana" w:cs="Verdana"/>
          <w:noProof/>
          <w:sz w:val="20"/>
          <w:szCs w:val="20"/>
        </w:rPr>
        <w:drawing>
          <wp:inline distT="0" distB="0" distL="0" distR="0">
            <wp:extent cx="5760720" cy="3840684"/>
            <wp:effectExtent l="38100" t="0" r="6858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A25EC0" w:rsidR="00BB79A7" w:rsidP="00BB79A7" w:rsidRDefault="00BB79A7">
      <w:pPr>
        <w:spacing w:line="240" w:lineRule="atLeast"/>
        <w:rPr>
          <w:rFonts w:ascii="Verdana" w:hAnsi="Verdana" w:cs="Verdana"/>
          <w:sz w:val="20"/>
          <w:szCs w:val="20"/>
        </w:rPr>
      </w:pPr>
      <w:r w:rsidRPr="00A25EC0">
        <w:rPr>
          <w:rFonts w:ascii="Verdana" w:hAnsi="Verdana" w:cs="Verdana"/>
          <w:sz w:val="20"/>
          <w:szCs w:val="20"/>
        </w:rPr>
        <w:t xml:space="preserve">De onderlinge samenhang van deze hoofdstukken is als volgt. Vertrekpunt is de inrichting van de Rijksbegroting in hoofdstuk 2. Deze inrichting dient ter waarborging het budgetrecht (‘autorisatierecht’) van de </w:t>
      </w:r>
      <w:r w:rsidR="00210224">
        <w:rPr>
          <w:rFonts w:ascii="Verdana" w:hAnsi="Verdana" w:cs="Verdana"/>
          <w:sz w:val="20"/>
          <w:szCs w:val="20"/>
        </w:rPr>
        <w:t>Staten-Generaal</w:t>
      </w:r>
      <w:r w:rsidRPr="00A25EC0">
        <w:rPr>
          <w:rFonts w:ascii="Verdana" w:hAnsi="Verdana" w:cs="Verdana"/>
          <w:sz w:val="20"/>
          <w:szCs w:val="20"/>
        </w:rPr>
        <w:t>: zij stellen per begroting(</w:t>
      </w:r>
      <w:proofErr w:type="spellStart"/>
      <w:r w:rsidRPr="00A25EC0">
        <w:rPr>
          <w:rFonts w:ascii="Verdana" w:hAnsi="Verdana" w:cs="Verdana"/>
          <w:sz w:val="20"/>
          <w:szCs w:val="20"/>
        </w:rPr>
        <w:t>sartikel</w:t>
      </w:r>
      <w:proofErr w:type="spellEnd"/>
      <w:r w:rsidRPr="00A25EC0">
        <w:rPr>
          <w:rFonts w:ascii="Verdana" w:hAnsi="Verdana" w:cs="Verdana"/>
          <w:sz w:val="20"/>
          <w:szCs w:val="20"/>
        </w:rPr>
        <w:t>) vast hoeveel middelen beschikbaar zijn voor een beleidsterrein en de minister legt verantwoording af over het gevoerde beleid en de ingezette middelen. De opzet van de Rijksbegroting wordt geregeld in hoofdstuk 2 en het proces van autorisatie door- en verantwoording aan de Staten</w:t>
      </w:r>
      <w:r w:rsidRPr="003A2011">
        <w:rPr>
          <w:rFonts w:ascii="Verdana" w:hAnsi="Verdana" w:cs="Verdana"/>
          <w:sz w:val="20"/>
          <w:szCs w:val="20"/>
        </w:rPr>
        <w:t xml:space="preserve">-Generaal wordt geregeld in hoofdstuk 3. Hoofdstuk 5 bevat bepalingen </w:t>
      </w:r>
      <w:r w:rsidR="003A2011">
        <w:rPr>
          <w:rFonts w:ascii="Verdana" w:hAnsi="Verdana" w:cs="Verdana"/>
          <w:sz w:val="20"/>
          <w:szCs w:val="20"/>
        </w:rPr>
        <w:t>over</w:t>
      </w:r>
      <w:r w:rsidRPr="003A2011">
        <w:rPr>
          <w:rFonts w:ascii="Verdana" w:hAnsi="Verdana" w:cs="Verdana"/>
          <w:sz w:val="20"/>
          <w:szCs w:val="20"/>
        </w:rPr>
        <w:t xml:space="preserve"> de ministeriële taken en bevoegdheden </w:t>
      </w:r>
      <w:r w:rsidR="003A2011">
        <w:rPr>
          <w:rFonts w:ascii="Verdana" w:hAnsi="Verdana"/>
          <w:sz w:val="20"/>
          <w:szCs w:val="20"/>
        </w:rPr>
        <w:t xml:space="preserve">op </w:t>
      </w:r>
      <w:r w:rsidRPr="003A2011" w:rsidR="003A2011">
        <w:rPr>
          <w:rFonts w:ascii="Verdana" w:hAnsi="Verdana"/>
          <w:sz w:val="20"/>
          <w:szCs w:val="20"/>
        </w:rPr>
        <w:t>het terrein van het begrotingsbeheer</w:t>
      </w:r>
      <w:r w:rsidR="009927B6">
        <w:rPr>
          <w:rFonts w:ascii="Verdana" w:hAnsi="Verdana"/>
          <w:sz w:val="20"/>
          <w:szCs w:val="20"/>
        </w:rPr>
        <w:t>, financieel beheer</w:t>
      </w:r>
      <w:r w:rsidRPr="003A2011" w:rsidR="003A2011">
        <w:rPr>
          <w:rFonts w:ascii="Verdana" w:hAnsi="Verdana"/>
          <w:sz w:val="20"/>
          <w:szCs w:val="20"/>
        </w:rPr>
        <w:t xml:space="preserve"> en de doelmatigheid van </w:t>
      </w:r>
      <w:r w:rsidRPr="003A2011">
        <w:rPr>
          <w:rFonts w:ascii="Verdana" w:hAnsi="Verdana" w:cs="Verdana"/>
          <w:sz w:val="20"/>
          <w:szCs w:val="20"/>
        </w:rPr>
        <w:t xml:space="preserve">de </w:t>
      </w:r>
      <w:proofErr w:type="spellStart"/>
      <w:r w:rsidRPr="003A2011">
        <w:rPr>
          <w:rFonts w:ascii="Verdana" w:hAnsi="Verdana" w:cs="Verdana"/>
          <w:sz w:val="20"/>
          <w:szCs w:val="20"/>
        </w:rPr>
        <w:t>beleids</w:t>
      </w:r>
      <w:proofErr w:type="spellEnd"/>
      <w:r w:rsidRPr="003A2011">
        <w:rPr>
          <w:rFonts w:ascii="Verdana" w:hAnsi="Verdana" w:cs="Verdana"/>
          <w:sz w:val="20"/>
          <w:szCs w:val="20"/>
        </w:rPr>
        <w:t>- en bedrijfsvoering</w:t>
      </w:r>
      <w:r w:rsidR="00210224">
        <w:rPr>
          <w:rFonts w:ascii="Verdana" w:hAnsi="Verdana" w:cs="Verdana"/>
          <w:sz w:val="20"/>
          <w:szCs w:val="20"/>
        </w:rPr>
        <w:t xml:space="preserve"> </w:t>
      </w:r>
      <w:r w:rsidRPr="00125107" w:rsidR="00125107">
        <w:rPr>
          <w:rFonts w:ascii="Verdana" w:hAnsi="Verdana"/>
          <w:sz w:val="20"/>
          <w:szCs w:val="20"/>
        </w:rPr>
        <w:t>met het oog op de verantwoording daarover</w:t>
      </w:r>
      <w:r w:rsidR="003A2011">
        <w:rPr>
          <w:rFonts w:ascii="Verdana" w:hAnsi="Verdana"/>
          <w:sz w:val="20"/>
          <w:szCs w:val="20"/>
        </w:rPr>
        <w:t xml:space="preserve">. </w:t>
      </w:r>
      <w:r w:rsidRPr="003A2011">
        <w:rPr>
          <w:rFonts w:ascii="Verdana" w:hAnsi="Verdana" w:cs="Verdana"/>
          <w:sz w:val="20"/>
          <w:szCs w:val="20"/>
        </w:rPr>
        <w:t>Het adequaat</w:t>
      </w:r>
      <w:r w:rsidRPr="00A25EC0">
        <w:rPr>
          <w:rFonts w:ascii="Verdana" w:hAnsi="Verdana" w:cs="Verdana"/>
          <w:sz w:val="20"/>
          <w:szCs w:val="20"/>
        </w:rPr>
        <w:t xml:space="preserve"> afleggen van verantwoording vereist in sommige situaties een verheldering van de verantwoordelijkheden van de betrokken ministers. </w:t>
      </w:r>
    </w:p>
    <w:p w:rsidRPr="00A25EC0" w:rsidR="00BB79A7" w:rsidP="00BB79A7" w:rsidRDefault="00BB79A7">
      <w:pPr>
        <w:spacing w:line="240" w:lineRule="atLeast"/>
        <w:rPr>
          <w:rFonts w:ascii="Verdana" w:hAnsi="Verdana" w:cs="Verdana"/>
          <w:sz w:val="20"/>
          <w:szCs w:val="20"/>
        </w:rPr>
      </w:pPr>
      <w:r w:rsidRPr="00A25EC0">
        <w:rPr>
          <w:rFonts w:ascii="Verdana" w:hAnsi="Verdana" w:cs="Verdana"/>
          <w:sz w:val="20"/>
          <w:szCs w:val="20"/>
        </w:rPr>
        <w:t xml:space="preserve">Over de verrichte handelingen op basis van ministeriële taken en bevoegdheden moet verantwoording worden afgelegd. Om de kwaliteit van die handelingen te waarborgen is het belangrijk om daaraan eisen te stellen. In hoofdstuk 4 worden de normen bepaald die gelden voor de deelprocessen van de beleid- en bedrijfsvoering en voor de informatievoorziening. Om onder andere de kwaliteit (betrouwbaarheid, uniformiteit, vergelijkbaarheid) van informatie in begrotingsstukken te bevorderen, zijn heldere definities nodig. Hoofdstuk </w:t>
      </w:r>
      <w:proofErr w:type="gramStart"/>
      <w:r w:rsidRPr="00A25EC0">
        <w:rPr>
          <w:rFonts w:ascii="Verdana" w:hAnsi="Verdana" w:cs="Verdana"/>
          <w:sz w:val="20"/>
          <w:szCs w:val="20"/>
        </w:rPr>
        <w:t>1</w:t>
      </w:r>
      <w:proofErr w:type="gramEnd"/>
      <w:r w:rsidRPr="00A25EC0">
        <w:rPr>
          <w:rFonts w:ascii="Verdana" w:hAnsi="Verdana" w:cs="Verdana"/>
          <w:sz w:val="20"/>
          <w:szCs w:val="20"/>
        </w:rPr>
        <w:t xml:space="preserve"> bevat definities van de belangrijkste begrippen die in de wet worden gebruikt en biedt tevens een grondslag voor </w:t>
      </w:r>
      <w:r w:rsidR="0087541E">
        <w:rPr>
          <w:rFonts w:ascii="Verdana" w:hAnsi="Verdana" w:cs="Verdana"/>
          <w:sz w:val="20"/>
          <w:szCs w:val="20"/>
        </w:rPr>
        <w:t>het opstellen</w:t>
      </w:r>
      <w:r w:rsidRPr="00A25EC0">
        <w:rPr>
          <w:rFonts w:ascii="Verdana" w:hAnsi="Verdana" w:cs="Verdana"/>
          <w:sz w:val="20"/>
          <w:szCs w:val="20"/>
        </w:rPr>
        <w:t xml:space="preserve"> van een comptabele begrippenlijst. </w:t>
      </w:r>
    </w:p>
    <w:p w:rsidRPr="00A25EC0" w:rsidR="00BB79A7" w:rsidP="00BB79A7" w:rsidRDefault="00BB79A7">
      <w:pPr>
        <w:spacing w:line="240" w:lineRule="atLeast"/>
        <w:rPr>
          <w:rFonts w:ascii="Verdana" w:hAnsi="Verdana" w:cs="Verdana"/>
          <w:sz w:val="20"/>
          <w:szCs w:val="20"/>
        </w:rPr>
      </w:pPr>
    </w:p>
    <w:p w:rsidRPr="00A25EC0" w:rsidR="00BB79A7" w:rsidP="00BB79A7" w:rsidRDefault="00BB79A7">
      <w:pPr>
        <w:spacing w:line="240" w:lineRule="atLeast"/>
        <w:rPr>
          <w:rFonts w:ascii="Verdana" w:hAnsi="Verdana" w:cs="Verdana"/>
          <w:sz w:val="20"/>
          <w:szCs w:val="20"/>
        </w:rPr>
      </w:pPr>
      <w:r w:rsidRPr="00A25EC0">
        <w:rPr>
          <w:rFonts w:ascii="Verdana" w:hAnsi="Verdana" w:cs="Verdana"/>
          <w:sz w:val="20"/>
          <w:szCs w:val="20"/>
        </w:rPr>
        <w:t xml:space="preserve">Verschillende actoren </w:t>
      </w:r>
      <w:proofErr w:type="gramStart"/>
      <w:r w:rsidRPr="00A25EC0">
        <w:rPr>
          <w:rFonts w:ascii="Verdana" w:hAnsi="Verdana" w:cs="Verdana"/>
          <w:sz w:val="20"/>
          <w:szCs w:val="20"/>
        </w:rPr>
        <w:t>spelen</w:t>
      </w:r>
      <w:proofErr w:type="gramEnd"/>
      <w:r w:rsidRPr="00A25EC0">
        <w:rPr>
          <w:rFonts w:ascii="Verdana" w:hAnsi="Verdana" w:cs="Verdana"/>
          <w:sz w:val="20"/>
          <w:szCs w:val="20"/>
        </w:rPr>
        <w:t xml:space="preserve"> een grote rol bij het waarborgen van de betrouwbaarheid van de begrotingsinformatie en de doelmatigheid van de uitvoering van beleid: de financiële functie (hoofdstuk 6), de auditfunctie (hoofdstuk 7) en de Algemene Rekenkamer (hoofdstuk 10). </w:t>
      </w:r>
    </w:p>
    <w:p w:rsidRPr="00A25EC0" w:rsidR="00BB79A7" w:rsidP="00BB79A7" w:rsidRDefault="00BB79A7">
      <w:pPr>
        <w:spacing w:line="240" w:lineRule="atLeast"/>
        <w:rPr>
          <w:rFonts w:ascii="Verdana" w:hAnsi="Verdana" w:cs="Verdana"/>
          <w:sz w:val="20"/>
          <w:szCs w:val="20"/>
        </w:rPr>
      </w:pPr>
    </w:p>
    <w:p w:rsidRPr="00A25EC0" w:rsidR="007A0B3E" w:rsidRDefault="00BB79A7">
      <w:pPr>
        <w:rPr>
          <w:rFonts w:ascii="Verdana" w:hAnsi="Verdana" w:cs="Arial"/>
          <w:sz w:val="20"/>
          <w:szCs w:val="20"/>
        </w:rPr>
      </w:pPr>
      <w:r w:rsidRPr="00A25EC0">
        <w:rPr>
          <w:rFonts w:ascii="Verdana" w:hAnsi="Verdana" w:cs="Verdana"/>
          <w:sz w:val="20"/>
          <w:szCs w:val="20"/>
        </w:rPr>
        <w:t xml:space="preserve">Hoofdstuk 9 bevat kaderbepalingen voor het toezicht van de ministers op de taakuitoefening en de besteding van begrotingsmiddelen door derden, bijvoorbeeld door rechtspersonen met een wettelijke taak. Tot slot is het belangrijk dat publieke middelen goed – professioneel en </w:t>
      </w:r>
      <w:r w:rsidRPr="00A25EC0" w:rsidR="00C84D0A">
        <w:rPr>
          <w:rFonts w:ascii="Verdana" w:hAnsi="Verdana" w:cs="Verdana"/>
          <w:sz w:val="20"/>
          <w:szCs w:val="20"/>
        </w:rPr>
        <w:t>risicoarm</w:t>
      </w:r>
      <w:r w:rsidRPr="00A25EC0">
        <w:rPr>
          <w:rFonts w:ascii="Verdana" w:hAnsi="Verdana" w:cs="Verdana"/>
          <w:sz w:val="20"/>
          <w:szCs w:val="20"/>
        </w:rPr>
        <w:t xml:space="preserve"> - worden beheerd. Om die reden is in 2002 het schatkistbankieren met publieke middelen die buiten de rijksdienst worden aangehouden geïntroduceerd. Dit onderwerp keert in de nieuwe Comptabiliteitswet uiteraard ook terug en wel in hoofdstuk 8. Het verplicht schatkistbankieren door de decentrale overheden wordt niet in de Comptabiliteitswet geregeld. Hiervoor is </w:t>
      </w:r>
      <w:proofErr w:type="gramStart"/>
      <w:r w:rsidRPr="00A25EC0">
        <w:rPr>
          <w:rFonts w:ascii="Verdana" w:hAnsi="Verdana" w:cs="Verdana"/>
          <w:sz w:val="20"/>
          <w:szCs w:val="20"/>
        </w:rPr>
        <w:t>inmiddels</w:t>
      </w:r>
      <w:proofErr w:type="gramEnd"/>
      <w:r w:rsidRPr="00A25EC0">
        <w:rPr>
          <w:rFonts w:ascii="Verdana" w:hAnsi="Verdana" w:cs="Verdana"/>
          <w:sz w:val="20"/>
          <w:szCs w:val="20"/>
        </w:rPr>
        <w:t xml:space="preserve"> een wetswijziging van de Wet financiën decentrale overheden (Wet Fido) bij de Tweede kamer ingediend.</w:t>
      </w:r>
      <w:r w:rsidRPr="00A25EC0">
        <w:rPr>
          <w:rStyle w:val="Voetnootmarkering"/>
          <w:rFonts w:ascii="Verdana" w:hAnsi="Verdana" w:cs="Verdana"/>
          <w:sz w:val="20"/>
          <w:szCs w:val="20"/>
        </w:rPr>
        <w:footnoteReference w:id="4"/>
      </w:r>
      <w:r w:rsidRPr="00A25EC0">
        <w:rPr>
          <w:rFonts w:ascii="Verdana" w:hAnsi="Verdana" w:cs="Verdana"/>
          <w:sz w:val="20"/>
          <w:szCs w:val="20"/>
        </w:rPr>
        <w:br/>
      </w:r>
    </w:p>
    <w:p w:rsidRPr="00A25EC0" w:rsidR="000F3892" w:rsidP="000F3892" w:rsidRDefault="000F3892">
      <w:pPr>
        <w:rPr>
          <w:rFonts w:ascii="Verdana" w:hAnsi="Verdana" w:cs="Verdana"/>
          <w:sz w:val="20"/>
          <w:szCs w:val="20"/>
          <w:u w:val="single"/>
        </w:rPr>
      </w:pPr>
      <w:r w:rsidRPr="00A25EC0">
        <w:rPr>
          <w:rFonts w:ascii="Verdana" w:hAnsi="Verdana" w:cs="Verdana"/>
          <w:sz w:val="20"/>
          <w:szCs w:val="20"/>
          <w:u w:val="single"/>
        </w:rPr>
        <w:t>6. Voorgestelde wijzigingen</w:t>
      </w:r>
    </w:p>
    <w:p w:rsidRPr="00A25EC0" w:rsidR="00DC2325" w:rsidP="000F3892" w:rsidRDefault="00DC2325">
      <w:pPr>
        <w:rPr>
          <w:rFonts w:ascii="Verdana" w:hAnsi="Verdana" w:cs="Verdana"/>
          <w:sz w:val="20"/>
          <w:szCs w:val="20"/>
        </w:rPr>
      </w:pPr>
    </w:p>
    <w:p w:rsidRPr="00A25EC0" w:rsidR="00DC2325" w:rsidP="000F3892" w:rsidRDefault="000F3892">
      <w:pPr>
        <w:rPr>
          <w:rFonts w:ascii="Verdana" w:hAnsi="Verdana" w:cs="Verdana"/>
          <w:sz w:val="20"/>
          <w:szCs w:val="20"/>
        </w:rPr>
      </w:pPr>
      <w:r w:rsidRPr="00A25EC0">
        <w:rPr>
          <w:rFonts w:ascii="Verdana" w:hAnsi="Verdana" w:cs="Verdana"/>
          <w:sz w:val="20"/>
          <w:szCs w:val="20"/>
        </w:rPr>
        <w:t xml:space="preserve">In het kader van de herziening van de Comptabiliteitswet </w:t>
      </w:r>
      <w:r w:rsidRPr="00A25EC0" w:rsidR="00EA1F8A">
        <w:rPr>
          <w:rFonts w:ascii="Verdana" w:hAnsi="Verdana" w:cs="Verdana"/>
          <w:sz w:val="20"/>
          <w:szCs w:val="20"/>
        </w:rPr>
        <w:t>wordt</w:t>
      </w:r>
      <w:r w:rsidRPr="00A25EC0">
        <w:rPr>
          <w:rFonts w:ascii="Verdana" w:hAnsi="Verdana" w:cs="Verdana"/>
          <w:sz w:val="20"/>
          <w:szCs w:val="20"/>
        </w:rPr>
        <w:t xml:space="preserve"> een aantal wijzigingen voorgesteld. De wijzigingen worden hieronder nader toegelicht. </w:t>
      </w:r>
    </w:p>
    <w:p w:rsidRPr="00A25EC0" w:rsidR="000F3892" w:rsidRDefault="000F3892">
      <w:pPr>
        <w:outlineLvl w:val="0"/>
        <w:rPr>
          <w:rFonts w:ascii="Verdana" w:hAnsi="Verdana" w:cs="Verdana"/>
          <w:sz w:val="20"/>
          <w:szCs w:val="20"/>
        </w:rPr>
      </w:pPr>
    </w:p>
    <w:p w:rsidRPr="00A25EC0" w:rsidR="00A45B97" w:rsidRDefault="00A45B97">
      <w:pPr>
        <w:outlineLvl w:val="0"/>
        <w:rPr>
          <w:rFonts w:ascii="Verdana" w:hAnsi="Verdana" w:cs="Verdana"/>
          <w:i/>
          <w:iCs/>
          <w:sz w:val="20"/>
          <w:szCs w:val="20"/>
        </w:rPr>
      </w:pPr>
      <w:r w:rsidRPr="00A25EC0">
        <w:rPr>
          <w:rFonts w:ascii="Verdana" w:hAnsi="Verdana" w:cs="Verdana"/>
          <w:i/>
          <w:iCs/>
          <w:sz w:val="20"/>
          <w:szCs w:val="20"/>
        </w:rPr>
        <w:t xml:space="preserve">Versterking budgetrecht </w:t>
      </w:r>
    </w:p>
    <w:p w:rsidRPr="00A25EC0" w:rsidR="00DC2325" w:rsidP="00DC2325" w:rsidRDefault="00A45B97">
      <w:pPr>
        <w:outlineLvl w:val="0"/>
        <w:rPr>
          <w:rFonts w:ascii="Verdana" w:hAnsi="Verdana" w:cs="Verdana"/>
          <w:sz w:val="20"/>
          <w:szCs w:val="20"/>
        </w:rPr>
      </w:pPr>
      <w:r w:rsidRPr="00A25EC0">
        <w:rPr>
          <w:rFonts w:ascii="Verdana" w:hAnsi="Verdana" w:cs="Verdana"/>
          <w:sz w:val="20"/>
          <w:szCs w:val="20"/>
        </w:rPr>
        <w:t>De belangrijkste functie van de Comptabiliteitswet is -</w:t>
      </w:r>
      <w:r w:rsidR="00C84D0A">
        <w:rPr>
          <w:rFonts w:ascii="Verdana" w:hAnsi="Verdana" w:cs="Verdana"/>
          <w:sz w:val="20"/>
          <w:szCs w:val="20"/>
        </w:rPr>
        <w:t xml:space="preserve"> </w:t>
      </w:r>
      <w:r w:rsidRPr="00A25EC0">
        <w:rPr>
          <w:rFonts w:ascii="Verdana" w:hAnsi="Verdana" w:cs="Verdana"/>
          <w:sz w:val="20"/>
          <w:szCs w:val="20"/>
        </w:rPr>
        <w:t>zoals eerder gesteld</w:t>
      </w:r>
      <w:r w:rsidR="00C84D0A">
        <w:rPr>
          <w:rFonts w:ascii="Verdana" w:hAnsi="Verdana" w:cs="Verdana"/>
          <w:sz w:val="20"/>
          <w:szCs w:val="20"/>
        </w:rPr>
        <w:t xml:space="preserve"> </w:t>
      </w:r>
      <w:r w:rsidRPr="00A25EC0" w:rsidR="00297620">
        <w:rPr>
          <w:rFonts w:ascii="Verdana" w:hAnsi="Verdana" w:cs="Verdana"/>
          <w:sz w:val="20"/>
          <w:szCs w:val="20"/>
        </w:rPr>
        <w:t>-</w:t>
      </w:r>
      <w:r w:rsidRPr="00A25EC0">
        <w:rPr>
          <w:rFonts w:ascii="Verdana" w:hAnsi="Verdana" w:cs="Verdana"/>
          <w:sz w:val="20"/>
          <w:szCs w:val="20"/>
        </w:rPr>
        <w:t xml:space="preserve"> het </w:t>
      </w:r>
      <w:r w:rsidRPr="00A25EC0" w:rsidR="002E463B">
        <w:rPr>
          <w:rFonts w:ascii="Verdana" w:hAnsi="Verdana" w:cs="Verdana"/>
          <w:sz w:val="20"/>
          <w:szCs w:val="20"/>
        </w:rPr>
        <w:t>waarborgen</w:t>
      </w:r>
      <w:r w:rsidRPr="00A25EC0">
        <w:rPr>
          <w:rFonts w:ascii="Verdana" w:hAnsi="Verdana" w:cs="Verdana"/>
          <w:sz w:val="20"/>
          <w:szCs w:val="20"/>
        </w:rPr>
        <w:t xml:space="preserve"> van het budgetrecht</w:t>
      </w:r>
      <w:r w:rsidRPr="00A25EC0" w:rsidR="00DC2325">
        <w:rPr>
          <w:rFonts w:ascii="Verdana" w:hAnsi="Verdana" w:cs="Verdana"/>
          <w:sz w:val="20"/>
          <w:szCs w:val="20"/>
        </w:rPr>
        <w:t xml:space="preserve"> ten aanzien van de r</w:t>
      </w:r>
      <w:r w:rsidRPr="00A25EC0" w:rsidR="004F2E94">
        <w:rPr>
          <w:rFonts w:ascii="Verdana" w:hAnsi="Verdana" w:cs="Verdana"/>
          <w:sz w:val="20"/>
          <w:szCs w:val="20"/>
        </w:rPr>
        <w:t>ijksbegroting</w:t>
      </w:r>
      <w:r w:rsidRPr="00A25EC0">
        <w:rPr>
          <w:rFonts w:ascii="Verdana" w:hAnsi="Verdana" w:cs="Verdana"/>
          <w:sz w:val="20"/>
          <w:szCs w:val="20"/>
        </w:rPr>
        <w:t>.</w:t>
      </w:r>
      <w:r w:rsidRPr="00A25EC0" w:rsidR="004F2E94">
        <w:rPr>
          <w:rFonts w:ascii="Verdana" w:hAnsi="Verdana" w:cs="Verdana"/>
          <w:sz w:val="20"/>
          <w:szCs w:val="20"/>
        </w:rPr>
        <w:t xml:space="preserve"> </w:t>
      </w:r>
      <w:r w:rsidRPr="00A25EC0" w:rsidR="00DC2325">
        <w:rPr>
          <w:rFonts w:ascii="Verdana" w:hAnsi="Verdana" w:cs="Verdana"/>
          <w:sz w:val="20"/>
          <w:szCs w:val="20"/>
        </w:rPr>
        <w:t xml:space="preserve">De rijksbegroting wordt primair gefinancierd uit algemene middelen: de rijksbelastingen. Belastingen worden als algemene middelen aangemerkt, aangezien er vooraf geen specifieke bestemming bestaat voor de besteding van deze middelen. De besteding van deze middelen loopt via de begrotingen van de diverse ministers. Om die reden is in de geschiedenis van het parlementaire stelsel het vooraf goedkeuren van de begrotingsuitgaven door het parlement ontwikkeld tot essentieel tegenwicht van de belastingheffing. Het parlement is op die manier nadrukkelijk betrokken bij het geven van </w:t>
      </w:r>
      <w:r w:rsidR="00210224">
        <w:rPr>
          <w:rFonts w:ascii="Verdana" w:hAnsi="Verdana" w:cs="Verdana"/>
          <w:sz w:val="20"/>
          <w:szCs w:val="20"/>
        </w:rPr>
        <w:t xml:space="preserve">een bestemming aan de </w:t>
      </w:r>
      <w:r w:rsidRPr="00A25EC0" w:rsidR="00DC2325">
        <w:rPr>
          <w:rFonts w:ascii="Verdana" w:hAnsi="Verdana" w:cs="Verdana"/>
          <w:sz w:val="20"/>
          <w:szCs w:val="20"/>
        </w:rPr>
        <w:t>algemene middelen.</w:t>
      </w:r>
    </w:p>
    <w:p w:rsidRPr="00A25EC0" w:rsidR="004F2E94" w:rsidRDefault="004F2E94">
      <w:pPr>
        <w:outlineLvl w:val="0"/>
        <w:rPr>
          <w:rFonts w:ascii="Verdana" w:hAnsi="Verdana" w:cs="Verdana"/>
          <w:sz w:val="20"/>
          <w:szCs w:val="20"/>
        </w:rPr>
      </w:pPr>
    </w:p>
    <w:p w:rsidRPr="00A25EC0" w:rsidR="00A45B97" w:rsidRDefault="00A45B97">
      <w:pPr>
        <w:outlineLvl w:val="0"/>
        <w:rPr>
          <w:rFonts w:ascii="Verdana" w:hAnsi="Verdana" w:cs="Verdana"/>
          <w:sz w:val="20"/>
          <w:szCs w:val="20"/>
        </w:rPr>
      </w:pPr>
      <w:r w:rsidRPr="00A25EC0">
        <w:rPr>
          <w:rFonts w:ascii="Verdana" w:hAnsi="Verdana" w:cs="Verdana"/>
          <w:sz w:val="20"/>
          <w:szCs w:val="20"/>
        </w:rPr>
        <w:t xml:space="preserve">In de afgelopen jaren zijn discussies gevoerd over de mogelijkheden van het versterken van het budgetrecht. In de zesde wijziging van de Comptabiliteitswet </w:t>
      </w:r>
      <w:r w:rsidR="00210224">
        <w:rPr>
          <w:rFonts w:ascii="Verdana" w:hAnsi="Verdana" w:cs="Verdana"/>
          <w:sz w:val="20"/>
          <w:szCs w:val="20"/>
        </w:rPr>
        <w:t xml:space="preserve">2001 </w:t>
      </w:r>
      <w:r w:rsidRPr="00A25EC0">
        <w:rPr>
          <w:rFonts w:ascii="Verdana" w:hAnsi="Verdana" w:cs="Verdana"/>
          <w:sz w:val="20"/>
          <w:szCs w:val="20"/>
        </w:rPr>
        <w:t xml:space="preserve">– die naar verwachting </w:t>
      </w:r>
      <w:r w:rsidR="008657EE">
        <w:rPr>
          <w:rFonts w:ascii="Verdana" w:hAnsi="Verdana" w:cs="Verdana"/>
          <w:sz w:val="20"/>
          <w:szCs w:val="20"/>
        </w:rPr>
        <w:t>dit najaar</w:t>
      </w:r>
      <w:r w:rsidRPr="00A25EC0">
        <w:rPr>
          <w:rFonts w:ascii="Verdana" w:hAnsi="Verdana" w:cs="Verdana"/>
          <w:sz w:val="20"/>
          <w:szCs w:val="20"/>
        </w:rPr>
        <w:t xml:space="preserve"> wordt ingediend bij uw Kamer - worden twee voorstellen gedaan om het budgetrecht te versterken. Ten eerste de procedure van de vooruitlopende begrotingsinformatie. Met deze procedure wordt beoogd de Kamer in spoedeisende situaties zo snel mogelijk te informeren over de budgettaire gevolgen van besluiten </w:t>
      </w:r>
      <w:r w:rsidR="00210224">
        <w:rPr>
          <w:rFonts w:ascii="Verdana" w:hAnsi="Verdana" w:cs="Verdana"/>
          <w:sz w:val="20"/>
          <w:szCs w:val="20"/>
        </w:rPr>
        <w:t>die</w:t>
      </w:r>
      <w:r w:rsidRPr="00A25EC0" w:rsidR="00210224">
        <w:rPr>
          <w:rFonts w:ascii="Verdana" w:hAnsi="Verdana" w:cs="Verdana"/>
          <w:sz w:val="20"/>
          <w:szCs w:val="20"/>
        </w:rPr>
        <w:t xml:space="preserve"> </w:t>
      </w:r>
      <w:r w:rsidRPr="00A25EC0">
        <w:rPr>
          <w:rFonts w:ascii="Verdana" w:hAnsi="Verdana" w:cs="Verdana"/>
          <w:sz w:val="20"/>
          <w:szCs w:val="20"/>
        </w:rPr>
        <w:t>nog niet in een goedgekeurde begroting zijn voorzien</w:t>
      </w:r>
      <w:r w:rsidR="007F2173">
        <w:rPr>
          <w:rStyle w:val="Voetnootmarkering"/>
          <w:rFonts w:ascii="Verdana" w:hAnsi="Verdana" w:cs="Verdana"/>
          <w:sz w:val="20"/>
          <w:szCs w:val="20"/>
        </w:rPr>
        <w:footnoteReference w:id="5"/>
      </w:r>
      <w:r w:rsidRPr="00A25EC0">
        <w:rPr>
          <w:rFonts w:ascii="Verdana" w:hAnsi="Verdana" w:cs="Verdana"/>
          <w:sz w:val="20"/>
          <w:szCs w:val="20"/>
        </w:rPr>
        <w:t xml:space="preserve">. Uiteraard moet naast deze vooruitlopende </w:t>
      </w:r>
      <w:r w:rsidR="00152D83">
        <w:rPr>
          <w:rFonts w:ascii="Verdana" w:hAnsi="Verdana" w:cs="Verdana"/>
          <w:sz w:val="20"/>
          <w:szCs w:val="20"/>
        </w:rPr>
        <w:t xml:space="preserve">begrotingsinformatie altijd tevens </w:t>
      </w:r>
      <w:r w:rsidRPr="00A25EC0">
        <w:rPr>
          <w:rFonts w:ascii="Verdana" w:hAnsi="Verdana" w:cs="Verdana"/>
          <w:sz w:val="20"/>
          <w:szCs w:val="20"/>
        </w:rPr>
        <w:t>formele begrotingsautorisati</w:t>
      </w:r>
      <w:r w:rsidR="00152D83">
        <w:rPr>
          <w:rFonts w:ascii="Verdana" w:hAnsi="Verdana" w:cs="Verdana"/>
          <w:sz w:val="20"/>
          <w:szCs w:val="20"/>
        </w:rPr>
        <w:t xml:space="preserve">e plaatsvinden via een </w:t>
      </w:r>
      <w:r w:rsidRPr="00A25EC0">
        <w:rPr>
          <w:rFonts w:ascii="Verdana" w:hAnsi="Verdana" w:cs="Verdana"/>
          <w:sz w:val="20"/>
          <w:szCs w:val="20"/>
        </w:rPr>
        <w:t>aangepaste begrotingswet (suppletoire begroting). Verder wordt de zogenoemde voorhangprocedure verbreed</w:t>
      </w:r>
      <w:r w:rsidRPr="00A25EC0" w:rsidR="00297620">
        <w:rPr>
          <w:rFonts w:ascii="Verdana" w:hAnsi="Verdana" w:cs="Verdana"/>
          <w:sz w:val="20"/>
          <w:szCs w:val="20"/>
        </w:rPr>
        <w:t>. Het</w:t>
      </w:r>
      <w:r w:rsidRPr="00A25EC0">
        <w:rPr>
          <w:rFonts w:ascii="Verdana" w:hAnsi="Verdana" w:cs="Verdana"/>
          <w:sz w:val="20"/>
          <w:szCs w:val="20"/>
        </w:rPr>
        <w:t xml:space="preserve"> gevolg is dat de Kamer in méér gevallen vóóraf betrokken wordt bij vormen van kapitaalsverschaffing aan overheidsdeelnemingen.</w:t>
      </w:r>
      <w:r w:rsidRPr="00A25EC0" w:rsidR="00297620">
        <w:rPr>
          <w:rFonts w:ascii="Verdana" w:hAnsi="Verdana" w:cs="Verdana"/>
          <w:sz w:val="20"/>
          <w:szCs w:val="20"/>
        </w:rPr>
        <w:t xml:space="preserve"> Deze wijzigingen zullen vanzelfsprekend daarna in de nieuwe Comptabiliteitswet worden gehandhaafd.</w:t>
      </w:r>
    </w:p>
    <w:p w:rsidRPr="00A25EC0" w:rsidR="00A45B97" w:rsidRDefault="00A45B97">
      <w:pPr>
        <w:outlineLvl w:val="0"/>
        <w:rPr>
          <w:rFonts w:ascii="Verdana" w:hAnsi="Verdana" w:cs="Verdana"/>
          <w:sz w:val="20"/>
          <w:szCs w:val="20"/>
        </w:rPr>
      </w:pPr>
    </w:p>
    <w:p w:rsidR="008657EE" w:rsidRDefault="008657EE">
      <w:pPr>
        <w:outlineLvl w:val="0"/>
        <w:rPr>
          <w:rFonts w:ascii="Verdana" w:hAnsi="Verdana" w:cs="Verdana"/>
          <w:sz w:val="20"/>
          <w:szCs w:val="20"/>
        </w:rPr>
      </w:pPr>
      <w:r w:rsidRPr="00A25EC0">
        <w:rPr>
          <w:rFonts w:ascii="Verdana" w:hAnsi="Verdana" w:cs="Verdana"/>
          <w:sz w:val="20"/>
          <w:szCs w:val="20"/>
        </w:rPr>
        <w:t>In de huidige Comptabiliteitswet is de hoofdregel dat begrotingswetten in beginsel voor de start van het nieuwe kalenderjaar moeten worden vastgesteld niet expliciet geregeld. Er is in artikel 23 van de Comptabiliteitswet alleen een uitzonderingsregime opgenomen. Dit houdt in dat wanneer een begroting niet tijdig wordt vastgesteld–dus niet vóór 1 januari van het jaar waarop de begroting van toepassing is – er een beperkt regime gaat gelden (zogenaamde ‘4/12 regeling’). Vanuit de functie van het budgetrecht – autorisatie vooraf van de begrotingsuitgaven – zou een dergelijk uitzonderingsregime ook echt als uitzondering moeten gelden. In algemene zin geldt dat tijdige vaststelling van de begroting leidt tot een versterking van de functie van het budgetrecht. Daarbij komt dat in EU-verband verordeningen van kracht worden</w:t>
      </w:r>
      <w:r w:rsidRPr="00A25EC0">
        <w:rPr>
          <w:rStyle w:val="Voetnootmarkering"/>
          <w:rFonts w:ascii="Verdana" w:hAnsi="Verdana" w:cs="Verdana"/>
          <w:sz w:val="20"/>
          <w:szCs w:val="20"/>
        </w:rPr>
        <w:footnoteReference w:id="6"/>
      </w:r>
      <w:r w:rsidRPr="00A25EC0">
        <w:rPr>
          <w:rFonts w:ascii="Verdana" w:hAnsi="Verdana" w:cs="Verdana"/>
          <w:sz w:val="20"/>
          <w:szCs w:val="20"/>
        </w:rPr>
        <w:t xml:space="preserve"> die eveneens – uitzonderingen daargelaten – uitgaan van een vaststelling van de begroting vóór 1 januari. Alles afwegende is dan ook het voorstel om de hoofdregel explicieter dan voorheen in de nieuwe Comptabiliteitswet op te nemen. </w:t>
      </w:r>
    </w:p>
    <w:p w:rsidR="008657EE" w:rsidRDefault="008657EE">
      <w:pPr>
        <w:outlineLvl w:val="0"/>
        <w:rPr>
          <w:rFonts w:ascii="Verdana" w:hAnsi="Verdana" w:cs="Verdana"/>
          <w:sz w:val="20"/>
          <w:szCs w:val="20"/>
        </w:rPr>
      </w:pPr>
    </w:p>
    <w:p w:rsidRPr="00A25EC0" w:rsidR="00A45B97" w:rsidRDefault="00A45B97">
      <w:pPr>
        <w:outlineLvl w:val="0"/>
        <w:rPr>
          <w:rFonts w:ascii="Verdana" w:hAnsi="Verdana" w:cs="Verdana"/>
          <w:i/>
          <w:iCs/>
          <w:sz w:val="20"/>
          <w:szCs w:val="20"/>
        </w:rPr>
      </w:pPr>
      <w:r w:rsidRPr="00A25EC0">
        <w:rPr>
          <w:rFonts w:ascii="Verdana" w:hAnsi="Verdana" w:cs="Verdana"/>
          <w:sz w:val="20"/>
          <w:szCs w:val="20"/>
        </w:rPr>
        <w:t xml:space="preserve">In de nieuwe Comptabiliteitswet is het uitgangspunt om de bepalingen over autorisatie van de begroting en </w:t>
      </w:r>
      <w:r w:rsidRPr="00A25EC0" w:rsidR="00297620">
        <w:rPr>
          <w:rFonts w:ascii="Verdana" w:hAnsi="Verdana" w:cs="Verdana"/>
          <w:sz w:val="20"/>
          <w:szCs w:val="20"/>
        </w:rPr>
        <w:t xml:space="preserve">de </w:t>
      </w:r>
      <w:r w:rsidRPr="00A25EC0">
        <w:rPr>
          <w:rFonts w:ascii="Verdana" w:hAnsi="Verdana" w:cs="Verdana"/>
          <w:sz w:val="20"/>
          <w:szCs w:val="20"/>
        </w:rPr>
        <w:t>dechargeverlening door de Staten-Generaal in één hoofdstuk op te nemen. Als hoofdregel wordt opgenomen dat de Kamers der Staten-Generaal over de begrotingswetten – al dan niet gewijzigd door amendementen - vóór 1 januar</w:t>
      </w:r>
      <w:r w:rsidR="00152D83">
        <w:rPr>
          <w:rFonts w:ascii="Verdana" w:hAnsi="Verdana" w:cs="Verdana"/>
          <w:sz w:val="20"/>
          <w:szCs w:val="20"/>
        </w:rPr>
        <w:t>i van het begrotingsjaar vast te stellen</w:t>
      </w:r>
      <w:r w:rsidRPr="00A25EC0">
        <w:rPr>
          <w:rFonts w:ascii="Verdana" w:hAnsi="Verdana" w:cs="Verdana"/>
          <w:sz w:val="20"/>
          <w:szCs w:val="20"/>
        </w:rPr>
        <w:t xml:space="preserve">. Als dat niet lukt, </w:t>
      </w:r>
      <w:r w:rsidRPr="00A25EC0" w:rsidR="00297620">
        <w:rPr>
          <w:rFonts w:ascii="Verdana" w:hAnsi="Verdana" w:cs="Verdana"/>
          <w:sz w:val="20"/>
          <w:szCs w:val="20"/>
        </w:rPr>
        <w:t xml:space="preserve">geldt de bepaling </w:t>
      </w:r>
      <w:r w:rsidRPr="00A25EC0">
        <w:rPr>
          <w:rFonts w:ascii="Verdana" w:hAnsi="Verdana" w:cs="Verdana"/>
          <w:sz w:val="20"/>
          <w:szCs w:val="20"/>
        </w:rPr>
        <w:t xml:space="preserve">dat de uitvoering van de begroting </w:t>
      </w:r>
      <w:r w:rsidRPr="002D2239">
        <w:rPr>
          <w:rFonts w:ascii="Verdana" w:hAnsi="Verdana" w:cs="Verdana"/>
          <w:i/>
          <w:sz w:val="20"/>
          <w:szCs w:val="20"/>
        </w:rPr>
        <w:t xml:space="preserve">terughoudend </w:t>
      </w:r>
      <w:r w:rsidRPr="00A25EC0">
        <w:rPr>
          <w:rFonts w:ascii="Verdana" w:hAnsi="Verdana" w:cs="Verdana"/>
          <w:sz w:val="20"/>
          <w:szCs w:val="20"/>
        </w:rPr>
        <w:t xml:space="preserve">dient plaats te vinden. Nieuw beleid </w:t>
      </w:r>
      <w:proofErr w:type="gramStart"/>
      <w:r w:rsidRPr="007E0DE3" w:rsidR="006C45EC">
        <w:rPr>
          <w:rFonts w:ascii="Verdana" w:hAnsi="Verdana" w:cs="Verdana"/>
          <w:sz w:val="20"/>
          <w:szCs w:val="20"/>
        </w:rPr>
        <w:t xml:space="preserve">dat </w:t>
      </w:r>
      <w:r w:rsidR="007E0DE3">
        <w:rPr>
          <w:rFonts w:ascii="Verdana" w:hAnsi="Verdana" w:cs="Verdana"/>
          <w:sz w:val="20"/>
          <w:szCs w:val="20"/>
        </w:rPr>
        <w:t xml:space="preserve"> </w:t>
      </w:r>
      <w:proofErr w:type="gramEnd"/>
      <w:r w:rsidRPr="007E0DE3" w:rsidR="007E0DE3">
        <w:rPr>
          <w:rFonts w:ascii="Verdana" w:hAnsi="Verdana" w:cs="Verdana"/>
          <w:sz w:val="20"/>
          <w:szCs w:val="20"/>
        </w:rPr>
        <w:t>in</w:t>
      </w:r>
      <w:r w:rsidRPr="007E0DE3" w:rsidR="00A84D66">
        <w:rPr>
          <w:rFonts w:ascii="Verdana" w:hAnsi="Verdana" w:cs="Verdana"/>
          <w:sz w:val="20"/>
          <w:szCs w:val="20"/>
        </w:rPr>
        <w:t xml:space="preserve"> de </w:t>
      </w:r>
      <w:r w:rsidRPr="007E0DE3" w:rsidR="007E0DE3">
        <w:rPr>
          <w:rFonts w:ascii="Verdana" w:hAnsi="Verdana" w:cs="Verdana"/>
          <w:sz w:val="20"/>
          <w:szCs w:val="20"/>
        </w:rPr>
        <w:t>ontwerp</w:t>
      </w:r>
      <w:r w:rsidRPr="007E0DE3" w:rsidR="00A84D66">
        <w:rPr>
          <w:rFonts w:ascii="Verdana" w:hAnsi="Verdana" w:cs="Verdana"/>
          <w:sz w:val="20"/>
          <w:szCs w:val="20"/>
        </w:rPr>
        <w:t>begroting</w:t>
      </w:r>
      <w:r w:rsidRPr="007E0DE3" w:rsidR="007E0DE3">
        <w:rPr>
          <w:rFonts w:ascii="Verdana" w:hAnsi="Verdana" w:cs="Verdana"/>
          <w:sz w:val="20"/>
          <w:szCs w:val="20"/>
        </w:rPr>
        <w:t xml:space="preserve"> is opgenomen</w:t>
      </w:r>
      <w:r w:rsidRPr="007E0DE3" w:rsidR="006C45EC">
        <w:rPr>
          <w:rFonts w:ascii="Verdana" w:hAnsi="Verdana" w:cs="Verdana"/>
          <w:sz w:val="20"/>
          <w:szCs w:val="20"/>
        </w:rPr>
        <w:t xml:space="preserve">, </w:t>
      </w:r>
      <w:r w:rsidRPr="007E0DE3" w:rsidR="007E0DE3">
        <w:rPr>
          <w:rFonts w:ascii="Verdana" w:hAnsi="Verdana" w:cs="Verdana"/>
          <w:sz w:val="20"/>
          <w:szCs w:val="20"/>
        </w:rPr>
        <w:t>mag</w:t>
      </w:r>
      <w:r w:rsidRPr="007E0DE3" w:rsidR="00297620">
        <w:rPr>
          <w:rFonts w:ascii="Verdana" w:hAnsi="Verdana" w:cs="Verdana"/>
          <w:sz w:val="20"/>
          <w:szCs w:val="20"/>
        </w:rPr>
        <w:t xml:space="preserve"> </w:t>
      </w:r>
      <w:r w:rsidRPr="007E0DE3">
        <w:rPr>
          <w:rFonts w:ascii="Verdana" w:hAnsi="Verdana" w:cs="Verdana"/>
          <w:sz w:val="20"/>
          <w:szCs w:val="20"/>
        </w:rPr>
        <w:t xml:space="preserve">nog niet </w:t>
      </w:r>
      <w:r w:rsidRPr="007E0DE3" w:rsidR="00297620">
        <w:rPr>
          <w:rFonts w:ascii="Verdana" w:hAnsi="Verdana" w:cs="Verdana"/>
          <w:sz w:val="20"/>
          <w:szCs w:val="20"/>
        </w:rPr>
        <w:t>worden uitgevoerd</w:t>
      </w:r>
      <w:r w:rsidR="007E0DE3">
        <w:rPr>
          <w:rFonts w:ascii="Verdana" w:hAnsi="Verdana" w:cs="Verdana"/>
          <w:sz w:val="20"/>
          <w:szCs w:val="20"/>
        </w:rPr>
        <w:t>,</w:t>
      </w:r>
      <w:r w:rsidR="008657EE">
        <w:rPr>
          <w:rFonts w:ascii="Verdana" w:hAnsi="Verdana" w:cs="Verdana"/>
          <w:sz w:val="20"/>
          <w:szCs w:val="20"/>
        </w:rPr>
        <w:t xml:space="preserve"> </w:t>
      </w:r>
      <w:r w:rsidR="007E0DE3">
        <w:rPr>
          <w:rFonts w:ascii="Verdana" w:hAnsi="Verdana" w:cs="Verdana"/>
          <w:sz w:val="20"/>
          <w:szCs w:val="20"/>
        </w:rPr>
        <w:t>zolang de begrotingswet niet door beide Kamers is aangenomen</w:t>
      </w:r>
      <w:r w:rsidRPr="00A25EC0">
        <w:rPr>
          <w:rFonts w:ascii="Verdana" w:hAnsi="Verdana" w:cs="Verdana"/>
          <w:i/>
          <w:iCs/>
          <w:sz w:val="20"/>
          <w:szCs w:val="20"/>
        </w:rPr>
        <w:t xml:space="preserve">. </w:t>
      </w:r>
      <w:r w:rsidRPr="002D2239" w:rsidR="002D2239">
        <w:rPr>
          <w:rFonts w:ascii="Verdana" w:hAnsi="Verdana" w:cs="Verdana"/>
          <w:iCs/>
          <w:sz w:val="20"/>
          <w:szCs w:val="20"/>
        </w:rPr>
        <w:t>Nieuw beleid dat al aan de Kamer is gemeld in een afzonderlijke beleidsnota of brief mag wel in uitvoering worden genomen.</w:t>
      </w:r>
      <w:r w:rsidR="002D2239">
        <w:rPr>
          <w:rFonts w:ascii="Verdana" w:hAnsi="Verdana" w:cs="Verdana"/>
          <w:i/>
          <w:iCs/>
          <w:sz w:val="20"/>
          <w:szCs w:val="20"/>
        </w:rPr>
        <w:t xml:space="preserve"> </w:t>
      </w:r>
      <w:r w:rsidRPr="00A25EC0">
        <w:rPr>
          <w:rFonts w:ascii="Verdana" w:hAnsi="Verdana" w:cs="Verdana"/>
          <w:sz w:val="20"/>
          <w:szCs w:val="20"/>
        </w:rPr>
        <w:t>Deze werkwijze was overigens al in een brief vastgelegd</w:t>
      </w:r>
      <w:r w:rsidRPr="00A25EC0" w:rsidR="00EB0BCD">
        <w:rPr>
          <w:rStyle w:val="Voetnootmarkering"/>
          <w:rFonts w:ascii="Verdana" w:hAnsi="Verdana" w:cs="Verdana"/>
          <w:sz w:val="20"/>
          <w:szCs w:val="20"/>
        </w:rPr>
        <w:footnoteReference w:id="7"/>
      </w:r>
      <w:r w:rsidR="00225B7B">
        <w:rPr>
          <w:rFonts w:ascii="Verdana" w:hAnsi="Verdana" w:cs="Verdana"/>
          <w:sz w:val="20"/>
          <w:szCs w:val="20"/>
        </w:rPr>
        <w:t>.</w:t>
      </w:r>
      <w:r w:rsidR="00D1477B">
        <w:rPr>
          <w:rFonts w:ascii="Verdana" w:hAnsi="Verdana" w:cs="Verdana"/>
          <w:sz w:val="20"/>
          <w:szCs w:val="20"/>
        </w:rPr>
        <w:t xml:space="preserve"> </w:t>
      </w:r>
    </w:p>
    <w:p w:rsidRPr="00A25EC0" w:rsidR="00A45B97" w:rsidRDefault="00A45B97">
      <w:pPr>
        <w:outlineLvl w:val="0"/>
        <w:rPr>
          <w:rFonts w:ascii="Verdana" w:hAnsi="Verdana" w:cs="Verdana"/>
          <w:i/>
          <w:iCs/>
          <w:sz w:val="20"/>
          <w:szCs w:val="20"/>
        </w:rPr>
      </w:pPr>
    </w:p>
    <w:p w:rsidRPr="00A25EC0" w:rsidR="009D5C35" w:rsidRDefault="00A45B97">
      <w:pPr>
        <w:outlineLvl w:val="0"/>
        <w:rPr>
          <w:rFonts w:ascii="Verdana" w:hAnsi="Verdana" w:cs="Verdana"/>
          <w:sz w:val="20"/>
          <w:szCs w:val="20"/>
        </w:rPr>
      </w:pPr>
      <w:r w:rsidRPr="00A25EC0">
        <w:rPr>
          <w:rFonts w:ascii="Verdana" w:hAnsi="Verdana" w:cs="Verdana"/>
          <w:sz w:val="20"/>
          <w:szCs w:val="20"/>
        </w:rPr>
        <w:t>Ook bij begrotingswijzigingen wint het budgetrecht aan kracht</w:t>
      </w:r>
      <w:r w:rsidRPr="00A25EC0" w:rsidR="009D5C35">
        <w:rPr>
          <w:rFonts w:ascii="Verdana" w:hAnsi="Verdana" w:cs="Verdana"/>
          <w:sz w:val="20"/>
          <w:szCs w:val="20"/>
        </w:rPr>
        <w:t xml:space="preserve">, </w:t>
      </w:r>
      <w:r w:rsidRPr="00A25EC0">
        <w:rPr>
          <w:rFonts w:ascii="Verdana" w:hAnsi="Verdana" w:cs="Verdana"/>
          <w:sz w:val="20"/>
          <w:szCs w:val="20"/>
        </w:rPr>
        <w:t xml:space="preserve">indien wijzigingsvoorstellen tijdig worden goedgekeurd door de begrotingswetgever. Het is van belang dat een minister duidelijk weet of </w:t>
      </w:r>
      <w:r w:rsidRPr="00A25EC0" w:rsidR="009D5C35">
        <w:rPr>
          <w:rFonts w:ascii="Verdana" w:hAnsi="Verdana" w:cs="Verdana"/>
          <w:sz w:val="20"/>
          <w:szCs w:val="20"/>
        </w:rPr>
        <w:t>en wanneer hij</w:t>
      </w:r>
      <w:r w:rsidRPr="00A25EC0">
        <w:rPr>
          <w:rFonts w:ascii="Verdana" w:hAnsi="Verdana" w:cs="Verdana"/>
          <w:sz w:val="20"/>
          <w:szCs w:val="20"/>
        </w:rPr>
        <w:t xml:space="preserve"> gemachtigd wordt door de begrotingswetgever om de begroting – inclusief aanvullende begrotingsvoorstellen –verder uit te voeren. De eerste suppletoire begrotingswetsvoorstellen worden uiterlijk 1 juni bij de Tweede Kamer ingediend. In de nieuwe Comptabiliteitswet wordt voorgesteld dat over deze wetsvoorstellen in beginsel vóór 1 oktober word</w:t>
      </w:r>
      <w:r w:rsidRPr="00A25EC0" w:rsidR="009D5C35">
        <w:rPr>
          <w:rFonts w:ascii="Verdana" w:hAnsi="Verdana" w:cs="Verdana"/>
          <w:sz w:val="20"/>
          <w:szCs w:val="20"/>
        </w:rPr>
        <w:t>en vastgesteld.</w:t>
      </w:r>
    </w:p>
    <w:p w:rsidRPr="00A25EC0" w:rsidR="00A45B97" w:rsidRDefault="00A45B97">
      <w:pPr>
        <w:outlineLvl w:val="0"/>
        <w:rPr>
          <w:rFonts w:ascii="Verdana" w:hAnsi="Verdana" w:cs="Verdana"/>
          <w:sz w:val="20"/>
          <w:szCs w:val="20"/>
        </w:rPr>
      </w:pPr>
    </w:p>
    <w:p w:rsidRPr="00A25EC0" w:rsidR="00A45B97" w:rsidRDefault="00A45B97">
      <w:pPr>
        <w:outlineLvl w:val="0"/>
        <w:rPr>
          <w:rFonts w:ascii="Verdana" w:hAnsi="Verdana" w:cs="Verdana"/>
          <w:sz w:val="20"/>
          <w:szCs w:val="20"/>
        </w:rPr>
      </w:pPr>
      <w:r w:rsidRPr="00A25EC0">
        <w:rPr>
          <w:rFonts w:ascii="Verdana" w:hAnsi="Verdana" w:cs="Verdana"/>
          <w:sz w:val="20"/>
          <w:szCs w:val="20"/>
        </w:rPr>
        <w:t xml:space="preserve">Het debat na het aanbieden van het Financieel Jaarverslag van het Rijk </w:t>
      </w:r>
      <w:r w:rsidRPr="00A25EC0" w:rsidR="009D5C35">
        <w:rPr>
          <w:rFonts w:ascii="Verdana" w:hAnsi="Verdana" w:cs="Verdana"/>
          <w:sz w:val="20"/>
          <w:szCs w:val="20"/>
        </w:rPr>
        <w:t>en</w:t>
      </w:r>
      <w:r w:rsidRPr="00A25EC0">
        <w:rPr>
          <w:rFonts w:ascii="Verdana" w:hAnsi="Verdana" w:cs="Verdana"/>
          <w:sz w:val="20"/>
          <w:szCs w:val="20"/>
        </w:rPr>
        <w:t xml:space="preserve"> de rapporten van de Algemene Rekenkamer op Verantwoordingsdag - thans de derde woensdag in mei -kan aan belang winnen</w:t>
      </w:r>
      <w:r w:rsidRPr="00A25EC0" w:rsidR="009D5C35">
        <w:rPr>
          <w:rFonts w:ascii="Verdana" w:hAnsi="Verdana" w:cs="Verdana"/>
          <w:sz w:val="20"/>
          <w:szCs w:val="20"/>
        </w:rPr>
        <w:t>,</w:t>
      </w:r>
      <w:r w:rsidRPr="00A25EC0">
        <w:rPr>
          <w:rFonts w:ascii="Verdana" w:hAnsi="Verdana" w:cs="Verdana"/>
          <w:sz w:val="20"/>
          <w:szCs w:val="20"/>
        </w:rPr>
        <w:t xml:space="preserve"> indien enige flexibiliteit mogelijk is en er geen sprake is van een </w:t>
      </w:r>
      <w:r w:rsidRPr="00A25EC0" w:rsidR="009D5C35">
        <w:rPr>
          <w:rFonts w:ascii="Verdana" w:hAnsi="Verdana" w:cs="Verdana"/>
          <w:sz w:val="20"/>
          <w:szCs w:val="20"/>
        </w:rPr>
        <w:t>wettelijk vastliggende</w:t>
      </w:r>
      <w:r w:rsidRPr="00A25EC0">
        <w:rPr>
          <w:rFonts w:ascii="Verdana" w:hAnsi="Verdana" w:cs="Verdana"/>
          <w:sz w:val="20"/>
          <w:szCs w:val="20"/>
        </w:rPr>
        <w:t xml:space="preserve"> dag. Die flexibiliteit is </w:t>
      </w:r>
      <w:r w:rsidRPr="00A25EC0" w:rsidR="009D5C35">
        <w:rPr>
          <w:rFonts w:ascii="Verdana" w:hAnsi="Verdana" w:cs="Verdana"/>
          <w:sz w:val="20"/>
          <w:szCs w:val="20"/>
        </w:rPr>
        <w:t xml:space="preserve">wenselijk </w:t>
      </w:r>
      <w:r w:rsidRPr="00A25EC0">
        <w:rPr>
          <w:rFonts w:ascii="Verdana" w:hAnsi="Verdana" w:cs="Verdana"/>
          <w:sz w:val="20"/>
          <w:szCs w:val="20"/>
        </w:rPr>
        <w:t xml:space="preserve">met het oog op de samenloop van feestdagen (Hemelvaart, Pinksteren) </w:t>
      </w:r>
      <w:proofErr w:type="gramStart"/>
      <w:r w:rsidRPr="00A25EC0">
        <w:rPr>
          <w:rFonts w:ascii="Verdana" w:hAnsi="Verdana" w:cs="Verdana"/>
          <w:sz w:val="20"/>
          <w:szCs w:val="20"/>
        </w:rPr>
        <w:t>alsmede</w:t>
      </w:r>
      <w:proofErr w:type="gramEnd"/>
      <w:r w:rsidRPr="00A25EC0">
        <w:rPr>
          <w:rFonts w:ascii="Verdana" w:hAnsi="Verdana" w:cs="Verdana"/>
          <w:sz w:val="20"/>
          <w:szCs w:val="20"/>
        </w:rPr>
        <w:t xml:space="preserve"> de benodigde tijd van voorbereiding op het Verantwoordingsdebat. Om die reden wordt voorgesteld dat de Minister van Financiën de departementale jaarverslagen </w:t>
      </w:r>
      <w:proofErr w:type="gramStart"/>
      <w:r w:rsidRPr="00A25EC0">
        <w:rPr>
          <w:rFonts w:ascii="Verdana" w:hAnsi="Verdana" w:cs="Verdana"/>
          <w:sz w:val="20"/>
          <w:szCs w:val="20"/>
        </w:rPr>
        <w:t>alsmede</w:t>
      </w:r>
      <w:proofErr w:type="gramEnd"/>
      <w:r w:rsidRPr="00A25EC0">
        <w:rPr>
          <w:rFonts w:ascii="Verdana" w:hAnsi="Verdana" w:cs="Verdana"/>
          <w:sz w:val="20"/>
          <w:szCs w:val="20"/>
        </w:rPr>
        <w:t xml:space="preserve"> het Financieel jaarverslag </w:t>
      </w:r>
      <w:r w:rsidRPr="00A25EC0" w:rsidR="009D5C35">
        <w:rPr>
          <w:rFonts w:ascii="Verdana" w:hAnsi="Verdana" w:cs="Verdana"/>
          <w:sz w:val="20"/>
          <w:szCs w:val="20"/>
        </w:rPr>
        <w:t xml:space="preserve"> </w:t>
      </w:r>
      <w:r w:rsidRPr="00A25EC0">
        <w:rPr>
          <w:rFonts w:ascii="Verdana" w:hAnsi="Verdana" w:cs="Verdana"/>
          <w:i/>
          <w:iCs/>
          <w:sz w:val="20"/>
          <w:szCs w:val="20"/>
        </w:rPr>
        <w:t>uiterlijk</w:t>
      </w:r>
      <w:r w:rsidRPr="00A25EC0">
        <w:rPr>
          <w:rFonts w:ascii="Verdana" w:hAnsi="Verdana" w:cs="Verdana"/>
          <w:sz w:val="20"/>
          <w:szCs w:val="20"/>
        </w:rPr>
        <w:t xml:space="preserve"> op 1 juni aan de Tweede Kamer aanbiedt. In overleg tussen de voorzitter van de T</w:t>
      </w:r>
      <w:r w:rsidRPr="00A25EC0" w:rsidR="005239D2">
        <w:rPr>
          <w:rFonts w:ascii="Verdana" w:hAnsi="Verdana" w:cs="Verdana"/>
          <w:sz w:val="20"/>
          <w:szCs w:val="20"/>
        </w:rPr>
        <w:t>weede Kamer,</w:t>
      </w:r>
      <w:r w:rsidRPr="00A25EC0">
        <w:rPr>
          <w:rFonts w:ascii="Verdana" w:hAnsi="Verdana" w:cs="Verdana"/>
          <w:sz w:val="20"/>
          <w:szCs w:val="20"/>
        </w:rPr>
        <w:t xml:space="preserve"> de Minister van Financiën en de president van de A</w:t>
      </w:r>
      <w:r w:rsidRPr="00A25EC0" w:rsidR="005239D2">
        <w:rPr>
          <w:rFonts w:ascii="Verdana" w:hAnsi="Verdana" w:cs="Verdana"/>
          <w:sz w:val="20"/>
          <w:szCs w:val="20"/>
        </w:rPr>
        <w:t>lgemene Rekenkamer</w:t>
      </w:r>
      <w:r w:rsidRPr="00A25EC0">
        <w:rPr>
          <w:rFonts w:ascii="Verdana" w:hAnsi="Verdana" w:cs="Verdana"/>
          <w:sz w:val="20"/>
          <w:szCs w:val="20"/>
        </w:rPr>
        <w:t xml:space="preserve"> kan jaarlijks worden afgesproken op welke datum de verantwoordingsdag valt.</w:t>
      </w:r>
    </w:p>
    <w:p w:rsidRPr="00A25EC0" w:rsidR="00A45B97" w:rsidRDefault="00A45B97">
      <w:pPr>
        <w:rPr>
          <w:rFonts w:ascii="Verdana" w:hAnsi="Verdana" w:cs="Verdana"/>
          <w:sz w:val="20"/>
          <w:szCs w:val="20"/>
        </w:rPr>
      </w:pPr>
    </w:p>
    <w:p w:rsidRPr="00A25EC0" w:rsidR="00A45B97" w:rsidRDefault="00A45B97">
      <w:pPr>
        <w:rPr>
          <w:rFonts w:ascii="Verdana" w:hAnsi="Verdana" w:cs="Verdana"/>
          <w:i/>
          <w:iCs/>
          <w:sz w:val="20"/>
          <w:szCs w:val="20"/>
        </w:rPr>
      </w:pPr>
      <w:r w:rsidRPr="00A25EC0">
        <w:rPr>
          <w:rFonts w:ascii="Verdana" w:hAnsi="Verdana" w:cs="Verdana"/>
          <w:i/>
          <w:iCs/>
          <w:sz w:val="20"/>
          <w:szCs w:val="20"/>
        </w:rPr>
        <w:t>Heldere verantwoordelijkheden: uitvoering binnen de rijksdienst</w:t>
      </w:r>
    </w:p>
    <w:p w:rsidRPr="00A25EC0" w:rsidR="00F60BFD" w:rsidP="00574DF3" w:rsidRDefault="00574DF3">
      <w:pPr>
        <w:rPr>
          <w:rFonts w:ascii="Verdana" w:hAnsi="Verdana" w:cs="Verdana"/>
          <w:sz w:val="20"/>
          <w:szCs w:val="20"/>
        </w:rPr>
      </w:pPr>
      <w:r w:rsidRPr="00A25EC0">
        <w:rPr>
          <w:rFonts w:ascii="Verdana" w:hAnsi="Verdana" w:cs="Verdana"/>
          <w:sz w:val="20"/>
          <w:szCs w:val="20"/>
        </w:rPr>
        <w:t xml:space="preserve">De huidige Comptabiliteitswet gaat uit van de situatie dat de ontwikkeling en de uitvoering van het beleid, </w:t>
      </w:r>
      <w:proofErr w:type="gramStart"/>
      <w:r w:rsidRPr="00A25EC0">
        <w:rPr>
          <w:rFonts w:ascii="Verdana" w:hAnsi="Verdana" w:cs="Verdana"/>
          <w:sz w:val="20"/>
          <w:szCs w:val="20"/>
        </w:rPr>
        <w:t>alsmede</w:t>
      </w:r>
      <w:proofErr w:type="gramEnd"/>
      <w:r w:rsidRPr="00A25EC0">
        <w:rPr>
          <w:rFonts w:ascii="Verdana" w:hAnsi="Verdana" w:cs="Verdana"/>
          <w:sz w:val="20"/>
          <w:szCs w:val="20"/>
        </w:rPr>
        <w:t xml:space="preserve"> het beheer van de beschikbare budgettaire middelen de verantwoordelijkheid zijn van één minister. Na afloop van een begrotingsjaar legt die ene minister verantwoording af over de beleidsuitvoering en de ingezette middelen aan de Staten-Generaal. Deze situatie bestaat steeds minder</w:t>
      </w:r>
      <w:r w:rsidRPr="00A25EC0" w:rsidR="00AB290B">
        <w:rPr>
          <w:rFonts w:ascii="Verdana" w:hAnsi="Verdana" w:cs="Verdana"/>
          <w:sz w:val="20"/>
          <w:szCs w:val="20"/>
        </w:rPr>
        <w:t xml:space="preserve">. </w:t>
      </w:r>
      <w:r w:rsidRPr="00A25EC0" w:rsidR="00D3243E">
        <w:rPr>
          <w:rFonts w:ascii="Verdana" w:hAnsi="Verdana" w:cs="Verdana"/>
          <w:sz w:val="20"/>
          <w:szCs w:val="20"/>
        </w:rPr>
        <w:t>V</w:t>
      </w:r>
      <w:r w:rsidRPr="00A25EC0">
        <w:rPr>
          <w:rFonts w:ascii="Verdana" w:hAnsi="Verdana" w:cs="Verdana"/>
          <w:sz w:val="20"/>
          <w:szCs w:val="20"/>
        </w:rPr>
        <w:t xml:space="preserve">an oudsher </w:t>
      </w:r>
      <w:r w:rsidRPr="00A25EC0" w:rsidR="00D3243E">
        <w:rPr>
          <w:rFonts w:ascii="Verdana" w:hAnsi="Verdana" w:cs="Verdana"/>
          <w:sz w:val="20"/>
          <w:szCs w:val="20"/>
        </w:rPr>
        <w:t xml:space="preserve">worden </w:t>
      </w:r>
      <w:r w:rsidRPr="00A25EC0">
        <w:rPr>
          <w:rFonts w:ascii="Verdana" w:hAnsi="Verdana" w:cs="Verdana"/>
          <w:sz w:val="20"/>
          <w:szCs w:val="20"/>
        </w:rPr>
        <w:t>andere organisaties buiten de rijksdienst bij de uitvoering van beleid ingeschakeld</w:t>
      </w:r>
      <w:r w:rsidRPr="00A25EC0" w:rsidR="00C00FF8">
        <w:rPr>
          <w:rFonts w:ascii="Verdana" w:hAnsi="Verdana" w:cs="Verdana"/>
          <w:sz w:val="20"/>
          <w:szCs w:val="20"/>
        </w:rPr>
        <w:t>,</w:t>
      </w:r>
      <w:r w:rsidRPr="00A25EC0">
        <w:rPr>
          <w:rFonts w:ascii="Verdana" w:hAnsi="Verdana" w:cs="Verdana"/>
          <w:sz w:val="20"/>
          <w:szCs w:val="20"/>
        </w:rPr>
        <w:t xml:space="preserve"> zoals medeoverheden, rechtspersonen met een wettelijke taak (afgekort tot RWT's)</w:t>
      </w:r>
      <w:r w:rsidRPr="00A25EC0" w:rsidR="00D3243E">
        <w:rPr>
          <w:rFonts w:ascii="Verdana" w:hAnsi="Verdana" w:cs="Verdana"/>
          <w:sz w:val="20"/>
          <w:szCs w:val="20"/>
        </w:rPr>
        <w:t>. Binnen</w:t>
      </w:r>
      <w:r w:rsidRPr="00A25EC0" w:rsidR="00C00FF8">
        <w:rPr>
          <w:rFonts w:ascii="Verdana" w:hAnsi="Verdana" w:cs="Verdana"/>
          <w:sz w:val="20"/>
          <w:szCs w:val="20"/>
        </w:rPr>
        <w:t xml:space="preserve"> </w:t>
      </w:r>
      <w:r w:rsidRPr="00A25EC0" w:rsidR="002E463B">
        <w:rPr>
          <w:rFonts w:ascii="Verdana" w:hAnsi="Verdana" w:cs="Verdana"/>
          <w:sz w:val="20"/>
          <w:szCs w:val="20"/>
        </w:rPr>
        <w:t xml:space="preserve">de rijksdienst </w:t>
      </w:r>
      <w:r w:rsidRPr="00A25EC0" w:rsidR="00D3243E">
        <w:rPr>
          <w:rFonts w:ascii="Verdana" w:hAnsi="Verdana" w:cs="Verdana"/>
          <w:sz w:val="20"/>
          <w:szCs w:val="20"/>
        </w:rPr>
        <w:t xml:space="preserve">ontstaan er </w:t>
      </w:r>
      <w:r w:rsidRPr="00A25EC0" w:rsidR="002E463B">
        <w:rPr>
          <w:rFonts w:ascii="Verdana" w:hAnsi="Verdana" w:cs="Verdana"/>
          <w:sz w:val="20"/>
          <w:szCs w:val="20"/>
        </w:rPr>
        <w:t>steeds meer samenwerkingsvormen die om een heldere regeling van financiële verantwoordelijkheden</w:t>
      </w:r>
      <w:r w:rsidRPr="00A25EC0" w:rsidR="00C00FF8">
        <w:rPr>
          <w:rFonts w:ascii="Verdana" w:hAnsi="Verdana" w:cs="Verdana"/>
          <w:sz w:val="20"/>
          <w:szCs w:val="20"/>
        </w:rPr>
        <w:t xml:space="preserve"> vragen</w:t>
      </w:r>
      <w:r w:rsidRPr="00A25EC0" w:rsidR="00B75465">
        <w:rPr>
          <w:rFonts w:ascii="Verdana" w:hAnsi="Verdana" w:cs="Verdana"/>
          <w:sz w:val="20"/>
          <w:szCs w:val="20"/>
        </w:rPr>
        <w:t xml:space="preserve">. </w:t>
      </w:r>
    </w:p>
    <w:p w:rsidR="00E8464F" w:rsidRDefault="00E8464F">
      <w:pPr>
        <w:rPr>
          <w:rFonts w:ascii="Verdana" w:hAnsi="Verdana" w:cs="Verdana"/>
          <w:sz w:val="20"/>
          <w:szCs w:val="20"/>
        </w:rPr>
      </w:pPr>
    </w:p>
    <w:p w:rsidRPr="00A25EC0" w:rsidR="00422696" w:rsidRDefault="00A45B97">
      <w:pPr>
        <w:rPr>
          <w:rFonts w:ascii="Verdana" w:hAnsi="Verdana" w:cs="Verdana"/>
          <w:sz w:val="20"/>
          <w:szCs w:val="20"/>
        </w:rPr>
      </w:pPr>
      <w:r w:rsidRPr="00A25EC0">
        <w:rPr>
          <w:rFonts w:ascii="Verdana" w:hAnsi="Verdana" w:cs="Verdana"/>
          <w:sz w:val="20"/>
          <w:szCs w:val="20"/>
        </w:rPr>
        <w:t xml:space="preserve">Het is dan ook gewenst om in de Comptabiliteitswet op hoofdlijnen te regelen hoe de </w:t>
      </w:r>
      <w:r w:rsidRPr="00A25EC0" w:rsidR="00422696">
        <w:rPr>
          <w:rFonts w:ascii="Verdana" w:hAnsi="Verdana" w:cs="Verdana"/>
          <w:sz w:val="20"/>
          <w:szCs w:val="20"/>
        </w:rPr>
        <w:t xml:space="preserve">financiële </w:t>
      </w:r>
      <w:r w:rsidRPr="00A25EC0">
        <w:rPr>
          <w:rFonts w:ascii="Verdana" w:hAnsi="Verdana" w:cs="Verdana"/>
          <w:sz w:val="20"/>
          <w:szCs w:val="20"/>
        </w:rPr>
        <w:t xml:space="preserve">verantwoordelijkheid voor beleid en uitvoering </w:t>
      </w:r>
      <w:r w:rsidRPr="00A25EC0" w:rsidR="00422696">
        <w:rPr>
          <w:rFonts w:ascii="Verdana" w:hAnsi="Verdana" w:cs="Verdana"/>
          <w:sz w:val="20"/>
          <w:szCs w:val="20"/>
        </w:rPr>
        <w:t>komt te liggen indien verschillende ministers bij het beleid en uitvoering zijn betrokken.</w:t>
      </w:r>
    </w:p>
    <w:p w:rsidRPr="00A25EC0" w:rsidR="00116B68" w:rsidRDefault="00116B68">
      <w:pPr>
        <w:rPr>
          <w:rFonts w:ascii="Verdana" w:hAnsi="Verdana" w:cs="Verdana"/>
          <w:sz w:val="20"/>
          <w:szCs w:val="20"/>
        </w:rPr>
      </w:pPr>
    </w:p>
    <w:p w:rsidRPr="00A25EC0" w:rsidR="00522B10" w:rsidRDefault="00422696">
      <w:pPr>
        <w:rPr>
          <w:rFonts w:ascii="Verdana" w:hAnsi="Verdana" w:cs="Verdana"/>
          <w:sz w:val="20"/>
          <w:szCs w:val="20"/>
        </w:rPr>
      </w:pPr>
      <w:r w:rsidRPr="00A25EC0">
        <w:rPr>
          <w:rFonts w:ascii="Verdana" w:hAnsi="Verdana" w:cs="Verdana"/>
          <w:sz w:val="20"/>
          <w:szCs w:val="20"/>
        </w:rPr>
        <w:t xml:space="preserve">Er </w:t>
      </w:r>
      <w:r w:rsidRPr="00A25EC0" w:rsidR="00116B68">
        <w:rPr>
          <w:rFonts w:ascii="Verdana" w:hAnsi="Verdana" w:cs="Verdana"/>
          <w:sz w:val="20"/>
          <w:szCs w:val="20"/>
        </w:rPr>
        <w:t xml:space="preserve">kunnen </w:t>
      </w:r>
      <w:r w:rsidRPr="00A25EC0" w:rsidR="00AB290B">
        <w:rPr>
          <w:rFonts w:ascii="Verdana" w:hAnsi="Verdana" w:cs="Verdana"/>
          <w:sz w:val="20"/>
          <w:szCs w:val="20"/>
        </w:rPr>
        <w:t>twee</w:t>
      </w:r>
      <w:r w:rsidRPr="00A25EC0" w:rsidR="00116B68">
        <w:rPr>
          <w:rFonts w:ascii="Verdana" w:hAnsi="Verdana" w:cs="Verdana"/>
          <w:sz w:val="20"/>
          <w:szCs w:val="20"/>
        </w:rPr>
        <w:t xml:space="preserve"> duidelijke uitvoeringsmodaliteiten </w:t>
      </w:r>
      <w:r w:rsidRPr="00A25EC0">
        <w:rPr>
          <w:rFonts w:ascii="Verdana" w:hAnsi="Verdana" w:cs="Verdana"/>
          <w:sz w:val="20"/>
          <w:szCs w:val="20"/>
        </w:rPr>
        <w:t xml:space="preserve">worden onderscheiden. Regeling van die modaliteiten </w:t>
      </w:r>
      <w:r w:rsidRPr="00A25EC0" w:rsidR="00116B68">
        <w:rPr>
          <w:rFonts w:ascii="Verdana" w:hAnsi="Verdana" w:cs="Verdana"/>
          <w:sz w:val="20"/>
          <w:szCs w:val="20"/>
        </w:rPr>
        <w:t>in de</w:t>
      </w:r>
      <w:r w:rsidRPr="00A25EC0">
        <w:rPr>
          <w:rFonts w:ascii="Verdana" w:hAnsi="Verdana" w:cs="Verdana"/>
          <w:sz w:val="20"/>
          <w:szCs w:val="20"/>
        </w:rPr>
        <w:t xml:space="preserve"> nieuwe </w:t>
      </w:r>
      <w:r w:rsidRPr="00A25EC0" w:rsidR="00116B68">
        <w:rPr>
          <w:rFonts w:ascii="Verdana" w:hAnsi="Verdana" w:cs="Verdana"/>
          <w:sz w:val="20"/>
          <w:szCs w:val="20"/>
        </w:rPr>
        <w:t>wet</w:t>
      </w:r>
      <w:r w:rsidRPr="00A25EC0">
        <w:rPr>
          <w:rFonts w:ascii="Verdana" w:hAnsi="Verdana" w:cs="Verdana"/>
          <w:sz w:val="20"/>
          <w:szCs w:val="20"/>
        </w:rPr>
        <w:t xml:space="preserve"> is gewenst</w:t>
      </w:r>
      <w:r w:rsidRPr="00A25EC0" w:rsidR="00522B10">
        <w:rPr>
          <w:rFonts w:ascii="Verdana" w:hAnsi="Verdana" w:cs="Verdana"/>
          <w:sz w:val="20"/>
          <w:szCs w:val="20"/>
        </w:rPr>
        <w:t xml:space="preserve">. </w:t>
      </w:r>
    </w:p>
    <w:p w:rsidRPr="00A25EC0" w:rsidR="00A02DA7" w:rsidRDefault="00A02DA7">
      <w:pPr>
        <w:rPr>
          <w:rFonts w:ascii="Verdana" w:hAnsi="Verdana" w:cs="Verdana"/>
          <w:sz w:val="20"/>
          <w:szCs w:val="20"/>
        </w:rPr>
      </w:pPr>
    </w:p>
    <w:p w:rsidRPr="00A25EC0" w:rsidR="00014770" w:rsidP="00522B10" w:rsidRDefault="00522B10">
      <w:pPr>
        <w:rPr>
          <w:rFonts w:ascii="Verdana" w:hAnsi="Verdana" w:cs="Verdana"/>
          <w:sz w:val="20"/>
          <w:szCs w:val="20"/>
        </w:rPr>
      </w:pPr>
      <w:r w:rsidRPr="00A25EC0">
        <w:rPr>
          <w:rFonts w:ascii="Verdana" w:hAnsi="Verdana" w:cs="Verdana"/>
          <w:sz w:val="20"/>
          <w:szCs w:val="20"/>
        </w:rPr>
        <w:t xml:space="preserve">Ten eerste de situatie van een </w:t>
      </w:r>
      <w:r w:rsidRPr="00A25EC0" w:rsidR="00A45B97">
        <w:rPr>
          <w:rFonts w:ascii="Verdana" w:hAnsi="Verdana" w:cs="Verdana"/>
          <w:i/>
          <w:sz w:val="20"/>
          <w:szCs w:val="20"/>
        </w:rPr>
        <w:t>wettelijke overdracht</w:t>
      </w:r>
      <w:r w:rsidRPr="00A25EC0" w:rsidR="00A45B97">
        <w:rPr>
          <w:rFonts w:ascii="Verdana" w:hAnsi="Verdana" w:cs="Verdana"/>
          <w:sz w:val="20"/>
          <w:szCs w:val="20"/>
        </w:rPr>
        <w:t xml:space="preserve"> van </w:t>
      </w:r>
      <w:r w:rsidRPr="00A25EC0" w:rsidR="00422696">
        <w:rPr>
          <w:rFonts w:ascii="Verdana" w:hAnsi="Verdana" w:cs="Verdana"/>
          <w:sz w:val="20"/>
          <w:szCs w:val="20"/>
        </w:rPr>
        <w:t>de beleids</w:t>
      </w:r>
      <w:r w:rsidRPr="00A25EC0" w:rsidR="00A45B97">
        <w:rPr>
          <w:rFonts w:ascii="Verdana" w:hAnsi="Verdana" w:cs="Verdana"/>
          <w:sz w:val="20"/>
          <w:szCs w:val="20"/>
        </w:rPr>
        <w:t>uitvoering</w:t>
      </w:r>
      <w:r w:rsidRPr="00A25EC0" w:rsidR="00422696">
        <w:rPr>
          <w:rFonts w:ascii="Verdana" w:hAnsi="Verdana" w:cs="Verdana"/>
          <w:sz w:val="20"/>
          <w:szCs w:val="20"/>
        </w:rPr>
        <w:t>.</w:t>
      </w:r>
      <w:r w:rsidRPr="00A25EC0">
        <w:rPr>
          <w:rFonts w:ascii="Verdana" w:hAnsi="Verdana" w:cs="Verdana"/>
          <w:sz w:val="20"/>
          <w:szCs w:val="20"/>
        </w:rPr>
        <w:t xml:space="preserve"> In dat geval is het gewenst </w:t>
      </w:r>
      <w:r w:rsidRPr="00A25EC0" w:rsidR="00A45B97">
        <w:rPr>
          <w:rFonts w:ascii="Verdana" w:hAnsi="Verdana" w:cs="Verdana"/>
          <w:sz w:val="20"/>
          <w:szCs w:val="20"/>
        </w:rPr>
        <w:t xml:space="preserve">om de daarbij behorende gevolgen voor de verantwoordelijkheid voor de begrotingsuitvoering adequaat te regelen. Voorgesteld wordt dat de verantwoordelijke minister voor de uitvoering ook verantwoording aflegt over </w:t>
      </w:r>
      <w:r w:rsidRPr="00A25EC0" w:rsidR="00422696">
        <w:rPr>
          <w:rFonts w:ascii="Verdana" w:hAnsi="Verdana" w:cs="Verdana"/>
          <w:sz w:val="20"/>
          <w:szCs w:val="20"/>
        </w:rPr>
        <w:t>het financieel beheer, de financiële administratie en de rechtmatigheid in zijn</w:t>
      </w:r>
      <w:r w:rsidRPr="00A25EC0" w:rsidR="00A45B97">
        <w:rPr>
          <w:rFonts w:ascii="Verdana" w:hAnsi="Verdana" w:cs="Verdana"/>
          <w:sz w:val="20"/>
          <w:szCs w:val="20"/>
        </w:rPr>
        <w:t xml:space="preserve"> departementale jaarverslag. Eventuele fouten en onzekerheden in de uitvoering worden dan ‘toegerekend’ aan het </w:t>
      </w:r>
      <w:r w:rsidRPr="00A25EC0" w:rsidR="00014770">
        <w:rPr>
          <w:rFonts w:ascii="Verdana" w:hAnsi="Verdana" w:cs="Verdana"/>
          <w:sz w:val="20"/>
          <w:szCs w:val="20"/>
        </w:rPr>
        <w:t>ja</w:t>
      </w:r>
      <w:r w:rsidRPr="00A25EC0" w:rsidR="00A45B97">
        <w:rPr>
          <w:rFonts w:ascii="Verdana" w:hAnsi="Verdana" w:cs="Verdana"/>
          <w:sz w:val="20"/>
          <w:szCs w:val="20"/>
        </w:rPr>
        <w:t>arverslag</w:t>
      </w:r>
      <w:r w:rsidRPr="00A25EC0" w:rsidR="00014770">
        <w:rPr>
          <w:rFonts w:ascii="Verdana" w:hAnsi="Verdana" w:cs="Verdana"/>
          <w:sz w:val="20"/>
          <w:szCs w:val="20"/>
        </w:rPr>
        <w:t xml:space="preserve"> van de uitvoerende minister</w:t>
      </w:r>
      <w:r w:rsidRPr="00A25EC0">
        <w:rPr>
          <w:rFonts w:ascii="Verdana" w:hAnsi="Verdana" w:cs="Verdana"/>
          <w:sz w:val="20"/>
          <w:szCs w:val="20"/>
        </w:rPr>
        <w:t>.</w:t>
      </w:r>
      <w:r w:rsidRPr="00A25EC0" w:rsidR="00156D8A">
        <w:rPr>
          <w:rFonts w:ascii="Verdana" w:hAnsi="Verdana" w:cs="Verdana"/>
          <w:sz w:val="20"/>
          <w:szCs w:val="20"/>
        </w:rPr>
        <w:t xml:space="preserve"> Als voorbeeld: de uitvoering van de huurtoeslag gebeurt door de Belastingdienst terwijl de </w:t>
      </w:r>
      <w:r w:rsidR="009501CB">
        <w:rPr>
          <w:rFonts w:ascii="Verdana" w:hAnsi="Verdana" w:cs="Verdana"/>
          <w:sz w:val="20"/>
          <w:szCs w:val="20"/>
        </w:rPr>
        <w:t>M</w:t>
      </w:r>
      <w:r w:rsidRPr="00A25EC0" w:rsidR="00156D8A">
        <w:rPr>
          <w:rFonts w:ascii="Verdana" w:hAnsi="Verdana" w:cs="Verdana"/>
          <w:sz w:val="20"/>
          <w:szCs w:val="20"/>
        </w:rPr>
        <w:t>inister v</w:t>
      </w:r>
      <w:r w:rsidR="007F2173">
        <w:rPr>
          <w:rFonts w:ascii="Verdana" w:hAnsi="Verdana" w:cs="Verdana"/>
          <w:sz w:val="20"/>
          <w:szCs w:val="20"/>
        </w:rPr>
        <w:t>oor</w:t>
      </w:r>
      <w:r w:rsidRPr="00A25EC0" w:rsidR="00156D8A">
        <w:rPr>
          <w:rFonts w:ascii="Verdana" w:hAnsi="Verdana" w:cs="Verdana"/>
          <w:sz w:val="20"/>
          <w:szCs w:val="20"/>
        </w:rPr>
        <w:t xml:space="preserve"> Wonen en Rijksdienst verantwoordelijk is voor het budget en voor het beleid. </w:t>
      </w:r>
      <w:r w:rsidRPr="00A25EC0" w:rsidR="00014770">
        <w:rPr>
          <w:rFonts w:ascii="Verdana" w:hAnsi="Verdana" w:cs="Verdana"/>
          <w:sz w:val="20"/>
          <w:szCs w:val="20"/>
        </w:rPr>
        <w:t>Benadrukt wordt dat bij de wettelijke overdracht van beleidsuitvoering de programmabudgetten niet worden overgeheveld</w:t>
      </w:r>
      <w:r w:rsidR="00225B7B">
        <w:rPr>
          <w:rFonts w:ascii="Verdana" w:hAnsi="Verdana" w:cs="Verdana"/>
          <w:sz w:val="20"/>
          <w:szCs w:val="20"/>
        </w:rPr>
        <w:t>.</w:t>
      </w:r>
      <w:r w:rsidRPr="00A25EC0" w:rsidR="00014770">
        <w:rPr>
          <w:rFonts w:ascii="Verdana" w:hAnsi="Verdana" w:cs="Verdana"/>
          <w:sz w:val="20"/>
          <w:szCs w:val="20"/>
        </w:rPr>
        <w:t xml:space="preserve"> De beleidsverantwoordelijke minister blijft volledig verantwoordelijk voor het beleid, de daartoe in te zetten instrumenten en het beschikbare budget.</w:t>
      </w:r>
      <w:r w:rsidRPr="00A25EC0" w:rsidR="00156D8A">
        <w:rPr>
          <w:rFonts w:ascii="Verdana" w:hAnsi="Verdana" w:cs="Verdana"/>
          <w:sz w:val="20"/>
          <w:szCs w:val="20"/>
        </w:rPr>
        <w:t xml:space="preserve"> </w:t>
      </w:r>
    </w:p>
    <w:p w:rsidRPr="00A25EC0" w:rsidR="00014770" w:rsidP="00522B10" w:rsidRDefault="00014770">
      <w:pPr>
        <w:rPr>
          <w:rFonts w:ascii="Verdana" w:hAnsi="Verdana" w:cs="Verdana"/>
          <w:sz w:val="20"/>
          <w:szCs w:val="20"/>
        </w:rPr>
      </w:pPr>
    </w:p>
    <w:p w:rsidR="00AA3A8A" w:rsidP="00AA3A8A" w:rsidRDefault="00AA3A8A">
      <w:pPr>
        <w:rPr>
          <w:rFonts w:ascii="Verdana" w:hAnsi="Verdana" w:cs="Verdana"/>
          <w:sz w:val="20"/>
          <w:szCs w:val="20"/>
        </w:rPr>
      </w:pPr>
      <w:r w:rsidRPr="00A25EC0">
        <w:rPr>
          <w:rFonts w:ascii="Verdana" w:hAnsi="Verdana" w:cs="Verdana"/>
          <w:sz w:val="20"/>
          <w:szCs w:val="20"/>
        </w:rPr>
        <w:t>Een tweede situatie betreft de ontwikkeling waarbij</w:t>
      </w:r>
      <w:r w:rsidRPr="00303DB8">
        <w:rPr>
          <w:rFonts w:ascii="Verdana" w:hAnsi="Verdana" w:cs="Verdana"/>
          <w:sz w:val="20"/>
          <w:szCs w:val="20"/>
        </w:rPr>
        <w:t xml:space="preserve"> </w:t>
      </w:r>
      <w:r w:rsidRPr="00A25EC0">
        <w:rPr>
          <w:rFonts w:ascii="Verdana" w:hAnsi="Verdana" w:cs="Verdana"/>
          <w:sz w:val="20"/>
          <w:szCs w:val="20"/>
        </w:rPr>
        <w:t xml:space="preserve">steeds meer werkzaamheden </w:t>
      </w:r>
      <w:r>
        <w:rPr>
          <w:rFonts w:ascii="Verdana" w:hAnsi="Verdana" w:cs="Verdana"/>
          <w:sz w:val="20"/>
          <w:szCs w:val="20"/>
        </w:rPr>
        <w:t xml:space="preserve">binnen de rijksdienst gezamenlijk </w:t>
      </w:r>
      <w:r w:rsidRPr="00A25EC0">
        <w:rPr>
          <w:rFonts w:ascii="Verdana" w:hAnsi="Verdana" w:cs="Verdana"/>
          <w:sz w:val="20"/>
          <w:szCs w:val="20"/>
        </w:rPr>
        <w:t xml:space="preserve">worden </w:t>
      </w:r>
      <w:r>
        <w:rPr>
          <w:rFonts w:ascii="Verdana" w:hAnsi="Verdana" w:cs="Verdana"/>
          <w:sz w:val="20"/>
          <w:szCs w:val="20"/>
        </w:rPr>
        <w:t>uitgevoerd</w:t>
      </w:r>
      <w:r w:rsidRPr="00A25EC0">
        <w:rPr>
          <w:rFonts w:ascii="Verdana" w:hAnsi="Verdana" w:cs="Verdana"/>
          <w:sz w:val="20"/>
          <w:szCs w:val="20"/>
        </w:rPr>
        <w:t xml:space="preserve">. </w:t>
      </w:r>
      <w:proofErr w:type="gramStart"/>
      <w:r w:rsidRPr="00A25EC0">
        <w:rPr>
          <w:rFonts w:ascii="Verdana" w:hAnsi="Verdana" w:cs="Verdana"/>
          <w:sz w:val="20"/>
          <w:szCs w:val="20"/>
        </w:rPr>
        <w:t>Met name</w:t>
      </w:r>
      <w:proofErr w:type="gramEnd"/>
      <w:r w:rsidRPr="00A25EC0">
        <w:rPr>
          <w:rFonts w:ascii="Verdana" w:hAnsi="Verdana" w:cs="Verdana"/>
          <w:sz w:val="20"/>
          <w:szCs w:val="20"/>
        </w:rPr>
        <w:t xml:space="preserve"> bij de bedrijfsvoering – de ondersteuning van de primaire (</w:t>
      </w:r>
      <w:proofErr w:type="spellStart"/>
      <w:r w:rsidRPr="00A25EC0">
        <w:rPr>
          <w:rFonts w:ascii="Verdana" w:hAnsi="Verdana" w:cs="Verdana"/>
          <w:sz w:val="20"/>
          <w:szCs w:val="20"/>
        </w:rPr>
        <w:t>beleids</w:t>
      </w:r>
      <w:proofErr w:type="spellEnd"/>
      <w:r w:rsidRPr="00A25EC0">
        <w:rPr>
          <w:rFonts w:ascii="Verdana" w:hAnsi="Verdana" w:cs="Verdana"/>
          <w:sz w:val="20"/>
          <w:szCs w:val="20"/>
        </w:rPr>
        <w:t xml:space="preserve">)processen (ook wel als </w:t>
      </w:r>
      <w:proofErr w:type="spellStart"/>
      <w:r w:rsidRPr="00A25EC0">
        <w:rPr>
          <w:rFonts w:ascii="Verdana" w:hAnsi="Verdana" w:cs="Verdana"/>
          <w:sz w:val="20"/>
          <w:szCs w:val="20"/>
        </w:rPr>
        <w:t>PIMOFACH-processen</w:t>
      </w:r>
      <w:proofErr w:type="spellEnd"/>
      <w:r w:rsidR="00225B7B">
        <w:rPr>
          <w:rStyle w:val="Voetnootmarkering"/>
          <w:rFonts w:ascii="Verdana" w:hAnsi="Verdana" w:cs="Verdana"/>
          <w:sz w:val="20"/>
          <w:szCs w:val="20"/>
        </w:rPr>
        <w:footnoteReference w:id="8"/>
      </w:r>
      <w:r w:rsidR="00225B7B">
        <w:rPr>
          <w:rFonts w:ascii="Verdana" w:hAnsi="Verdana" w:cs="Verdana"/>
          <w:sz w:val="20"/>
          <w:szCs w:val="20"/>
        </w:rPr>
        <w:t xml:space="preserve"> </w:t>
      </w:r>
      <w:r w:rsidRPr="00225B7B">
        <w:rPr>
          <w:rFonts w:ascii="Verdana" w:hAnsi="Verdana" w:cs="Verdana"/>
          <w:sz w:val="20"/>
          <w:szCs w:val="20"/>
        </w:rPr>
        <w:t xml:space="preserve"> </w:t>
      </w:r>
      <w:r w:rsidRPr="00A25EC0">
        <w:rPr>
          <w:rFonts w:ascii="Verdana" w:hAnsi="Verdana" w:cs="Verdana"/>
          <w:sz w:val="20"/>
          <w:szCs w:val="20"/>
        </w:rPr>
        <w:t>aangeduid)-  worden werkstromen gebundeld in zogenoemde ‘</w:t>
      </w:r>
      <w:proofErr w:type="spellStart"/>
      <w:r w:rsidRPr="00A25EC0">
        <w:rPr>
          <w:rFonts w:ascii="Verdana" w:hAnsi="Verdana" w:cs="Verdana"/>
          <w:sz w:val="20"/>
          <w:szCs w:val="20"/>
        </w:rPr>
        <w:t>shared</w:t>
      </w:r>
      <w:proofErr w:type="spellEnd"/>
      <w:r w:rsidRPr="00A25EC0">
        <w:rPr>
          <w:rFonts w:ascii="Verdana" w:hAnsi="Verdana" w:cs="Verdana"/>
          <w:sz w:val="20"/>
          <w:szCs w:val="20"/>
        </w:rPr>
        <w:t xml:space="preserve"> service organisaties’ (SSO).</w:t>
      </w:r>
      <w:r>
        <w:rPr>
          <w:rFonts w:ascii="Verdana" w:hAnsi="Verdana" w:cs="Verdana"/>
          <w:sz w:val="20"/>
          <w:szCs w:val="20"/>
        </w:rPr>
        <w:t xml:space="preserve"> Voor die gevallen dat bepaalde </w:t>
      </w:r>
      <w:proofErr w:type="spellStart"/>
      <w:r>
        <w:rPr>
          <w:rFonts w:ascii="Verdana" w:hAnsi="Verdana" w:cs="Verdana"/>
          <w:sz w:val="20"/>
          <w:szCs w:val="20"/>
        </w:rPr>
        <w:t>bedrijfsvoeringsactiviteiten</w:t>
      </w:r>
      <w:proofErr w:type="spellEnd"/>
      <w:r>
        <w:rPr>
          <w:rFonts w:ascii="Verdana" w:hAnsi="Verdana" w:cs="Verdana"/>
          <w:sz w:val="20"/>
          <w:szCs w:val="20"/>
        </w:rPr>
        <w:t xml:space="preserve"> van verschillende departementen duurzaam worden uitgevoerd onder de verantwoordelijkheid van één </w:t>
      </w:r>
      <w:r w:rsidRPr="00A25EC0">
        <w:rPr>
          <w:rFonts w:ascii="Verdana" w:hAnsi="Verdana" w:cs="Verdana"/>
          <w:sz w:val="20"/>
          <w:szCs w:val="20"/>
        </w:rPr>
        <w:t>minister</w:t>
      </w:r>
      <w:r>
        <w:rPr>
          <w:rFonts w:ascii="Verdana" w:hAnsi="Verdana" w:cs="Verdana"/>
          <w:sz w:val="20"/>
          <w:szCs w:val="20"/>
        </w:rPr>
        <w:t xml:space="preserve">, wordt in de Comptabiliteitswet de mogelijkheid gecreëerd om de volledige financiële verantwoordelijkheid naar deze minister over te dragen. Dit brengt met zich mee dat de benodigde begrotingsmiddelen naar de begroting van deze minister worden overgeheveld en dat deze </w:t>
      </w:r>
      <w:r w:rsidRPr="009F4D08">
        <w:rPr>
          <w:rFonts w:ascii="Verdana" w:hAnsi="Verdana" w:cs="Verdana"/>
          <w:sz w:val="20"/>
          <w:szCs w:val="20"/>
        </w:rPr>
        <w:t xml:space="preserve">minister verantwoording zal afleggen over de bedrijfsvoering van de SSO en de daartoe ingezette middelen. Nadrukkelijk is dit een mogelijke uitvoeringsmodaliteit voor </w:t>
      </w:r>
      <w:proofErr w:type="spellStart"/>
      <w:r w:rsidRPr="009F4D08">
        <w:rPr>
          <w:rFonts w:ascii="Verdana" w:hAnsi="Verdana" w:cs="Verdana"/>
          <w:sz w:val="20"/>
          <w:szCs w:val="20"/>
        </w:rPr>
        <w:t>SSO’s</w:t>
      </w:r>
      <w:proofErr w:type="spellEnd"/>
      <w:r w:rsidRPr="009F4D08">
        <w:rPr>
          <w:rFonts w:ascii="Verdana" w:hAnsi="Verdana" w:cs="Verdana"/>
          <w:sz w:val="20"/>
          <w:szCs w:val="20"/>
        </w:rPr>
        <w:t xml:space="preserve"> die in de wet een grondslag krijgt. Bij besluitvorming over de toepassing ervan moet worden afgewogen of de taakuitvoering door een SSO als voldoende duurzaam kan worden beschouwd</w:t>
      </w:r>
      <w:r w:rsidRPr="009F4D08" w:rsidR="006C45EC">
        <w:rPr>
          <w:rFonts w:ascii="Verdana" w:hAnsi="Verdana" w:cs="Verdana"/>
          <w:sz w:val="20"/>
          <w:szCs w:val="20"/>
        </w:rPr>
        <w:t xml:space="preserve">. </w:t>
      </w:r>
      <w:r w:rsidRPr="009F4D08" w:rsidR="00225B7B">
        <w:rPr>
          <w:rFonts w:ascii="Verdana" w:hAnsi="Verdana" w:cs="Verdana"/>
          <w:sz w:val="20"/>
          <w:szCs w:val="20"/>
        </w:rPr>
        <w:t xml:space="preserve">Een andere voorwaarde is dat </w:t>
      </w:r>
      <w:r w:rsidRPr="009F4D08" w:rsidR="00D1477B">
        <w:rPr>
          <w:rFonts w:ascii="Verdana" w:hAnsi="Verdana" w:cs="Verdana"/>
          <w:sz w:val="20"/>
          <w:szCs w:val="20"/>
        </w:rPr>
        <w:t xml:space="preserve">de </w:t>
      </w:r>
      <w:r w:rsidRPr="009F4D08" w:rsidR="00A2376B">
        <w:rPr>
          <w:rFonts w:ascii="Verdana" w:hAnsi="Verdana" w:cs="Arial"/>
          <w:sz w:val="20"/>
          <w:szCs w:val="20"/>
        </w:rPr>
        <w:t xml:space="preserve">aansturing van het SSO </w:t>
      </w:r>
      <w:proofErr w:type="gramStart"/>
      <w:r w:rsidRPr="009F4D08" w:rsidR="00A2376B">
        <w:rPr>
          <w:rFonts w:ascii="Verdana" w:hAnsi="Verdana" w:cs="Arial"/>
          <w:sz w:val="20"/>
          <w:szCs w:val="20"/>
        </w:rPr>
        <w:t xml:space="preserve">adequaat </w:t>
      </w:r>
      <w:r w:rsidRPr="009F4D08" w:rsidR="00A2376B">
        <w:rPr>
          <w:rFonts w:ascii="Verdana" w:hAnsi="Verdana" w:cs="Verdana"/>
          <w:sz w:val="20"/>
          <w:szCs w:val="20"/>
        </w:rPr>
        <w:t xml:space="preserve"> </w:t>
      </w:r>
      <w:proofErr w:type="gramEnd"/>
      <w:r w:rsidRPr="009F4D08" w:rsidR="00A2376B">
        <w:rPr>
          <w:rFonts w:ascii="Verdana" w:hAnsi="Verdana" w:cs="Verdana"/>
          <w:sz w:val="20"/>
          <w:szCs w:val="20"/>
        </w:rPr>
        <w:t>en</w:t>
      </w:r>
      <w:r w:rsidRPr="009F4D08" w:rsidR="006C45EC">
        <w:rPr>
          <w:rFonts w:ascii="Verdana" w:hAnsi="Verdana" w:cs="Verdana"/>
          <w:sz w:val="20"/>
          <w:szCs w:val="20"/>
        </w:rPr>
        <w:t xml:space="preserve"> </w:t>
      </w:r>
      <w:r w:rsidRPr="009F4D08" w:rsidR="00225B7B">
        <w:rPr>
          <w:rFonts w:ascii="Verdana" w:hAnsi="Verdana" w:cs="Verdana"/>
          <w:sz w:val="20"/>
          <w:szCs w:val="20"/>
        </w:rPr>
        <w:t>helder</w:t>
      </w:r>
      <w:r w:rsidRPr="009F4D08" w:rsidR="006C45EC">
        <w:rPr>
          <w:rFonts w:ascii="Verdana" w:hAnsi="Verdana" w:cs="Verdana"/>
          <w:sz w:val="20"/>
          <w:szCs w:val="20"/>
        </w:rPr>
        <w:t xml:space="preserve"> </w:t>
      </w:r>
      <w:r w:rsidRPr="009F4D08" w:rsidR="00D1477B">
        <w:rPr>
          <w:rFonts w:ascii="Verdana" w:hAnsi="Verdana" w:cs="Verdana"/>
          <w:sz w:val="20"/>
          <w:szCs w:val="20"/>
        </w:rPr>
        <w:t>wordt</w:t>
      </w:r>
      <w:r w:rsidRPr="009F4D08" w:rsidR="006C45EC">
        <w:rPr>
          <w:rFonts w:ascii="Verdana" w:hAnsi="Verdana" w:cs="Verdana"/>
          <w:sz w:val="20"/>
          <w:szCs w:val="20"/>
        </w:rPr>
        <w:t xml:space="preserve"> </w:t>
      </w:r>
      <w:r w:rsidRPr="009F4D08" w:rsidR="00A2376B">
        <w:rPr>
          <w:rFonts w:ascii="Verdana" w:hAnsi="Verdana" w:cs="Verdana"/>
          <w:sz w:val="20"/>
          <w:szCs w:val="20"/>
        </w:rPr>
        <w:t xml:space="preserve">geregeld en </w:t>
      </w:r>
      <w:r w:rsidRPr="009F4D08" w:rsidR="002D2239">
        <w:rPr>
          <w:rFonts w:ascii="Verdana" w:hAnsi="Verdana" w:cs="Verdana"/>
          <w:sz w:val="20"/>
          <w:szCs w:val="20"/>
        </w:rPr>
        <w:t>v</w:t>
      </w:r>
      <w:r w:rsidRPr="009F4D08" w:rsidR="006C45EC">
        <w:rPr>
          <w:rFonts w:ascii="Verdana" w:hAnsi="Verdana" w:cs="Verdana"/>
          <w:sz w:val="20"/>
          <w:szCs w:val="20"/>
        </w:rPr>
        <w:t>astgelegd</w:t>
      </w:r>
      <w:r w:rsidRPr="009F4D08">
        <w:rPr>
          <w:rFonts w:ascii="Verdana" w:hAnsi="Verdana" w:cs="Verdana"/>
          <w:sz w:val="20"/>
          <w:szCs w:val="20"/>
        </w:rPr>
        <w:t>.</w:t>
      </w:r>
      <w:r>
        <w:rPr>
          <w:rFonts w:ascii="Verdana" w:hAnsi="Verdana" w:cs="Verdana"/>
          <w:sz w:val="20"/>
          <w:szCs w:val="20"/>
        </w:rPr>
        <w:t xml:space="preserve"> </w:t>
      </w:r>
    </w:p>
    <w:p w:rsidR="00AA3A8A" w:rsidP="00AA3A8A" w:rsidRDefault="00AA3A8A">
      <w:pPr>
        <w:rPr>
          <w:rFonts w:ascii="Verdana" w:hAnsi="Verdana" w:cs="Verdana"/>
          <w:sz w:val="20"/>
          <w:szCs w:val="20"/>
        </w:rPr>
      </w:pPr>
    </w:p>
    <w:p w:rsidRPr="00A25EC0" w:rsidR="00AA3A8A" w:rsidP="00AA3A8A" w:rsidRDefault="00AA3A8A">
      <w:pPr>
        <w:rPr>
          <w:rFonts w:ascii="Verdana" w:hAnsi="Verdana" w:cs="Verdana"/>
          <w:sz w:val="20"/>
          <w:szCs w:val="20"/>
        </w:rPr>
      </w:pPr>
      <w:r>
        <w:rPr>
          <w:rFonts w:ascii="Verdana" w:hAnsi="Verdana" w:cs="Verdana"/>
          <w:sz w:val="20"/>
          <w:szCs w:val="20"/>
        </w:rPr>
        <w:t xml:space="preserve">Naast deze twee uitvoeringsmodaliteiten is het gelet </w:t>
      </w:r>
      <w:r w:rsidRPr="00A25EC0">
        <w:rPr>
          <w:rFonts w:ascii="Verdana" w:hAnsi="Verdana" w:cs="Verdana"/>
          <w:sz w:val="20"/>
          <w:szCs w:val="20"/>
        </w:rPr>
        <w:t>op de dynamiek va</w:t>
      </w:r>
      <w:r>
        <w:rPr>
          <w:rFonts w:ascii="Verdana" w:hAnsi="Verdana" w:cs="Verdana"/>
          <w:sz w:val="20"/>
          <w:szCs w:val="20"/>
        </w:rPr>
        <w:t>n de uitvoeringspraktijk on</w:t>
      </w:r>
      <w:r w:rsidRPr="00A25EC0">
        <w:rPr>
          <w:rFonts w:ascii="Verdana" w:hAnsi="Verdana" w:cs="Verdana"/>
          <w:sz w:val="20"/>
          <w:szCs w:val="20"/>
        </w:rPr>
        <w:t xml:space="preserve">wenselijk om in de wet alle mogelijke modaliteiten en samenhangende verantwoordelijkheden </w:t>
      </w:r>
      <w:r>
        <w:rPr>
          <w:rFonts w:ascii="Verdana" w:hAnsi="Verdana" w:cs="Verdana"/>
          <w:sz w:val="20"/>
          <w:szCs w:val="20"/>
        </w:rPr>
        <w:t xml:space="preserve">limitatief </w:t>
      </w:r>
      <w:r w:rsidRPr="00A25EC0">
        <w:rPr>
          <w:rFonts w:ascii="Verdana" w:hAnsi="Verdana" w:cs="Verdana"/>
          <w:sz w:val="20"/>
          <w:szCs w:val="20"/>
        </w:rPr>
        <w:t>te regelen; wel is het nadrukkelijk de inzet om in de Memorie van Toelichting de beginselen van verantwoordelijkheid van de minister voor de begroting, de uitvoering en de verantwoording, helder vast te leggen.</w:t>
      </w:r>
    </w:p>
    <w:p w:rsidRPr="00A25EC0" w:rsidR="00A45B97" w:rsidRDefault="00A45B97">
      <w:pPr>
        <w:rPr>
          <w:rFonts w:ascii="Verdana" w:hAnsi="Verdana" w:cs="Verdana"/>
          <w:sz w:val="20"/>
          <w:szCs w:val="20"/>
        </w:rPr>
      </w:pPr>
    </w:p>
    <w:p w:rsidRPr="00A25EC0" w:rsidR="00A45B97" w:rsidRDefault="00A45B97">
      <w:pPr>
        <w:rPr>
          <w:rFonts w:ascii="Verdana" w:hAnsi="Verdana" w:cs="Verdana"/>
          <w:i/>
          <w:iCs/>
          <w:sz w:val="20"/>
          <w:szCs w:val="20"/>
        </w:rPr>
      </w:pPr>
      <w:r w:rsidRPr="00A25EC0">
        <w:rPr>
          <w:rFonts w:ascii="Verdana" w:hAnsi="Verdana" w:cs="Verdana"/>
          <w:i/>
          <w:iCs/>
          <w:sz w:val="20"/>
          <w:szCs w:val="20"/>
        </w:rPr>
        <w:t>Heldere verantwoordelijkheden: uitvoering buiten de rijksdienst</w:t>
      </w:r>
    </w:p>
    <w:p w:rsidRPr="00A25EC0" w:rsidR="007B2FDF" w:rsidP="00F60BFD" w:rsidRDefault="00A45B97">
      <w:pPr>
        <w:rPr>
          <w:rFonts w:ascii="Verdana" w:hAnsi="Verdana" w:cs="Verdana"/>
          <w:sz w:val="20"/>
          <w:szCs w:val="20"/>
        </w:rPr>
      </w:pPr>
      <w:r w:rsidRPr="00A25EC0">
        <w:rPr>
          <w:rFonts w:ascii="Verdana" w:hAnsi="Verdana" w:cs="Verdana"/>
          <w:sz w:val="20"/>
          <w:szCs w:val="20"/>
        </w:rPr>
        <w:t xml:space="preserve">Bij de overdracht van taken buiten de rijksdienst </w:t>
      </w:r>
      <w:r w:rsidRPr="00A25EC0" w:rsidR="00834AEF">
        <w:rPr>
          <w:rFonts w:ascii="Verdana" w:hAnsi="Verdana" w:cs="Verdana"/>
          <w:sz w:val="20"/>
          <w:szCs w:val="20"/>
        </w:rPr>
        <w:t>kan gedacht worden aan wettelijke overdracht van beleidsvoering aan decentrale of functionele overheden en de privaatrechtelijke opdracht tot beleidsuitvoering aan privaatrechtelijke of publiekrechtelijk</w:t>
      </w:r>
      <w:r w:rsidR="00210224">
        <w:rPr>
          <w:rFonts w:ascii="Verdana" w:hAnsi="Verdana" w:cs="Verdana"/>
          <w:sz w:val="20"/>
          <w:szCs w:val="20"/>
        </w:rPr>
        <w:t>e</w:t>
      </w:r>
      <w:r w:rsidRPr="00A25EC0" w:rsidR="00834AEF">
        <w:rPr>
          <w:rFonts w:ascii="Verdana" w:hAnsi="Verdana" w:cs="Verdana"/>
          <w:sz w:val="20"/>
          <w:szCs w:val="20"/>
        </w:rPr>
        <w:t xml:space="preserve"> rechtspersonen(</w:t>
      </w:r>
      <w:proofErr w:type="spellStart"/>
      <w:r w:rsidRPr="00A25EC0" w:rsidR="00834AEF">
        <w:rPr>
          <w:rFonts w:ascii="Verdana" w:hAnsi="Verdana" w:cs="Verdana"/>
          <w:sz w:val="20"/>
          <w:szCs w:val="20"/>
        </w:rPr>
        <w:t>RWT’s</w:t>
      </w:r>
      <w:proofErr w:type="spellEnd"/>
      <w:r w:rsidRPr="00A25EC0" w:rsidR="00834AEF">
        <w:rPr>
          <w:rFonts w:ascii="Verdana" w:hAnsi="Verdana" w:cs="Verdana"/>
          <w:sz w:val="20"/>
          <w:szCs w:val="20"/>
        </w:rPr>
        <w:t>/</w:t>
      </w:r>
      <w:proofErr w:type="spellStart"/>
      <w:r w:rsidRPr="00A25EC0" w:rsidR="00834AEF">
        <w:rPr>
          <w:rFonts w:ascii="Verdana" w:hAnsi="Verdana" w:cs="Verdana"/>
          <w:sz w:val="20"/>
          <w:szCs w:val="20"/>
        </w:rPr>
        <w:t>ZBO’s</w:t>
      </w:r>
      <w:proofErr w:type="spellEnd"/>
      <w:r w:rsidRPr="00A25EC0" w:rsidR="00834AEF">
        <w:rPr>
          <w:rFonts w:ascii="Verdana" w:hAnsi="Verdana" w:cs="Verdana"/>
          <w:sz w:val="20"/>
          <w:szCs w:val="20"/>
        </w:rPr>
        <w:t xml:space="preserve">). </w:t>
      </w:r>
      <w:r w:rsidRPr="00A25EC0" w:rsidR="00014770">
        <w:rPr>
          <w:rFonts w:ascii="Verdana" w:hAnsi="Verdana" w:cs="Verdana"/>
          <w:sz w:val="20"/>
          <w:szCs w:val="20"/>
        </w:rPr>
        <w:t>Indien</w:t>
      </w:r>
      <w:r w:rsidRPr="00A25EC0" w:rsidR="00F54DAD">
        <w:rPr>
          <w:rFonts w:ascii="Verdana" w:hAnsi="Verdana"/>
          <w:sz w:val="20"/>
        </w:rPr>
        <w:t xml:space="preserve"> er </w:t>
      </w:r>
      <w:r w:rsidRPr="00A25EC0" w:rsidR="00014770">
        <w:rPr>
          <w:rFonts w:ascii="Verdana" w:hAnsi="Verdana"/>
          <w:sz w:val="20"/>
        </w:rPr>
        <w:t>sprake is</w:t>
      </w:r>
      <w:r w:rsidRPr="00A25EC0" w:rsidR="00F54DAD">
        <w:rPr>
          <w:rFonts w:ascii="Verdana" w:hAnsi="Verdana"/>
          <w:sz w:val="20"/>
        </w:rPr>
        <w:t xml:space="preserve"> van één de</w:t>
      </w:r>
      <w:r w:rsidRPr="00A25EC0" w:rsidR="00014770">
        <w:rPr>
          <w:rFonts w:ascii="Verdana" w:hAnsi="Verdana"/>
          <w:sz w:val="20"/>
        </w:rPr>
        <w:t>ze</w:t>
      </w:r>
      <w:r w:rsidRPr="00A25EC0" w:rsidR="00F54DAD">
        <w:rPr>
          <w:rFonts w:ascii="Verdana" w:hAnsi="Verdana"/>
          <w:sz w:val="20"/>
        </w:rPr>
        <w:t xml:space="preserve"> modaliteiten </w:t>
      </w:r>
      <w:r w:rsidRPr="00A25EC0" w:rsidR="00014770">
        <w:rPr>
          <w:rFonts w:ascii="Verdana" w:hAnsi="Verdana"/>
          <w:sz w:val="20"/>
        </w:rPr>
        <w:t xml:space="preserve">moet </w:t>
      </w:r>
      <w:r w:rsidRPr="00A25EC0" w:rsidR="00F54DAD">
        <w:rPr>
          <w:rFonts w:ascii="Verdana" w:hAnsi="Verdana"/>
          <w:sz w:val="20"/>
        </w:rPr>
        <w:t xml:space="preserve">de Comptabiliteitswet duidelijk </w:t>
      </w:r>
      <w:r w:rsidRPr="00A25EC0" w:rsidR="00130126">
        <w:rPr>
          <w:rFonts w:ascii="Verdana" w:hAnsi="Verdana"/>
          <w:sz w:val="20"/>
        </w:rPr>
        <w:t>regelen</w:t>
      </w:r>
      <w:r w:rsidRPr="00A25EC0" w:rsidR="00F54DAD">
        <w:rPr>
          <w:rFonts w:ascii="Verdana" w:hAnsi="Verdana"/>
          <w:sz w:val="20"/>
        </w:rPr>
        <w:t xml:space="preserve"> wat de gevolgen zijn voor de beleidsverantwoordelijke</w:t>
      </w:r>
      <w:r w:rsidRPr="00A25EC0" w:rsidR="00130126">
        <w:rPr>
          <w:rFonts w:ascii="Verdana" w:hAnsi="Verdana"/>
          <w:sz w:val="20"/>
        </w:rPr>
        <w:t xml:space="preserve"> minister</w:t>
      </w:r>
      <w:r w:rsidRPr="00A25EC0" w:rsidR="00014770">
        <w:rPr>
          <w:rFonts w:ascii="Verdana" w:hAnsi="Verdana"/>
          <w:sz w:val="20"/>
        </w:rPr>
        <w:t>. Hij moet zich immers over de kwaliteit</w:t>
      </w:r>
      <w:r w:rsidRPr="00A25EC0" w:rsidR="007B2FDF">
        <w:rPr>
          <w:rFonts w:ascii="Verdana" w:hAnsi="Verdana"/>
          <w:sz w:val="20"/>
        </w:rPr>
        <w:t>,</w:t>
      </w:r>
      <w:r w:rsidRPr="00A25EC0" w:rsidR="00014770">
        <w:rPr>
          <w:rFonts w:ascii="Verdana" w:hAnsi="Verdana"/>
          <w:sz w:val="20"/>
        </w:rPr>
        <w:t xml:space="preserve"> het financieel beheer en de financiële rechtmatigheid van</w:t>
      </w:r>
      <w:r w:rsidRPr="00A25EC0" w:rsidR="007B2FDF">
        <w:rPr>
          <w:rFonts w:ascii="Verdana" w:hAnsi="Verdana"/>
          <w:sz w:val="20"/>
        </w:rPr>
        <w:t xml:space="preserve"> de uitvoering tegenover de Kamer verantwoorden. </w:t>
      </w:r>
      <w:r w:rsidRPr="00A25EC0" w:rsidR="00834AEF">
        <w:rPr>
          <w:rFonts w:ascii="Verdana" w:hAnsi="Verdana" w:cs="Verdana"/>
          <w:sz w:val="20"/>
          <w:szCs w:val="20"/>
        </w:rPr>
        <w:t xml:space="preserve">Bij overdracht </w:t>
      </w:r>
      <w:r w:rsidRPr="00A25EC0" w:rsidR="00F60BFD">
        <w:rPr>
          <w:rFonts w:ascii="Verdana" w:hAnsi="Verdana" w:cs="Verdana"/>
          <w:sz w:val="20"/>
          <w:szCs w:val="20"/>
        </w:rPr>
        <w:t xml:space="preserve">van taken </w:t>
      </w:r>
      <w:r w:rsidRPr="00A25EC0">
        <w:rPr>
          <w:rFonts w:ascii="Verdana" w:hAnsi="Verdana" w:cs="Verdana"/>
          <w:sz w:val="20"/>
          <w:szCs w:val="20"/>
        </w:rPr>
        <w:t>moeten ministers</w:t>
      </w:r>
      <w:r w:rsidRPr="00A25EC0" w:rsidR="007B2FDF">
        <w:rPr>
          <w:rFonts w:ascii="Verdana" w:hAnsi="Verdana" w:cs="Verdana"/>
          <w:sz w:val="20"/>
          <w:szCs w:val="20"/>
        </w:rPr>
        <w:t xml:space="preserve"> dan ook</w:t>
      </w:r>
      <w:r w:rsidRPr="00A25EC0">
        <w:rPr>
          <w:rFonts w:ascii="Verdana" w:hAnsi="Verdana" w:cs="Verdana"/>
          <w:sz w:val="20"/>
          <w:szCs w:val="20"/>
        </w:rPr>
        <w:t xml:space="preserve"> </w:t>
      </w:r>
      <w:r w:rsidRPr="00A25EC0" w:rsidR="00F60BFD">
        <w:rPr>
          <w:rFonts w:ascii="Verdana" w:hAnsi="Verdana" w:cs="Verdana"/>
          <w:sz w:val="20"/>
          <w:szCs w:val="20"/>
        </w:rPr>
        <w:t xml:space="preserve">– al naar gelang de wettelijke basis voor overdracht - </w:t>
      </w:r>
      <w:r w:rsidRPr="00A25EC0">
        <w:rPr>
          <w:rFonts w:ascii="Verdana" w:hAnsi="Verdana" w:cs="Verdana"/>
          <w:i/>
          <w:sz w:val="20"/>
          <w:szCs w:val="20"/>
        </w:rPr>
        <w:t>toezicht</w:t>
      </w:r>
      <w:r w:rsidRPr="00A25EC0">
        <w:rPr>
          <w:rFonts w:ascii="Verdana" w:hAnsi="Verdana" w:cs="Verdana"/>
          <w:sz w:val="20"/>
          <w:szCs w:val="20"/>
        </w:rPr>
        <w:t xml:space="preserve"> houden op zulke organisaties die </w:t>
      </w:r>
      <w:r w:rsidRPr="00A25EC0" w:rsidR="00F60BFD">
        <w:rPr>
          <w:rFonts w:ascii="Verdana" w:hAnsi="Verdana" w:cs="Verdana"/>
          <w:sz w:val="20"/>
          <w:szCs w:val="20"/>
        </w:rPr>
        <w:t xml:space="preserve">uiteindelijk </w:t>
      </w:r>
      <w:r w:rsidRPr="00A25EC0">
        <w:rPr>
          <w:rFonts w:ascii="Verdana" w:hAnsi="Verdana" w:cs="Verdana"/>
          <w:sz w:val="20"/>
          <w:szCs w:val="20"/>
        </w:rPr>
        <w:t xml:space="preserve">publieke middelen beheren. </w:t>
      </w:r>
    </w:p>
    <w:p w:rsidRPr="00A25EC0" w:rsidR="007B2FDF" w:rsidP="007B2FDF" w:rsidRDefault="007B2FDF">
      <w:pPr>
        <w:rPr>
          <w:rFonts w:ascii="Verdana" w:hAnsi="Verdana" w:cs="Verdana"/>
          <w:sz w:val="20"/>
          <w:szCs w:val="20"/>
        </w:rPr>
      </w:pPr>
    </w:p>
    <w:p w:rsidRPr="00A25EC0" w:rsidR="007B2FDF" w:rsidP="007B2FDF" w:rsidRDefault="007B2FDF">
      <w:pPr>
        <w:rPr>
          <w:rFonts w:ascii="Verdana" w:hAnsi="Verdana" w:cs="Verdana"/>
          <w:sz w:val="20"/>
          <w:szCs w:val="20"/>
        </w:rPr>
      </w:pPr>
      <w:r w:rsidRPr="00A25EC0">
        <w:rPr>
          <w:rFonts w:ascii="Verdana" w:hAnsi="Verdana" w:cs="Verdana"/>
          <w:sz w:val="20"/>
          <w:szCs w:val="20"/>
        </w:rPr>
        <w:t xml:space="preserve">De afgelopen periode is het financieel beheer door instellingen op afstand van de </w:t>
      </w:r>
      <w:proofErr w:type="gramStart"/>
      <w:r w:rsidRPr="00A25EC0">
        <w:rPr>
          <w:rFonts w:ascii="Verdana" w:hAnsi="Verdana" w:cs="Verdana"/>
          <w:sz w:val="20"/>
          <w:szCs w:val="20"/>
        </w:rPr>
        <w:t xml:space="preserve">rijksdienst  </w:t>
      </w:r>
      <w:proofErr w:type="gramEnd"/>
      <w:r w:rsidRPr="00A25EC0">
        <w:rPr>
          <w:rFonts w:ascii="Verdana" w:hAnsi="Verdana" w:cs="Verdana"/>
          <w:sz w:val="20"/>
          <w:szCs w:val="20"/>
        </w:rPr>
        <w:t>(</w:t>
      </w:r>
      <w:proofErr w:type="spellStart"/>
      <w:r w:rsidRPr="00A25EC0">
        <w:rPr>
          <w:rFonts w:ascii="Verdana" w:hAnsi="Verdana" w:cs="Verdana"/>
          <w:sz w:val="20"/>
          <w:szCs w:val="20"/>
        </w:rPr>
        <w:t>Vestia</w:t>
      </w:r>
      <w:proofErr w:type="spellEnd"/>
      <w:r w:rsidRPr="00A25EC0">
        <w:rPr>
          <w:rFonts w:ascii="Verdana" w:hAnsi="Verdana" w:cs="Verdana"/>
          <w:sz w:val="20"/>
          <w:szCs w:val="20"/>
        </w:rPr>
        <w:t xml:space="preserve">, </w:t>
      </w:r>
      <w:proofErr w:type="spellStart"/>
      <w:r w:rsidRPr="00A25EC0">
        <w:rPr>
          <w:rFonts w:ascii="Verdana" w:hAnsi="Verdana" w:cs="Verdana"/>
          <w:sz w:val="20"/>
          <w:szCs w:val="20"/>
        </w:rPr>
        <w:t>Amarantis</w:t>
      </w:r>
      <w:proofErr w:type="spellEnd"/>
      <w:r w:rsidRPr="00A25EC0">
        <w:rPr>
          <w:rFonts w:ascii="Verdana" w:hAnsi="Verdana" w:cs="Verdana"/>
          <w:sz w:val="20"/>
          <w:szCs w:val="20"/>
        </w:rPr>
        <w:t xml:space="preserve">, </w:t>
      </w:r>
      <w:proofErr w:type="spellStart"/>
      <w:r w:rsidRPr="00A25EC0">
        <w:rPr>
          <w:rFonts w:ascii="Verdana" w:hAnsi="Verdana" w:cs="Verdana"/>
          <w:sz w:val="20"/>
          <w:szCs w:val="20"/>
        </w:rPr>
        <w:t>Meavita</w:t>
      </w:r>
      <w:proofErr w:type="spellEnd"/>
      <w:r w:rsidRPr="00A25EC0">
        <w:rPr>
          <w:rFonts w:ascii="Verdana" w:hAnsi="Verdana" w:cs="Verdana"/>
          <w:sz w:val="20"/>
          <w:szCs w:val="20"/>
        </w:rPr>
        <w:t xml:space="preserve">) regelmatig in het nieuws geweest. Deze kwesties hebben uiteraard de aandacht van de sectorministers en van de Minister van Financiën. Op verschillende manieren zal het financieel beheer van instellingen op afstand van de rijksdienst verbeterd moeten worden; </w:t>
      </w:r>
      <w:r w:rsidR="00EB24CF">
        <w:rPr>
          <w:rFonts w:ascii="Verdana" w:hAnsi="Verdana" w:cs="Verdana"/>
          <w:sz w:val="20"/>
          <w:szCs w:val="20"/>
        </w:rPr>
        <w:t xml:space="preserve">bijvoorbeeld </w:t>
      </w:r>
      <w:r w:rsidRPr="00A25EC0">
        <w:rPr>
          <w:rFonts w:ascii="Verdana" w:hAnsi="Verdana" w:cs="Verdana"/>
          <w:sz w:val="20"/>
          <w:szCs w:val="20"/>
        </w:rPr>
        <w:t xml:space="preserve">via een aanpassing van de sectorwetgeving waarin de bekostiging is geregeld, een versterking van het interne toezicht, scherpere eisen aan een heldere verantwoording van de publieke middelen en soms een versterking van het (externe) toezicht vanuit de verschillende ministeries. </w:t>
      </w:r>
    </w:p>
    <w:p w:rsidR="008E258A" w:rsidRDefault="007B2FDF">
      <w:pPr>
        <w:tabs>
          <w:tab w:val="left" w:pos="284"/>
        </w:tabs>
        <w:rPr>
          <w:rFonts w:ascii="Verdana" w:hAnsi="Verdana" w:cs="Verdana"/>
          <w:sz w:val="20"/>
          <w:szCs w:val="20"/>
        </w:rPr>
      </w:pPr>
      <w:r w:rsidRPr="00A25EC0">
        <w:rPr>
          <w:rFonts w:ascii="Verdana" w:hAnsi="Verdana" w:cs="Verdana"/>
          <w:sz w:val="20"/>
          <w:szCs w:val="20"/>
        </w:rPr>
        <w:t xml:space="preserve">Deze verbeteringen </w:t>
      </w:r>
      <w:r w:rsidR="00EB24CF">
        <w:rPr>
          <w:rFonts w:ascii="Verdana" w:hAnsi="Verdana" w:cs="Verdana"/>
          <w:sz w:val="20"/>
          <w:szCs w:val="20"/>
        </w:rPr>
        <w:t xml:space="preserve">kunnen </w:t>
      </w:r>
      <w:r w:rsidRPr="00A25EC0">
        <w:rPr>
          <w:rFonts w:ascii="Verdana" w:hAnsi="Verdana" w:cs="Verdana"/>
          <w:sz w:val="20"/>
          <w:szCs w:val="20"/>
        </w:rPr>
        <w:t>leid</w:t>
      </w:r>
      <w:r w:rsidR="00B22CAA">
        <w:rPr>
          <w:rFonts w:ascii="Verdana" w:hAnsi="Verdana" w:cs="Verdana"/>
          <w:sz w:val="20"/>
          <w:szCs w:val="20"/>
        </w:rPr>
        <w:t>en</w:t>
      </w:r>
      <w:r w:rsidRPr="00A25EC0">
        <w:rPr>
          <w:rFonts w:ascii="Verdana" w:hAnsi="Verdana" w:cs="Verdana"/>
          <w:sz w:val="20"/>
          <w:szCs w:val="20"/>
        </w:rPr>
        <w:t xml:space="preserve"> tot aanpassing van de sector regelgeving en/of van de Comptabiliteitswet. Bij de Miljoenennota 2014 wordt de Kamer geïnformeerd over het pakket maatregelen. </w:t>
      </w:r>
    </w:p>
    <w:p w:rsidR="00B22CAA" w:rsidRDefault="00B22CAA">
      <w:pPr>
        <w:tabs>
          <w:tab w:val="left" w:pos="284"/>
        </w:tabs>
        <w:rPr>
          <w:rFonts w:ascii="Verdana" w:hAnsi="Verdana" w:cs="Verdana"/>
          <w:sz w:val="20"/>
          <w:szCs w:val="20"/>
        </w:rPr>
      </w:pPr>
    </w:p>
    <w:p w:rsidRPr="00A25EC0" w:rsidR="00A45B97" w:rsidRDefault="00A45B97">
      <w:pPr>
        <w:rPr>
          <w:rFonts w:ascii="Verdana" w:hAnsi="Verdana" w:cs="Verdana"/>
          <w:i/>
          <w:iCs/>
          <w:sz w:val="20"/>
          <w:szCs w:val="20"/>
        </w:rPr>
      </w:pPr>
      <w:r w:rsidRPr="00A25EC0">
        <w:rPr>
          <w:rFonts w:ascii="Verdana" w:hAnsi="Verdana" w:cs="Verdana"/>
          <w:i/>
          <w:iCs/>
          <w:sz w:val="20"/>
          <w:szCs w:val="20"/>
        </w:rPr>
        <w:t>Een sterke financiële functie</w:t>
      </w:r>
    </w:p>
    <w:p w:rsidR="007F4843" w:rsidP="007F4843" w:rsidRDefault="00A45B97">
      <w:pPr>
        <w:pStyle w:val="Lijstalinea1"/>
        <w:tabs>
          <w:tab w:val="left" w:pos="0"/>
          <w:tab w:val="left" w:pos="142"/>
          <w:tab w:val="left" w:pos="284"/>
          <w:tab w:val="left" w:pos="426"/>
        </w:tabs>
        <w:ind w:left="0"/>
        <w:rPr>
          <w:rFonts w:ascii="Verdana" w:hAnsi="Verdana" w:cs="Verdana"/>
          <w:sz w:val="20"/>
          <w:szCs w:val="20"/>
        </w:rPr>
      </w:pPr>
      <w:r w:rsidRPr="00A25EC0">
        <w:rPr>
          <w:rFonts w:ascii="Verdana" w:hAnsi="Verdana" w:cs="Verdana"/>
          <w:sz w:val="20"/>
          <w:szCs w:val="20"/>
        </w:rPr>
        <w:t xml:space="preserve">Vanuit het perspectief van de ‘financiële </w:t>
      </w:r>
      <w:proofErr w:type="spellStart"/>
      <w:r w:rsidRPr="00A25EC0">
        <w:rPr>
          <w:rFonts w:ascii="Verdana" w:hAnsi="Verdana" w:cs="Verdana"/>
          <w:sz w:val="20"/>
          <w:szCs w:val="20"/>
        </w:rPr>
        <w:t>governance</w:t>
      </w:r>
      <w:proofErr w:type="spellEnd"/>
      <w:r w:rsidRPr="00A25EC0">
        <w:rPr>
          <w:rFonts w:ascii="Verdana" w:hAnsi="Verdana" w:cs="Verdana"/>
          <w:sz w:val="20"/>
          <w:szCs w:val="20"/>
        </w:rPr>
        <w:t xml:space="preserve">’ is het van belang om de positie van de financiële functie en van de </w:t>
      </w:r>
      <w:proofErr w:type="spellStart"/>
      <w:r w:rsidRPr="00910055">
        <w:rPr>
          <w:rFonts w:ascii="Verdana" w:hAnsi="Verdana" w:cs="Verdana"/>
          <w:sz w:val="20"/>
          <w:szCs w:val="20"/>
        </w:rPr>
        <w:t>auditfunctie</w:t>
      </w:r>
      <w:proofErr w:type="spellEnd"/>
      <w:r w:rsidRPr="00910055">
        <w:rPr>
          <w:rFonts w:ascii="Verdana" w:hAnsi="Verdana" w:cs="Verdana"/>
          <w:sz w:val="20"/>
          <w:szCs w:val="20"/>
        </w:rPr>
        <w:t xml:space="preserve"> </w:t>
      </w:r>
      <w:r w:rsidRPr="00910055" w:rsidR="007B2FDF">
        <w:rPr>
          <w:rStyle w:val="Voetnootmarkering"/>
          <w:rFonts w:ascii="Verdana" w:hAnsi="Verdana" w:cs="Verdana"/>
          <w:sz w:val="20"/>
          <w:szCs w:val="20"/>
        </w:rPr>
        <w:footnoteReference w:id="9"/>
      </w:r>
      <w:r w:rsidR="00570421">
        <w:rPr>
          <w:rFonts w:ascii="Verdana" w:hAnsi="Verdana" w:cs="Verdana"/>
          <w:sz w:val="20"/>
          <w:szCs w:val="20"/>
        </w:rPr>
        <w:t xml:space="preserve"> in de Comptabiliteitswet onafhankelijk van de </w:t>
      </w:r>
      <w:proofErr w:type="spellStart"/>
      <w:r w:rsidR="00570421">
        <w:rPr>
          <w:rFonts w:ascii="Verdana" w:hAnsi="Verdana" w:cs="Verdana"/>
          <w:sz w:val="20"/>
          <w:szCs w:val="20"/>
        </w:rPr>
        <w:t>beleids</w:t>
      </w:r>
      <w:proofErr w:type="spellEnd"/>
      <w:r w:rsidR="00570421">
        <w:rPr>
          <w:rFonts w:ascii="Verdana" w:hAnsi="Verdana" w:cs="Verdana"/>
          <w:sz w:val="20"/>
          <w:szCs w:val="20"/>
        </w:rPr>
        <w:t xml:space="preserve">- en </w:t>
      </w:r>
      <w:proofErr w:type="spellStart"/>
      <w:r w:rsidR="00570421">
        <w:rPr>
          <w:rFonts w:ascii="Verdana" w:hAnsi="Verdana" w:cs="Verdana"/>
          <w:sz w:val="20"/>
          <w:szCs w:val="20"/>
        </w:rPr>
        <w:t>bedrijfsvoeringsfuncties</w:t>
      </w:r>
      <w:proofErr w:type="spellEnd"/>
      <w:r w:rsidR="00570421">
        <w:rPr>
          <w:rFonts w:ascii="Verdana" w:hAnsi="Verdana" w:cs="Verdana"/>
          <w:sz w:val="20"/>
          <w:szCs w:val="20"/>
        </w:rPr>
        <w:t xml:space="preserve"> binnen een ministerie te borgen. Zoals hiervoor vermeld is dit momenteel geregeld in algemene maatregelen van bestuur. Borging in de wet heeft als voordeel dat de onafhankelijkheid niet aangetast kan worden</w:t>
      </w:r>
      <w:r w:rsidR="008657EE">
        <w:rPr>
          <w:rFonts w:ascii="Verdana" w:hAnsi="Verdana" w:cs="Verdana"/>
          <w:sz w:val="20"/>
          <w:szCs w:val="20"/>
        </w:rPr>
        <w:t>,</w:t>
      </w:r>
      <w:r w:rsidR="00570421">
        <w:rPr>
          <w:rFonts w:ascii="Verdana" w:hAnsi="Verdana" w:cs="Verdana"/>
          <w:sz w:val="20"/>
          <w:szCs w:val="20"/>
        </w:rPr>
        <w:t xml:space="preserve"> zonder dat de wetgever daarmee instemt. Over de wenselijkheid van de versterking van de onafhankelijke positie van de financiële functie en de </w:t>
      </w:r>
      <w:proofErr w:type="spellStart"/>
      <w:r w:rsidR="00570421">
        <w:rPr>
          <w:rFonts w:ascii="Verdana" w:hAnsi="Verdana" w:cs="Verdana"/>
          <w:sz w:val="20"/>
          <w:szCs w:val="20"/>
        </w:rPr>
        <w:t>auditfunctie</w:t>
      </w:r>
      <w:proofErr w:type="spellEnd"/>
      <w:r w:rsidR="00570421">
        <w:rPr>
          <w:rFonts w:ascii="Verdana" w:hAnsi="Verdana" w:cs="Verdana"/>
          <w:sz w:val="20"/>
          <w:szCs w:val="20"/>
        </w:rPr>
        <w:t xml:space="preserve"> is in 2007 overleg met d</w:t>
      </w:r>
      <w:r w:rsidR="00570421">
        <w:rPr>
          <w:rFonts w:ascii="Verdana" w:hAnsi="Verdana" w:cs="Verdana"/>
          <w:strike/>
          <w:sz w:val="20"/>
          <w:szCs w:val="20"/>
        </w:rPr>
        <w:t>e</w:t>
      </w:r>
      <w:r w:rsidR="00570421">
        <w:rPr>
          <w:rFonts w:ascii="Verdana" w:hAnsi="Verdana" w:cs="Verdana"/>
          <w:sz w:val="20"/>
          <w:szCs w:val="20"/>
        </w:rPr>
        <w:t xml:space="preserve"> Tweede Kamer gevoerd</w:t>
      </w:r>
      <w:r w:rsidR="00AC6D5B">
        <w:rPr>
          <w:rFonts w:ascii="Verdana" w:hAnsi="Verdana" w:cs="Verdana"/>
          <w:sz w:val="20"/>
          <w:szCs w:val="20"/>
        </w:rPr>
        <w:t>.</w:t>
      </w:r>
      <w:r w:rsidR="00570421">
        <w:rPr>
          <w:rStyle w:val="Voetnootmarkering"/>
          <w:rFonts w:ascii="Verdana" w:hAnsi="Verdana" w:cs="Verdana"/>
          <w:sz w:val="20"/>
          <w:szCs w:val="20"/>
        </w:rPr>
        <w:footnoteReference w:id="10"/>
      </w:r>
      <w:r w:rsidRPr="00125107" w:rsidR="00125107">
        <w:rPr>
          <w:rFonts w:ascii="Verdana" w:hAnsi="Verdana" w:cs="Verdana"/>
          <w:sz w:val="20"/>
          <w:szCs w:val="20"/>
        </w:rPr>
        <w:t xml:space="preserve"> </w:t>
      </w:r>
      <w:r w:rsidRPr="00125107" w:rsidR="00AC6D5B">
        <w:rPr>
          <w:rFonts w:ascii="Verdana" w:hAnsi="Verdana" w:cs="Verdana"/>
          <w:sz w:val="20"/>
          <w:szCs w:val="20"/>
        </w:rPr>
        <w:t>De positie van de directeur FEZ wordt o.a. versterkt door vast te leggen dat de benoeming van directeuren FEZ</w:t>
      </w:r>
      <w:r w:rsidRPr="00A25EC0" w:rsidR="00AC6D5B">
        <w:rPr>
          <w:rFonts w:ascii="Verdana" w:hAnsi="Verdana" w:cs="Verdana"/>
          <w:sz w:val="20"/>
          <w:szCs w:val="20"/>
        </w:rPr>
        <w:t xml:space="preserve"> in overeenstemming met de Minister van Financiën geschiedt. </w:t>
      </w:r>
      <w:r w:rsidR="007F4843">
        <w:rPr>
          <w:rFonts w:ascii="Verdana" w:hAnsi="Verdana" w:cs="Verdana"/>
          <w:sz w:val="20"/>
          <w:szCs w:val="20"/>
        </w:rPr>
        <w:t xml:space="preserve">Daarnaast wordt de mogelijkheid geregeld voor de directeur FEZ en de algemeen directeur ADR om bezwaren over zaken die financiële gevolgen kunnen hebben of zaken betreffende een onderzoek ter kennis van de </w:t>
      </w:r>
      <w:r w:rsidR="00E60F5A">
        <w:rPr>
          <w:rFonts w:ascii="Verdana" w:hAnsi="Verdana" w:cs="Verdana"/>
          <w:sz w:val="20"/>
          <w:szCs w:val="20"/>
        </w:rPr>
        <w:t xml:space="preserve">eigen minister </w:t>
      </w:r>
      <w:r w:rsidR="007F4843">
        <w:rPr>
          <w:rFonts w:ascii="Verdana" w:hAnsi="Verdana" w:cs="Verdana"/>
          <w:sz w:val="20"/>
          <w:szCs w:val="20"/>
        </w:rPr>
        <w:t>te brengen.</w:t>
      </w:r>
      <w:r w:rsidRPr="007F4843" w:rsidR="007F4843">
        <w:rPr>
          <w:rFonts w:ascii="Verdana" w:hAnsi="Verdana" w:cs="Verdana"/>
          <w:sz w:val="20"/>
          <w:szCs w:val="20"/>
        </w:rPr>
        <w:t xml:space="preserve"> </w:t>
      </w:r>
      <w:r w:rsidR="007F4843">
        <w:rPr>
          <w:rFonts w:ascii="Verdana" w:hAnsi="Verdana" w:cs="Verdana"/>
          <w:sz w:val="20"/>
          <w:szCs w:val="20"/>
        </w:rPr>
        <w:t xml:space="preserve">Dit geschiedt niet eerder dan nadat hierover overleg met de ambtelijke leiding van het </w:t>
      </w:r>
      <w:r w:rsidR="00E60F5A">
        <w:rPr>
          <w:rFonts w:ascii="Verdana" w:hAnsi="Verdana" w:cs="Verdana"/>
          <w:sz w:val="20"/>
          <w:szCs w:val="20"/>
        </w:rPr>
        <w:t xml:space="preserve">betreffende </w:t>
      </w:r>
      <w:r w:rsidR="007F4843">
        <w:rPr>
          <w:rFonts w:ascii="Verdana" w:hAnsi="Verdana" w:cs="Verdana"/>
          <w:sz w:val="20"/>
          <w:szCs w:val="20"/>
        </w:rPr>
        <w:t>ministerie heeft plaatsgevonden en dit overleg niet tot overeenstemming heeft geleid.</w:t>
      </w:r>
    </w:p>
    <w:p w:rsidRPr="00A25EC0" w:rsidR="00775380" w:rsidP="00AE30E5" w:rsidRDefault="00775380">
      <w:pPr>
        <w:pStyle w:val="Lijstalinea1"/>
        <w:tabs>
          <w:tab w:val="left" w:pos="0"/>
          <w:tab w:val="left" w:pos="142"/>
          <w:tab w:val="left" w:pos="284"/>
          <w:tab w:val="left" w:pos="426"/>
        </w:tabs>
        <w:ind w:left="0"/>
        <w:rPr>
          <w:rFonts w:ascii="Verdana" w:hAnsi="Verdana" w:cs="Verdana"/>
          <w:sz w:val="20"/>
          <w:szCs w:val="20"/>
        </w:rPr>
      </w:pPr>
    </w:p>
    <w:p w:rsidRPr="00A25EC0" w:rsidR="00A45B97" w:rsidP="00AE30E5" w:rsidRDefault="00A45B97">
      <w:pPr>
        <w:pStyle w:val="Lijstalinea1"/>
        <w:tabs>
          <w:tab w:val="left" w:pos="0"/>
          <w:tab w:val="left" w:pos="142"/>
          <w:tab w:val="left" w:pos="284"/>
          <w:tab w:val="left" w:pos="426"/>
        </w:tabs>
        <w:ind w:left="0"/>
        <w:rPr>
          <w:rFonts w:ascii="Verdana" w:hAnsi="Verdana" w:cs="Verdana"/>
          <w:sz w:val="20"/>
          <w:szCs w:val="20"/>
        </w:rPr>
      </w:pPr>
      <w:r w:rsidRPr="00A25EC0">
        <w:rPr>
          <w:rFonts w:ascii="Verdana" w:hAnsi="Verdana" w:cs="Verdana"/>
          <w:sz w:val="20"/>
          <w:szCs w:val="20"/>
        </w:rPr>
        <w:t xml:space="preserve">Vanwege het toegenomen belang van </w:t>
      </w:r>
      <w:proofErr w:type="spellStart"/>
      <w:r w:rsidRPr="00A25EC0">
        <w:rPr>
          <w:rFonts w:ascii="Verdana" w:hAnsi="Verdana" w:cs="Verdana"/>
          <w:sz w:val="20"/>
          <w:szCs w:val="20"/>
        </w:rPr>
        <w:t>audit</w:t>
      </w:r>
      <w:proofErr w:type="spellEnd"/>
      <w:r w:rsidRPr="00A25EC0">
        <w:rPr>
          <w:rFonts w:ascii="Verdana" w:hAnsi="Verdana" w:cs="Verdana"/>
          <w:sz w:val="20"/>
          <w:szCs w:val="20"/>
        </w:rPr>
        <w:t xml:space="preserve"> </w:t>
      </w:r>
      <w:proofErr w:type="spellStart"/>
      <w:r w:rsidRPr="00A25EC0">
        <w:rPr>
          <w:rFonts w:ascii="Verdana" w:hAnsi="Verdana" w:cs="Verdana"/>
          <w:sz w:val="20"/>
          <w:szCs w:val="20"/>
        </w:rPr>
        <w:t>committees</w:t>
      </w:r>
      <w:proofErr w:type="spellEnd"/>
      <w:r w:rsidRPr="00A25EC0">
        <w:rPr>
          <w:rFonts w:ascii="Verdana" w:hAnsi="Verdana" w:cs="Verdana"/>
          <w:sz w:val="20"/>
          <w:szCs w:val="20"/>
        </w:rPr>
        <w:t xml:space="preserve"> wordt voorgesteld in de wet te regelen dat binnen elk ministerie een </w:t>
      </w:r>
      <w:proofErr w:type="spellStart"/>
      <w:r w:rsidRPr="00A25EC0">
        <w:rPr>
          <w:rFonts w:ascii="Verdana" w:hAnsi="Verdana" w:cs="Verdana"/>
          <w:sz w:val="20"/>
          <w:szCs w:val="20"/>
        </w:rPr>
        <w:t>audit</w:t>
      </w:r>
      <w:proofErr w:type="spellEnd"/>
      <w:r w:rsidRPr="00A25EC0">
        <w:rPr>
          <w:rFonts w:ascii="Verdana" w:hAnsi="Verdana" w:cs="Verdana"/>
          <w:sz w:val="20"/>
          <w:szCs w:val="20"/>
        </w:rPr>
        <w:t xml:space="preserve"> </w:t>
      </w:r>
      <w:proofErr w:type="spellStart"/>
      <w:r w:rsidRPr="00A25EC0">
        <w:rPr>
          <w:rFonts w:ascii="Verdana" w:hAnsi="Verdana" w:cs="Verdana"/>
          <w:sz w:val="20"/>
          <w:szCs w:val="20"/>
        </w:rPr>
        <w:t>committee</w:t>
      </w:r>
      <w:proofErr w:type="spellEnd"/>
      <w:r w:rsidRPr="00A25EC0">
        <w:rPr>
          <w:rFonts w:ascii="Verdana" w:hAnsi="Verdana" w:cs="Verdana"/>
          <w:sz w:val="20"/>
          <w:szCs w:val="20"/>
        </w:rPr>
        <w:t xml:space="preserve"> moet worden ingesteld; deze bepaling is nu in het Besluit taak DAD</w:t>
      </w:r>
      <w:r w:rsidR="00210224">
        <w:rPr>
          <w:rStyle w:val="Voetnootmarkering"/>
          <w:rFonts w:ascii="Verdana" w:hAnsi="Verdana" w:cs="Verdana"/>
          <w:sz w:val="20"/>
          <w:szCs w:val="20"/>
        </w:rPr>
        <w:footnoteReference w:id="11"/>
      </w:r>
      <w:r w:rsidRPr="00A25EC0">
        <w:rPr>
          <w:rFonts w:ascii="Verdana" w:hAnsi="Verdana" w:cs="Verdana"/>
          <w:sz w:val="20"/>
          <w:szCs w:val="20"/>
        </w:rPr>
        <w:t xml:space="preserve"> geregeld</w:t>
      </w:r>
      <w:r w:rsidR="00210224">
        <w:rPr>
          <w:rFonts w:ascii="Verdana" w:hAnsi="Verdana" w:cs="Verdana"/>
          <w:sz w:val="20"/>
          <w:szCs w:val="20"/>
        </w:rPr>
        <w:t>.</w:t>
      </w:r>
      <w:r w:rsidRPr="00A25EC0">
        <w:rPr>
          <w:rFonts w:ascii="Verdana" w:hAnsi="Verdana" w:cs="Verdana"/>
          <w:sz w:val="20"/>
          <w:szCs w:val="20"/>
        </w:rPr>
        <w:t xml:space="preserve"> </w:t>
      </w:r>
    </w:p>
    <w:p w:rsidRPr="00A25EC0" w:rsidR="001D4D55" w:rsidRDefault="00A45B97">
      <w:pPr>
        <w:tabs>
          <w:tab w:val="left" w:pos="284"/>
        </w:tabs>
        <w:spacing w:after="200"/>
        <w:rPr>
          <w:rFonts w:ascii="Verdana" w:hAnsi="Verdana" w:cs="Verdana"/>
          <w:sz w:val="20"/>
          <w:szCs w:val="20"/>
        </w:rPr>
      </w:pPr>
      <w:r w:rsidRPr="00A25EC0">
        <w:rPr>
          <w:rFonts w:ascii="Verdana" w:hAnsi="Verdana" w:cs="Verdana"/>
          <w:sz w:val="20"/>
          <w:szCs w:val="20"/>
        </w:rPr>
        <w:t xml:space="preserve">De Minister van Financiën heeft van oudsher een coördinerende en toezichthoudende taak bij het begrotingsbeheer en de financiële bedrijfsvoering. </w:t>
      </w:r>
      <w:r w:rsidRPr="00A25EC0" w:rsidR="001D4D55">
        <w:rPr>
          <w:rFonts w:ascii="Verdana" w:hAnsi="Verdana" w:cs="Verdana"/>
          <w:sz w:val="20"/>
          <w:szCs w:val="20"/>
        </w:rPr>
        <w:t>D</w:t>
      </w:r>
      <w:r w:rsidRPr="00A25EC0">
        <w:rPr>
          <w:rFonts w:ascii="Verdana" w:hAnsi="Verdana" w:cs="Verdana"/>
          <w:sz w:val="20"/>
          <w:szCs w:val="20"/>
        </w:rPr>
        <w:t>e</w:t>
      </w:r>
      <w:r w:rsidRPr="00A25EC0" w:rsidR="00392E03">
        <w:rPr>
          <w:rFonts w:ascii="Verdana" w:hAnsi="Verdana" w:cs="Verdana"/>
          <w:sz w:val="20"/>
          <w:szCs w:val="20"/>
        </w:rPr>
        <w:t xml:space="preserve"> coördinerende en</w:t>
      </w:r>
      <w:r w:rsidRPr="00A25EC0">
        <w:rPr>
          <w:rFonts w:ascii="Verdana" w:hAnsi="Verdana" w:cs="Verdana"/>
          <w:sz w:val="20"/>
          <w:szCs w:val="20"/>
        </w:rPr>
        <w:t xml:space="preserve"> toezichthoudende taken</w:t>
      </w:r>
      <w:r w:rsidRPr="00A25EC0" w:rsidR="001D4D55">
        <w:rPr>
          <w:rFonts w:ascii="Verdana" w:hAnsi="Verdana" w:cs="Verdana"/>
          <w:sz w:val="20"/>
          <w:szCs w:val="20"/>
        </w:rPr>
        <w:t xml:space="preserve"> en bevoegdheden</w:t>
      </w:r>
      <w:r w:rsidRPr="00A25EC0">
        <w:rPr>
          <w:rFonts w:ascii="Verdana" w:hAnsi="Verdana" w:cs="Verdana"/>
          <w:sz w:val="20"/>
          <w:szCs w:val="20"/>
        </w:rPr>
        <w:t xml:space="preserve"> </w:t>
      </w:r>
      <w:r w:rsidRPr="00A25EC0" w:rsidR="00392E03">
        <w:rPr>
          <w:rFonts w:ascii="Verdana" w:hAnsi="Verdana" w:cs="Verdana"/>
          <w:sz w:val="20"/>
          <w:szCs w:val="20"/>
        </w:rPr>
        <w:t>zullen</w:t>
      </w:r>
      <w:r w:rsidRPr="00A25EC0" w:rsidR="001D4D55">
        <w:rPr>
          <w:rFonts w:ascii="Verdana" w:hAnsi="Verdana" w:cs="Verdana"/>
          <w:sz w:val="20"/>
          <w:szCs w:val="20"/>
        </w:rPr>
        <w:t xml:space="preserve">, </w:t>
      </w:r>
      <w:r w:rsidRPr="00A25EC0">
        <w:rPr>
          <w:rFonts w:ascii="Verdana" w:hAnsi="Verdana" w:cs="Verdana"/>
          <w:sz w:val="20"/>
          <w:szCs w:val="20"/>
        </w:rPr>
        <w:t>voor zover het de rijksdienst betreft, niet verander</w:t>
      </w:r>
      <w:r w:rsidRPr="00A25EC0" w:rsidR="00392E03">
        <w:rPr>
          <w:rFonts w:ascii="Verdana" w:hAnsi="Verdana" w:cs="Verdana"/>
          <w:sz w:val="20"/>
          <w:szCs w:val="20"/>
        </w:rPr>
        <w:t>en</w:t>
      </w:r>
      <w:r w:rsidRPr="00A25EC0" w:rsidR="00CA0F83">
        <w:rPr>
          <w:rFonts w:ascii="Verdana" w:hAnsi="Verdana" w:cs="Verdana"/>
          <w:sz w:val="20"/>
          <w:szCs w:val="20"/>
        </w:rPr>
        <w:t>.</w:t>
      </w:r>
    </w:p>
    <w:p w:rsidRPr="00A25EC0" w:rsidR="00A45B97" w:rsidRDefault="00A45B97">
      <w:pPr>
        <w:rPr>
          <w:rFonts w:ascii="Verdana" w:hAnsi="Verdana" w:cs="Verdana"/>
          <w:sz w:val="20"/>
          <w:szCs w:val="20"/>
        </w:rPr>
      </w:pPr>
      <w:r w:rsidRPr="00A25EC0">
        <w:rPr>
          <w:rFonts w:ascii="Verdana" w:hAnsi="Verdana" w:cs="Verdana"/>
          <w:i/>
          <w:iCs/>
          <w:sz w:val="20"/>
          <w:szCs w:val="20"/>
        </w:rPr>
        <w:t>Positie Algemene Rekenkamer</w:t>
      </w:r>
    </w:p>
    <w:p w:rsidRPr="00A25EC0" w:rsidR="00A45B97" w:rsidRDefault="00A45B97">
      <w:pPr>
        <w:rPr>
          <w:rFonts w:ascii="Verdana" w:hAnsi="Verdana" w:cs="Verdana"/>
          <w:sz w:val="20"/>
          <w:szCs w:val="20"/>
        </w:rPr>
      </w:pPr>
      <w:r w:rsidRPr="00A25EC0">
        <w:rPr>
          <w:rFonts w:ascii="Verdana" w:hAnsi="Verdana" w:cs="Verdana"/>
          <w:sz w:val="20"/>
          <w:szCs w:val="20"/>
        </w:rPr>
        <w:t xml:space="preserve">Artikel 76 van de Grondwet </w:t>
      </w:r>
      <w:proofErr w:type="gramStart"/>
      <w:r w:rsidRPr="00A25EC0">
        <w:rPr>
          <w:rFonts w:ascii="Verdana" w:hAnsi="Verdana" w:cs="Verdana"/>
          <w:sz w:val="20"/>
          <w:szCs w:val="20"/>
        </w:rPr>
        <w:t>bepaalt</w:t>
      </w:r>
      <w:proofErr w:type="gramEnd"/>
      <w:r w:rsidRPr="00A25EC0">
        <w:rPr>
          <w:rFonts w:ascii="Verdana" w:hAnsi="Verdana" w:cs="Verdana"/>
          <w:sz w:val="20"/>
          <w:szCs w:val="20"/>
        </w:rPr>
        <w:t xml:space="preserve">  ‘De Algemene Rekenkamer is belast met het onderzoek van de ontvangsten en uitgaven van het Rijk</w:t>
      </w:r>
      <w:r w:rsidRPr="00A25EC0" w:rsidR="00775380">
        <w:rPr>
          <w:rFonts w:ascii="Verdana" w:hAnsi="Verdana" w:cs="Verdana"/>
          <w:sz w:val="20"/>
          <w:szCs w:val="20"/>
        </w:rPr>
        <w:t>’</w:t>
      </w:r>
      <w:r w:rsidRPr="00A25EC0">
        <w:rPr>
          <w:rFonts w:ascii="Verdana" w:hAnsi="Verdana" w:cs="Verdana"/>
          <w:sz w:val="20"/>
          <w:szCs w:val="20"/>
        </w:rPr>
        <w:t>. In het Nederlandse stelsel neemt de Algemene Rekenkamer een zeer belangrijke</w:t>
      </w:r>
      <w:r w:rsidRPr="00A25EC0" w:rsidR="00775380">
        <w:rPr>
          <w:rFonts w:ascii="Verdana" w:hAnsi="Verdana" w:cs="Verdana"/>
          <w:sz w:val="20"/>
          <w:szCs w:val="20"/>
        </w:rPr>
        <w:t>, onafhankelijke</w:t>
      </w:r>
      <w:r w:rsidRPr="00A25EC0">
        <w:rPr>
          <w:rFonts w:ascii="Verdana" w:hAnsi="Verdana" w:cs="Verdana"/>
          <w:sz w:val="20"/>
          <w:szCs w:val="20"/>
        </w:rPr>
        <w:t xml:space="preserve"> positie in. De huidige regels </w:t>
      </w:r>
      <w:proofErr w:type="gramStart"/>
      <w:r w:rsidRPr="00A25EC0">
        <w:rPr>
          <w:rFonts w:ascii="Verdana" w:hAnsi="Verdana" w:cs="Verdana"/>
          <w:sz w:val="20"/>
          <w:szCs w:val="20"/>
        </w:rPr>
        <w:t>inzake</w:t>
      </w:r>
      <w:proofErr w:type="gramEnd"/>
      <w:r w:rsidRPr="00A25EC0">
        <w:rPr>
          <w:rFonts w:ascii="Verdana" w:hAnsi="Verdana" w:cs="Verdana"/>
          <w:sz w:val="20"/>
          <w:szCs w:val="20"/>
        </w:rPr>
        <w:t xml:space="preserve"> de taken en bevoegdheden van de Algemene Rekenkamer zijn gedetailleerd en complex. Over de taken en bevoegden </w:t>
      </w:r>
      <w:proofErr w:type="gramStart"/>
      <w:r w:rsidRPr="00A25EC0">
        <w:rPr>
          <w:rFonts w:ascii="Verdana" w:hAnsi="Verdana" w:cs="Verdana"/>
          <w:sz w:val="20"/>
          <w:szCs w:val="20"/>
        </w:rPr>
        <w:t>alsmede</w:t>
      </w:r>
      <w:proofErr w:type="gramEnd"/>
      <w:r w:rsidRPr="00A25EC0">
        <w:rPr>
          <w:rFonts w:ascii="Verdana" w:hAnsi="Verdana" w:cs="Verdana"/>
          <w:sz w:val="20"/>
          <w:szCs w:val="20"/>
        </w:rPr>
        <w:t xml:space="preserve"> wensen van de Algemene Rekenkamer tot aanpassing en uitbreiding van </w:t>
      </w:r>
      <w:r w:rsidRPr="00A25EC0" w:rsidR="00775380">
        <w:rPr>
          <w:rFonts w:ascii="Verdana" w:hAnsi="Verdana" w:cs="Verdana"/>
          <w:sz w:val="20"/>
          <w:szCs w:val="20"/>
        </w:rPr>
        <w:t xml:space="preserve">haar </w:t>
      </w:r>
      <w:r w:rsidRPr="00A25EC0">
        <w:rPr>
          <w:rFonts w:ascii="Verdana" w:hAnsi="Verdana" w:cs="Verdana"/>
          <w:sz w:val="20"/>
          <w:szCs w:val="20"/>
        </w:rPr>
        <w:t>taken is ambtelijk overleg gevoerd. In algemene zin kan worden vastgesteld dat het stelsel van taken en bevoegdheden is gebaseerd op de volgende uitgangspunten</w:t>
      </w:r>
      <w:proofErr w:type="gramStart"/>
      <w:r w:rsidRPr="00A25EC0">
        <w:rPr>
          <w:rFonts w:ascii="Verdana" w:hAnsi="Verdana" w:cs="Verdana"/>
          <w:sz w:val="20"/>
          <w:szCs w:val="20"/>
        </w:rPr>
        <w:t>:</w:t>
      </w:r>
      <w:r w:rsidRPr="00A25EC0">
        <w:rPr>
          <w:rFonts w:ascii="Verdana" w:hAnsi="Verdana" w:cs="Verdana"/>
          <w:sz w:val="20"/>
          <w:szCs w:val="20"/>
        </w:rPr>
        <w:br/>
      </w:r>
      <w:proofErr w:type="gramEnd"/>
    </w:p>
    <w:p w:rsidRPr="00A25EC0" w:rsidR="00A45B97" w:rsidRDefault="00A45B97">
      <w:pPr>
        <w:pStyle w:val="Lijstalinea"/>
        <w:numPr>
          <w:ilvl w:val="0"/>
          <w:numId w:val="24"/>
        </w:numPr>
        <w:rPr>
          <w:rFonts w:ascii="Verdana" w:hAnsi="Verdana" w:cs="Verdana"/>
          <w:sz w:val="20"/>
          <w:szCs w:val="20"/>
        </w:rPr>
      </w:pPr>
      <w:r w:rsidRPr="00A25EC0">
        <w:rPr>
          <w:rFonts w:ascii="Verdana" w:hAnsi="Verdana" w:cs="Verdana"/>
          <w:sz w:val="20"/>
          <w:szCs w:val="20"/>
        </w:rPr>
        <w:t xml:space="preserve">de </w:t>
      </w:r>
      <w:r w:rsidRPr="00A25EC0" w:rsidR="00775380">
        <w:rPr>
          <w:rFonts w:ascii="Verdana" w:hAnsi="Verdana" w:cs="Verdana"/>
          <w:sz w:val="20"/>
          <w:szCs w:val="20"/>
        </w:rPr>
        <w:t>Algemene Rekenkamer</w:t>
      </w:r>
      <w:r w:rsidRPr="00A25EC0">
        <w:rPr>
          <w:rFonts w:ascii="Verdana" w:hAnsi="Verdana" w:cs="Verdana"/>
          <w:sz w:val="20"/>
          <w:szCs w:val="20"/>
        </w:rPr>
        <w:t xml:space="preserve"> moet </w:t>
      </w:r>
      <w:r w:rsidRPr="00A25EC0" w:rsidR="001D4D55">
        <w:rPr>
          <w:rFonts w:ascii="Verdana" w:hAnsi="Verdana" w:cs="Verdana"/>
          <w:sz w:val="20"/>
          <w:szCs w:val="20"/>
        </w:rPr>
        <w:t xml:space="preserve">het geld op de </w:t>
      </w:r>
      <w:r w:rsidRPr="00A25EC0" w:rsidR="001D4D55">
        <w:rPr>
          <w:rFonts w:ascii="Verdana" w:hAnsi="Verdana" w:cs="Verdana"/>
          <w:i/>
          <w:sz w:val="20"/>
          <w:szCs w:val="20"/>
        </w:rPr>
        <w:t>rijks</w:t>
      </w:r>
      <w:r w:rsidRPr="00A25EC0">
        <w:rPr>
          <w:rFonts w:ascii="Verdana" w:hAnsi="Verdana" w:cs="Verdana"/>
          <w:i/>
          <w:sz w:val="20"/>
          <w:szCs w:val="20"/>
        </w:rPr>
        <w:t>begroting</w:t>
      </w:r>
      <w:r w:rsidRPr="00A25EC0">
        <w:rPr>
          <w:rFonts w:ascii="Verdana" w:hAnsi="Verdana" w:cs="Verdana"/>
          <w:sz w:val="20"/>
          <w:szCs w:val="20"/>
        </w:rPr>
        <w:t xml:space="preserve"> </w:t>
      </w:r>
      <w:r w:rsidRPr="00A25EC0" w:rsidR="0070353C">
        <w:rPr>
          <w:rFonts w:ascii="Verdana" w:hAnsi="Verdana" w:cs="Verdana"/>
          <w:sz w:val="20"/>
          <w:szCs w:val="20"/>
        </w:rPr>
        <w:t xml:space="preserve">onderzoeken, zowel de uitgaven als ook de ontvangsten. </w:t>
      </w:r>
      <w:r w:rsidRPr="00A25EC0">
        <w:rPr>
          <w:rFonts w:ascii="Verdana" w:hAnsi="Verdana" w:cs="Verdana"/>
          <w:sz w:val="20"/>
          <w:szCs w:val="20"/>
        </w:rPr>
        <w:t xml:space="preserve">Dit uitgangspunt volgt </w:t>
      </w:r>
      <w:r w:rsidRPr="00A25EC0" w:rsidR="0070353C">
        <w:rPr>
          <w:rFonts w:ascii="Verdana" w:hAnsi="Verdana" w:cs="Verdana"/>
          <w:sz w:val="20"/>
          <w:szCs w:val="20"/>
        </w:rPr>
        <w:t xml:space="preserve">rechtstreeks </w:t>
      </w:r>
      <w:r w:rsidRPr="00A25EC0">
        <w:rPr>
          <w:rFonts w:ascii="Verdana" w:hAnsi="Verdana" w:cs="Verdana"/>
          <w:sz w:val="20"/>
          <w:szCs w:val="20"/>
        </w:rPr>
        <w:t>uit artikel 76 van de Grondwet;</w:t>
      </w:r>
    </w:p>
    <w:p w:rsidRPr="00A25EC0" w:rsidR="00A45B97" w:rsidRDefault="00A45B97">
      <w:pPr>
        <w:pStyle w:val="Lijstalinea"/>
        <w:numPr>
          <w:ilvl w:val="0"/>
          <w:numId w:val="24"/>
        </w:numPr>
        <w:rPr>
          <w:rFonts w:ascii="Verdana" w:hAnsi="Verdana" w:cs="Verdana"/>
          <w:sz w:val="20"/>
          <w:szCs w:val="20"/>
        </w:rPr>
      </w:pPr>
      <w:r w:rsidRPr="00A25EC0">
        <w:rPr>
          <w:rFonts w:ascii="Verdana" w:hAnsi="Verdana" w:cs="Verdana"/>
          <w:sz w:val="20"/>
          <w:szCs w:val="20"/>
        </w:rPr>
        <w:t xml:space="preserve">de </w:t>
      </w:r>
      <w:r w:rsidRPr="00A25EC0" w:rsidR="00775380">
        <w:rPr>
          <w:rFonts w:ascii="Verdana" w:hAnsi="Verdana" w:cs="Verdana"/>
          <w:sz w:val="20"/>
          <w:szCs w:val="20"/>
        </w:rPr>
        <w:t>Algemene Rekenkamer</w:t>
      </w:r>
      <w:r w:rsidRPr="00A25EC0">
        <w:rPr>
          <w:rFonts w:ascii="Verdana" w:hAnsi="Verdana" w:cs="Verdana"/>
          <w:sz w:val="20"/>
          <w:szCs w:val="20"/>
        </w:rPr>
        <w:t xml:space="preserve"> kan de uitvoering van een</w:t>
      </w:r>
      <w:r w:rsidRPr="00A25EC0" w:rsidR="00775380">
        <w:rPr>
          <w:rFonts w:ascii="Verdana" w:hAnsi="Verdana" w:cs="Verdana"/>
          <w:sz w:val="20"/>
          <w:szCs w:val="20"/>
        </w:rPr>
        <w:t xml:space="preserve"> </w:t>
      </w:r>
      <w:r w:rsidRPr="00A25EC0">
        <w:rPr>
          <w:rFonts w:ascii="Verdana" w:hAnsi="Verdana" w:cs="Verdana"/>
          <w:sz w:val="20"/>
          <w:szCs w:val="20"/>
        </w:rPr>
        <w:t xml:space="preserve">wettelijke taak </w:t>
      </w:r>
      <w:r w:rsidR="008657EE">
        <w:rPr>
          <w:rFonts w:ascii="Verdana" w:hAnsi="Verdana" w:cs="Verdana"/>
          <w:sz w:val="20"/>
          <w:szCs w:val="20"/>
        </w:rPr>
        <w:t>door</w:t>
      </w:r>
      <w:r w:rsidRPr="00A25EC0" w:rsidR="00775380">
        <w:rPr>
          <w:rFonts w:ascii="Verdana" w:hAnsi="Verdana" w:cs="Verdana"/>
          <w:sz w:val="20"/>
          <w:szCs w:val="20"/>
        </w:rPr>
        <w:t xml:space="preserve"> organisaties op afstand van de rijksdienst </w:t>
      </w:r>
      <w:r w:rsidRPr="00A25EC0">
        <w:rPr>
          <w:rFonts w:ascii="Verdana" w:hAnsi="Verdana" w:cs="Verdana"/>
          <w:sz w:val="20"/>
          <w:szCs w:val="20"/>
        </w:rPr>
        <w:t xml:space="preserve">onderzoeken, </w:t>
      </w:r>
      <w:r w:rsidRPr="00A25EC0" w:rsidR="00775380">
        <w:rPr>
          <w:rFonts w:ascii="Verdana" w:hAnsi="Verdana" w:cs="Verdana"/>
          <w:sz w:val="20"/>
          <w:szCs w:val="20"/>
        </w:rPr>
        <w:t xml:space="preserve">indien </w:t>
      </w:r>
      <w:r w:rsidRPr="00A25EC0">
        <w:rPr>
          <w:rFonts w:ascii="Verdana" w:hAnsi="Verdana" w:cs="Verdana"/>
          <w:sz w:val="20"/>
          <w:szCs w:val="20"/>
        </w:rPr>
        <w:t>de uitvoering w</w:t>
      </w:r>
      <w:r w:rsidRPr="00A25EC0" w:rsidR="0070353C">
        <w:rPr>
          <w:rFonts w:ascii="Verdana" w:hAnsi="Verdana" w:cs="Verdana"/>
          <w:sz w:val="20"/>
          <w:szCs w:val="20"/>
        </w:rPr>
        <w:t xml:space="preserve">ordt bekostigd uit </w:t>
      </w:r>
      <w:r w:rsidRPr="00A25EC0" w:rsidR="0070353C">
        <w:rPr>
          <w:rFonts w:ascii="Verdana" w:hAnsi="Verdana" w:cs="Verdana"/>
          <w:i/>
          <w:sz w:val="20"/>
          <w:szCs w:val="20"/>
        </w:rPr>
        <w:t>publiek geld</w:t>
      </w:r>
      <w:r w:rsidRPr="00A25EC0" w:rsidR="0070353C">
        <w:rPr>
          <w:rFonts w:ascii="Verdana" w:hAnsi="Verdana" w:cs="Verdana"/>
          <w:sz w:val="20"/>
          <w:szCs w:val="20"/>
        </w:rPr>
        <w:t xml:space="preserve"> (</w:t>
      </w:r>
      <w:r w:rsidRPr="00A25EC0" w:rsidR="00775380">
        <w:rPr>
          <w:rFonts w:ascii="Verdana" w:hAnsi="Verdana" w:cs="Verdana"/>
          <w:sz w:val="20"/>
          <w:szCs w:val="20"/>
        </w:rPr>
        <w:t xml:space="preserve">dat </w:t>
      </w:r>
      <w:r w:rsidRPr="00A25EC0" w:rsidR="0070353C">
        <w:rPr>
          <w:rFonts w:ascii="Verdana" w:hAnsi="Verdana" w:cs="Verdana"/>
          <w:sz w:val="20"/>
          <w:szCs w:val="20"/>
        </w:rPr>
        <w:t xml:space="preserve">kan </w:t>
      </w:r>
      <w:r w:rsidRPr="00A25EC0" w:rsidR="00775380">
        <w:rPr>
          <w:rFonts w:ascii="Verdana" w:hAnsi="Verdana" w:cs="Verdana"/>
          <w:sz w:val="20"/>
          <w:szCs w:val="20"/>
        </w:rPr>
        <w:t>een</w:t>
      </w:r>
      <w:r w:rsidRPr="00A25EC0" w:rsidR="0070353C">
        <w:rPr>
          <w:rFonts w:ascii="Verdana" w:hAnsi="Verdana" w:cs="Verdana"/>
          <w:sz w:val="20"/>
          <w:szCs w:val="20"/>
        </w:rPr>
        <w:t xml:space="preserve"> wettelijke heffing, tarief</w:t>
      </w:r>
      <w:r w:rsidRPr="00A25EC0" w:rsidR="00775380">
        <w:rPr>
          <w:rFonts w:ascii="Verdana" w:hAnsi="Verdana" w:cs="Verdana"/>
          <w:sz w:val="20"/>
          <w:szCs w:val="20"/>
        </w:rPr>
        <w:t xml:space="preserve"> of</w:t>
      </w:r>
      <w:r w:rsidRPr="00A25EC0" w:rsidR="0070353C">
        <w:rPr>
          <w:rFonts w:ascii="Verdana" w:hAnsi="Verdana" w:cs="Verdana"/>
          <w:sz w:val="20"/>
          <w:szCs w:val="20"/>
        </w:rPr>
        <w:t xml:space="preserve"> begrotingsgeld</w:t>
      </w:r>
      <w:r w:rsidRPr="00A25EC0" w:rsidR="00775380">
        <w:rPr>
          <w:rFonts w:ascii="Verdana" w:hAnsi="Verdana" w:cs="Verdana"/>
          <w:sz w:val="20"/>
          <w:szCs w:val="20"/>
        </w:rPr>
        <w:t xml:space="preserve"> zijn</w:t>
      </w:r>
      <w:r w:rsidRPr="00A25EC0" w:rsidR="0070353C">
        <w:rPr>
          <w:rFonts w:ascii="Verdana" w:hAnsi="Verdana" w:cs="Verdana"/>
          <w:sz w:val="20"/>
          <w:szCs w:val="20"/>
        </w:rPr>
        <w:t>)</w:t>
      </w:r>
    </w:p>
    <w:p w:rsidR="008C11AA" w:rsidRDefault="0070353C">
      <w:pPr>
        <w:pStyle w:val="Lijstalinea"/>
        <w:numPr>
          <w:ilvl w:val="0"/>
          <w:numId w:val="24"/>
        </w:numPr>
        <w:rPr>
          <w:rFonts w:ascii="Verdana" w:hAnsi="Verdana" w:cs="Verdana"/>
          <w:sz w:val="20"/>
          <w:szCs w:val="20"/>
        </w:rPr>
      </w:pPr>
      <w:r w:rsidRPr="00A25EC0">
        <w:rPr>
          <w:rFonts w:ascii="Verdana" w:hAnsi="Verdana" w:cs="Verdana"/>
          <w:sz w:val="20"/>
          <w:szCs w:val="20"/>
        </w:rPr>
        <w:t xml:space="preserve">de </w:t>
      </w:r>
      <w:r w:rsidRPr="00A25EC0" w:rsidR="00752A1F">
        <w:rPr>
          <w:rFonts w:ascii="Verdana" w:hAnsi="Verdana" w:cs="Verdana"/>
          <w:sz w:val="20"/>
          <w:szCs w:val="20"/>
        </w:rPr>
        <w:t xml:space="preserve">informatiepositie </w:t>
      </w:r>
      <w:r w:rsidRPr="00A25EC0">
        <w:rPr>
          <w:rFonts w:ascii="Verdana" w:hAnsi="Verdana" w:cs="Verdana"/>
          <w:sz w:val="20"/>
          <w:szCs w:val="20"/>
        </w:rPr>
        <w:t xml:space="preserve">van de </w:t>
      </w:r>
      <w:r w:rsidRPr="00A25EC0" w:rsidR="00775380">
        <w:rPr>
          <w:rFonts w:ascii="Verdana" w:hAnsi="Verdana" w:cs="Verdana"/>
          <w:sz w:val="20"/>
          <w:szCs w:val="20"/>
        </w:rPr>
        <w:t>Algemene Rekenkamer</w:t>
      </w:r>
      <w:r w:rsidRPr="00A25EC0">
        <w:rPr>
          <w:rFonts w:ascii="Verdana" w:hAnsi="Verdana" w:cs="Verdana"/>
          <w:sz w:val="20"/>
          <w:szCs w:val="20"/>
        </w:rPr>
        <w:t xml:space="preserve"> en de minister moeten bij voorkeur </w:t>
      </w:r>
      <w:r w:rsidRPr="00A25EC0">
        <w:rPr>
          <w:rFonts w:ascii="Verdana" w:hAnsi="Verdana" w:cs="Verdana"/>
          <w:i/>
          <w:sz w:val="20"/>
          <w:szCs w:val="20"/>
        </w:rPr>
        <w:t>parallel lopen</w:t>
      </w:r>
      <w:r w:rsidRPr="00A25EC0" w:rsidR="00752A1F">
        <w:rPr>
          <w:rFonts w:ascii="Verdana" w:hAnsi="Verdana" w:cs="Verdana"/>
          <w:sz w:val="20"/>
          <w:szCs w:val="20"/>
        </w:rPr>
        <w:t>.</w:t>
      </w:r>
      <w:r w:rsidRPr="00A25EC0">
        <w:rPr>
          <w:rFonts w:ascii="Verdana" w:hAnsi="Verdana" w:cs="Verdana"/>
          <w:sz w:val="20"/>
          <w:szCs w:val="20"/>
        </w:rPr>
        <w:t xml:space="preserve"> De achter</w:t>
      </w:r>
      <w:r w:rsidRPr="00A25EC0" w:rsidR="00775380">
        <w:rPr>
          <w:rFonts w:ascii="Verdana" w:hAnsi="Verdana" w:cs="Verdana"/>
          <w:sz w:val="20"/>
          <w:szCs w:val="20"/>
        </w:rPr>
        <w:t xml:space="preserve">liggende gedachte bij </w:t>
      </w:r>
      <w:r w:rsidRPr="00A25EC0">
        <w:rPr>
          <w:rFonts w:ascii="Verdana" w:hAnsi="Verdana" w:cs="Verdana"/>
          <w:sz w:val="20"/>
          <w:szCs w:val="20"/>
        </w:rPr>
        <w:t>dit beginsel is dat het voor de ministeriële verantwoordelijk</w:t>
      </w:r>
      <w:r w:rsidRPr="00A25EC0" w:rsidR="00775380">
        <w:rPr>
          <w:rFonts w:ascii="Verdana" w:hAnsi="Verdana" w:cs="Verdana"/>
          <w:sz w:val="20"/>
          <w:szCs w:val="20"/>
        </w:rPr>
        <w:t>heid</w:t>
      </w:r>
      <w:r w:rsidRPr="00A25EC0">
        <w:rPr>
          <w:rFonts w:ascii="Verdana" w:hAnsi="Verdana" w:cs="Verdana"/>
          <w:sz w:val="20"/>
          <w:szCs w:val="20"/>
        </w:rPr>
        <w:t xml:space="preserve"> essentieel is dat een minister zich kan verantwoorden naar aanleiding van rapportages van de Algemene Rekenkamer. </w:t>
      </w:r>
    </w:p>
    <w:p w:rsidRPr="00EB24CF" w:rsidR="00B22CAA" w:rsidRDefault="00B22CAA">
      <w:pPr>
        <w:rPr>
          <w:rFonts w:ascii="Verdana" w:hAnsi="Verdana" w:cs="Verdana"/>
          <w:sz w:val="20"/>
          <w:szCs w:val="20"/>
        </w:rPr>
      </w:pPr>
    </w:p>
    <w:p w:rsidRPr="00EB24CF" w:rsidR="00B22CAA" w:rsidRDefault="00B22CAA">
      <w:pPr>
        <w:rPr>
          <w:rFonts w:ascii="Verdana" w:hAnsi="Verdana" w:cs="Verdana"/>
          <w:sz w:val="20"/>
          <w:szCs w:val="20"/>
        </w:rPr>
      </w:pPr>
    </w:p>
    <w:p w:rsidRPr="00EB24CF" w:rsidR="00A45B97" w:rsidRDefault="00125107">
      <w:pPr>
        <w:rPr>
          <w:rFonts w:ascii="Verdana" w:hAnsi="Verdana" w:cs="Verdana"/>
          <w:sz w:val="20"/>
          <w:szCs w:val="20"/>
        </w:rPr>
      </w:pPr>
      <w:r>
        <w:rPr>
          <w:rFonts w:ascii="Verdana" w:hAnsi="Verdana" w:cs="Verdana"/>
          <w:sz w:val="20"/>
          <w:szCs w:val="20"/>
        </w:rPr>
        <w:t xml:space="preserve">De nieuwe Comptabiliteitswet zal voorzien in een aantal </w:t>
      </w:r>
      <w:r>
        <w:rPr>
          <w:rFonts w:ascii="Verdana" w:hAnsi="Verdana" w:cs="Verdana"/>
          <w:i/>
          <w:iCs/>
          <w:sz w:val="20"/>
          <w:szCs w:val="20"/>
        </w:rPr>
        <w:t>uitbreidingen</w:t>
      </w:r>
      <w:r>
        <w:rPr>
          <w:rFonts w:ascii="Verdana" w:hAnsi="Verdana" w:cs="Verdana"/>
          <w:sz w:val="20"/>
          <w:szCs w:val="20"/>
        </w:rPr>
        <w:t xml:space="preserve"> van de bev</w:t>
      </w:r>
      <w:r w:rsidRPr="00125107">
        <w:rPr>
          <w:rFonts w:ascii="Verdana" w:hAnsi="Verdana" w:cs="Verdana"/>
          <w:i/>
          <w:sz w:val="20"/>
          <w:szCs w:val="20"/>
        </w:rPr>
        <w:t xml:space="preserve">oegdheden van </w:t>
      </w:r>
      <w:r w:rsidRPr="00EB24CF" w:rsidR="00A45B97">
        <w:rPr>
          <w:rFonts w:ascii="Verdana" w:hAnsi="Verdana" w:cs="Verdana"/>
          <w:sz w:val="20"/>
          <w:szCs w:val="20"/>
        </w:rPr>
        <w:t>de Algemene Rekenkamer:</w:t>
      </w:r>
    </w:p>
    <w:p w:rsidRPr="00EB24CF" w:rsidR="00A45B97" w:rsidRDefault="00A45B97">
      <w:pPr>
        <w:rPr>
          <w:rFonts w:ascii="Verdana" w:hAnsi="Verdana" w:cs="Verdana"/>
          <w:sz w:val="20"/>
          <w:szCs w:val="20"/>
        </w:rPr>
      </w:pPr>
    </w:p>
    <w:p w:rsidRPr="00A25EC0" w:rsidR="00A45B97" w:rsidRDefault="00A45B97">
      <w:pPr>
        <w:pStyle w:val="Lijstalinea"/>
        <w:keepNext/>
        <w:numPr>
          <w:ilvl w:val="0"/>
          <w:numId w:val="29"/>
        </w:numPr>
        <w:rPr>
          <w:rFonts w:ascii="Verdana" w:hAnsi="Verdana" w:cs="Verdana"/>
          <w:sz w:val="20"/>
          <w:szCs w:val="20"/>
        </w:rPr>
      </w:pPr>
      <w:r w:rsidRPr="00A25EC0">
        <w:rPr>
          <w:rFonts w:ascii="Verdana" w:hAnsi="Verdana" w:cs="Verdana"/>
          <w:sz w:val="20"/>
          <w:szCs w:val="20"/>
        </w:rPr>
        <w:t xml:space="preserve">de bevoegdheid tot onderzoek in het geval van bijdragen in </w:t>
      </w:r>
      <w:proofErr w:type="spellStart"/>
      <w:r w:rsidRPr="00A25EC0">
        <w:rPr>
          <w:rFonts w:ascii="Verdana" w:hAnsi="Verdana" w:cs="Verdana"/>
          <w:sz w:val="20"/>
          <w:szCs w:val="20"/>
        </w:rPr>
        <w:t>natura</w:t>
      </w:r>
      <w:proofErr w:type="spellEnd"/>
      <w:r w:rsidRPr="00A25EC0" w:rsidR="00E07E21">
        <w:rPr>
          <w:rFonts w:ascii="Verdana" w:hAnsi="Verdana" w:cs="Verdana"/>
          <w:sz w:val="20"/>
          <w:szCs w:val="20"/>
        </w:rPr>
        <w:t xml:space="preserve"> en van </w:t>
      </w:r>
      <w:r w:rsidRPr="00A25EC0">
        <w:rPr>
          <w:rFonts w:ascii="Verdana" w:hAnsi="Verdana" w:cs="Verdana"/>
          <w:sz w:val="20"/>
          <w:szCs w:val="20"/>
        </w:rPr>
        <w:t>belastingkortingen met een specifiek beleidsdoel</w:t>
      </w:r>
      <w:r w:rsidRPr="00A25EC0" w:rsidR="00B6437C">
        <w:rPr>
          <w:rFonts w:ascii="Verdana" w:hAnsi="Verdana" w:cs="Verdana"/>
          <w:sz w:val="20"/>
          <w:szCs w:val="20"/>
        </w:rPr>
        <w:t xml:space="preserve">. Dit betreft een uitbreiding aangezien onderzoek thans beperkt is tot </w:t>
      </w:r>
      <w:r w:rsidRPr="00A25EC0" w:rsidR="00E07E21">
        <w:rPr>
          <w:rFonts w:ascii="Verdana" w:hAnsi="Verdana" w:cs="Verdana"/>
          <w:sz w:val="20"/>
          <w:szCs w:val="20"/>
        </w:rPr>
        <w:t>subsidies, leningen, deelnemingen en garanties;</w:t>
      </w:r>
    </w:p>
    <w:p w:rsidRPr="00A25EC0" w:rsidR="00A45B97" w:rsidRDefault="00A45B97">
      <w:pPr>
        <w:pStyle w:val="Lijstalinea"/>
        <w:numPr>
          <w:ilvl w:val="0"/>
          <w:numId w:val="29"/>
        </w:numPr>
        <w:rPr>
          <w:rFonts w:ascii="Verdana" w:hAnsi="Verdana" w:cs="Verdana"/>
          <w:sz w:val="20"/>
          <w:szCs w:val="20"/>
        </w:rPr>
      </w:pPr>
      <w:r w:rsidRPr="00A25EC0">
        <w:rPr>
          <w:rFonts w:ascii="Verdana" w:hAnsi="Verdana" w:cs="Verdana"/>
          <w:sz w:val="20"/>
          <w:szCs w:val="20"/>
        </w:rPr>
        <w:t>onderzoek van de verklaring EU-uitgaven is opgenomen als taak van de Algemene Rekenkamer. Het opmaken van de verklaring EU-uitgaven door de Minister van Financiën is geregeld als een bevoegdheid</w:t>
      </w:r>
      <w:r w:rsidRPr="00A25EC0" w:rsidR="00012AF1">
        <w:rPr>
          <w:rFonts w:ascii="Verdana" w:hAnsi="Verdana" w:cs="Verdana"/>
          <w:sz w:val="20"/>
          <w:szCs w:val="20"/>
        </w:rPr>
        <w:t>.</w:t>
      </w:r>
      <w:r w:rsidR="00C84D0A">
        <w:rPr>
          <w:rFonts w:ascii="Verdana" w:hAnsi="Verdana" w:cs="Verdana"/>
          <w:sz w:val="20"/>
          <w:szCs w:val="20"/>
        </w:rPr>
        <w:t xml:space="preserve"> </w:t>
      </w:r>
      <w:r w:rsidRPr="00A25EC0">
        <w:rPr>
          <w:rFonts w:ascii="Verdana" w:hAnsi="Verdana" w:cs="Verdana"/>
          <w:sz w:val="20"/>
          <w:szCs w:val="20"/>
        </w:rPr>
        <w:t xml:space="preserve">Als er echter </w:t>
      </w:r>
      <w:r w:rsidRPr="00A25EC0" w:rsidR="00012AF1">
        <w:rPr>
          <w:rFonts w:ascii="Verdana" w:hAnsi="Verdana" w:cs="Verdana"/>
          <w:sz w:val="20"/>
          <w:szCs w:val="20"/>
        </w:rPr>
        <w:t xml:space="preserve">wordt overgegaan tot het opmaken van </w:t>
      </w:r>
      <w:r w:rsidRPr="00A25EC0">
        <w:rPr>
          <w:rFonts w:ascii="Verdana" w:hAnsi="Verdana" w:cs="Verdana"/>
          <w:sz w:val="20"/>
          <w:szCs w:val="20"/>
        </w:rPr>
        <w:t xml:space="preserve">een verklaring EU-uitgaven, </w:t>
      </w:r>
      <w:r w:rsidRPr="00A25EC0" w:rsidR="00ED15B5">
        <w:rPr>
          <w:rFonts w:ascii="Verdana" w:hAnsi="Verdana" w:cs="Verdana"/>
          <w:sz w:val="20"/>
          <w:szCs w:val="20"/>
        </w:rPr>
        <w:t>zal</w:t>
      </w:r>
      <w:r w:rsidRPr="00A25EC0">
        <w:rPr>
          <w:rFonts w:ascii="Verdana" w:hAnsi="Verdana" w:cs="Verdana"/>
          <w:sz w:val="20"/>
          <w:szCs w:val="20"/>
        </w:rPr>
        <w:t xml:space="preserve"> de Algemene Rekenkamer die </w:t>
      </w:r>
      <w:r w:rsidRPr="00A25EC0" w:rsidR="00ED15B5">
        <w:rPr>
          <w:rFonts w:ascii="Verdana" w:hAnsi="Verdana" w:cs="Verdana"/>
          <w:sz w:val="20"/>
          <w:szCs w:val="20"/>
        </w:rPr>
        <w:t xml:space="preserve">overigens moeten </w:t>
      </w:r>
      <w:r w:rsidRPr="00A25EC0" w:rsidR="00012AF1">
        <w:rPr>
          <w:rFonts w:ascii="Verdana" w:hAnsi="Verdana" w:cs="Verdana"/>
          <w:sz w:val="20"/>
          <w:szCs w:val="20"/>
        </w:rPr>
        <w:t xml:space="preserve">gaan </w:t>
      </w:r>
      <w:r w:rsidRPr="00A25EC0">
        <w:rPr>
          <w:rFonts w:ascii="Verdana" w:hAnsi="Verdana" w:cs="Verdana"/>
          <w:sz w:val="20"/>
          <w:szCs w:val="20"/>
        </w:rPr>
        <w:t>onderzoeken;</w:t>
      </w:r>
    </w:p>
    <w:p w:rsidRPr="00A25EC0" w:rsidR="00A45B97" w:rsidRDefault="00A45B97">
      <w:pPr>
        <w:pStyle w:val="Lijstalinea"/>
        <w:keepNext/>
        <w:numPr>
          <w:ilvl w:val="0"/>
          <w:numId w:val="29"/>
        </w:numPr>
        <w:rPr>
          <w:rFonts w:ascii="Verdana" w:hAnsi="Verdana" w:cs="Verdana"/>
          <w:sz w:val="20"/>
          <w:szCs w:val="20"/>
        </w:rPr>
      </w:pPr>
      <w:r w:rsidRPr="00A25EC0">
        <w:rPr>
          <w:rFonts w:ascii="Verdana" w:hAnsi="Verdana" w:cs="Verdana"/>
          <w:sz w:val="20"/>
          <w:szCs w:val="20"/>
        </w:rPr>
        <w:t>de bevoegdheid om in internationaal verband activiteiten te ontplooien die aansluiten bij haar kerntaken en -bevoegdheden.</w:t>
      </w:r>
      <w:r w:rsidRPr="00A25EC0" w:rsidR="00CA0F83">
        <w:rPr>
          <w:rFonts w:ascii="Verdana" w:hAnsi="Verdana" w:cs="Verdana"/>
          <w:sz w:val="20"/>
          <w:szCs w:val="20"/>
        </w:rPr>
        <w:t xml:space="preserve"> </w:t>
      </w:r>
      <w:r w:rsidRPr="00A25EC0" w:rsidR="000B2FEC">
        <w:rPr>
          <w:rFonts w:ascii="Verdana" w:hAnsi="Verdana" w:cs="Verdana"/>
          <w:sz w:val="20"/>
          <w:szCs w:val="20"/>
        </w:rPr>
        <w:t>De huidige wet vormt weliswaar</w:t>
      </w:r>
      <w:r w:rsidRPr="00A25EC0" w:rsidR="00B6437C">
        <w:rPr>
          <w:rFonts w:ascii="Verdana" w:hAnsi="Verdana" w:cs="Verdana"/>
          <w:sz w:val="20"/>
          <w:szCs w:val="20"/>
        </w:rPr>
        <w:t xml:space="preserve"> geen beletsel om dergelijke taken uit te voeren</w:t>
      </w:r>
      <w:r w:rsidRPr="00A25EC0" w:rsidR="000B2FEC">
        <w:rPr>
          <w:rFonts w:ascii="Verdana" w:hAnsi="Verdana" w:cs="Verdana"/>
          <w:sz w:val="20"/>
          <w:szCs w:val="20"/>
        </w:rPr>
        <w:t>. G</w:t>
      </w:r>
      <w:r w:rsidRPr="00A25EC0" w:rsidR="00B6437C">
        <w:rPr>
          <w:rFonts w:ascii="Verdana" w:hAnsi="Verdana" w:cs="Verdana"/>
          <w:sz w:val="20"/>
          <w:szCs w:val="20"/>
        </w:rPr>
        <w:t xml:space="preserve">elet </w:t>
      </w:r>
      <w:r w:rsidRPr="00A25EC0" w:rsidR="000B2FEC">
        <w:rPr>
          <w:rFonts w:ascii="Verdana" w:hAnsi="Verdana" w:cs="Verdana"/>
          <w:sz w:val="20"/>
          <w:szCs w:val="20"/>
        </w:rPr>
        <w:t xml:space="preserve">echter </w:t>
      </w:r>
      <w:r w:rsidRPr="00A25EC0" w:rsidR="00B6437C">
        <w:rPr>
          <w:rFonts w:ascii="Verdana" w:hAnsi="Verdana" w:cs="Verdana"/>
          <w:sz w:val="20"/>
          <w:szCs w:val="20"/>
        </w:rPr>
        <w:t>op de uitdrukkelijke opdracht van de Grondwetgever om de taken van de Algemene Rekenkamer bij wet te regelen</w:t>
      </w:r>
      <w:r w:rsidRPr="00A25EC0" w:rsidR="000B2FEC">
        <w:rPr>
          <w:rFonts w:ascii="Verdana" w:hAnsi="Verdana" w:cs="Verdana"/>
          <w:sz w:val="20"/>
          <w:szCs w:val="20"/>
        </w:rPr>
        <w:t xml:space="preserve">, </w:t>
      </w:r>
      <w:r w:rsidRPr="00A25EC0" w:rsidR="00B6437C">
        <w:rPr>
          <w:rFonts w:ascii="Verdana" w:hAnsi="Verdana" w:cs="Verdana"/>
          <w:sz w:val="20"/>
          <w:szCs w:val="20"/>
        </w:rPr>
        <w:t>is voor een specifieke wettelijke grondslag gekozen.</w:t>
      </w:r>
    </w:p>
    <w:p w:rsidRPr="00A25EC0" w:rsidR="00A45B97" w:rsidRDefault="00A45B97">
      <w:pPr>
        <w:keepNext/>
        <w:ind w:left="284"/>
        <w:rPr>
          <w:rFonts w:ascii="Verdana" w:hAnsi="Verdana" w:cs="Verdana"/>
          <w:sz w:val="20"/>
          <w:szCs w:val="20"/>
        </w:rPr>
      </w:pPr>
    </w:p>
    <w:p w:rsidRPr="00A25EC0" w:rsidR="00A45B97" w:rsidRDefault="00A45B97">
      <w:pPr>
        <w:keepNext/>
        <w:rPr>
          <w:rFonts w:ascii="Verdana" w:hAnsi="Verdana" w:cs="Verdana"/>
          <w:sz w:val="20"/>
          <w:szCs w:val="20"/>
        </w:rPr>
      </w:pPr>
      <w:r w:rsidRPr="00A25EC0">
        <w:rPr>
          <w:rFonts w:ascii="Verdana" w:hAnsi="Verdana" w:cs="Verdana"/>
          <w:sz w:val="20"/>
          <w:szCs w:val="20"/>
        </w:rPr>
        <w:t xml:space="preserve">Voor de volledigheid wordt gemeld dat de bevoegdheid van de Algemene Rekenkamer bij De Nederlandsche Bank </w:t>
      </w:r>
      <w:r w:rsidRPr="00A25EC0" w:rsidR="00ED15B5">
        <w:rPr>
          <w:rFonts w:ascii="Verdana" w:hAnsi="Verdana" w:cs="Verdana"/>
          <w:sz w:val="20"/>
          <w:szCs w:val="20"/>
        </w:rPr>
        <w:t>en de Autoriteit Financiële Markten</w:t>
      </w:r>
      <w:r w:rsidRPr="00A25EC0">
        <w:rPr>
          <w:rFonts w:ascii="Verdana" w:hAnsi="Verdana" w:cs="Verdana"/>
          <w:sz w:val="20"/>
          <w:szCs w:val="20"/>
        </w:rPr>
        <w:t xml:space="preserve"> wordt uitgebreid met toegang tot </w:t>
      </w:r>
      <w:r w:rsidRPr="00A25EC0" w:rsidR="00C84D0A">
        <w:rPr>
          <w:rFonts w:ascii="Verdana" w:hAnsi="Verdana" w:cs="Verdana"/>
          <w:sz w:val="20"/>
          <w:szCs w:val="20"/>
        </w:rPr>
        <w:t>toezichtvertrouwelijke</w:t>
      </w:r>
      <w:r w:rsidRPr="00A25EC0">
        <w:rPr>
          <w:rFonts w:ascii="Verdana" w:hAnsi="Verdana" w:cs="Verdana"/>
          <w:sz w:val="20"/>
          <w:szCs w:val="20"/>
        </w:rPr>
        <w:t xml:space="preserve"> informatie bij </w:t>
      </w:r>
      <w:r w:rsidRPr="00A25EC0" w:rsidR="00ED15B5">
        <w:rPr>
          <w:rFonts w:ascii="Verdana" w:hAnsi="Verdana" w:cs="Verdana"/>
          <w:sz w:val="20"/>
          <w:szCs w:val="20"/>
        </w:rPr>
        <w:t>die instellingen</w:t>
      </w:r>
      <w:r w:rsidRPr="00A25EC0">
        <w:rPr>
          <w:rFonts w:ascii="Verdana" w:hAnsi="Verdana" w:cs="Verdana"/>
          <w:sz w:val="20"/>
          <w:szCs w:val="20"/>
        </w:rPr>
        <w:t>. Deze uitbreiding wordt geregeld via een wijziging van de Wet op het Financieel Toezicht.</w:t>
      </w:r>
    </w:p>
    <w:p w:rsidRPr="00A25EC0" w:rsidR="00A45B97" w:rsidRDefault="00A45B97">
      <w:pPr>
        <w:keepNext/>
        <w:rPr>
          <w:rFonts w:ascii="Verdana" w:hAnsi="Verdana" w:cs="Verdana"/>
          <w:sz w:val="20"/>
          <w:szCs w:val="20"/>
        </w:rPr>
      </w:pPr>
    </w:p>
    <w:p w:rsidR="00A45B97" w:rsidRDefault="00A45B97">
      <w:pPr>
        <w:keepNext/>
        <w:rPr>
          <w:rFonts w:ascii="Verdana" w:hAnsi="Verdana" w:cs="Verdana"/>
          <w:b/>
          <w:bCs/>
          <w:sz w:val="20"/>
          <w:szCs w:val="20"/>
        </w:rPr>
      </w:pPr>
      <w:r w:rsidRPr="00A25EC0">
        <w:rPr>
          <w:rFonts w:ascii="Verdana" w:hAnsi="Verdana" w:cs="Verdana"/>
          <w:sz w:val="20"/>
          <w:szCs w:val="20"/>
        </w:rPr>
        <w:t xml:space="preserve">Tot slot wordt voorgesteld om de ‘hoor en wederhoor’-procedure </w:t>
      </w:r>
      <w:r w:rsidRPr="00A25EC0" w:rsidR="00012AF1">
        <w:rPr>
          <w:rFonts w:ascii="Verdana" w:hAnsi="Verdana" w:cs="Verdana"/>
          <w:sz w:val="20"/>
          <w:szCs w:val="20"/>
        </w:rPr>
        <w:t xml:space="preserve">ingeval van het uitbrengen van een onderzoek </w:t>
      </w:r>
      <w:r w:rsidRPr="00A25EC0">
        <w:rPr>
          <w:rFonts w:ascii="Verdana" w:hAnsi="Verdana" w:cs="Verdana"/>
          <w:sz w:val="20"/>
          <w:szCs w:val="20"/>
        </w:rPr>
        <w:t>in de wet vast te leggen. Uitgangspunt daarbij is dat de Algemene Rekenkamer de betrokken minister en eventueel andere in het onderzoek betrokken wederpartijen voldoende gelegenheid moet geven om te reageren op haar bevindingen en voorlopige oordeel.</w:t>
      </w:r>
      <w:r>
        <w:rPr>
          <w:rFonts w:ascii="Verdana" w:hAnsi="Verdana" w:cs="Verdana"/>
          <w:sz w:val="20"/>
          <w:szCs w:val="20"/>
        </w:rPr>
        <w:t xml:space="preserve"> </w:t>
      </w:r>
    </w:p>
    <w:p w:rsidR="00A45B97" w:rsidRDefault="00A45B97">
      <w:pPr>
        <w:keepNext/>
        <w:rPr>
          <w:rFonts w:ascii="Verdana" w:hAnsi="Verdana" w:cs="Verdana"/>
          <w:sz w:val="20"/>
          <w:szCs w:val="20"/>
        </w:rPr>
      </w:pPr>
    </w:p>
    <w:p w:rsidRPr="00983EC5" w:rsidR="00983EC5" w:rsidP="0070353C" w:rsidRDefault="00983EC5">
      <w:pPr>
        <w:spacing w:line="240" w:lineRule="atLeast"/>
        <w:rPr>
          <w:rFonts w:ascii="Verdana" w:hAnsi="Verdana" w:cs="Verdana"/>
          <w:b/>
          <w:sz w:val="20"/>
          <w:szCs w:val="20"/>
        </w:rPr>
      </w:pPr>
    </w:p>
    <w:sectPr w:rsidRPr="00983EC5" w:rsidR="00983EC5" w:rsidSect="00A45B97">
      <w:headerReference w:type="default"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43" w:rsidRDefault="007F4843">
      <w:pPr>
        <w:rPr>
          <w:rFonts w:cs="Times New Roman"/>
        </w:rPr>
      </w:pPr>
      <w:r>
        <w:rPr>
          <w:rFonts w:cs="Times New Roman"/>
        </w:rPr>
        <w:separator/>
      </w:r>
    </w:p>
  </w:endnote>
  <w:endnote w:type="continuationSeparator" w:id="0">
    <w:p w:rsidR="007F4843" w:rsidRDefault="007F484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43" w:rsidRPr="009F4D08" w:rsidRDefault="007F4843">
    <w:pPr>
      <w:pStyle w:val="Voettekst"/>
      <w:pBdr>
        <w:top w:val="thinThickSmallGap" w:sz="24" w:space="1" w:color="622423" w:themeColor="accent2" w:themeShade="7F"/>
      </w:pBdr>
      <w:rPr>
        <w:rFonts w:asciiTheme="majorHAnsi" w:hAnsiTheme="majorHAnsi"/>
        <w:sz w:val="20"/>
        <w:szCs w:val="20"/>
      </w:rPr>
    </w:pPr>
    <w:r w:rsidRPr="009F4D08">
      <w:rPr>
        <w:rFonts w:asciiTheme="majorHAnsi" w:hAnsiTheme="majorHAnsi"/>
        <w:sz w:val="20"/>
        <w:szCs w:val="20"/>
      </w:rPr>
      <w:ptab w:relativeTo="margin" w:alignment="right" w:leader="none"/>
    </w:r>
    <w:r w:rsidRPr="009F4D08">
      <w:rPr>
        <w:rFonts w:asciiTheme="majorHAnsi" w:hAnsiTheme="majorHAnsi"/>
        <w:sz w:val="20"/>
        <w:szCs w:val="20"/>
      </w:rPr>
      <w:t xml:space="preserve">Pagina </w:t>
    </w:r>
    <w:r w:rsidR="009E5DBD" w:rsidRPr="009F4D08">
      <w:rPr>
        <w:sz w:val="20"/>
        <w:szCs w:val="20"/>
      </w:rPr>
      <w:fldChar w:fldCharType="begin"/>
    </w:r>
    <w:r w:rsidRPr="009F4D08">
      <w:rPr>
        <w:sz w:val="20"/>
        <w:szCs w:val="20"/>
      </w:rPr>
      <w:instrText xml:space="preserve"> PAGE   \* MERGEFORMAT </w:instrText>
    </w:r>
    <w:r w:rsidR="009E5DBD" w:rsidRPr="009F4D08">
      <w:rPr>
        <w:sz w:val="20"/>
        <w:szCs w:val="20"/>
      </w:rPr>
      <w:fldChar w:fldCharType="separate"/>
    </w:r>
    <w:r w:rsidR="00BE34D7" w:rsidRPr="00BE34D7">
      <w:rPr>
        <w:rFonts w:asciiTheme="majorHAnsi" w:hAnsiTheme="majorHAnsi"/>
        <w:noProof/>
        <w:sz w:val="20"/>
        <w:szCs w:val="20"/>
      </w:rPr>
      <w:t>9</w:t>
    </w:r>
    <w:r w:rsidR="009E5DBD" w:rsidRPr="009F4D08">
      <w:rPr>
        <w:sz w:val="20"/>
        <w:szCs w:val="20"/>
      </w:rPr>
      <w:fldChar w:fldCharType="end"/>
    </w:r>
  </w:p>
  <w:p w:rsidR="007F4843" w:rsidRDefault="007F484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43" w:rsidRDefault="007F4843">
      <w:pPr>
        <w:rPr>
          <w:rFonts w:cs="Times New Roman"/>
        </w:rPr>
      </w:pPr>
      <w:r>
        <w:rPr>
          <w:rFonts w:cs="Times New Roman"/>
        </w:rPr>
        <w:separator/>
      </w:r>
    </w:p>
  </w:footnote>
  <w:footnote w:type="continuationSeparator" w:id="0">
    <w:p w:rsidR="007F4843" w:rsidRDefault="007F4843">
      <w:pPr>
        <w:rPr>
          <w:rFonts w:cs="Times New Roman"/>
        </w:rPr>
      </w:pPr>
      <w:r>
        <w:rPr>
          <w:rFonts w:cs="Times New Roman"/>
        </w:rPr>
        <w:continuationSeparator/>
      </w:r>
    </w:p>
  </w:footnote>
  <w:footnote w:id="1">
    <w:p w:rsidR="007F4843" w:rsidRPr="00B75465" w:rsidRDefault="007F4843">
      <w:pPr>
        <w:pStyle w:val="Voetnoottekst"/>
      </w:pPr>
      <w:r>
        <w:rPr>
          <w:rStyle w:val="Voetnootmarkering"/>
        </w:rPr>
        <w:footnoteRef/>
      </w:r>
      <w:r>
        <w:t xml:space="preserve"> </w:t>
      </w:r>
      <w:r w:rsidRPr="00E614B7">
        <w:t xml:space="preserve">Artikel 105 van de Grondwet: De wet stelt regels </w:t>
      </w:r>
      <w:proofErr w:type="gramStart"/>
      <w:r w:rsidRPr="00E614B7">
        <w:t>omtrent</w:t>
      </w:r>
      <w:proofErr w:type="gramEnd"/>
      <w:r w:rsidRPr="00E614B7">
        <w:t xml:space="preserve"> het beheer van de financiën van het Rijk.</w:t>
      </w:r>
    </w:p>
  </w:footnote>
  <w:footnote w:id="2">
    <w:p w:rsidR="007F4843" w:rsidRDefault="007F4843">
      <w:pPr>
        <w:rPr>
          <w:rFonts w:cs="Times New Roman"/>
        </w:rPr>
      </w:pPr>
      <w:r w:rsidRPr="00E614B7">
        <w:rPr>
          <w:rStyle w:val="Voetnootmarkering"/>
          <w:rFonts w:ascii="Verdana" w:hAnsi="Verdana" w:cs="Verdana"/>
          <w:sz w:val="13"/>
          <w:szCs w:val="13"/>
        </w:rPr>
        <w:footnoteRef/>
      </w:r>
      <w:r w:rsidRPr="00E614B7">
        <w:rPr>
          <w:rFonts w:ascii="Verdana" w:hAnsi="Verdana" w:cs="Verdana"/>
          <w:sz w:val="13"/>
          <w:szCs w:val="13"/>
        </w:rPr>
        <w:t xml:space="preserve"> Van een dergelijke werking is in de huidige wet (de Comptabiliteitswet 2001) alleen sprake bij het onderwerp </w:t>
      </w:r>
      <w:proofErr w:type="spellStart"/>
      <w:r w:rsidRPr="00E614B7">
        <w:rPr>
          <w:rFonts w:ascii="Verdana" w:hAnsi="Verdana" w:cs="Verdana"/>
          <w:sz w:val="13"/>
          <w:szCs w:val="13"/>
        </w:rPr>
        <w:t>schatkistbankieren</w:t>
      </w:r>
      <w:proofErr w:type="spellEnd"/>
      <w:r w:rsidRPr="00E614B7">
        <w:rPr>
          <w:rFonts w:ascii="Verdana" w:hAnsi="Verdana" w:cs="Verdana"/>
          <w:sz w:val="13"/>
          <w:szCs w:val="13"/>
        </w:rPr>
        <w:t xml:space="preserve">. In de nieuwe wet kan dat verder nog het geval zijn bij de regeling van het toezicht op organisaties buiten de rijksdienst die publieke financiële middelen beheren (de zogenoemde rechtspersonen met een wettelijke taak). Mede om die reden zullen die twee onderwerpen in aparte hoofdstukken worden opgenomen. </w:t>
      </w:r>
    </w:p>
  </w:footnote>
  <w:footnote w:id="3">
    <w:p w:rsidR="007F4843" w:rsidRDefault="007F4843">
      <w:pPr>
        <w:pStyle w:val="Voetnoottekst"/>
      </w:pPr>
      <w:r>
        <w:rPr>
          <w:rStyle w:val="Voetnootmarkering"/>
        </w:rPr>
        <w:footnoteRef/>
      </w:r>
      <w:r>
        <w:t xml:space="preserve"> Onder bedrijfsvoering wordt verstaan het inzetten van personeel en materiaal voor een aangelegenheid die gericht is op het ondersteunen van het beleids- of taakproces.</w:t>
      </w:r>
    </w:p>
  </w:footnote>
  <w:footnote w:id="4">
    <w:p w:rsidR="007F4843" w:rsidRDefault="007F4843" w:rsidP="00BB79A7">
      <w:pPr>
        <w:pStyle w:val="Voetnoottekst"/>
      </w:pPr>
      <w:r>
        <w:rPr>
          <w:rStyle w:val="Voetnootmarkering"/>
        </w:rPr>
        <w:footnoteRef/>
      </w:r>
      <w:r>
        <w:t xml:space="preserve"> Kamerstukken II, 2012/13, 33 540, nr. 2. </w:t>
      </w:r>
    </w:p>
  </w:footnote>
  <w:footnote w:id="5">
    <w:p w:rsidR="007F4843" w:rsidRDefault="007F4843">
      <w:pPr>
        <w:pStyle w:val="Voetnoottekst"/>
      </w:pPr>
      <w:r>
        <w:rPr>
          <w:rStyle w:val="Voetnootmarkering"/>
        </w:rPr>
        <w:footnoteRef/>
      </w:r>
      <w:r>
        <w:t xml:space="preserve"> </w:t>
      </w:r>
      <w:r w:rsidRPr="002D2239">
        <w:t>Vergaderjaar 2008-2009, Kamerstuk 31371 nr.79, onder punt 4.</w:t>
      </w:r>
    </w:p>
  </w:footnote>
  <w:footnote w:id="6">
    <w:p w:rsidR="007F4843" w:rsidRDefault="007F4843" w:rsidP="008657EE">
      <w:pPr>
        <w:pStyle w:val="Voetnoottekst"/>
      </w:pPr>
      <w:r>
        <w:rPr>
          <w:rStyle w:val="Voetnootmarkering"/>
        </w:rPr>
        <w:footnoteRef/>
      </w:r>
      <w:r>
        <w:t xml:space="preserve"> </w:t>
      </w:r>
      <w:r w:rsidRPr="002E463B">
        <w:t>O</w:t>
      </w:r>
      <w:r w:rsidRPr="002E463B">
        <w:rPr>
          <w:rFonts w:cs="Times New Roman"/>
        </w:rPr>
        <w:t>ntwerp -EU-verordening COM/2011-821.</w:t>
      </w:r>
    </w:p>
  </w:footnote>
  <w:footnote w:id="7">
    <w:p w:rsidR="007F4843" w:rsidRDefault="007F4843">
      <w:pPr>
        <w:pStyle w:val="Voetnoottekst"/>
      </w:pPr>
      <w:r>
        <w:rPr>
          <w:rStyle w:val="Voetnootmarkering"/>
        </w:rPr>
        <w:footnoteRef/>
      </w:r>
      <w:r>
        <w:t>Kamerstukken II 2003/04, 29 200, nr. 56 en kamerstukken II 2004/05, 29 800, nr. 45.</w:t>
      </w:r>
    </w:p>
    <w:p w:rsidR="007F4843" w:rsidRDefault="007F4843">
      <w:pPr>
        <w:pStyle w:val="Voetnoottekst"/>
      </w:pPr>
    </w:p>
  </w:footnote>
  <w:footnote w:id="8">
    <w:p w:rsidR="007F4843" w:rsidRDefault="007F4843">
      <w:pPr>
        <w:pStyle w:val="Voetnoottekst"/>
      </w:pPr>
      <w:r>
        <w:rPr>
          <w:rStyle w:val="Voetnootmarkering"/>
        </w:rPr>
        <w:footnoteRef/>
      </w:r>
      <w:r>
        <w:t xml:space="preserve"> </w:t>
      </w:r>
      <w:proofErr w:type="spellStart"/>
      <w:r w:rsidRPr="00E614B7">
        <w:t>PIMOFACH-processen</w:t>
      </w:r>
      <w:proofErr w:type="spellEnd"/>
      <w:r w:rsidRPr="00E614B7">
        <w:t>: Beheer van Personeel, Inkoop, Materieel, Organisatie, Financiën, (kantoor)Automatisering/ICT, (interne) Communicatie, Huisvesting.</w:t>
      </w:r>
    </w:p>
  </w:footnote>
  <w:footnote w:id="9">
    <w:p w:rsidR="007F4843" w:rsidRDefault="007F4843">
      <w:pPr>
        <w:pStyle w:val="Voetnoottekst"/>
      </w:pPr>
      <w:r w:rsidRPr="00910055">
        <w:rPr>
          <w:rStyle w:val="Voetnootmarkering"/>
        </w:rPr>
        <w:footnoteRef/>
      </w:r>
      <w:r w:rsidRPr="00910055">
        <w:t xml:space="preserve"> De </w:t>
      </w:r>
      <w:proofErr w:type="spellStart"/>
      <w:r w:rsidRPr="00910055">
        <w:t>auditfunctie</w:t>
      </w:r>
      <w:proofErr w:type="spellEnd"/>
      <w:r w:rsidRPr="00910055">
        <w:t xml:space="preserve"> is </w:t>
      </w:r>
      <w:proofErr w:type="gramStart"/>
      <w:r w:rsidRPr="00910055">
        <w:t>inmiddels</w:t>
      </w:r>
      <w:proofErr w:type="gramEnd"/>
      <w:r w:rsidRPr="00910055">
        <w:t xml:space="preserve"> organisatorisch ondergebracht in de </w:t>
      </w:r>
      <w:proofErr w:type="spellStart"/>
      <w:r w:rsidRPr="00910055">
        <w:t>Auditdienst</w:t>
      </w:r>
      <w:proofErr w:type="spellEnd"/>
      <w:r w:rsidRPr="00910055">
        <w:t xml:space="preserve"> Rijk (ADR), een </w:t>
      </w:r>
      <w:proofErr w:type="spellStart"/>
      <w:r w:rsidRPr="00910055">
        <w:t>shared</w:t>
      </w:r>
      <w:proofErr w:type="spellEnd"/>
      <w:r w:rsidRPr="00910055">
        <w:t xml:space="preserve"> service organisatie. De </w:t>
      </w:r>
      <w:r w:rsidRPr="00125107">
        <w:t xml:space="preserve">algemeen </w:t>
      </w:r>
      <w:r w:rsidRPr="00910055">
        <w:t xml:space="preserve">directeur ADR </w:t>
      </w:r>
      <w:r>
        <w:t xml:space="preserve">is </w:t>
      </w:r>
      <w:r w:rsidRPr="00125107">
        <w:t xml:space="preserve">eindverantwoordelijk voor de </w:t>
      </w:r>
      <w:r>
        <w:t xml:space="preserve">ADR en de uitvoering van de </w:t>
      </w:r>
      <w:r w:rsidRPr="00125107">
        <w:t>auditfunctie</w:t>
      </w:r>
      <w:r>
        <w:t xml:space="preserve">. In dat verband draagt de </w:t>
      </w:r>
      <w:proofErr w:type="gramStart"/>
      <w:r>
        <w:t>algemeen</w:t>
      </w:r>
      <w:proofErr w:type="gramEnd"/>
      <w:r>
        <w:t xml:space="preserve"> directeur onder meer zorg voor het opdragen van onderzoeken aan auditors en kwaliteitsborging.</w:t>
      </w:r>
    </w:p>
  </w:footnote>
  <w:footnote w:id="10">
    <w:p w:rsidR="007F4843" w:rsidRPr="00361B25" w:rsidRDefault="007F4843">
      <w:pPr>
        <w:pStyle w:val="Voetnoottekst"/>
      </w:pPr>
      <w:r w:rsidRPr="00E614B7">
        <w:rPr>
          <w:rStyle w:val="Voetnootmarkering"/>
        </w:rPr>
        <w:footnoteRef/>
      </w:r>
      <w:r w:rsidRPr="00E614B7">
        <w:t xml:space="preserve"> </w:t>
      </w:r>
      <w:r>
        <w:t xml:space="preserve">Kamerstukken II, 2005/06, 29 949, nr. 55. </w:t>
      </w:r>
      <w:r w:rsidRPr="00E614B7">
        <w:rPr>
          <w:kern w:val="36"/>
        </w:rPr>
        <w:br/>
      </w:r>
    </w:p>
  </w:footnote>
  <w:footnote w:id="11">
    <w:p w:rsidR="007F4843" w:rsidRDefault="007F4843">
      <w:pPr>
        <w:pStyle w:val="Voetnoottekst"/>
      </w:pPr>
      <w:r>
        <w:rPr>
          <w:rStyle w:val="Voetnootmarkering"/>
        </w:rPr>
        <w:footnoteRef/>
      </w:r>
      <w:r>
        <w:t xml:space="preserve"> Besluit taak DAD stelt regels </w:t>
      </w:r>
      <w:proofErr w:type="gramStart"/>
      <w:r>
        <w:t>inzake</w:t>
      </w:r>
      <w:proofErr w:type="gramEnd"/>
      <w:r>
        <w:t xml:space="preserve"> de plaats en de taak van de Departementale Accountantsdienst.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43" w:rsidRDefault="007F4843">
    <w:pPr>
      <w:pStyle w:val="Koptekst"/>
      <w:rPr>
        <w:sz w:val="20"/>
        <w:szCs w:val="20"/>
      </w:rPr>
    </w:pPr>
  </w:p>
  <w:p w:rsidR="007F4843" w:rsidRPr="002A6861" w:rsidRDefault="007F4843">
    <w:pPr>
      <w:pStyle w:val="Koptekst"/>
      <w:rPr>
        <w:rFonts w:ascii="Verdana" w:hAnsi="Verdana"/>
      </w:rPr>
    </w:pPr>
    <w:r w:rsidRPr="002A6861">
      <w:rPr>
        <w:rFonts w:ascii="Verdana" w:hAnsi="Verdana"/>
        <w:sz w:val="20"/>
        <w:szCs w:val="20"/>
      </w:rPr>
      <w:t>Hoofdlijnennotie Comptabiliteitswet</w:t>
    </w:r>
  </w:p>
  <w:p w:rsidR="007F4843" w:rsidRDefault="007F484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2A9"/>
    <w:multiLevelType w:val="multilevel"/>
    <w:tmpl w:val="062E54D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
    <w:nsid w:val="0713092A"/>
    <w:multiLevelType w:val="multilevel"/>
    <w:tmpl w:val="289EA46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815407"/>
    <w:multiLevelType w:val="multilevel"/>
    <w:tmpl w:val="B8EE210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C1B154F"/>
    <w:multiLevelType w:val="multilevel"/>
    <w:tmpl w:val="48822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25275CB"/>
    <w:multiLevelType w:val="hybridMultilevel"/>
    <w:tmpl w:val="A8901CD8"/>
    <w:lvl w:ilvl="0" w:tplc="FB8854BE">
      <w:start w:val="1"/>
      <w:numFmt w:val="decimal"/>
      <w:lvlText w:val="%1)"/>
      <w:lvlJc w:val="left"/>
      <w:pPr>
        <w:ind w:left="720" w:hanging="360"/>
      </w:pPr>
      <w:rPr>
        <w:rFonts w:ascii="Verdana" w:eastAsiaTheme="minorEastAsia"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60300E"/>
    <w:multiLevelType w:val="hybridMultilevel"/>
    <w:tmpl w:val="D6CA9A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E11243"/>
    <w:multiLevelType w:val="multilevel"/>
    <w:tmpl w:val="B07E7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A0900B7"/>
    <w:multiLevelType w:val="multilevel"/>
    <w:tmpl w:val="0C8A7A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E21698"/>
    <w:multiLevelType w:val="multilevel"/>
    <w:tmpl w:val="F6FCDE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E240BCC"/>
    <w:multiLevelType w:val="multilevel"/>
    <w:tmpl w:val="8640B93C"/>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8F73E7A"/>
    <w:multiLevelType w:val="multilevel"/>
    <w:tmpl w:val="0E007D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D3759E8"/>
    <w:multiLevelType w:val="multilevel"/>
    <w:tmpl w:val="D81E7B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FAB6717"/>
    <w:multiLevelType w:val="multilevel"/>
    <w:tmpl w:val="47B2D6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30AA3604"/>
    <w:multiLevelType w:val="multilevel"/>
    <w:tmpl w:val="F7FAFBD8"/>
    <w:lvl w:ilvl="0">
      <w:start w:val="1"/>
      <w:numFmt w:val="lowerLetter"/>
      <w:lvlText w:val="%1)"/>
      <w:lvlJc w:val="left"/>
      <w:pPr>
        <w:ind w:left="1918" w:hanging="360"/>
      </w:pPr>
      <w:rPr>
        <w:rFonts w:hint="default"/>
      </w:rPr>
    </w:lvl>
    <w:lvl w:ilvl="1">
      <w:start w:val="1"/>
      <w:numFmt w:val="bullet"/>
      <w:lvlText w:val="o"/>
      <w:lvlJc w:val="left"/>
      <w:pPr>
        <w:ind w:left="2569" w:hanging="360"/>
      </w:pPr>
      <w:rPr>
        <w:rFonts w:ascii="Courier New" w:hAnsi="Courier New" w:cs="Courier New" w:hint="default"/>
      </w:rPr>
    </w:lvl>
    <w:lvl w:ilvl="2">
      <w:start w:val="1"/>
      <w:numFmt w:val="bullet"/>
      <w:lvlText w:val=""/>
      <w:lvlJc w:val="left"/>
      <w:pPr>
        <w:ind w:left="3289" w:hanging="360"/>
      </w:pPr>
      <w:rPr>
        <w:rFonts w:ascii="Wingdings" w:hAnsi="Wingdings" w:cs="Wingdings" w:hint="default"/>
      </w:rPr>
    </w:lvl>
    <w:lvl w:ilvl="3">
      <w:start w:val="1"/>
      <w:numFmt w:val="lowerLetter"/>
      <w:lvlText w:val="%4."/>
      <w:lvlJc w:val="left"/>
      <w:pPr>
        <w:ind w:left="4009" w:hanging="360"/>
      </w:pPr>
      <w:rPr>
        <w:rFonts w:hint="default"/>
      </w:rPr>
    </w:lvl>
    <w:lvl w:ilvl="4">
      <w:start w:val="1"/>
      <w:numFmt w:val="bullet"/>
      <w:lvlText w:val="o"/>
      <w:lvlJc w:val="left"/>
      <w:pPr>
        <w:ind w:left="4729" w:hanging="360"/>
      </w:pPr>
      <w:rPr>
        <w:rFonts w:ascii="Courier New" w:hAnsi="Courier New" w:cs="Courier New" w:hint="default"/>
      </w:rPr>
    </w:lvl>
    <w:lvl w:ilvl="5">
      <w:start w:val="1"/>
      <w:numFmt w:val="bullet"/>
      <w:lvlText w:val=""/>
      <w:lvlJc w:val="left"/>
      <w:pPr>
        <w:ind w:left="5449" w:hanging="360"/>
      </w:pPr>
      <w:rPr>
        <w:rFonts w:ascii="Wingdings" w:hAnsi="Wingdings" w:cs="Wingdings" w:hint="default"/>
      </w:rPr>
    </w:lvl>
    <w:lvl w:ilvl="6">
      <w:start w:val="1"/>
      <w:numFmt w:val="bullet"/>
      <w:lvlText w:val=""/>
      <w:lvlJc w:val="left"/>
      <w:pPr>
        <w:ind w:left="6169" w:hanging="360"/>
      </w:pPr>
      <w:rPr>
        <w:rFonts w:ascii="Symbol" w:hAnsi="Symbol" w:cs="Symbol" w:hint="default"/>
      </w:rPr>
    </w:lvl>
    <w:lvl w:ilvl="7">
      <w:start w:val="1"/>
      <w:numFmt w:val="bullet"/>
      <w:lvlText w:val="o"/>
      <w:lvlJc w:val="left"/>
      <w:pPr>
        <w:ind w:left="6889" w:hanging="360"/>
      </w:pPr>
      <w:rPr>
        <w:rFonts w:ascii="Courier New" w:hAnsi="Courier New" w:cs="Courier New" w:hint="default"/>
      </w:rPr>
    </w:lvl>
    <w:lvl w:ilvl="8">
      <w:start w:val="1"/>
      <w:numFmt w:val="bullet"/>
      <w:lvlText w:val=""/>
      <w:lvlJc w:val="left"/>
      <w:pPr>
        <w:ind w:left="7609" w:hanging="360"/>
      </w:pPr>
      <w:rPr>
        <w:rFonts w:ascii="Wingdings" w:hAnsi="Wingdings" w:cs="Wingdings" w:hint="default"/>
      </w:rPr>
    </w:lvl>
  </w:abstractNum>
  <w:abstractNum w:abstractNumId="14">
    <w:nsid w:val="312F0B77"/>
    <w:multiLevelType w:val="multilevel"/>
    <w:tmpl w:val="30CA3ED2"/>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5">
    <w:nsid w:val="31C80C3A"/>
    <w:multiLevelType w:val="multilevel"/>
    <w:tmpl w:val="8BCC7DA0"/>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6">
    <w:nsid w:val="32E70E0E"/>
    <w:multiLevelType w:val="multilevel"/>
    <w:tmpl w:val="AF4C98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5CF1618"/>
    <w:multiLevelType w:val="multilevel"/>
    <w:tmpl w:val="BF5CE44A"/>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D1E7024"/>
    <w:multiLevelType w:val="multilevel"/>
    <w:tmpl w:val="DC7AF0D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3D1F7EE5"/>
    <w:multiLevelType w:val="multilevel"/>
    <w:tmpl w:val="DC3689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0AC4179"/>
    <w:multiLevelType w:val="multilevel"/>
    <w:tmpl w:val="163EB1AC"/>
    <w:lvl w:ilvl="0">
      <w:start w:val="1"/>
      <w:numFmt w:val="bullet"/>
      <w:lvlText w:val=""/>
      <w:lvlJc w:val="left"/>
      <w:pPr>
        <w:ind w:left="927" w:hanging="360"/>
      </w:pPr>
      <w:rPr>
        <w:rFonts w:ascii="Symbol" w:hAnsi="Symbol" w:cs="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nsid w:val="41FB6C82"/>
    <w:multiLevelType w:val="multilevel"/>
    <w:tmpl w:val="29B2DB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3BD7B4B"/>
    <w:multiLevelType w:val="multilevel"/>
    <w:tmpl w:val="990A7B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8A779BD"/>
    <w:multiLevelType w:val="multilevel"/>
    <w:tmpl w:val="2F9CC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BF287C"/>
    <w:multiLevelType w:val="multilevel"/>
    <w:tmpl w:val="A59E23E6"/>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5">
    <w:nsid w:val="58230B82"/>
    <w:multiLevelType w:val="multilevel"/>
    <w:tmpl w:val="48F0AC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A181023"/>
    <w:multiLevelType w:val="multilevel"/>
    <w:tmpl w:val="663CA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AD128C4"/>
    <w:multiLevelType w:val="hybridMultilevel"/>
    <w:tmpl w:val="A0964258"/>
    <w:lvl w:ilvl="0" w:tplc="1DCEB05E">
      <w:numFmt w:val="bullet"/>
      <w:lvlText w:val="-"/>
      <w:lvlJc w:val="left"/>
      <w:pPr>
        <w:ind w:left="720" w:hanging="360"/>
      </w:pPr>
      <w:rPr>
        <w:rFonts w:ascii="Verdana" w:eastAsiaTheme="minorEastAsia" w:hAnsi="Verdana" w:cs="Verdan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F23121"/>
    <w:multiLevelType w:val="multilevel"/>
    <w:tmpl w:val="EBACBF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1D95B59"/>
    <w:multiLevelType w:val="multilevel"/>
    <w:tmpl w:val="6172E6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61720AC"/>
    <w:multiLevelType w:val="multilevel"/>
    <w:tmpl w:val="43FEE1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8E12831"/>
    <w:multiLevelType w:val="multilevel"/>
    <w:tmpl w:val="15F22B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A751F1B"/>
    <w:multiLevelType w:val="hybridMultilevel"/>
    <w:tmpl w:val="A8901CD8"/>
    <w:lvl w:ilvl="0" w:tplc="FB8854BE">
      <w:start w:val="1"/>
      <w:numFmt w:val="decimal"/>
      <w:lvlText w:val="%1)"/>
      <w:lvlJc w:val="left"/>
      <w:pPr>
        <w:ind w:left="720" w:hanging="360"/>
      </w:pPr>
      <w:rPr>
        <w:rFonts w:ascii="Verdana" w:eastAsiaTheme="minorEastAsia"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C41225C"/>
    <w:multiLevelType w:val="hybridMultilevel"/>
    <w:tmpl w:val="1E9ED60A"/>
    <w:lvl w:ilvl="0" w:tplc="3CCEF4AC">
      <w:start w:val="1"/>
      <w:numFmt w:val="decimal"/>
      <w:lvlText w:val="%1)"/>
      <w:lvlJc w:val="left"/>
      <w:pPr>
        <w:ind w:left="360" w:hanging="360"/>
      </w:pPr>
      <w:rPr>
        <w:rFonts w:hint="default"/>
      </w:rPr>
    </w:lvl>
    <w:lvl w:ilvl="1" w:tplc="04130019" w:tentative="1">
      <w:start w:val="1"/>
      <w:numFmt w:val="lowerLetter"/>
      <w:lvlText w:val="%2."/>
      <w:lvlJc w:val="left"/>
      <w:pPr>
        <w:ind w:left="1784" w:hanging="360"/>
      </w:pPr>
    </w:lvl>
    <w:lvl w:ilvl="2" w:tplc="0413001B" w:tentative="1">
      <w:start w:val="1"/>
      <w:numFmt w:val="lowerRoman"/>
      <w:lvlText w:val="%3."/>
      <w:lvlJc w:val="right"/>
      <w:pPr>
        <w:ind w:left="2504" w:hanging="180"/>
      </w:pPr>
    </w:lvl>
    <w:lvl w:ilvl="3" w:tplc="0413000F" w:tentative="1">
      <w:start w:val="1"/>
      <w:numFmt w:val="decimal"/>
      <w:lvlText w:val="%4."/>
      <w:lvlJc w:val="left"/>
      <w:pPr>
        <w:ind w:left="3224" w:hanging="360"/>
      </w:pPr>
    </w:lvl>
    <w:lvl w:ilvl="4" w:tplc="04130019" w:tentative="1">
      <w:start w:val="1"/>
      <w:numFmt w:val="lowerLetter"/>
      <w:lvlText w:val="%5."/>
      <w:lvlJc w:val="left"/>
      <w:pPr>
        <w:ind w:left="3944" w:hanging="360"/>
      </w:pPr>
    </w:lvl>
    <w:lvl w:ilvl="5" w:tplc="0413001B" w:tentative="1">
      <w:start w:val="1"/>
      <w:numFmt w:val="lowerRoman"/>
      <w:lvlText w:val="%6."/>
      <w:lvlJc w:val="right"/>
      <w:pPr>
        <w:ind w:left="4664" w:hanging="180"/>
      </w:pPr>
    </w:lvl>
    <w:lvl w:ilvl="6" w:tplc="0413000F" w:tentative="1">
      <w:start w:val="1"/>
      <w:numFmt w:val="decimal"/>
      <w:lvlText w:val="%7."/>
      <w:lvlJc w:val="left"/>
      <w:pPr>
        <w:ind w:left="5384" w:hanging="360"/>
      </w:pPr>
    </w:lvl>
    <w:lvl w:ilvl="7" w:tplc="04130019" w:tentative="1">
      <w:start w:val="1"/>
      <w:numFmt w:val="lowerLetter"/>
      <w:lvlText w:val="%8."/>
      <w:lvlJc w:val="left"/>
      <w:pPr>
        <w:ind w:left="6104" w:hanging="360"/>
      </w:pPr>
    </w:lvl>
    <w:lvl w:ilvl="8" w:tplc="0413001B" w:tentative="1">
      <w:start w:val="1"/>
      <w:numFmt w:val="lowerRoman"/>
      <w:lvlText w:val="%9."/>
      <w:lvlJc w:val="right"/>
      <w:pPr>
        <w:ind w:left="6824" w:hanging="180"/>
      </w:pPr>
    </w:lvl>
  </w:abstractNum>
  <w:abstractNum w:abstractNumId="34">
    <w:nsid w:val="7CC56AC4"/>
    <w:multiLevelType w:val="hybridMultilevel"/>
    <w:tmpl w:val="5222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13"/>
  </w:num>
  <w:num w:numId="5">
    <w:abstractNumId w:val="0"/>
  </w:num>
  <w:num w:numId="6">
    <w:abstractNumId w:val="31"/>
  </w:num>
  <w:num w:numId="7">
    <w:abstractNumId w:val="20"/>
  </w:num>
  <w:num w:numId="8">
    <w:abstractNumId w:val="22"/>
  </w:num>
  <w:num w:numId="9">
    <w:abstractNumId w:val="30"/>
  </w:num>
  <w:num w:numId="10">
    <w:abstractNumId w:val="2"/>
  </w:num>
  <w:num w:numId="11">
    <w:abstractNumId w:val="14"/>
  </w:num>
  <w:num w:numId="12">
    <w:abstractNumId w:val="18"/>
  </w:num>
  <w:num w:numId="13">
    <w:abstractNumId w:val="24"/>
  </w:num>
  <w:num w:numId="14">
    <w:abstractNumId w:val="8"/>
  </w:num>
  <w:num w:numId="15">
    <w:abstractNumId w:val="29"/>
  </w:num>
  <w:num w:numId="16">
    <w:abstractNumId w:val="11"/>
  </w:num>
  <w:num w:numId="17">
    <w:abstractNumId w:val="23"/>
  </w:num>
  <w:num w:numId="18">
    <w:abstractNumId w:val="21"/>
  </w:num>
  <w:num w:numId="19">
    <w:abstractNumId w:val="6"/>
  </w:num>
  <w:num w:numId="20">
    <w:abstractNumId w:val="12"/>
  </w:num>
  <w:num w:numId="21">
    <w:abstractNumId w:val="28"/>
  </w:num>
  <w:num w:numId="22">
    <w:abstractNumId w:val="10"/>
  </w:num>
  <w:num w:numId="23">
    <w:abstractNumId w:val="9"/>
  </w:num>
  <w:num w:numId="24">
    <w:abstractNumId w:val="25"/>
  </w:num>
  <w:num w:numId="25">
    <w:abstractNumId w:val="17"/>
  </w:num>
  <w:num w:numId="26">
    <w:abstractNumId w:val="26"/>
  </w:num>
  <w:num w:numId="27">
    <w:abstractNumId w:val="7"/>
  </w:num>
  <w:num w:numId="28">
    <w:abstractNumId w:val="19"/>
  </w:num>
  <w:num w:numId="29">
    <w:abstractNumId w:val="15"/>
  </w:num>
  <w:num w:numId="30">
    <w:abstractNumId w:val="5"/>
  </w:num>
  <w:num w:numId="31">
    <w:abstractNumId w:val="4"/>
  </w:num>
  <w:num w:numId="32">
    <w:abstractNumId w:val="33"/>
  </w:num>
  <w:num w:numId="33">
    <w:abstractNumId w:val="32"/>
  </w:num>
  <w:num w:numId="34">
    <w:abstractNumId w:val="34"/>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adjustLineHeightInTable/>
    <w:useFELayout/>
  </w:compat>
  <w:rsids>
    <w:rsidRoot w:val="00A45B97"/>
    <w:rsid w:val="000112A9"/>
    <w:rsid w:val="00012AF1"/>
    <w:rsid w:val="00014770"/>
    <w:rsid w:val="000268B7"/>
    <w:rsid w:val="0003762E"/>
    <w:rsid w:val="00041CB1"/>
    <w:rsid w:val="00044ED8"/>
    <w:rsid w:val="00060D89"/>
    <w:rsid w:val="000612CC"/>
    <w:rsid w:val="000878BB"/>
    <w:rsid w:val="00096C70"/>
    <w:rsid w:val="00097C22"/>
    <w:rsid w:val="000B2FEC"/>
    <w:rsid w:val="000C3083"/>
    <w:rsid w:val="000D00CB"/>
    <w:rsid w:val="000D4ECB"/>
    <w:rsid w:val="000F3892"/>
    <w:rsid w:val="0010584B"/>
    <w:rsid w:val="00116B68"/>
    <w:rsid w:val="00125107"/>
    <w:rsid w:val="00130126"/>
    <w:rsid w:val="00131B56"/>
    <w:rsid w:val="001372BE"/>
    <w:rsid w:val="001475B4"/>
    <w:rsid w:val="00152D83"/>
    <w:rsid w:val="00156D8A"/>
    <w:rsid w:val="00161D93"/>
    <w:rsid w:val="00174797"/>
    <w:rsid w:val="0018776B"/>
    <w:rsid w:val="0019784E"/>
    <w:rsid w:val="001B2215"/>
    <w:rsid w:val="001B51FE"/>
    <w:rsid w:val="001C0FF7"/>
    <w:rsid w:val="001C3A43"/>
    <w:rsid w:val="001D4D55"/>
    <w:rsid w:val="001D502C"/>
    <w:rsid w:val="001E7A2F"/>
    <w:rsid w:val="001F1E3E"/>
    <w:rsid w:val="00203D4A"/>
    <w:rsid w:val="00210224"/>
    <w:rsid w:val="00225B7B"/>
    <w:rsid w:val="00246BA8"/>
    <w:rsid w:val="00251C9C"/>
    <w:rsid w:val="002531F3"/>
    <w:rsid w:val="00276675"/>
    <w:rsid w:val="002845A3"/>
    <w:rsid w:val="00297620"/>
    <w:rsid w:val="002A6861"/>
    <w:rsid w:val="002C78DF"/>
    <w:rsid w:val="002D2239"/>
    <w:rsid w:val="002E05BE"/>
    <w:rsid w:val="002E463B"/>
    <w:rsid w:val="002E474C"/>
    <w:rsid w:val="002E7B71"/>
    <w:rsid w:val="002F6C5E"/>
    <w:rsid w:val="002F7256"/>
    <w:rsid w:val="00303DB8"/>
    <w:rsid w:val="0030516D"/>
    <w:rsid w:val="003154D2"/>
    <w:rsid w:val="00316043"/>
    <w:rsid w:val="00320BEF"/>
    <w:rsid w:val="00327DC6"/>
    <w:rsid w:val="003304F5"/>
    <w:rsid w:val="003345F4"/>
    <w:rsid w:val="00336179"/>
    <w:rsid w:val="003361C5"/>
    <w:rsid w:val="003373DC"/>
    <w:rsid w:val="00337CA5"/>
    <w:rsid w:val="00346185"/>
    <w:rsid w:val="003604B9"/>
    <w:rsid w:val="00361B25"/>
    <w:rsid w:val="00371D5B"/>
    <w:rsid w:val="00373A7F"/>
    <w:rsid w:val="003925DB"/>
    <w:rsid w:val="00392E03"/>
    <w:rsid w:val="003A2011"/>
    <w:rsid w:val="003A6A57"/>
    <w:rsid w:val="003B58DC"/>
    <w:rsid w:val="003C7CA3"/>
    <w:rsid w:val="003C7E86"/>
    <w:rsid w:val="003E5FA1"/>
    <w:rsid w:val="003F0072"/>
    <w:rsid w:val="003F6ACE"/>
    <w:rsid w:val="0040441C"/>
    <w:rsid w:val="00406758"/>
    <w:rsid w:val="004073D9"/>
    <w:rsid w:val="004133EF"/>
    <w:rsid w:val="00422696"/>
    <w:rsid w:val="0042460E"/>
    <w:rsid w:val="00433D28"/>
    <w:rsid w:val="004348FF"/>
    <w:rsid w:val="0045673C"/>
    <w:rsid w:val="00457D32"/>
    <w:rsid w:val="00460C3A"/>
    <w:rsid w:val="00491DAA"/>
    <w:rsid w:val="004A23EB"/>
    <w:rsid w:val="004D082A"/>
    <w:rsid w:val="004F0A4E"/>
    <w:rsid w:val="004F2E94"/>
    <w:rsid w:val="004F4150"/>
    <w:rsid w:val="004F5786"/>
    <w:rsid w:val="005118C7"/>
    <w:rsid w:val="005169B1"/>
    <w:rsid w:val="00521E63"/>
    <w:rsid w:val="00522B10"/>
    <w:rsid w:val="005239D2"/>
    <w:rsid w:val="0053795D"/>
    <w:rsid w:val="00537C66"/>
    <w:rsid w:val="005539A4"/>
    <w:rsid w:val="00563251"/>
    <w:rsid w:val="00567444"/>
    <w:rsid w:val="00570421"/>
    <w:rsid w:val="00574DF3"/>
    <w:rsid w:val="00575958"/>
    <w:rsid w:val="005B2855"/>
    <w:rsid w:val="005B5CA6"/>
    <w:rsid w:val="005E3E37"/>
    <w:rsid w:val="00601DFE"/>
    <w:rsid w:val="006324E8"/>
    <w:rsid w:val="0067029B"/>
    <w:rsid w:val="006712F8"/>
    <w:rsid w:val="0069473C"/>
    <w:rsid w:val="006B2B16"/>
    <w:rsid w:val="006C1E73"/>
    <w:rsid w:val="006C45EC"/>
    <w:rsid w:val="006D1798"/>
    <w:rsid w:val="0070353C"/>
    <w:rsid w:val="00704F1C"/>
    <w:rsid w:val="00713025"/>
    <w:rsid w:val="007259B0"/>
    <w:rsid w:val="00726B03"/>
    <w:rsid w:val="007457AC"/>
    <w:rsid w:val="00752A1F"/>
    <w:rsid w:val="00775380"/>
    <w:rsid w:val="0077792E"/>
    <w:rsid w:val="00783932"/>
    <w:rsid w:val="00793EEB"/>
    <w:rsid w:val="007A075C"/>
    <w:rsid w:val="007A0B3E"/>
    <w:rsid w:val="007B2FDF"/>
    <w:rsid w:val="007C0664"/>
    <w:rsid w:val="007C21C7"/>
    <w:rsid w:val="007C523F"/>
    <w:rsid w:val="007D2924"/>
    <w:rsid w:val="007D3E07"/>
    <w:rsid w:val="007E0DE3"/>
    <w:rsid w:val="007E6E42"/>
    <w:rsid w:val="007F2173"/>
    <w:rsid w:val="007F230F"/>
    <w:rsid w:val="007F2A0C"/>
    <w:rsid w:val="007F4843"/>
    <w:rsid w:val="00803018"/>
    <w:rsid w:val="00810022"/>
    <w:rsid w:val="00814172"/>
    <w:rsid w:val="008260B5"/>
    <w:rsid w:val="00834AEF"/>
    <w:rsid w:val="00845885"/>
    <w:rsid w:val="008476D0"/>
    <w:rsid w:val="008657EE"/>
    <w:rsid w:val="0087394F"/>
    <w:rsid w:val="0087541E"/>
    <w:rsid w:val="00877564"/>
    <w:rsid w:val="008911AB"/>
    <w:rsid w:val="00894C29"/>
    <w:rsid w:val="008C11AA"/>
    <w:rsid w:val="008C75D9"/>
    <w:rsid w:val="008D34E0"/>
    <w:rsid w:val="008E258A"/>
    <w:rsid w:val="008E70DB"/>
    <w:rsid w:val="0090043D"/>
    <w:rsid w:val="009029F9"/>
    <w:rsid w:val="00910055"/>
    <w:rsid w:val="0091315A"/>
    <w:rsid w:val="00920431"/>
    <w:rsid w:val="009209E4"/>
    <w:rsid w:val="00921FDD"/>
    <w:rsid w:val="0093365C"/>
    <w:rsid w:val="009501CB"/>
    <w:rsid w:val="00951CF5"/>
    <w:rsid w:val="00975FA3"/>
    <w:rsid w:val="009817EC"/>
    <w:rsid w:val="00983EC5"/>
    <w:rsid w:val="009927B6"/>
    <w:rsid w:val="009A33DF"/>
    <w:rsid w:val="009C0769"/>
    <w:rsid w:val="009C3407"/>
    <w:rsid w:val="009D35C8"/>
    <w:rsid w:val="009D5C35"/>
    <w:rsid w:val="009D7848"/>
    <w:rsid w:val="009E5DBD"/>
    <w:rsid w:val="009F07CF"/>
    <w:rsid w:val="009F4D08"/>
    <w:rsid w:val="00A02DA7"/>
    <w:rsid w:val="00A217C2"/>
    <w:rsid w:val="00A2376B"/>
    <w:rsid w:val="00A25EC0"/>
    <w:rsid w:val="00A262D4"/>
    <w:rsid w:val="00A31DAE"/>
    <w:rsid w:val="00A33E3A"/>
    <w:rsid w:val="00A36100"/>
    <w:rsid w:val="00A45B97"/>
    <w:rsid w:val="00A84D66"/>
    <w:rsid w:val="00A84EF4"/>
    <w:rsid w:val="00A902B3"/>
    <w:rsid w:val="00A95D26"/>
    <w:rsid w:val="00AA3A8A"/>
    <w:rsid w:val="00AB1189"/>
    <w:rsid w:val="00AB290B"/>
    <w:rsid w:val="00AC697D"/>
    <w:rsid w:val="00AC6D5B"/>
    <w:rsid w:val="00AD6BF1"/>
    <w:rsid w:val="00AD7ABE"/>
    <w:rsid w:val="00AE1CAD"/>
    <w:rsid w:val="00AE30E5"/>
    <w:rsid w:val="00AF3AAD"/>
    <w:rsid w:val="00B22CAA"/>
    <w:rsid w:val="00B22F79"/>
    <w:rsid w:val="00B31787"/>
    <w:rsid w:val="00B505C0"/>
    <w:rsid w:val="00B543F6"/>
    <w:rsid w:val="00B6437C"/>
    <w:rsid w:val="00B700E3"/>
    <w:rsid w:val="00B74066"/>
    <w:rsid w:val="00B75465"/>
    <w:rsid w:val="00B86D56"/>
    <w:rsid w:val="00B94D28"/>
    <w:rsid w:val="00BA53F7"/>
    <w:rsid w:val="00BB149F"/>
    <w:rsid w:val="00BB2DAA"/>
    <w:rsid w:val="00BB79A7"/>
    <w:rsid w:val="00BC3E0E"/>
    <w:rsid w:val="00BC4C27"/>
    <w:rsid w:val="00BE139B"/>
    <w:rsid w:val="00BE34D7"/>
    <w:rsid w:val="00BE3BD7"/>
    <w:rsid w:val="00BE4B60"/>
    <w:rsid w:val="00BE7A44"/>
    <w:rsid w:val="00C00FF8"/>
    <w:rsid w:val="00C11B5D"/>
    <w:rsid w:val="00C128F7"/>
    <w:rsid w:val="00C225DF"/>
    <w:rsid w:val="00C25CFD"/>
    <w:rsid w:val="00C348E9"/>
    <w:rsid w:val="00C51FC2"/>
    <w:rsid w:val="00C521F9"/>
    <w:rsid w:val="00C627EC"/>
    <w:rsid w:val="00C84D0A"/>
    <w:rsid w:val="00C857F3"/>
    <w:rsid w:val="00C93D87"/>
    <w:rsid w:val="00C95C28"/>
    <w:rsid w:val="00CA0F83"/>
    <w:rsid w:val="00CB2246"/>
    <w:rsid w:val="00CD1823"/>
    <w:rsid w:val="00CE41B8"/>
    <w:rsid w:val="00CE4CA8"/>
    <w:rsid w:val="00CF1F0E"/>
    <w:rsid w:val="00CF29B1"/>
    <w:rsid w:val="00CF4325"/>
    <w:rsid w:val="00D005B9"/>
    <w:rsid w:val="00D1477B"/>
    <w:rsid w:val="00D3243E"/>
    <w:rsid w:val="00D32D5D"/>
    <w:rsid w:val="00D530C4"/>
    <w:rsid w:val="00D53C9B"/>
    <w:rsid w:val="00D65523"/>
    <w:rsid w:val="00D86690"/>
    <w:rsid w:val="00D9030D"/>
    <w:rsid w:val="00D94D08"/>
    <w:rsid w:val="00DA15F6"/>
    <w:rsid w:val="00DC2325"/>
    <w:rsid w:val="00DC3CF5"/>
    <w:rsid w:val="00DF1458"/>
    <w:rsid w:val="00DF3A48"/>
    <w:rsid w:val="00E0008B"/>
    <w:rsid w:val="00E06CBF"/>
    <w:rsid w:val="00E07E21"/>
    <w:rsid w:val="00E27216"/>
    <w:rsid w:val="00E40A4C"/>
    <w:rsid w:val="00E4579E"/>
    <w:rsid w:val="00E50EF3"/>
    <w:rsid w:val="00E5292B"/>
    <w:rsid w:val="00E5397F"/>
    <w:rsid w:val="00E60F5A"/>
    <w:rsid w:val="00E614B7"/>
    <w:rsid w:val="00E8464F"/>
    <w:rsid w:val="00E97C69"/>
    <w:rsid w:val="00EA1566"/>
    <w:rsid w:val="00EA1F8A"/>
    <w:rsid w:val="00EA3683"/>
    <w:rsid w:val="00EA4509"/>
    <w:rsid w:val="00EB0BCD"/>
    <w:rsid w:val="00EB24CF"/>
    <w:rsid w:val="00ED15B5"/>
    <w:rsid w:val="00ED2D82"/>
    <w:rsid w:val="00EE2C9C"/>
    <w:rsid w:val="00EF5F6A"/>
    <w:rsid w:val="00EF6E4D"/>
    <w:rsid w:val="00F000D4"/>
    <w:rsid w:val="00F04D2A"/>
    <w:rsid w:val="00F17A7D"/>
    <w:rsid w:val="00F24499"/>
    <w:rsid w:val="00F54DAD"/>
    <w:rsid w:val="00F554EC"/>
    <w:rsid w:val="00F55619"/>
    <w:rsid w:val="00F60BFD"/>
    <w:rsid w:val="00F74561"/>
    <w:rsid w:val="00F937E4"/>
    <w:rsid w:val="00FA0602"/>
    <w:rsid w:val="00FD27E9"/>
    <w:rsid w:val="00FD319B"/>
    <w:rsid w:val="00FE040B"/>
    <w:rsid w:val="00FF087B"/>
    <w:rsid w:val="00FF09D2"/>
    <w:rsid w:val="00FF1436"/>
    <w:rsid w:val="00FF48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1E3E"/>
    <w:pPr>
      <w:autoSpaceDE w:val="0"/>
      <w:autoSpaceDN w:val="0"/>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1F1E3E"/>
    <w:pPr>
      <w:ind w:left="720"/>
    </w:pPr>
  </w:style>
  <w:style w:type="character" w:styleId="Nadruk">
    <w:name w:val="Emphasis"/>
    <w:basedOn w:val="Standaardalinea-lettertype"/>
    <w:uiPriority w:val="99"/>
    <w:qFormat/>
    <w:rsid w:val="001F1E3E"/>
    <w:rPr>
      <w:i/>
      <w:iCs/>
    </w:rPr>
  </w:style>
  <w:style w:type="paragraph" w:styleId="Voetnoottekst">
    <w:name w:val="footnote text"/>
    <w:basedOn w:val="Standaard"/>
    <w:link w:val="VoetnoottekstChar"/>
    <w:uiPriority w:val="99"/>
    <w:rsid w:val="001F1E3E"/>
    <w:pPr>
      <w:spacing w:line="180" w:lineRule="atLeast"/>
    </w:pPr>
    <w:rPr>
      <w:rFonts w:ascii="Verdana" w:hAnsi="Verdana" w:cs="Verdana"/>
      <w:sz w:val="13"/>
      <w:szCs w:val="13"/>
    </w:rPr>
  </w:style>
  <w:style w:type="character" w:customStyle="1" w:styleId="VoetnoottekstChar">
    <w:name w:val="Voetnoottekst Char"/>
    <w:basedOn w:val="Standaardalinea-lettertype"/>
    <w:link w:val="Voetnoottekst"/>
    <w:uiPriority w:val="99"/>
    <w:rsid w:val="001F1E3E"/>
    <w:rPr>
      <w:rFonts w:ascii="Verdana" w:hAnsi="Verdana" w:cs="Verdana"/>
      <w:sz w:val="13"/>
      <w:szCs w:val="13"/>
    </w:rPr>
  </w:style>
  <w:style w:type="character" w:styleId="Voetnootmarkering">
    <w:name w:val="footnote reference"/>
    <w:basedOn w:val="Standaardalinea-lettertype"/>
    <w:uiPriority w:val="99"/>
    <w:rsid w:val="001F1E3E"/>
    <w:rPr>
      <w:vertAlign w:val="superscript"/>
    </w:rPr>
  </w:style>
  <w:style w:type="paragraph" w:styleId="Tekstopmerking">
    <w:name w:val="annotation text"/>
    <w:basedOn w:val="Standaard"/>
    <w:link w:val="TekstopmerkingChar"/>
    <w:uiPriority w:val="99"/>
    <w:rsid w:val="001F1E3E"/>
    <w:rPr>
      <w:sz w:val="20"/>
      <w:szCs w:val="20"/>
    </w:rPr>
  </w:style>
  <w:style w:type="character" w:customStyle="1" w:styleId="TekstopmerkingChar">
    <w:name w:val="Tekst opmerking Char"/>
    <w:basedOn w:val="Standaardalinea-lettertype"/>
    <w:link w:val="Tekstopmerking"/>
    <w:uiPriority w:val="99"/>
    <w:rsid w:val="001F1E3E"/>
    <w:rPr>
      <w:rFonts w:ascii="Times New Roman" w:hAnsi="Times New Roman" w:cs="Times New Roman"/>
      <w:sz w:val="20"/>
      <w:szCs w:val="20"/>
    </w:rPr>
  </w:style>
  <w:style w:type="paragraph" w:customStyle="1" w:styleId="Lijstalinea1">
    <w:name w:val="Lijstalinea1"/>
    <w:basedOn w:val="Standaard"/>
    <w:uiPriority w:val="99"/>
    <w:rsid w:val="001F1E3E"/>
    <w:pPr>
      <w:ind w:left="720"/>
    </w:pPr>
  </w:style>
  <w:style w:type="paragraph" w:customStyle="1" w:styleId="Default">
    <w:name w:val="Default"/>
    <w:uiPriority w:val="99"/>
    <w:rsid w:val="001F1E3E"/>
    <w:pPr>
      <w:autoSpaceDE w:val="0"/>
      <w:autoSpaceDN w:val="0"/>
    </w:pPr>
    <w:rPr>
      <w:rFonts w:ascii="Verdana" w:hAnsi="Verdana" w:cs="Verdana"/>
      <w:color w:val="000000"/>
      <w:sz w:val="24"/>
      <w:szCs w:val="24"/>
      <w:lang w:val="en-US"/>
    </w:rPr>
  </w:style>
  <w:style w:type="paragraph" w:styleId="Ballontekst">
    <w:name w:val="Balloon Text"/>
    <w:basedOn w:val="Standaard"/>
    <w:link w:val="BallontekstChar"/>
    <w:uiPriority w:val="99"/>
    <w:rsid w:val="001F1E3E"/>
    <w:rPr>
      <w:rFonts w:ascii="Tahoma" w:hAnsi="Tahoma" w:cs="Tahoma"/>
      <w:sz w:val="16"/>
      <w:szCs w:val="16"/>
    </w:rPr>
  </w:style>
  <w:style w:type="character" w:customStyle="1" w:styleId="BallontekstChar">
    <w:name w:val="Ballontekst Char"/>
    <w:basedOn w:val="Standaardalinea-lettertype"/>
    <w:link w:val="Ballontekst"/>
    <w:uiPriority w:val="99"/>
    <w:rsid w:val="001F1E3E"/>
    <w:rPr>
      <w:rFonts w:ascii="Tahoma" w:hAnsi="Tahoma" w:cs="Tahoma"/>
      <w:sz w:val="16"/>
      <w:szCs w:val="16"/>
    </w:rPr>
  </w:style>
  <w:style w:type="character" w:styleId="Verwijzingopmerking">
    <w:name w:val="annotation reference"/>
    <w:basedOn w:val="Standaardalinea-lettertype"/>
    <w:uiPriority w:val="99"/>
    <w:rsid w:val="001F1E3E"/>
    <w:rPr>
      <w:rFonts w:cstheme="minorBidi"/>
      <w:sz w:val="16"/>
      <w:szCs w:val="16"/>
    </w:rPr>
  </w:style>
  <w:style w:type="paragraph" w:styleId="Onderwerpvanopmerking">
    <w:name w:val="annotation subject"/>
    <w:basedOn w:val="Tekstopmerking"/>
    <w:next w:val="Tekstopmerking"/>
    <w:link w:val="OnderwerpvanopmerkingChar"/>
    <w:uiPriority w:val="99"/>
    <w:rsid w:val="001F1E3E"/>
    <w:rPr>
      <w:b/>
      <w:bCs/>
    </w:rPr>
  </w:style>
  <w:style w:type="character" w:customStyle="1" w:styleId="OnderwerpvanopmerkingChar">
    <w:name w:val="Onderwerp van opmerking Char"/>
    <w:basedOn w:val="TekstopmerkingChar"/>
    <w:link w:val="Onderwerpvanopmerking"/>
    <w:uiPriority w:val="99"/>
    <w:rsid w:val="001F1E3E"/>
    <w:rPr>
      <w:b/>
      <w:bCs/>
    </w:rPr>
  </w:style>
  <w:style w:type="character" w:customStyle="1" w:styleId="staatscourantkop2">
    <w:name w:val="staatscourant_kop2"/>
    <w:basedOn w:val="Standaardalinea-lettertype"/>
    <w:uiPriority w:val="99"/>
    <w:rsid w:val="001F1E3E"/>
    <w:rPr>
      <w:rFonts w:cstheme="minorBidi"/>
      <w:b/>
      <w:bCs/>
      <w:sz w:val="31"/>
      <w:szCs w:val="31"/>
    </w:rPr>
  </w:style>
  <w:style w:type="paragraph" w:styleId="Eindnoottekst">
    <w:name w:val="endnote text"/>
    <w:basedOn w:val="Standaard"/>
    <w:link w:val="EindnoottekstChar"/>
    <w:uiPriority w:val="99"/>
    <w:rsid w:val="001F1E3E"/>
    <w:rPr>
      <w:sz w:val="20"/>
      <w:szCs w:val="20"/>
    </w:rPr>
  </w:style>
  <w:style w:type="character" w:customStyle="1" w:styleId="EindnoottekstChar">
    <w:name w:val="Eindnoottekst Char"/>
    <w:basedOn w:val="Standaardalinea-lettertype"/>
    <w:link w:val="Eindnoottekst"/>
    <w:uiPriority w:val="99"/>
    <w:rsid w:val="001F1E3E"/>
    <w:rPr>
      <w:rFonts w:ascii="Times New Roman" w:hAnsi="Times New Roman" w:cs="Times New Roman"/>
      <w:sz w:val="20"/>
      <w:szCs w:val="20"/>
    </w:rPr>
  </w:style>
  <w:style w:type="character" w:styleId="Eindnootmarkering">
    <w:name w:val="endnote reference"/>
    <w:basedOn w:val="Standaardalinea-lettertype"/>
    <w:uiPriority w:val="99"/>
    <w:rsid w:val="001F1E3E"/>
    <w:rPr>
      <w:rFonts w:cstheme="minorBidi"/>
      <w:vertAlign w:val="superscript"/>
    </w:rPr>
  </w:style>
  <w:style w:type="paragraph" w:styleId="Koptekst">
    <w:name w:val="header"/>
    <w:basedOn w:val="Standaard"/>
    <w:link w:val="KoptekstChar"/>
    <w:uiPriority w:val="99"/>
    <w:rsid w:val="001F1E3E"/>
    <w:pPr>
      <w:tabs>
        <w:tab w:val="center" w:pos="4536"/>
        <w:tab w:val="right" w:pos="9072"/>
      </w:tabs>
    </w:pPr>
  </w:style>
  <w:style w:type="character" w:customStyle="1" w:styleId="KoptekstChar">
    <w:name w:val="Koptekst Char"/>
    <w:basedOn w:val="Standaardalinea-lettertype"/>
    <w:link w:val="Koptekst"/>
    <w:uiPriority w:val="99"/>
    <w:rsid w:val="001F1E3E"/>
    <w:rPr>
      <w:rFonts w:ascii="Times New Roman" w:hAnsi="Times New Roman" w:cs="Times New Roman"/>
      <w:sz w:val="24"/>
      <w:szCs w:val="24"/>
    </w:rPr>
  </w:style>
  <w:style w:type="paragraph" w:styleId="Voettekst">
    <w:name w:val="footer"/>
    <w:basedOn w:val="Standaard"/>
    <w:link w:val="VoettekstChar"/>
    <w:uiPriority w:val="99"/>
    <w:rsid w:val="001F1E3E"/>
    <w:pPr>
      <w:tabs>
        <w:tab w:val="center" w:pos="4536"/>
        <w:tab w:val="right" w:pos="9072"/>
      </w:tabs>
    </w:pPr>
  </w:style>
  <w:style w:type="character" w:customStyle="1" w:styleId="VoettekstChar">
    <w:name w:val="Voettekst Char"/>
    <w:basedOn w:val="Standaardalinea-lettertype"/>
    <w:link w:val="Voettekst"/>
    <w:uiPriority w:val="99"/>
    <w:rsid w:val="001F1E3E"/>
    <w:rPr>
      <w:rFonts w:ascii="Times New Roman" w:hAnsi="Times New Roman" w:cs="Times New Roman"/>
      <w:sz w:val="24"/>
      <w:szCs w:val="24"/>
    </w:rPr>
  </w:style>
  <w:style w:type="paragraph" w:styleId="Revisie">
    <w:name w:val="Revision"/>
    <w:hidden/>
    <w:uiPriority w:val="99"/>
    <w:semiHidden/>
    <w:rsid w:val="001475B4"/>
    <w:rPr>
      <w:rFonts w:ascii="Times New Roman" w:hAnsi="Times New Roman"/>
      <w:sz w:val="24"/>
      <w:szCs w:val="24"/>
    </w:rPr>
  </w:style>
  <w:style w:type="paragraph" w:customStyle="1" w:styleId="mtop">
    <w:name w:val="mtop"/>
    <w:basedOn w:val="Standaard"/>
    <w:rsid w:val="003B58DC"/>
    <w:pPr>
      <w:autoSpaceDE/>
      <w:autoSpaceDN/>
      <w:spacing w:before="240"/>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625937064">
      <w:bodyDiv w:val="1"/>
      <w:marLeft w:val="0"/>
      <w:marRight w:val="0"/>
      <w:marTop w:val="0"/>
      <w:marBottom w:val="0"/>
      <w:divBdr>
        <w:top w:val="none" w:sz="0" w:space="0" w:color="auto"/>
        <w:left w:val="none" w:sz="0" w:space="0" w:color="auto"/>
        <w:bottom w:val="none" w:sz="0" w:space="0" w:color="auto"/>
        <w:right w:val="none" w:sz="0" w:space="0" w:color="auto"/>
      </w:divBdr>
    </w:div>
    <w:div w:id="1783186792">
      <w:bodyDiv w:val="1"/>
      <w:marLeft w:val="0"/>
      <w:marRight w:val="0"/>
      <w:marTop w:val="0"/>
      <w:marBottom w:val="0"/>
      <w:divBdr>
        <w:top w:val="none" w:sz="0" w:space="0" w:color="auto"/>
        <w:left w:val="none" w:sz="0" w:space="0" w:color="auto"/>
        <w:bottom w:val="none" w:sz="0" w:space="0" w:color="auto"/>
        <w:right w:val="none" w:sz="0" w:space="0" w:color="auto"/>
      </w:divBdr>
      <w:divsChild>
        <w:div w:id="1921407882">
          <w:marLeft w:val="0"/>
          <w:marRight w:val="0"/>
          <w:marTop w:val="0"/>
          <w:marBottom w:val="0"/>
          <w:divBdr>
            <w:top w:val="none" w:sz="0" w:space="0" w:color="auto"/>
            <w:left w:val="none" w:sz="0" w:space="0" w:color="auto"/>
            <w:bottom w:val="none" w:sz="0" w:space="0" w:color="auto"/>
            <w:right w:val="none" w:sz="0" w:space="0" w:color="auto"/>
          </w:divBdr>
          <w:divsChild>
            <w:div w:id="887648584">
              <w:marLeft w:val="0"/>
              <w:marRight w:val="0"/>
              <w:marTop w:val="0"/>
              <w:marBottom w:val="0"/>
              <w:divBdr>
                <w:top w:val="none" w:sz="0" w:space="0" w:color="auto"/>
                <w:left w:val="none" w:sz="0" w:space="0" w:color="auto"/>
                <w:bottom w:val="none" w:sz="0" w:space="0" w:color="auto"/>
                <w:right w:val="none" w:sz="0" w:space="0" w:color="auto"/>
              </w:divBdr>
              <w:divsChild>
                <w:div w:id="689722936">
                  <w:marLeft w:val="0"/>
                  <w:marRight w:val="0"/>
                  <w:marTop w:val="0"/>
                  <w:marBottom w:val="0"/>
                  <w:divBdr>
                    <w:top w:val="none" w:sz="0" w:space="0" w:color="auto"/>
                    <w:left w:val="none" w:sz="0" w:space="0" w:color="auto"/>
                    <w:bottom w:val="none" w:sz="0" w:space="0" w:color="auto"/>
                    <w:right w:val="none" w:sz="0" w:space="0" w:color="auto"/>
                  </w:divBdr>
                  <w:divsChild>
                    <w:div w:id="1247685923">
                      <w:marLeft w:val="0"/>
                      <w:marRight w:val="0"/>
                      <w:marTop w:val="0"/>
                      <w:marBottom w:val="0"/>
                      <w:divBdr>
                        <w:top w:val="none" w:sz="0" w:space="0" w:color="auto"/>
                        <w:left w:val="none" w:sz="0" w:space="0" w:color="auto"/>
                        <w:bottom w:val="none" w:sz="0" w:space="0" w:color="auto"/>
                        <w:right w:val="none" w:sz="0" w:space="0" w:color="auto"/>
                      </w:divBdr>
                      <w:divsChild>
                        <w:div w:id="1847749495">
                          <w:marLeft w:val="0"/>
                          <w:marRight w:val="0"/>
                          <w:marTop w:val="0"/>
                          <w:marBottom w:val="0"/>
                          <w:divBdr>
                            <w:top w:val="none" w:sz="0" w:space="0" w:color="auto"/>
                            <w:left w:val="none" w:sz="0" w:space="0" w:color="auto"/>
                            <w:bottom w:val="none" w:sz="0" w:space="0" w:color="auto"/>
                            <w:right w:val="none" w:sz="0" w:space="0" w:color="auto"/>
                          </w:divBdr>
                          <w:divsChild>
                            <w:div w:id="380835541">
                              <w:marLeft w:val="0"/>
                              <w:marRight w:val="0"/>
                              <w:marTop w:val="0"/>
                              <w:marBottom w:val="0"/>
                              <w:divBdr>
                                <w:top w:val="none" w:sz="0" w:space="0" w:color="auto"/>
                                <w:left w:val="none" w:sz="0" w:space="0" w:color="auto"/>
                                <w:bottom w:val="none" w:sz="0" w:space="0" w:color="auto"/>
                                <w:right w:val="none" w:sz="0" w:space="0" w:color="auto"/>
                              </w:divBdr>
                              <w:divsChild>
                                <w:div w:id="18531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diagramQuickStyle" Target="diagrams/quickStyle1.xml" Id="rId10"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footer" Target="footer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756FEF-1B04-4981-9F75-EBD8F77DBC1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nl-NL"/>
        </a:p>
      </dgm:t>
    </dgm:pt>
    <dgm:pt modelId="{FB0DC68E-0086-4DDD-8648-E45091C95381}">
      <dgm:prSet phldrT="[Tekst]"/>
      <dgm:spPr/>
      <dgm:t>
        <a:bodyPr/>
        <a:lstStyle/>
        <a:p>
          <a:r>
            <a:rPr lang="nl-NL" dirty="0" smtClean="0"/>
            <a:t>Hoofdstuk 1 </a:t>
          </a:r>
        </a:p>
        <a:p>
          <a:r>
            <a:rPr lang="nl-NL" dirty="0" smtClean="0"/>
            <a:t>Algemene bepalingen (belangrijke definities)</a:t>
          </a:r>
          <a:endParaRPr lang="nl-NL" dirty="0"/>
        </a:p>
      </dgm:t>
    </dgm:pt>
    <dgm:pt modelId="{801F162A-BD9E-4045-932F-748A8C126981}" type="parTrans" cxnId="{E1C5BE96-0DCB-416E-9174-A4B2C4B5E58E}">
      <dgm:prSet/>
      <dgm:spPr/>
      <dgm:t>
        <a:bodyPr/>
        <a:lstStyle/>
        <a:p>
          <a:endParaRPr lang="nl-NL"/>
        </a:p>
      </dgm:t>
    </dgm:pt>
    <dgm:pt modelId="{15549FFA-4B97-40EC-BBAB-1AC1B1AC9D34}" type="sibTrans" cxnId="{E1C5BE96-0DCB-416E-9174-A4B2C4B5E58E}">
      <dgm:prSet/>
      <dgm:spPr/>
      <dgm:t>
        <a:bodyPr/>
        <a:lstStyle/>
        <a:p>
          <a:endParaRPr lang="nl-NL"/>
        </a:p>
      </dgm:t>
    </dgm:pt>
    <dgm:pt modelId="{298DCC77-5CB3-466B-A703-0EC08D1D6332}">
      <dgm:prSet phldrT="[Tekst]"/>
      <dgm:spPr/>
      <dgm:t>
        <a:bodyPr/>
        <a:lstStyle/>
        <a:p>
          <a:r>
            <a:rPr lang="nl-NL" dirty="0" smtClean="0"/>
            <a:t>Hoofdstuk 2 </a:t>
          </a:r>
        </a:p>
        <a:p>
          <a:r>
            <a:rPr lang="nl-NL" dirty="0" smtClean="0"/>
            <a:t>De Rijksbegroting</a:t>
          </a:r>
          <a:endParaRPr lang="nl-NL" dirty="0"/>
        </a:p>
      </dgm:t>
    </dgm:pt>
    <dgm:pt modelId="{31326811-F73C-47B2-88D1-32F2B7664626}" type="parTrans" cxnId="{86507515-78D2-4A5E-A544-F896E7B43485}">
      <dgm:prSet/>
      <dgm:spPr/>
      <dgm:t>
        <a:bodyPr/>
        <a:lstStyle/>
        <a:p>
          <a:endParaRPr lang="nl-NL"/>
        </a:p>
      </dgm:t>
    </dgm:pt>
    <dgm:pt modelId="{95377FD9-5609-4224-A38A-D515221FE89C}" type="sibTrans" cxnId="{86507515-78D2-4A5E-A544-F896E7B43485}">
      <dgm:prSet/>
      <dgm:spPr/>
      <dgm:t>
        <a:bodyPr/>
        <a:lstStyle/>
        <a:p>
          <a:endParaRPr lang="nl-NL"/>
        </a:p>
      </dgm:t>
    </dgm:pt>
    <dgm:pt modelId="{2EF7041C-A226-45D2-8D06-3A0CED20CEAA}">
      <dgm:prSet phldrT="[Tekst]"/>
      <dgm:spPr/>
      <dgm:t>
        <a:bodyPr/>
        <a:lstStyle/>
        <a:p>
          <a:r>
            <a:rPr lang="nl-NL" dirty="0" smtClean="0"/>
            <a:t>Hoofdstuk 3 </a:t>
          </a:r>
        </a:p>
        <a:p>
          <a:r>
            <a:rPr lang="nl-NL" dirty="0" smtClean="0"/>
            <a:t>Autorisatie en verantwoording</a:t>
          </a:r>
          <a:endParaRPr lang="nl-NL" dirty="0"/>
        </a:p>
      </dgm:t>
    </dgm:pt>
    <dgm:pt modelId="{00962474-6BD1-4445-BCEC-5F652B4C10FD}" type="parTrans" cxnId="{AFA6DAD4-04C3-4EC6-9525-EE570510FE58}">
      <dgm:prSet/>
      <dgm:spPr/>
      <dgm:t>
        <a:bodyPr/>
        <a:lstStyle/>
        <a:p>
          <a:endParaRPr lang="nl-NL"/>
        </a:p>
      </dgm:t>
    </dgm:pt>
    <dgm:pt modelId="{D7B5F03B-02FE-4A2D-AB56-021B5DCF5455}" type="sibTrans" cxnId="{AFA6DAD4-04C3-4EC6-9525-EE570510FE58}">
      <dgm:prSet/>
      <dgm:spPr/>
      <dgm:t>
        <a:bodyPr/>
        <a:lstStyle/>
        <a:p>
          <a:endParaRPr lang="nl-NL"/>
        </a:p>
      </dgm:t>
    </dgm:pt>
    <dgm:pt modelId="{75CD24EB-5ECB-4B9B-9C94-45229E0FB37F}">
      <dgm:prSet phldrT="[Tekst]"/>
      <dgm:spPr/>
      <dgm:t>
        <a:bodyPr/>
        <a:lstStyle/>
        <a:p>
          <a:r>
            <a:rPr lang="nl-NL" dirty="0" smtClean="0"/>
            <a:t>Hoofdstuk 4 </a:t>
          </a:r>
        </a:p>
        <a:p>
          <a:r>
            <a:rPr lang="nl-NL" dirty="0" err="1" smtClean="0"/>
            <a:t>Beleids</a:t>
          </a:r>
          <a:r>
            <a:rPr lang="nl-NL" dirty="0" smtClean="0"/>
            <a:t>- en bedrijfsvoering: normering</a:t>
          </a:r>
          <a:endParaRPr lang="nl-NL" dirty="0"/>
        </a:p>
      </dgm:t>
    </dgm:pt>
    <dgm:pt modelId="{A2633FB3-7B58-4D15-BD96-8DB27109D8F8}" type="parTrans" cxnId="{B6286873-1977-49BF-974C-6B22A2BA98FF}">
      <dgm:prSet/>
      <dgm:spPr/>
      <dgm:t>
        <a:bodyPr/>
        <a:lstStyle/>
        <a:p>
          <a:endParaRPr lang="nl-NL"/>
        </a:p>
      </dgm:t>
    </dgm:pt>
    <dgm:pt modelId="{C5278209-1226-449B-A91D-76CA582982A8}" type="sibTrans" cxnId="{B6286873-1977-49BF-974C-6B22A2BA98FF}">
      <dgm:prSet/>
      <dgm:spPr/>
      <dgm:t>
        <a:bodyPr/>
        <a:lstStyle/>
        <a:p>
          <a:endParaRPr lang="nl-NL"/>
        </a:p>
      </dgm:t>
    </dgm:pt>
    <dgm:pt modelId="{7BB8D22B-38B3-4DAB-BA1D-922A1DE9DCD3}">
      <dgm:prSet phldrT="[Tekst]"/>
      <dgm:spPr/>
      <dgm:t>
        <a:bodyPr/>
        <a:lstStyle/>
        <a:p>
          <a:r>
            <a:rPr lang="nl-NL" dirty="0" smtClean="0"/>
            <a:t>Hoofdstuk 5 </a:t>
          </a:r>
        </a:p>
        <a:p>
          <a:r>
            <a:rPr lang="nl-NL" dirty="0" err="1" smtClean="0"/>
            <a:t>Beleids</a:t>
          </a:r>
          <a:r>
            <a:rPr lang="nl-NL" dirty="0" smtClean="0"/>
            <a:t>- en bedrijfsvoering: Ministeriële taken en bevoegdheden</a:t>
          </a:r>
          <a:endParaRPr lang="nl-NL" dirty="0"/>
        </a:p>
      </dgm:t>
    </dgm:pt>
    <dgm:pt modelId="{26B7D193-83F8-4CB5-BE54-2673410ECAED}" type="parTrans" cxnId="{E48DBD52-F272-481B-9B9F-7388779781F4}">
      <dgm:prSet/>
      <dgm:spPr/>
      <dgm:t>
        <a:bodyPr/>
        <a:lstStyle/>
        <a:p>
          <a:endParaRPr lang="nl-NL"/>
        </a:p>
      </dgm:t>
    </dgm:pt>
    <dgm:pt modelId="{E95957AB-17D4-41AE-900D-7A8BB2F8CAD0}" type="sibTrans" cxnId="{E48DBD52-F272-481B-9B9F-7388779781F4}">
      <dgm:prSet/>
      <dgm:spPr/>
      <dgm:t>
        <a:bodyPr/>
        <a:lstStyle/>
        <a:p>
          <a:endParaRPr lang="nl-NL"/>
        </a:p>
      </dgm:t>
    </dgm:pt>
    <dgm:pt modelId="{CA060270-45F2-433F-BE55-2395C0B9877E}">
      <dgm:prSet phldrT="[Tekst]"/>
      <dgm:spPr/>
      <dgm:t>
        <a:bodyPr/>
        <a:lstStyle/>
        <a:p>
          <a:r>
            <a:rPr lang="nl-NL" dirty="0" smtClean="0"/>
            <a:t>Hoofdstuk 6 </a:t>
          </a:r>
        </a:p>
        <a:p>
          <a:r>
            <a:rPr lang="nl-NL" dirty="0" smtClean="0"/>
            <a:t>Financiële functie (FEZ)</a:t>
          </a:r>
          <a:endParaRPr lang="nl-NL" dirty="0"/>
        </a:p>
      </dgm:t>
    </dgm:pt>
    <dgm:pt modelId="{68B53795-4AE3-46B8-961E-7A550EE3C4C9}" type="parTrans" cxnId="{1D43E0E9-E9D8-4E5B-87BC-B1FC46C4D323}">
      <dgm:prSet/>
      <dgm:spPr/>
      <dgm:t>
        <a:bodyPr/>
        <a:lstStyle/>
        <a:p>
          <a:endParaRPr lang="nl-NL"/>
        </a:p>
      </dgm:t>
    </dgm:pt>
    <dgm:pt modelId="{68D9BAE2-BE67-4613-855E-6280D0B1FB45}" type="sibTrans" cxnId="{1D43E0E9-E9D8-4E5B-87BC-B1FC46C4D323}">
      <dgm:prSet/>
      <dgm:spPr/>
      <dgm:t>
        <a:bodyPr/>
        <a:lstStyle/>
        <a:p>
          <a:endParaRPr lang="nl-NL"/>
        </a:p>
      </dgm:t>
    </dgm:pt>
    <dgm:pt modelId="{F7385D18-803F-4C1D-8233-482CAFDB68CE}">
      <dgm:prSet phldrT="[Tekst]"/>
      <dgm:spPr/>
      <dgm:t>
        <a:bodyPr/>
        <a:lstStyle/>
        <a:p>
          <a:r>
            <a:rPr lang="nl-NL" dirty="0" smtClean="0"/>
            <a:t>Hoofdstuk 7 </a:t>
          </a:r>
        </a:p>
        <a:p>
          <a:r>
            <a:rPr lang="nl-NL" dirty="0" smtClean="0"/>
            <a:t>Interne </a:t>
          </a:r>
          <a:r>
            <a:rPr lang="nl-NL" dirty="0" err="1" smtClean="0"/>
            <a:t>auditfunctie</a:t>
          </a:r>
          <a:r>
            <a:rPr lang="nl-NL" dirty="0" smtClean="0"/>
            <a:t> (ADR)</a:t>
          </a:r>
          <a:endParaRPr lang="nl-NL" dirty="0"/>
        </a:p>
      </dgm:t>
    </dgm:pt>
    <dgm:pt modelId="{B71B5C5C-EC27-4DF5-B666-758FB0A2031E}" type="parTrans" cxnId="{3C97E840-4C73-430F-8F33-2137B2D98B44}">
      <dgm:prSet/>
      <dgm:spPr/>
      <dgm:t>
        <a:bodyPr/>
        <a:lstStyle/>
        <a:p>
          <a:endParaRPr lang="nl-NL"/>
        </a:p>
      </dgm:t>
    </dgm:pt>
    <dgm:pt modelId="{F7AF3F48-D0CE-4FD2-96E7-9BFFEADFED6F}" type="sibTrans" cxnId="{3C97E840-4C73-430F-8F33-2137B2D98B44}">
      <dgm:prSet/>
      <dgm:spPr/>
      <dgm:t>
        <a:bodyPr/>
        <a:lstStyle/>
        <a:p>
          <a:endParaRPr lang="nl-NL"/>
        </a:p>
      </dgm:t>
    </dgm:pt>
    <dgm:pt modelId="{B558D1E1-0455-4AC2-9E79-2DD42766B993}">
      <dgm:prSet phldrT="[Tekst]"/>
      <dgm:spPr/>
      <dgm:t>
        <a:bodyPr/>
        <a:lstStyle/>
        <a:p>
          <a:r>
            <a:rPr lang="nl-NL" dirty="0" smtClean="0"/>
            <a:t>Hoofdstuk 8:</a:t>
          </a:r>
        </a:p>
        <a:p>
          <a:r>
            <a:rPr lang="nl-NL" dirty="0" smtClean="0"/>
            <a:t> </a:t>
          </a:r>
          <a:r>
            <a:rPr lang="nl-NL" dirty="0" err="1" smtClean="0"/>
            <a:t>Liquidemiddelenbeheer</a:t>
          </a:r>
          <a:r>
            <a:rPr lang="nl-NL" dirty="0" smtClean="0"/>
            <a:t> door organisaties buiten de rijksdienst</a:t>
          </a:r>
          <a:endParaRPr lang="nl-NL" dirty="0"/>
        </a:p>
      </dgm:t>
    </dgm:pt>
    <dgm:pt modelId="{8E5759A2-801D-4D67-BC1C-12A7892FBA75}" type="parTrans" cxnId="{51C8F3F9-C2E4-4B75-B423-9E69D53DB174}">
      <dgm:prSet/>
      <dgm:spPr/>
      <dgm:t>
        <a:bodyPr/>
        <a:lstStyle/>
        <a:p>
          <a:endParaRPr lang="nl-NL"/>
        </a:p>
      </dgm:t>
    </dgm:pt>
    <dgm:pt modelId="{DD259B50-FC5E-452E-8D9D-C56A87BCB2B9}" type="sibTrans" cxnId="{51C8F3F9-C2E4-4B75-B423-9E69D53DB174}">
      <dgm:prSet/>
      <dgm:spPr/>
      <dgm:t>
        <a:bodyPr/>
        <a:lstStyle/>
        <a:p>
          <a:endParaRPr lang="nl-NL"/>
        </a:p>
      </dgm:t>
    </dgm:pt>
    <dgm:pt modelId="{A611001C-4B90-4F8F-8943-F63D2A709D9B}">
      <dgm:prSet phldrT="[Tekst]"/>
      <dgm:spPr/>
      <dgm:t>
        <a:bodyPr/>
        <a:lstStyle/>
        <a:p>
          <a:r>
            <a:rPr lang="nl-NL" dirty="0" smtClean="0"/>
            <a:t>Hoofdstuk 9 </a:t>
          </a:r>
        </a:p>
        <a:p>
          <a:r>
            <a:rPr lang="nl-NL" dirty="0" smtClean="0"/>
            <a:t>Toezicht op het beheer van publieke financiële middelen door organisaties buiten de rijksdienst</a:t>
          </a:r>
          <a:endParaRPr lang="nl-NL" dirty="0"/>
        </a:p>
      </dgm:t>
    </dgm:pt>
    <dgm:pt modelId="{B21139B6-C50A-404E-93B6-31014F325227}" type="parTrans" cxnId="{4D67A8B1-ABDC-4C12-9B35-34229CB0A841}">
      <dgm:prSet/>
      <dgm:spPr/>
      <dgm:t>
        <a:bodyPr/>
        <a:lstStyle/>
        <a:p>
          <a:endParaRPr lang="nl-NL"/>
        </a:p>
      </dgm:t>
    </dgm:pt>
    <dgm:pt modelId="{E9653913-5352-4CE9-A010-6FF78C66E86B}" type="sibTrans" cxnId="{4D67A8B1-ABDC-4C12-9B35-34229CB0A841}">
      <dgm:prSet/>
      <dgm:spPr/>
      <dgm:t>
        <a:bodyPr/>
        <a:lstStyle/>
        <a:p>
          <a:endParaRPr lang="nl-NL"/>
        </a:p>
      </dgm:t>
    </dgm:pt>
    <dgm:pt modelId="{6556301B-5702-44DB-9D25-B83A7F5D4891}">
      <dgm:prSet phldrT="[Tekst]"/>
      <dgm:spPr/>
      <dgm:t>
        <a:bodyPr/>
        <a:lstStyle/>
        <a:p>
          <a:r>
            <a:rPr lang="nl-NL" dirty="0" smtClean="0"/>
            <a:t>Hoofdstuk 10 </a:t>
          </a:r>
        </a:p>
        <a:p>
          <a:r>
            <a:rPr lang="nl-NL" dirty="0" smtClean="0"/>
            <a:t>Algemene Rekenkamer: Externe onderzoeksfunctie </a:t>
          </a:r>
          <a:endParaRPr lang="nl-NL" dirty="0"/>
        </a:p>
      </dgm:t>
    </dgm:pt>
    <dgm:pt modelId="{FCBC4A34-D5A4-484B-972D-583E62BFDC74}" type="parTrans" cxnId="{8178EFE3-560F-4E1F-ADED-87CC1CAC06A8}">
      <dgm:prSet/>
      <dgm:spPr/>
      <dgm:t>
        <a:bodyPr/>
        <a:lstStyle/>
        <a:p>
          <a:endParaRPr lang="nl-NL"/>
        </a:p>
      </dgm:t>
    </dgm:pt>
    <dgm:pt modelId="{7B52F0B6-5D7C-49F9-BD9C-BDB7C8E7004D}" type="sibTrans" cxnId="{8178EFE3-560F-4E1F-ADED-87CC1CAC06A8}">
      <dgm:prSet/>
      <dgm:spPr/>
      <dgm:t>
        <a:bodyPr/>
        <a:lstStyle/>
        <a:p>
          <a:endParaRPr lang="nl-NL"/>
        </a:p>
      </dgm:t>
    </dgm:pt>
    <dgm:pt modelId="{6B28A0C5-8AE5-4D02-97CE-7BFCADB1421A}">
      <dgm:prSet/>
      <dgm:spPr>
        <a:noFill/>
        <a:ln>
          <a:noFill/>
        </a:ln>
      </dgm:spPr>
      <dgm:t>
        <a:bodyPr/>
        <a:lstStyle/>
        <a:p>
          <a:endParaRPr lang="nl-NL" dirty="0"/>
        </a:p>
      </dgm:t>
    </dgm:pt>
    <dgm:pt modelId="{B91B8078-CAF2-41A8-95C8-D1BD3CD228B9}" type="parTrans" cxnId="{CDC40A63-68F5-424F-B94D-C1BBEDC71786}">
      <dgm:prSet/>
      <dgm:spPr/>
      <dgm:t>
        <a:bodyPr/>
        <a:lstStyle/>
        <a:p>
          <a:endParaRPr lang="nl-NL"/>
        </a:p>
      </dgm:t>
    </dgm:pt>
    <dgm:pt modelId="{F6907C2D-C1C4-4637-BBC5-D26B06186B6D}" type="sibTrans" cxnId="{CDC40A63-68F5-424F-B94D-C1BBEDC71786}">
      <dgm:prSet/>
      <dgm:spPr/>
      <dgm:t>
        <a:bodyPr/>
        <a:lstStyle/>
        <a:p>
          <a:endParaRPr lang="nl-NL"/>
        </a:p>
      </dgm:t>
    </dgm:pt>
    <dgm:pt modelId="{29962ABA-FD9C-4079-A768-EE5ACE87A580}">
      <dgm:prSet/>
      <dgm:spPr>
        <a:noFill/>
        <a:ln>
          <a:noFill/>
        </a:ln>
      </dgm:spPr>
      <dgm:t>
        <a:bodyPr/>
        <a:lstStyle/>
        <a:p>
          <a:endParaRPr lang="nl-NL" dirty="0"/>
        </a:p>
      </dgm:t>
    </dgm:pt>
    <dgm:pt modelId="{D69F2C72-EA0E-4352-8BBE-01A6C2DBA5B9}" type="parTrans" cxnId="{CCFB558C-24D9-471E-A68E-AD2E60CFC578}">
      <dgm:prSet/>
      <dgm:spPr/>
      <dgm:t>
        <a:bodyPr/>
        <a:lstStyle/>
        <a:p>
          <a:endParaRPr lang="nl-NL"/>
        </a:p>
      </dgm:t>
    </dgm:pt>
    <dgm:pt modelId="{3F763938-48B5-4FBF-9044-6F37E58235E3}" type="sibTrans" cxnId="{CCFB558C-24D9-471E-A68E-AD2E60CFC578}">
      <dgm:prSet/>
      <dgm:spPr/>
      <dgm:t>
        <a:bodyPr/>
        <a:lstStyle/>
        <a:p>
          <a:endParaRPr lang="nl-NL"/>
        </a:p>
      </dgm:t>
    </dgm:pt>
    <dgm:pt modelId="{60C00974-20B2-42D7-9BEF-8B9D97B3406B}">
      <dgm:prSet/>
      <dgm:spPr>
        <a:noFill/>
        <a:ln>
          <a:noFill/>
        </a:ln>
      </dgm:spPr>
      <dgm:t>
        <a:bodyPr/>
        <a:lstStyle/>
        <a:p>
          <a:endParaRPr lang="nl-NL" dirty="0"/>
        </a:p>
      </dgm:t>
    </dgm:pt>
    <dgm:pt modelId="{24320A93-5FC0-4188-92D7-D0FBC7DACF16}" type="sibTrans" cxnId="{3404044D-706B-4B16-8247-AA86F0D09CE8}">
      <dgm:prSet/>
      <dgm:spPr/>
      <dgm:t>
        <a:bodyPr/>
        <a:lstStyle/>
        <a:p>
          <a:endParaRPr lang="nl-NL"/>
        </a:p>
      </dgm:t>
    </dgm:pt>
    <dgm:pt modelId="{92976849-BF68-4D4E-BDEA-77620C568091}" type="parTrans" cxnId="{3404044D-706B-4B16-8247-AA86F0D09CE8}">
      <dgm:prSet/>
      <dgm:spPr/>
      <dgm:t>
        <a:bodyPr/>
        <a:lstStyle/>
        <a:p>
          <a:endParaRPr lang="nl-NL"/>
        </a:p>
      </dgm:t>
    </dgm:pt>
    <dgm:pt modelId="{4D57359C-FDB7-45C1-9913-1C3D3F260396}" type="pres">
      <dgm:prSet presAssocID="{15756FEF-1B04-4981-9F75-EBD8F77DBC12}" presName="diagram" presStyleCnt="0">
        <dgm:presLayoutVars>
          <dgm:dir/>
          <dgm:resizeHandles val="exact"/>
        </dgm:presLayoutVars>
      </dgm:prSet>
      <dgm:spPr/>
      <dgm:t>
        <a:bodyPr/>
        <a:lstStyle/>
        <a:p>
          <a:endParaRPr lang="nl-NL"/>
        </a:p>
      </dgm:t>
    </dgm:pt>
    <dgm:pt modelId="{F59C4217-7B86-4944-835B-F9C0C327C256}" type="pres">
      <dgm:prSet presAssocID="{FB0DC68E-0086-4DDD-8648-E45091C95381}" presName="node" presStyleLbl="node1" presStyleIdx="0" presStyleCnt="13">
        <dgm:presLayoutVars>
          <dgm:bulletEnabled val="1"/>
        </dgm:presLayoutVars>
      </dgm:prSet>
      <dgm:spPr/>
      <dgm:t>
        <a:bodyPr/>
        <a:lstStyle/>
        <a:p>
          <a:endParaRPr lang="nl-NL"/>
        </a:p>
      </dgm:t>
    </dgm:pt>
    <dgm:pt modelId="{D22F71F3-9BCB-40A2-B898-2351F6EDB782}" type="pres">
      <dgm:prSet presAssocID="{15549FFA-4B97-40EC-BBAB-1AC1B1AC9D34}" presName="sibTrans" presStyleCnt="0"/>
      <dgm:spPr/>
    </dgm:pt>
    <dgm:pt modelId="{DA016029-DC96-4A32-9772-0B97955E45F2}" type="pres">
      <dgm:prSet presAssocID="{298DCC77-5CB3-466B-A703-0EC08D1D6332}" presName="node" presStyleLbl="node1" presStyleIdx="1" presStyleCnt="13">
        <dgm:presLayoutVars>
          <dgm:bulletEnabled val="1"/>
        </dgm:presLayoutVars>
      </dgm:prSet>
      <dgm:spPr/>
      <dgm:t>
        <a:bodyPr/>
        <a:lstStyle/>
        <a:p>
          <a:endParaRPr lang="nl-NL"/>
        </a:p>
      </dgm:t>
    </dgm:pt>
    <dgm:pt modelId="{35C1A9EC-FC2D-4F31-A1B4-7FEDD37DEA79}" type="pres">
      <dgm:prSet presAssocID="{95377FD9-5609-4224-A38A-D515221FE89C}" presName="sibTrans" presStyleCnt="0"/>
      <dgm:spPr/>
    </dgm:pt>
    <dgm:pt modelId="{C0662CE1-DA4F-4A55-9872-35B1721FFAC0}" type="pres">
      <dgm:prSet presAssocID="{2EF7041C-A226-45D2-8D06-3A0CED20CEAA}" presName="node" presStyleLbl="node1" presStyleIdx="2" presStyleCnt="13">
        <dgm:presLayoutVars>
          <dgm:bulletEnabled val="1"/>
        </dgm:presLayoutVars>
      </dgm:prSet>
      <dgm:spPr/>
      <dgm:t>
        <a:bodyPr/>
        <a:lstStyle/>
        <a:p>
          <a:endParaRPr lang="nl-NL"/>
        </a:p>
      </dgm:t>
    </dgm:pt>
    <dgm:pt modelId="{29F708B2-BEA1-46F1-9F72-620101C02A61}" type="pres">
      <dgm:prSet presAssocID="{D7B5F03B-02FE-4A2D-AB56-021B5DCF5455}" presName="sibTrans" presStyleCnt="0"/>
      <dgm:spPr/>
    </dgm:pt>
    <dgm:pt modelId="{C7FA5A70-F2DD-479C-9E0B-5EA9FDBA14D8}" type="pres">
      <dgm:prSet presAssocID="{75CD24EB-5ECB-4B9B-9C94-45229E0FB37F}" presName="node" presStyleLbl="node1" presStyleIdx="3" presStyleCnt="13">
        <dgm:presLayoutVars>
          <dgm:bulletEnabled val="1"/>
        </dgm:presLayoutVars>
      </dgm:prSet>
      <dgm:spPr/>
      <dgm:t>
        <a:bodyPr/>
        <a:lstStyle/>
        <a:p>
          <a:endParaRPr lang="nl-NL"/>
        </a:p>
      </dgm:t>
    </dgm:pt>
    <dgm:pt modelId="{2ED8BE0B-B452-4422-BA2D-20590B4460E9}" type="pres">
      <dgm:prSet presAssocID="{C5278209-1226-449B-A91D-76CA582982A8}" presName="sibTrans" presStyleCnt="0"/>
      <dgm:spPr/>
    </dgm:pt>
    <dgm:pt modelId="{6C40EB8E-E2AB-4A17-8789-E5E9A9EAEAE6}" type="pres">
      <dgm:prSet presAssocID="{7BB8D22B-38B3-4DAB-BA1D-922A1DE9DCD3}" presName="node" presStyleLbl="node1" presStyleIdx="4" presStyleCnt="13">
        <dgm:presLayoutVars>
          <dgm:bulletEnabled val="1"/>
        </dgm:presLayoutVars>
      </dgm:prSet>
      <dgm:spPr/>
      <dgm:t>
        <a:bodyPr/>
        <a:lstStyle/>
        <a:p>
          <a:endParaRPr lang="nl-NL"/>
        </a:p>
      </dgm:t>
    </dgm:pt>
    <dgm:pt modelId="{FBB0E063-E2F5-4BFD-A757-8CF9A1990F1B}" type="pres">
      <dgm:prSet presAssocID="{E95957AB-17D4-41AE-900D-7A8BB2F8CAD0}" presName="sibTrans" presStyleCnt="0"/>
      <dgm:spPr/>
    </dgm:pt>
    <dgm:pt modelId="{96168C3B-8AD9-4217-982B-665F7976B6B9}" type="pres">
      <dgm:prSet presAssocID="{CA060270-45F2-433F-BE55-2395C0B9877E}" presName="node" presStyleLbl="node1" presStyleIdx="5" presStyleCnt="13">
        <dgm:presLayoutVars>
          <dgm:bulletEnabled val="1"/>
        </dgm:presLayoutVars>
      </dgm:prSet>
      <dgm:spPr/>
      <dgm:t>
        <a:bodyPr/>
        <a:lstStyle/>
        <a:p>
          <a:endParaRPr lang="nl-NL"/>
        </a:p>
      </dgm:t>
    </dgm:pt>
    <dgm:pt modelId="{1E6E683A-7A16-46ED-BE8A-CD29F2793DD4}" type="pres">
      <dgm:prSet presAssocID="{68D9BAE2-BE67-4613-855E-6280D0B1FB45}" presName="sibTrans" presStyleCnt="0"/>
      <dgm:spPr/>
    </dgm:pt>
    <dgm:pt modelId="{A0B13551-0982-4389-BC28-1B92F9F97012}" type="pres">
      <dgm:prSet presAssocID="{F7385D18-803F-4C1D-8233-482CAFDB68CE}" presName="node" presStyleLbl="node1" presStyleIdx="6" presStyleCnt="13">
        <dgm:presLayoutVars>
          <dgm:bulletEnabled val="1"/>
        </dgm:presLayoutVars>
      </dgm:prSet>
      <dgm:spPr/>
      <dgm:t>
        <a:bodyPr/>
        <a:lstStyle/>
        <a:p>
          <a:endParaRPr lang="nl-NL"/>
        </a:p>
      </dgm:t>
    </dgm:pt>
    <dgm:pt modelId="{4F024726-60FB-4B39-982F-BE46C857665A}" type="pres">
      <dgm:prSet presAssocID="{F7AF3F48-D0CE-4FD2-96E7-9BFFEADFED6F}" presName="sibTrans" presStyleCnt="0"/>
      <dgm:spPr/>
    </dgm:pt>
    <dgm:pt modelId="{E8FC61AD-2A9D-489C-9205-25CA6D68CBEC}" type="pres">
      <dgm:prSet presAssocID="{B558D1E1-0455-4AC2-9E79-2DD42766B993}" presName="node" presStyleLbl="node1" presStyleIdx="7" presStyleCnt="13">
        <dgm:presLayoutVars>
          <dgm:bulletEnabled val="1"/>
        </dgm:presLayoutVars>
      </dgm:prSet>
      <dgm:spPr/>
      <dgm:t>
        <a:bodyPr/>
        <a:lstStyle/>
        <a:p>
          <a:endParaRPr lang="nl-NL"/>
        </a:p>
      </dgm:t>
    </dgm:pt>
    <dgm:pt modelId="{08FFED20-73ED-435E-B568-0337C7535AB8}" type="pres">
      <dgm:prSet presAssocID="{DD259B50-FC5E-452E-8D9D-C56A87BCB2B9}" presName="sibTrans" presStyleCnt="0"/>
      <dgm:spPr/>
    </dgm:pt>
    <dgm:pt modelId="{32FC0204-819D-4694-B53B-6A4BD0F0C825}" type="pres">
      <dgm:prSet presAssocID="{29962ABA-FD9C-4079-A768-EE5ACE87A580}" presName="node" presStyleLbl="node1" presStyleIdx="8" presStyleCnt="13">
        <dgm:presLayoutVars>
          <dgm:bulletEnabled val="1"/>
        </dgm:presLayoutVars>
      </dgm:prSet>
      <dgm:spPr/>
      <dgm:t>
        <a:bodyPr/>
        <a:lstStyle/>
        <a:p>
          <a:endParaRPr lang="nl-NL"/>
        </a:p>
      </dgm:t>
    </dgm:pt>
    <dgm:pt modelId="{A01E6D4E-C673-483D-84E7-223592ADE85E}" type="pres">
      <dgm:prSet presAssocID="{3F763938-48B5-4FBF-9044-6F37E58235E3}" presName="sibTrans" presStyleCnt="0"/>
      <dgm:spPr/>
    </dgm:pt>
    <dgm:pt modelId="{B7B3ADD1-6E37-48BB-A62D-8A95A995AF80}" type="pres">
      <dgm:prSet presAssocID="{A611001C-4B90-4F8F-8943-F63D2A709D9B}" presName="node" presStyleLbl="node1" presStyleIdx="9" presStyleCnt="13">
        <dgm:presLayoutVars>
          <dgm:bulletEnabled val="1"/>
        </dgm:presLayoutVars>
      </dgm:prSet>
      <dgm:spPr/>
      <dgm:t>
        <a:bodyPr/>
        <a:lstStyle/>
        <a:p>
          <a:endParaRPr lang="nl-NL"/>
        </a:p>
      </dgm:t>
    </dgm:pt>
    <dgm:pt modelId="{108776DE-D9F7-4413-9D1B-5CC3B33DA6B1}" type="pres">
      <dgm:prSet presAssocID="{E9653913-5352-4CE9-A010-6FF78C66E86B}" presName="sibTrans" presStyleCnt="0"/>
      <dgm:spPr/>
    </dgm:pt>
    <dgm:pt modelId="{A49A0C45-24C7-4D67-89C5-ECFDA4DF94EC}" type="pres">
      <dgm:prSet presAssocID="{6556301B-5702-44DB-9D25-B83A7F5D4891}" presName="node" presStyleLbl="node1" presStyleIdx="10" presStyleCnt="13">
        <dgm:presLayoutVars>
          <dgm:bulletEnabled val="1"/>
        </dgm:presLayoutVars>
      </dgm:prSet>
      <dgm:spPr/>
      <dgm:t>
        <a:bodyPr/>
        <a:lstStyle/>
        <a:p>
          <a:endParaRPr lang="nl-NL"/>
        </a:p>
      </dgm:t>
    </dgm:pt>
    <dgm:pt modelId="{DD4871A6-9F70-4725-8A1B-6D5CE29965DA}" type="pres">
      <dgm:prSet presAssocID="{7B52F0B6-5D7C-49F9-BD9C-BDB7C8E7004D}" presName="sibTrans" presStyleCnt="0"/>
      <dgm:spPr/>
    </dgm:pt>
    <dgm:pt modelId="{36BF0288-3AE1-414E-8F40-A10DF7292259}" type="pres">
      <dgm:prSet presAssocID="{6B28A0C5-8AE5-4D02-97CE-7BFCADB1421A}" presName="node" presStyleLbl="node1" presStyleIdx="11" presStyleCnt="13">
        <dgm:presLayoutVars>
          <dgm:bulletEnabled val="1"/>
        </dgm:presLayoutVars>
      </dgm:prSet>
      <dgm:spPr/>
      <dgm:t>
        <a:bodyPr/>
        <a:lstStyle/>
        <a:p>
          <a:endParaRPr lang="nl-NL"/>
        </a:p>
      </dgm:t>
    </dgm:pt>
    <dgm:pt modelId="{D782B64B-6941-4730-B769-AF39F5980A94}" type="pres">
      <dgm:prSet presAssocID="{F6907C2D-C1C4-4637-BBC5-D26B06186B6D}" presName="sibTrans" presStyleCnt="0"/>
      <dgm:spPr/>
    </dgm:pt>
    <dgm:pt modelId="{CB1D0F22-1EC4-4E0D-BFAA-1C498596BC1A}" type="pres">
      <dgm:prSet presAssocID="{60C00974-20B2-42D7-9BEF-8B9D97B3406B}" presName="node" presStyleLbl="node1" presStyleIdx="12" presStyleCnt="13">
        <dgm:presLayoutVars>
          <dgm:bulletEnabled val="1"/>
        </dgm:presLayoutVars>
      </dgm:prSet>
      <dgm:spPr/>
      <dgm:t>
        <a:bodyPr/>
        <a:lstStyle/>
        <a:p>
          <a:endParaRPr lang="nl-NL"/>
        </a:p>
      </dgm:t>
    </dgm:pt>
  </dgm:ptLst>
  <dgm:cxnLst>
    <dgm:cxn modelId="{E1C5BE96-0DCB-416E-9174-A4B2C4B5E58E}" srcId="{15756FEF-1B04-4981-9F75-EBD8F77DBC12}" destId="{FB0DC68E-0086-4DDD-8648-E45091C95381}" srcOrd="0" destOrd="0" parTransId="{801F162A-BD9E-4045-932F-748A8C126981}" sibTransId="{15549FFA-4B97-40EC-BBAB-1AC1B1AC9D34}"/>
    <dgm:cxn modelId="{819A6F30-0ACD-4902-B274-9C48AFA1DFEF}" type="presOf" srcId="{CA060270-45F2-433F-BE55-2395C0B9877E}" destId="{96168C3B-8AD9-4217-982B-665F7976B6B9}" srcOrd="0" destOrd="0" presId="urn:microsoft.com/office/officeart/2005/8/layout/default"/>
    <dgm:cxn modelId="{F32DDF47-3229-4B9E-8B6A-DD21B0938205}" type="presOf" srcId="{F7385D18-803F-4C1D-8233-482CAFDB68CE}" destId="{A0B13551-0982-4389-BC28-1B92F9F97012}" srcOrd="0" destOrd="0" presId="urn:microsoft.com/office/officeart/2005/8/layout/default"/>
    <dgm:cxn modelId="{3C97E840-4C73-430F-8F33-2137B2D98B44}" srcId="{15756FEF-1B04-4981-9F75-EBD8F77DBC12}" destId="{F7385D18-803F-4C1D-8233-482CAFDB68CE}" srcOrd="6" destOrd="0" parTransId="{B71B5C5C-EC27-4DF5-B666-758FB0A2031E}" sibTransId="{F7AF3F48-D0CE-4FD2-96E7-9BFFEADFED6F}"/>
    <dgm:cxn modelId="{5DDD9AC8-2021-4D11-8F21-94003405FDB9}" type="presOf" srcId="{2EF7041C-A226-45D2-8D06-3A0CED20CEAA}" destId="{C0662CE1-DA4F-4A55-9872-35B1721FFAC0}" srcOrd="0" destOrd="0" presId="urn:microsoft.com/office/officeart/2005/8/layout/default"/>
    <dgm:cxn modelId="{54DCECDD-45F0-4CF7-BE1E-9B1127DA8B49}" type="presOf" srcId="{29962ABA-FD9C-4079-A768-EE5ACE87A580}" destId="{32FC0204-819D-4694-B53B-6A4BD0F0C825}" srcOrd="0" destOrd="0" presId="urn:microsoft.com/office/officeart/2005/8/layout/default"/>
    <dgm:cxn modelId="{29C07982-3D23-43FC-8F30-4E989A4EA169}" type="presOf" srcId="{FB0DC68E-0086-4DDD-8648-E45091C95381}" destId="{F59C4217-7B86-4944-835B-F9C0C327C256}" srcOrd="0" destOrd="0" presId="urn:microsoft.com/office/officeart/2005/8/layout/default"/>
    <dgm:cxn modelId="{C0664DDE-1AE6-4D77-AAA9-7B79B7A31CA2}" type="presOf" srcId="{75CD24EB-5ECB-4B9B-9C94-45229E0FB37F}" destId="{C7FA5A70-F2DD-479C-9E0B-5EA9FDBA14D8}" srcOrd="0" destOrd="0" presId="urn:microsoft.com/office/officeart/2005/8/layout/default"/>
    <dgm:cxn modelId="{1D43E0E9-E9D8-4E5B-87BC-B1FC46C4D323}" srcId="{15756FEF-1B04-4981-9F75-EBD8F77DBC12}" destId="{CA060270-45F2-433F-BE55-2395C0B9877E}" srcOrd="5" destOrd="0" parTransId="{68B53795-4AE3-46B8-961E-7A550EE3C4C9}" sibTransId="{68D9BAE2-BE67-4613-855E-6280D0B1FB45}"/>
    <dgm:cxn modelId="{B6286873-1977-49BF-974C-6B22A2BA98FF}" srcId="{15756FEF-1B04-4981-9F75-EBD8F77DBC12}" destId="{75CD24EB-5ECB-4B9B-9C94-45229E0FB37F}" srcOrd="3" destOrd="0" parTransId="{A2633FB3-7B58-4D15-BD96-8DB27109D8F8}" sibTransId="{C5278209-1226-449B-A91D-76CA582982A8}"/>
    <dgm:cxn modelId="{F4255B72-07FC-4075-B127-E20600FFFA56}" type="presOf" srcId="{A611001C-4B90-4F8F-8943-F63D2A709D9B}" destId="{B7B3ADD1-6E37-48BB-A62D-8A95A995AF80}" srcOrd="0" destOrd="0" presId="urn:microsoft.com/office/officeart/2005/8/layout/default"/>
    <dgm:cxn modelId="{CDC40A63-68F5-424F-B94D-C1BBEDC71786}" srcId="{15756FEF-1B04-4981-9F75-EBD8F77DBC12}" destId="{6B28A0C5-8AE5-4D02-97CE-7BFCADB1421A}" srcOrd="11" destOrd="0" parTransId="{B91B8078-CAF2-41A8-95C8-D1BD3CD228B9}" sibTransId="{F6907C2D-C1C4-4637-BBC5-D26B06186B6D}"/>
    <dgm:cxn modelId="{51C8F3F9-C2E4-4B75-B423-9E69D53DB174}" srcId="{15756FEF-1B04-4981-9F75-EBD8F77DBC12}" destId="{B558D1E1-0455-4AC2-9E79-2DD42766B993}" srcOrd="7" destOrd="0" parTransId="{8E5759A2-801D-4D67-BC1C-12A7892FBA75}" sibTransId="{DD259B50-FC5E-452E-8D9D-C56A87BCB2B9}"/>
    <dgm:cxn modelId="{63041DAD-83E6-4CE0-BD5F-DCE2A94EBB48}" type="presOf" srcId="{298DCC77-5CB3-466B-A703-0EC08D1D6332}" destId="{DA016029-DC96-4A32-9772-0B97955E45F2}" srcOrd="0" destOrd="0" presId="urn:microsoft.com/office/officeart/2005/8/layout/default"/>
    <dgm:cxn modelId="{6321EC0A-8B92-4366-8691-00E6E69B1EC1}" type="presOf" srcId="{60C00974-20B2-42D7-9BEF-8B9D97B3406B}" destId="{CB1D0F22-1EC4-4E0D-BFAA-1C498596BC1A}" srcOrd="0" destOrd="0" presId="urn:microsoft.com/office/officeart/2005/8/layout/default"/>
    <dgm:cxn modelId="{3404044D-706B-4B16-8247-AA86F0D09CE8}" srcId="{15756FEF-1B04-4981-9F75-EBD8F77DBC12}" destId="{60C00974-20B2-42D7-9BEF-8B9D97B3406B}" srcOrd="12" destOrd="0" parTransId="{92976849-BF68-4D4E-BDEA-77620C568091}" sibTransId="{24320A93-5FC0-4188-92D7-D0FBC7DACF16}"/>
    <dgm:cxn modelId="{61F49216-43EC-4E5A-A321-A6CB678F6832}" type="presOf" srcId="{6B28A0C5-8AE5-4D02-97CE-7BFCADB1421A}" destId="{36BF0288-3AE1-414E-8F40-A10DF7292259}" srcOrd="0" destOrd="0" presId="urn:microsoft.com/office/officeart/2005/8/layout/default"/>
    <dgm:cxn modelId="{E48DBD52-F272-481B-9B9F-7388779781F4}" srcId="{15756FEF-1B04-4981-9F75-EBD8F77DBC12}" destId="{7BB8D22B-38B3-4DAB-BA1D-922A1DE9DCD3}" srcOrd="4" destOrd="0" parTransId="{26B7D193-83F8-4CB5-BE54-2673410ECAED}" sibTransId="{E95957AB-17D4-41AE-900D-7A8BB2F8CAD0}"/>
    <dgm:cxn modelId="{AFA6DAD4-04C3-4EC6-9525-EE570510FE58}" srcId="{15756FEF-1B04-4981-9F75-EBD8F77DBC12}" destId="{2EF7041C-A226-45D2-8D06-3A0CED20CEAA}" srcOrd="2" destOrd="0" parTransId="{00962474-6BD1-4445-BCEC-5F652B4C10FD}" sibTransId="{D7B5F03B-02FE-4A2D-AB56-021B5DCF5455}"/>
    <dgm:cxn modelId="{8A356127-39D9-4B67-995D-9961E39F9702}" type="presOf" srcId="{B558D1E1-0455-4AC2-9E79-2DD42766B993}" destId="{E8FC61AD-2A9D-489C-9205-25CA6D68CBEC}" srcOrd="0" destOrd="0" presId="urn:microsoft.com/office/officeart/2005/8/layout/default"/>
    <dgm:cxn modelId="{6BA75CE7-FD1B-42D8-8564-9ED543464794}" type="presOf" srcId="{15756FEF-1B04-4981-9F75-EBD8F77DBC12}" destId="{4D57359C-FDB7-45C1-9913-1C3D3F260396}" srcOrd="0" destOrd="0" presId="urn:microsoft.com/office/officeart/2005/8/layout/default"/>
    <dgm:cxn modelId="{D4C2E630-6F8D-4B5F-AD6F-E67EB9B15277}" type="presOf" srcId="{7BB8D22B-38B3-4DAB-BA1D-922A1DE9DCD3}" destId="{6C40EB8E-E2AB-4A17-8789-E5E9A9EAEAE6}" srcOrd="0" destOrd="0" presId="urn:microsoft.com/office/officeart/2005/8/layout/default"/>
    <dgm:cxn modelId="{86507515-78D2-4A5E-A544-F896E7B43485}" srcId="{15756FEF-1B04-4981-9F75-EBD8F77DBC12}" destId="{298DCC77-5CB3-466B-A703-0EC08D1D6332}" srcOrd="1" destOrd="0" parTransId="{31326811-F73C-47B2-88D1-32F2B7664626}" sibTransId="{95377FD9-5609-4224-A38A-D515221FE89C}"/>
    <dgm:cxn modelId="{CCFB558C-24D9-471E-A68E-AD2E60CFC578}" srcId="{15756FEF-1B04-4981-9F75-EBD8F77DBC12}" destId="{29962ABA-FD9C-4079-A768-EE5ACE87A580}" srcOrd="8" destOrd="0" parTransId="{D69F2C72-EA0E-4352-8BBE-01A6C2DBA5B9}" sibTransId="{3F763938-48B5-4FBF-9044-6F37E58235E3}"/>
    <dgm:cxn modelId="{26FA1B89-060F-4D89-8B1B-8EEC422717BC}" type="presOf" srcId="{6556301B-5702-44DB-9D25-B83A7F5D4891}" destId="{A49A0C45-24C7-4D67-89C5-ECFDA4DF94EC}" srcOrd="0" destOrd="0" presId="urn:microsoft.com/office/officeart/2005/8/layout/default"/>
    <dgm:cxn modelId="{4D67A8B1-ABDC-4C12-9B35-34229CB0A841}" srcId="{15756FEF-1B04-4981-9F75-EBD8F77DBC12}" destId="{A611001C-4B90-4F8F-8943-F63D2A709D9B}" srcOrd="9" destOrd="0" parTransId="{B21139B6-C50A-404E-93B6-31014F325227}" sibTransId="{E9653913-5352-4CE9-A010-6FF78C66E86B}"/>
    <dgm:cxn modelId="{8178EFE3-560F-4E1F-ADED-87CC1CAC06A8}" srcId="{15756FEF-1B04-4981-9F75-EBD8F77DBC12}" destId="{6556301B-5702-44DB-9D25-B83A7F5D4891}" srcOrd="10" destOrd="0" parTransId="{FCBC4A34-D5A4-484B-972D-583E62BFDC74}" sibTransId="{7B52F0B6-5D7C-49F9-BD9C-BDB7C8E7004D}"/>
    <dgm:cxn modelId="{281800CF-8B72-4C44-BAA7-2FC2D246EB28}" type="presParOf" srcId="{4D57359C-FDB7-45C1-9913-1C3D3F260396}" destId="{F59C4217-7B86-4944-835B-F9C0C327C256}" srcOrd="0" destOrd="0" presId="urn:microsoft.com/office/officeart/2005/8/layout/default"/>
    <dgm:cxn modelId="{35C9779F-7003-45A3-9037-C5BCEBAE5421}" type="presParOf" srcId="{4D57359C-FDB7-45C1-9913-1C3D3F260396}" destId="{D22F71F3-9BCB-40A2-B898-2351F6EDB782}" srcOrd="1" destOrd="0" presId="urn:microsoft.com/office/officeart/2005/8/layout/default"/>
    <dgm:cxn modelId="{84B7C1F1-134B-4E6A-ADAE-17C69A37D4AA}" type="presParOf" srcId="{4D57359C-FDB7-45C1-9913-1C3D3F260396}" destId="{DA016029-DC96-4A32-9772-0B97955E45F2}" srcOrd="2" destOrd="0" presId="urn:microsoft.com/office/officeart/2005/8/layout/default"/>
    <dgm:cxn modelId="{3173EA14-F004-4F46-A888-8C39D3767DEA}" type="presParOf" srcId="{4D57359C-FDB7-45C1-9913-1C3D3F260396}" destId="{35C1A9EC-FC2D-4F31-A1B4-7FEDD37DEA79}" srcOrd="3" destOrd="0" presId="urn:microsoft.com/office/officeart/2005/8/layout/default"/>
    <dgm:cxn modelId="{AAD4323F-59BB-48CC-B8D3-6A765B7CEDC5}" type="presParOf" srcId="{4D57359C-FDB7-45C1-9913-1C3D3F260396}" destId="{C0662CE1-DA4F-4A55-9872-35B1721FFAC0}" srcOrd="4" destOrd="0" presId="urn:microsoft.com/office/officeart/2005/8/layout/default"/>
    <dgm:cxn modelId="{4AFF6877-16A9-4B59-89A7-A42C287D3F22}" type="presParOf" srcId="{4D57359C-FDB7-45C1-9913-1C3D3F260396}" destId="{29F708B2-BEA1-46F1-9F72-620101C02A61}" srcOrd="5" destOrd="0" presId="urn:microsoft.com/office/officeart/2005/8/layout/default"/>
    <dgm:cxn modelId="{D870266B-FD48-45B2-8F94-4438E45FEB5C}" type="presParOf" srcId="{4D57359C-FDB7-45C1-9913-1C3D3F260396}" destId="{C7FA5A70-F2DD-479C-9E0B-5EA9FDBA14D8}" srcOrd="6" destOrd="0" presId="urn:microsoft.com/office/officeart/2005/8/layout/default"/>
    <dgm:cxn modelId="{0351889F-19CF-407F-B165-7392852D4E7B}" type="presParOf" srcId="{4D57359C-FDB7-45C1-9913-1C3D3F260396}" destId="{2ED8BE0B-B452-4422-BA2D-20590B4460E9}" srcOrd="7" destOrd="0" presId="urn:microsoft.com/office/officeart/2005/8/layout/default"/>
    <dgm:cxn modelId="{CD17F989-9999-4FD4-A7EB-82493DDD7FD0}" type="presParOf" srcId="{4D57359C-FDB7-45C1-9913-1C3D3F260396}" destId="{6C40EB8E-E2AB-4A17-8789-E5E9A9EAEAE6}" srcOrd="8" destOrd="0" presId="urn:microsoft.com/office/officeart/2005/8/layout/default"/>
    <dgm:cxn modelId="{708BF951-B053-4236-8651-235E8EE38542}" type="presParOf" srcId="{4D57359C-FDB7-45C1-9913-1C3D3F260396}" destId="{FBB0E063-E2F5-4BFD-A757-8CF9A1990F1B}" srcOrd="9" destOrd="0" presId="urn:microsoft.com/office/officeart/2005/8/layout/default"/>
    <dgm:cxn modelId="{B1A9DB11-FF5C-46DF-A104-69CE7F0EBDAB}" type="presParOf" srcId="{4D57359C-FDB7-45C1-9913-1C3D3F260396}" destId="{96168C3B-8AD9-4217-982B-665F7976B6B9}" srcOrd="10" destOrd="0" presId="urn:microsoft.com/office/officeart/2005/8/layout/default"/>
    <dgm:cxn modelId="{7A078439-6083-481F-A6F7-3C32F2D1DD32}" type="presParOf" srcId="{4D57359C-FDB7-45C1-9913-1C3D3F260396}" destId="{1E6E683A-7A16-46ED-BE8A-CD29F2793DD4}" srcOrd="11" destOrd="0" presId="urn:microsoft.com/office/officeart/2005/8/layout/default"/>
    <dgm:cxn modelId="{22BF712D-091F-4ECF-BBB9-20148CB04DF6}" type="presParOf" srcId="{4D57359C-FDB7-45C1-9913-1C3D3F260396}" destId="{A0B13551-0982-4389-BC28-1B92F9F97012}" srcOrd="12" destOrd="0" presId="urn:microsoft.com/office/officeart/2005/8/layout/default"/>
    <dgm:cxn modelId="{ADA43969-775F-48AD-B84A-E2C105C1522C}" type="presParOf" srcId="{4D57359C-FDB7-45C1-9913-1C3D3F260396}" destId="{4F024726-60FB-4B39-982F-BE46C857665A}" srcOrd="13" destOrd="0" presId="urn:microsoft.com/office/officeart/2005/8/layout/default"/>
    <dgm:cxn modelId="{D761214B-F61C-439F-9B12-3E5B87E4D344}" type="presParOf" srcId="{4D57359C-FDB7-45C1-9913-1C3D3F260396}" destId="{E8FC61AD-2A9D-489C-9205-25CA6D68CBEC}" srcOrd="14" destOrd="0" presId="urn:microsoft.com/office/officeart/2005/8/layout/default"/>
    <dgm:cxn modelId="{0F7E0163-3F25-4B05-944D-CAA45F051A3A}" type="presParOf" srcId="{4D57359C-FDB7-45C1-9913-1C3D3F260396}" destId="{08FFED20-73ED-435E-B568-0337C7535AB8}" srcOrd="15" destOrd="0" presId="urn:microsoft.com/office/officeart/2005/8/layout/default"/>
    <dgm:cxn modelId="{8903A838-C48B-428C-951B-42EEA7CEB0EE}" type="presParOf" srcId="{4D57359C-FDB7-45C1-9913-1C3D3F260396}" destId="{32FC0204-819D-4694-B53B-6A4BD0F0C825}" srcOrd="16" destOrd="0" presId="urn:microsoft.com/office/officeart/2005/8/layout/default"/>
    <dgm:cxn modelId="{69E5DC38-D29D-411E-8C28-19840F42181C}" type="presParOf" srcId="{4D57359C-FDB7-45C1-9913-1C3D3F260396}" destId="{A01E6D4E-C673-483D-84E7-223592ADE85E}" srcOrd="17" destOrd="0" presId="urn:microsoft.com/office/officeart/2005/8/layout/default"/>
    <dgm:cxn modelId="{3FB623F7-42FD-42BA-A626-08FA72FCB4F3}" type="presParOf" srcId="{4D57359C-FDB7-45C1-9913-1C3D3F260396}" destId="{B7B3ADD1-6E37-48BB-A62D-8A95A995AF80}" srcOrd="18" destOrd="0" presId="urn:microsoft.com/office/officeart/2005/8/layout/default"/>
    <dgm:cxn modelId="{43F774B9-B887-4D13-81D8-C23821FF3EA4}" type="presParOf" srcId="{4D57359C-FDB7-45C1-9913-1C3D3F260396}" destId="{108776DE-D9F7-4413-9D1B-5CC3B33DA6B1}" srcOrd="19" destOrd="0" presId="urn:microsoft.com/office/officeart/2005/8/layout/default"/>
    <dgm:cxn modelId="{2272CCCB-D164-4F28-9377-95C62AC39B43}" type="presParOf" srcId="{4D57359C-FDB7-45C1-9913-1C3D3F260396}" destId="{A49A0C45-24C7-4D67-89C5-ECFDA4DF94EC}" srcOrd="20" destOrd="0" presId="urn:microsoft.com/office/officeart/2005/8/layout/default"/>
    <dgm:cxn modelId="{0551A477-6C4C-47D9-BC3D-0D3C7879FF8D}" type="presParOf" srcId="{4D57359C-FDB7-45C1-9913-1C3D3F260396}" destId="{DD4871A6-9F70-4725-8A1B-6D5CE29965DA}" srcOrd="21" destOrd="0" presId="urn:microsoft.com/office/officeart/2005/8/layout/default"/>
    <dgm:cxn modelId="{15F6FEDD-4F9F-498A-9A8A-4E012B61C263}" type="presParOf" srcId="{4D57359C-FDB7-45C1-9913-1C3D3F260396}" destId="{36BF0288-3AE1-414E-8F40-A10DF7292259}" srcOrd="22" destOrd="0" presId="urn:microsoft.com/office/officeart/2005/8/layout/default"/>
    <dgm:cxn modelId="{70B88799-FDF5-4A2D-ADB4-73156B3EB4DE}" type="presParOf" srcId="{4D57359C-FDB7-45C1-9913-1C3D3F260396}" destId="{D782B64B-6941-4730-B769-AF39F5980A94}" srcOrd="23" destOrd="0" presId="urn:microsoft.com/office/officeart/2005/8/layout/default"/>
    <dgm:cxn modelId="{B99DA3AC-6B1C-4597-A281-D7F336019C16}" type="presParOf" srcId="{4D57359C-FDB7-45C1-9913-1C3D3F260396}" destId="{CB1D0F22-1EC4-4E0D-BFAA-1C498596BC1A}" srcOrd="24" destOrd="0" presId="urn:microsoft.com/office/officeart/2005/8/layout/default"/>
  </dgm:cxnLst>
  <dgm:bg>
    <a:noFill/>
  </dgm:bg>
  <dgm:whole>
    <a:ln>
      <a:noFill/>
    </a:ln>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9C4217-7B86-4944-835B-F9C0C327C256}">
      <dsp:nvSpPr>
        <dsp:cNvPr id="0" name=""/>
        <dsp:cNvSpPr/>
      </dsp:nvSpPr>
      <dsp:spPr>
        <a:xfrm>
          <a:off x="1687" y="112803"/>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1 </a:t>
          </a:r>
        </a:p>
        <a:p>
          <a:pPr lvl="0" algn="ctr" defTabSz="400050">
            <a:lnSpc>
              <a:spcPct val="90000"/>
            </a:lnSpc>
            <a:spcBef>
              <a:spcPct val="0"/>
            </a:spcBef>
            <a:spcAft>
              <a:spcPct val="35000"/>
            </a:spcAft>
          </a:pPr>
          <a:r>
            <a:rPr lang="nl-NL" sz="900" kern="1200" dirty="0" smtClean="0"/>
            <a:t>Algemene bepalingen (belangrijke definities)</a:t>
          </a:r>
          <a:endParaRPr lang="nl-NL" sz="900" kern="1200" dirty="0"/>
        </a:p>
      </dsp:txBody>
      <dsp:txXfrm>
        <a:off x="1687" y="112803"/>
        <a:ext cx="1338917" cy="803350"/>
      </dsp:txXfrm>
    </dsp:sp>
    <dsp:sp modelId="{DA016029-DC96-4A32-9772-0B97955E45F2}">
      <dsp:nvSpPr>
        <dsp:cNvPr id="0" name=""/>
        <dsp:cNvSpPr/>
      </dsp:nvSpPr>
      <dsp:spPr>
        <a:xfrm>
          <a:off x="1474496" y="112803"/>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2 </a:t>
          </a:r>
        </a:p>
        <a:p>
          <a:pPr lvl="0" algn="ctr" defTabSz="400050">
            <a:lnSpc>
              <a:spcPct val="90000"/>
            </a:lnSpc>
            <a:spcBef>
              <a:spcPct val="0"/>
            </a:spcBef>
            <a:spcAft>
              <a:spcPct val="35000"/>
            </a:spcAft>
          </a:pPr>
          <a:r>
            <a:rPr lang="nl-NL" sz="900" kern="1200" dirty="0" smtClean="0"/>
            <a:t>De Rijksbegroting</a:t>
          </a:r>
          <a:endParaRPr lang="nl-NL" sz="900" kern="1200" dirty="0"/>
        </a:p>
      </dsp:txBody>
      <dsp:txXfrm>
        <a:off x="1474496" y="112803"/>
        <a:ext cx="1338917" cy="803350"/>
      </dsp:txXfrm>
    </dsp:sp>
    <dsp:sp modelId="{C0662CE1-DA4F-4A55-9872-35B1721FFAC0}">
      <dsp:nvSpPr>
        <dsp:cNvPr id="0" name=""/>
        <dsp:cNvSpPr/>
      </dsp:nvSpPr>
      <dsp:spPr>
        <a:xfrm>
          <a:off x="2947305" y="112803"/>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3 </a:t>
          </a:r>
        </a:p>
        <a:p>
          <a:pPr lvl="0" algn="ctr" defTabSz="400050">
            <a:lnSpc>
              <a:spcPct val="90000"/>
            </a:lnSpc>
            <a:spcBef>
              <a:spcPct val="0"/>
            </a:spcBef>
            <a:spcAft>
              <a:spcPct val="35000"/>
            </a:spcAft>
          </a:pPr>
          <a:r>
            <a:rPr lang="nl-NL" sz="900" kern="1200" dirty="0" smtClean="0"/>
            <a:t>Autorisatie en verantwoording</a:t>
          </a:r>
          <a:endParaRPr lang="nl-NL" sz="900" kern="1200" dirty="0"/>
        </a:p>
      </dsp:txBody>
      <dsp:txXfrm>
        <a:off x="2947305" y="112803"/>
        <a:ext cx="1338917" cy="803350"/>
      </dsp:txXfrm>
    </dsp:sp>
    <dsp:sp modelId="{C7FA5A70-F2DD-479C-9E0B-5EA9FDBA14D8}">
      <dsp:nvSpPr>
        <dsp:cNvPr id="0" name=""/>
        <dsp:cNvSpPr/>
      </dsp:nvSpPr>
      <dsp:spPr>
        <a:xfrm>
          <a:off x="4420114" y="112803"/>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4 </a:t>
          </a:r>
        </a:p>
        <a:p>
          <a:pPr lvl="0" algn="ctr" defTabSz="400050">
            <a:lnSpc>
              <a:spcPct val="90000"/>
            </a:lnSpc>
            <a:spcBef>
              <a:spcPct val="0"/>
            </a:spcBef>
            <a:spcAft>
              <a:spcPct val="35000"/>
            </a:spcAft>
          </a:pPr>
          <a:r>
            <a:rPr lang="nl-NL" sz="900" kern="1200" dirty="0" err="1" smtClean="0"/>
            <a:t>Beleids</a:t>
          </a:r>
          <a:r>
            <a:rPr lang="nl-NL" sz="900" kern="1200" dirty="0" smtClean="0"/>
            <a:t>- en bedrijfsvoering: normering</a:t>
          </a:r>
          <a:endParaRPr lang="nl-NL" sz="900" kern="1200" dirty="0"/>
        </a:p>
      </dsp:txBody>
      <dsp:txXfrm>
        <a:off x="4420114" y="112803"/>
        <a:ext cx="1338917" cy="803350"/>
      </dsp:txXfrm>
    </dsp:sp>
    <dsp:sp modelId="{6C40EB8E-E2AB-4A17-8789-E5E9A9EAEAE6}">
      <dsp:nvSpPr>
        <dsp:cNvPr id="0" name=""/>
        <dsp:cNvSpPr/>
      </dsp:nvSpPr>
      <dsp:spPr>
        <a:xfrm>
          <a:off x="1687" y="1050045"/>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5 </a:t>
          </a:r>
        </a:p>
        <a:p>
          <a:pPr lvl="0" algn="ctr" defTabSz="400050">
            <a:lnSpc>
              <a:spcPct val="90000"/>
            </a:lnSpc>
            <a:spcBef>
              <a:spcPct val="0"/>
            </a:spcBef>
            <a:spcAft>
              <a:spcPct val="35000"/>
            </a:spcAft>
          </a:pPr>
          <a:r>
            <a:rPr lang="nl-NL" sz="900" kern="1200" dirty="0" err="1" smtClean="0"/>
            <a:t>Beleids</a:t>
          </a:r>
          <a:r>
            <a:rPr lang="nl-NL" sz="900" kern="1200" dirty="0" smtClean="0"/>
            <a:t>- en bedrijfsvoering: Ministeriële taken en bevoegdheden</a:t>
          </a:r>
          <a:endParaRPr lang="nl-NL" sz="900" kern="1200" dirty="0"/>
        </a:p>
      </dsp:txBody>
      <dsp:txXfrm>
        <a:off x="1687" y="1050045"/>
        <a:ext cx="1338917" cy="803350"/>
      </dsp:txXfrm>
    </dsp:sp>
    <dsp:sp modelId="{96168C3B-8AD9-4217-982B-665F7976B6B9}">
      <dsp:nvSpPr>
        <dsp:cNvPr id="0" name=""/>
        <dsp:cNvSpPr/>
      </dsp:nvSpPr>
      <dsp:spPr>
        <a:xfrm>
          <a:off x="1474496" y="1050045"/>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6 </a:t>
          </a:r>
        </a:p>
        <a:p>
          <a:pPr lvl="0" algn="ctr" defTabSz="400050">
            <a:lnSpc>
              <a:spcPct val="90000"/>
            </a:lnSpc>
            <a:spcBef>
              <a:spcPct val="0"/>
            </a:spcBef>
            <a:spcAft>
              <a:spcPct val="35000"/>
            </a:spcAft>
          </a:pPr>
          <a:r>
            <a:rPr lang="nl-NL" sz="900" kern="1200" dirty="0" smtClean="0"/>
            <a:t>Financiële functie (FEZ)</a:t>
          </a:r>
          <a:endParaRPr lang="nl-NL" sz="900" kern="1200" dirty="0"/>
        </a:p>
      </dsp:txBody>
      <dsp:txXfrm>
        <a:off x="1474496" y="1050045"/>
        <a:ext cx="1338917" cy="803350"/>
      </dsp:txXfrm>
    </dsp:sp>
    <dsp:sp modelId="{A0B13551-0982-4389-BC28-1B92F9F97012}">
      <dsp:nvSpPr>
        <dsp:cNvPr id="0" name=""/>
        <dsp:cNvSpPr/>
      </dsp:nvSpPr>
      <dsp:spPr>
        <a:xfrm>
          <a:off x="2947305" y="1050045"/>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7 </a:t>
          </a:r>
        </a:p>
        <a:p>
          <a:pPr lvl="0" algn="ctr" defTabSz="400050">
            <a:lnSpc>
              <a:spcPct val="90000"/>
            </a:lnSpc>
            <a:spcBef>
              <a:spcPct val="0"/>
            </a:spcBef>
            <a:spcAft>
              <a:spcPct val="35000"/>
            </a:spcAft>
          </a:pPr>
          <a:r>
            <a:rPr lang="nl-NL" sz="900" kern="1200" dirty="0" smtClean="0"/>
            <a:t>Interne </a:t>
          </a:r>
          <a:r>
            <a:rPr lang="nl-NL" sz="900" kern="1200" dirty="0" err="1" smtClean="0"/>
            <a:t>auditfunctie</a:t>
          </a:r>
          <a:r>
            <a:rPr lang="nl-NL" sz="900" kern="1200" dirty="0" smtClean="0"/>
            <a:t> (ADR)</a:t>
          </a:r>
          <a:endParaRPr lang="nl-NL" sz="900" kern="1200" dirty="0"/>
        </a:p>
      </dsp:txBody>
      <dsp:txXfrm>
        <a:off x="2947305" y="1050045"/>
        <a:ext cx="1338917" cy="803350"/>
      </dsp:txXfrm>
    </dsp:sp>
    <dsp:sp modelId="{E8FC61AD-2A9D-489C-9205-25CA6D68CBEC}">
      <dsp:nvSpPr>
        <dsp:cNvPr id="0" name=""/>
        <dsp:cNvSpPr/>
      </dsp:nvSpPr>
      <dsp:spPr>
        <a:xfrm>
          <a:off x="4420114" y="1050045"/>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8:</a:t>
          </a:r>
        </a:p>
        <a:p>
          <a:pPr lvl="0" algn="ctr" defTabSz="400050">
            <a:lnSpc>
              <a:spcPct val="90000"/>
            </a:lnSpc>
            <a:spcBef>
              <a:spcPct val="0"/>
            </a:spcBef>
            <a:spcAft>
              <a:spcPct val="35000"/>
            </a:spcAft>
          </a:pPr>
          <a:r>
            <a:rPr lang="nl-NL" sz="900" kern="1200" dirty="0" smtClean="0"/>
            <a:t> </a:t>
          </a:r>
          <a:r>
            <a:rPr lang="nl-NL" sz="900" kern="1200" dirty="0" err="1" smtClean="0"/>
            <a:t>Liquidemiddelenbeheer</a:t>
          </a:r>
          <a:r>
            <a:rPr lang="nl-NL" sz="900" kern="1200" dirty="0" smtClean="0"/>
            <a:t> door organisaties buiten de rijksdienst</a:t>
          </a:r>
          <a:endParaRPr lang="nl-NL" sz="900" kern="1200" dirty="0"/>
        </a:p>
      </dsp:txBody>
      <dsp:txXfrm>
        <a:off x="4420114" y="1050045"/>
        <a:ext cx="1338917" cy="803350"/>
      </dsp:txXfrm>
    </dsp:sp>
    <dsp:sp modelId="{32FC0204-819D-4694-B53B-6A4BD0F0C825}">
      <dsp:nvSpPr>
        <dsp:cNvPr id="0" name=""/>
        <dsp:cNvSpPr/>
      </dsp:nvSpPr>
      <dsp:spPr>
        <a:xfrm>
          <a:off x="1687" y="1987287"/>
          <a:ext cx="1338917" cy="803350"/>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nl-NL" sz="900" kern="1200" dirty="0"/>
        </a:p>
      </dsp:txBody>
      <dsp:txXfrm>
        <a:off x="1687" y="1987287"/>
        <a:ext cx="1338917" cy="803350"/>
      </dsp:txXfrm>
    </dsp:sp>
    <dsp:sp modelId="{B7B3ADD1-6E37-48BB-A62D-8A95A995AF80}">
      <dsp:nvSpPr>
        <dsp:cNvPr id="0" name=""/>
        <dsp:cNvSpPr/>
      </dsp:nvSpPr>
      <dsp:spPr>
        <a:xfrm>
          <a:off x="1474496" y="1987287"/>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9 </a:t>
          </a:r>
        </a:p>
        <a:p>
          <a:pPr lvl="0" algn="ctr" defTabSz="400050">
            <a:lnSpc>
              <a:spcPct val="90000"/>
            </a:lnSpc>
            <a:spcBef>
              <a:spcPct val="0"/>
            </a:spcBef>
            <a:spcAft>
              <a:spcPct val="35000"/>
            </a:spcAft>
          </a:pPr>
          <a:r>
            <a:rPr lang="nl-NL" sz="900" kern="1200" dirty="0" smtClean="0"/>
            <a:t>Toezicht op het beheer van publieke financiële middelen door organisaties buiten de rijksdienst</a:t>
          </a:r>
          <a:endParaRPr lang="nl-NL" sz="900" kern="1200" dirty="0"/>
        </a:p>
      </dsp:txBody>
      <dsp:txXfrm>
        <a:off x="1474496" y="1987287"/>
        <a:ext cx="1338917" cy="803350"/>
      </dsp:txXfrm>
    </dsp:sp>
    <dsp:sp modelId="{A49A0C45-24C7-4D67-89C5-ECFDA4DF94EC}">
      <dsp:nvSpPr>
        <dsp:cNvPr id="0" name=""/>
        <dsp:cNvSpPr/>
      </dsp:nvSpPr>
      <dsp:spPr>
        <a:xfrm>
          <a:off x="2947305" y="1987287"/>
          <a:ext cx="1338917" cy="8033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dirty="0" smtClean="0"/>
            <a:t>Hoofdstuk 10 </a:t>
          </a:r>
        </a:p>
        <a:p>
          <a:pPr lvl="0" algn="ctr" defTabSz="400050">
            <a:lnSpc>
              <a:spcPct val="90000"/>
            </a:lnSpc>
            <a:spcBef>
              <a:spcPct val="0"/>
            </a:spcBef>
            <a:spcAft>
              <a:spcPct val="35000"/>
            </a:spcAft>
          </a:pPr>
          <a:r>
            <a:rPr lang="nl-NL" sz="900" kern="1200" dirty="0" smtClean="0"/>
            <a:t>Algemene Rekenkamer: Externe onderzoeksfunctie </a:t>
          </a:r>
          <a:endParaRPr lang="nl-NL" sz="900" kern="1200" dirty="0"/>
        </a:p>
      </dsp:txBody>
      <dsp:txXfrm>
        <a:off x="2947305" y="1987287"/>
        <a:ext cx="1338917" cy="803350"/>
      </dsp:txXfrm>
    </dsp:sp>
    <dsp:sp modelId="{36BF0288-3AE1-414E-8F40-A10DF7292259}">
      <dsp:nvSpPr>
        <dsp:cNvPr id="0" name=""/>
        <dsp:cNvSpPr/>
      </dsp:nvSpPr>
      <dsp:spPr>
        <a:xfrm>
          <a:off x="4420114" y="1987287"/>
          <a:ext cx="1338917" cy="803350"/>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nl-NL" sz="900" kern="1200" dirty="0"/>
        </a:p>
      </dsp:txBody>
      <dsp:txXfrm>
        <a:off x="4420114" y="1987287"/>
        <a:ext cx="1338917" cy="803350"/>
      </dsp:txXfrm>
    </dsp:sp>
    <dsp:sp modelId="{CB1D0F22-1EC4-4E0D-BFAA-1C498596BC1A}">
      <dsp:nvSpPr>
        <dsp:cNvPr id="0" name=""/>
        <dsp:cNvSpPr/>
      </dsp:nvSpPr>
      <dsp:spPr>
        <a:xfrm>
          <a:off x="2210901" y="2924530"/>
          <a:ext cx="1338917" cy="803350"/>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nl-NL" sz="900" kern="1200" dirty="0"/>
        </a:p>
      </dsp:txBody>
      <dsp:txXfrm>
        <a:off x="2210901" y="2924530"/>
        <a:ext cx="1338917" cy="80335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4061</ap:Words>
  <ap:Characters>25172</ap:Characters>
  <ap:DocSecurity>0</ap:DocSecurity>
  <ap:Lines>209</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2013-05-22T10:05:00.0000000Z</dcterms:created>
  <dcterms:modified xsi:type="dcterms:W3CDTF">2013-06-07T14:09:00.0000000Z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0x010100734DA70884052B4E8C9F5ADB465FA43F</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