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78" w:rsidRDefault="00CA5278" w14:paraId="5338366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Verdana Bold" w:hAnsi="Verdana Bold"/>
          <w:sz w:val="24"/>
        </w:rPr>
      </w:pPr>
      <w:bookmarkStart w:name="_GoBack" w:id="0"/>
      <w:bookmarkEnd w:id="0"/>
      <w:r>
        <w:rPr>
          <w:rFonts w:ascii="Verdana Bold" w:hAnsi="Verdana Bold"/>
          <w:sz w:val="24"/>
        </w:rPr>
        <w:t>Verslag van de bijeenkomst van het</w:t>
      </w:r>
    </w:p>
    <w:p w:rsidR="00CA5278" w:rsidRDefault="00CA5278" w14:paraId="2E8ADF1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Verdana Bold" w:hAnsi="Verdana Bold"/>
          <w:sz w:val="24"/>
        </w:rPr>
      </w:pPr>
      <w:r>
        <w:rPr>
          <w:rFonts w:ascii="Verdana Bold" w:hAnsi="Verdana Bold"/>
          <w:sz w:val="24"/>
        </w:rPr>
        <w:t>Gemengd Comité en de Raad Justitie en Binnenlandse Zaken,</w:t>
      </w:r>
    </w:p>
    <w:p w:rsidR="00CA5278" w:rsidRDefault="00BC290B" w14:paraId="209C28A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Verdana Bold" w:hAnsi="Verdana Bold"/>
          <w:sz w:val="24"/>
        </w:rPr>
      </w:pPr>
      <w:r>
        <w:rPr>
          <w:rFonts w:ascii="Verdana Bold" w:hAnsi="Verdana Bold"/>
          <w:sz w:val="24"/>
        </w:rPr>
        <w:t>5</w:t>
      </w:r>
      <w:r w:rsidR="00CA5278">
        <w:rPr>
          <w:rFonts w:ascii="Verdana Bold" w:hAnsi="Verdana Bold"/>
          <w:sz w:val="24"/>
        </w:rPr>
        <w:t xml:space="preserve"> en </w:t>
      </w:r>
      <w:r>
        <w:rPr>
          <w:rFonts w:ascii="Verdana Bold" w:hAnsi="Verdana Bold"/>
          <w:sz w:val="24"/>
        </w:rPr>
        <w:t>6</w:t>
      </w:r>
      <w:r w:rsidR="00CA5278">
        <w:rPr>
          <w:rFonts w:ascii="Verdana Bold" w:hAnsi="Verdana Bold"/>
          <w:sz w:val="24"/>
        </w:rPr>
        <w:t xml:space="preserve"> </w:t>
      </w:r>
      <w:r>
        <w:rPr>
          <w:rFonts w:ascii="Verdana Bold" w:hAnsi="Verdana Bold"/>
          <w:sz w:val="24"/>
        </w:rPr>
        <w:t>decem</w:t>
      </w:r>
      <w:r w:rsidR="005E3593">
        <w:rPr>
          <w:rFonts w:ascii="Verdana Bold" w:hAnsi="Verdana Bold"/>
          <w:sz w:val="24"/>
        </w:rPr>
        <w:t xml:space="preserve">ber </w:t>
      </w:r>
      <w:r w:rsidR="00CA5278">
        <w:rPr>
          <w:rFonts w:ascii="Verdana Bold" w:hAnsi="Verdana Bold"/>
          <w:sz w:val="24"/>
        </w:rPr>
        <w:t xml:space="preserve">2013 te </w:t>
      </w:r>
      <w:r>
        <w:rPr>
          <w:rFonts w:ascii="Verdana Bold" w:hAnsi="Verdana Bold"/>
          <w:sz w:val="24"/>
        </w:rPr>
        <w:t>Brussel</w:t>
      </w:r>
    </w:p>
    <w:p w:rsidR="00CA5278" w:rsidRDefault="00CA5278" w14:paraId="21D05F3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00CA5278" w:rsidRDefault="00CA5278" w14:paraId="51E1A4E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00CA5278" w:rsidRDefault="00CA5278" w14:paraId="58814A8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Bold" w:hAnsi="Verdana Bold"/>
          <w:sz w:val="24"/>
        </w:rPr>
      </w:pPr>
      <w:r>
        <w:rPr>
          <w:rFonts w:ascii="Verdana Bold" w:hAnsi="Verdana Bold"/>
          <w:sz w:val="24"/>
        </w:rPr>
        <w:t>Belangrijkste resultaten</w:t>
      </w:r>
    </w:p>
    <w:p w:rsidR="006D2A6C" w:rsidP="006D2A6C" w:rsidRDefault="006D2A6C" w14:paraId="7313FCF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rFonts w:ascii="Verdana Bold" w:hAnsi="Verdana Bold"/>
        </w:rPr>
      </w:pPr>
    </w:p>
    <w:p w:rsidR="006D2A6C" w:rsidP="006D2A6C" w:rsidRDefault="006D2A6C" w14:paraId="60DD9D1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rFonts w:ascii="Verdana Bold" w:hAnsi="Verdana Bold"/>
        </w:rPr>
      </w:pPr>
      <w:r>
        <w:rPr>
          <w:rFonts w:ascii="Verdana Bold" w:hAnsi="Verdana Bold"/>
        </w:rPr>
        <w:t>Veiligheid en Justitie</w:t>
      </w:r>
    </w:p>
    <w:p w:rsidR="006D2A6C" w:rsidP="006D2A6C" w:rsidRDefault="006D2A6C" w14:paraId="30DFC50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00E43E40" w:rsidP="00E43E40" w:rsidRDefault="00E43E40" w14:paraId="1396A9A9" w14:textId="6F1AC72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E43E40">
        <w:rPr>
          <w:b/>
          <w:sz w:val="18"/>
          <w:szCs w:val="18"/>
          <w:lang w:bidi="nl-NL"/>
        </w:rPr>
        <w:t>Foreign Fighters:</w:t>
      </w:r>
      <w:r w:rsidRPr="00E43E40">
        <w:rPr>
          <w:sz w:val="18"/>
          <w:szCs w:val="18"/>
          <w:lang w:bidi="nl-NL"/>
        </w:rPr>
        <w:t xml:space="preserve"> </w:t>
      </w:r>
      <w:r w:rsidR="007B3ECD">
        <w:rPr>
          <w:sz w:val="18"/>
          <w:szCs w:val="18"/>
          <w:lang w:bidi="nl-NL"/>
        </w:rPr>
        <w:t>De</w:t>
      </w:r>
      <w:r w:rsidRPr="00E43E40">
        <w:rPr>
          <w:sz w:val="18"/>
          <w:szCs w:val="18"/>
          <w:lang w:bidi="nl-NL"/>
        </w:rPr>
        <w:t xml:space="preserve"> </w:t>
      </w:r>
      <w:r w:rsidRPr="0076147B" w:rsidR="005D478B">
        <w:rPr>
          <w:rFonts w:eastAsia="Calibri"/>
          <w:color w:val="auto"/>
          <w:sz w:val="18"/>
          <w:szCs w:val="18"/>
        </w:rPr>
        <w:t>EU</w:t>
      </w:r>
      <w:r w:rsidR="005D478B">
        <w:rPr>
          <w:rFonts w:eastAsia="Calibri"/>
          <w:color w:val="auto"/>
          <w:sz w:val="18"/>
          <w:szCs w:val="18"/>
        </w:rPr>
        <w:t xml:space="preserve">-coördinator voor terrorismebestrijding </w:t>
      </w:r>
      <w:r w:rsidR="007B3ECD">
        <w:rPr>
          <w:sz w:val="18"/>
          <w:szCs w:val="18"/>
          <w:lang w:bidi="nl-NL"/>
        </w:rPr>
        <w:t xml:space="preserve">stelde </w:t>
      </w:r>
      <w:r w:rsidR="00D74526">
        <w:rPr>
          <w:sz w:val="18"/>
          <w:szCs w:val="18"/>
          <w:lang w:bidi="nl-NL"/>
        </w:rPr>
        <w:t>vier</w:t>
      </w:r>
      <w:r w:rsidRPr="00E43E40" w:rsidR="00D74526">
        <w:rPr>
          <w:sz w:val="18"/>
          <w:szCs w:val="18"/>
          <w:lang w:bidi="nl-NL"/>
        </w:rPr>
        <w:t xml:space="preserve"> </w:t>
      </w:r>
      <w:r w:rsidRPr="00E43E40">
        <w:rPr>
          <w:sz w:val="18"/>
          <w:szCs w:val="18"/>
          <w:lang w:bidi="nl-NL"/>
        </w:rPr>
        <w:t xml:space="preserve">prioritaire gebieden voor </w:t>
      </w:r>
      <w:r w:rsidR="007B3ECD">
        <w:rPr>
          <w:sz w:val="18"/>
          <w:szCs w:val="18"/>
          <w:lang w:bidi="nl-NL"/>
        </w:rPr>
        <w:t xml:space="preserve">ten behoeve van </w:t>
      </w:r>
      <w:r w:rsidRPr="00E43E40">
        <w:rPr>
          <w:sz w:val="18"/>
          <w:szCs w:val="18"/>
          <w:lang w:bidi="nl-NL"/>
        </w:rPr>
        <w:t xml:space="preserve">vervolgacties (preventie, informatie uitwisseling en reisbewegingen, strafrechtelijk antwoord en samenwerking met </w:t>
      </w:r>
      <w:r w:rsidR="00D74526">
        <w:rPr>
          <w:sz w:val="18"/>
          <w:szCs w:val="18"/>
          <w:lang w:bidi="nl-NL"/>
        </w:rPr>
        <w:t>derde</w:t>
      </w:r>
      <w:r w:rsidRPr="00E43E40" w:rsidR="00D74526">
        <w:rPr>
          <w:sz w:val="18"/>
          <w:szCs w:val="18"/>
          <w:lang w:bidi="nl-NL"/>
        </w:rPr>
        <w:t xml:space="preserve"> </w:t>
      </w:r>
      <w:r w:rsidRPr="00E43E40">
        <w:rPr>
          <w:sz w:val="18"/>
          <w:szCs w:val="18"/>
          <w:lang w:bidi="nl-NL"/>
        </w:rPr>
        <w:t>landen)</w:t>
      </w:r>
      <w:r w:rsidR="007B3ECD">
        <w:rPr>
          <w:sz w:val="18"/>
          <w:szCs w:val="18"/>
          <w:lang w:bidi="nl-NL"/>
        </w:rPr>
        <w:t xml:space="preserve">. De </w:t>
      </w:r>
      <w:r w:rsidR="00D74526">
        <w:rPr>
          <w:sz w:val="18"/>
          <w:szCs w:val="18"/>
          <w:lang w:bidi="nl-NL"/>
        </w:rPr>
        <w:t xml:space="preserve">Raad </w:t>
      </w:r>
      <w:r w:rsidR="007B3ECD">
        <w:rPr>
          <w:sz w:val="18"/>
          <w:szCs w:val="18"/>
          <w:lang w:bidi="nl-NL"/>
        </w:rPr>
        <w:t>ondersteunde dit. Er ligt n</w:t>
      </w:r>
      <w:r w:rsidRPr="00E43E40">
        <w:rPr>
          <w:sz w:val="18"/>
          <w:szCs w:val="18"/>
          <w:lang w:bidi="nl-NL"/>
        </w:rPr>
        <w:t xml:space="preserve">adruk op preventie en beter gebruik </w:t>
      </w:r>
      <w:r w:rsidR="007B3ECD">
        <w:rPr>
          <w:sz w:val="18"/>
          <w:szCs w:val="18"/>
          <w:lang w:bidi="nl-NL"/>
        </w:rPr>
        <w:t xml:space="preserve">van </w:t>
      </w:r>
      <w:r w:rsidRPr="00E43E40">
        <w:rPr>
          <w:sz w:val="18"/>
          <w:szCs w:val="18"/>
          <w:lang w:bidi="nl-NL"/>
        </w:rPr>
        <w:t>bestaande systemen. Turkije wordt gezien als een prioritair land voor samenwerking op het gebied van foreign fighters.</w:t>
      </w:r>
    </w:p>
    <w:p w:rsidRPr="00E43E40" w:rsidR="007B3ECD" w:rsidP="00E43E40" w:rsidRDefault="007B3ECD" w14:paraId="15F7858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E43E40" w:rsidR="00E43E40" w:rsidP="00E43E40" w:rsidRDefault="00E43E40" w14:paraId="53C92F74" w14:textId="0EC6363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E43E40">
        <w:rPr>
          <w:b/>
          <w:sz w:val="18"/>
          <w:szCs w:val="18"/>
          <w:lang w:bidi="nl-NL"/>
        </w:rPr>
        <w:t>Strategische richtsnoeren JBZ/opvolger Stockholmprogramma</w:t>
      </w:r>
      <w:r w:rsidRPr="00E43E40">
        <w:rPr>
          <w:sz w:val="18"/>
          <w:szCs w:val="18"/>
          <w:lang w:bidi="nl-NL"/>
        </w:rPr>
        <w:t xml:space="preserve">: </w:t>
      </w:r>
      <w:r w:rsidR="007B3ECD">
        <w:rPr>
          <w:sz w:val="18"/>
          <w:szCs w:val="18"/>
          <w:lang w:bidi="nl-NL"/>
        </w:rPr>
        <w:t xml:space="preserve">Er was een bespreking op beide dagen, </w:t>
      </w:r>
      <w:r w:rsidRPr="00E43E40">
        <w:rPr>
          <w:sz w:val="18"/>
          <w:szCs w:val="18"/>
          <w:lang w:bidi="nl-NL"/>
        </w:rPr>
        <w:t xml:space="preserve">met nadruk op horizontale principes. </w:t>
      </w:r>
      <w:r w:rsidR="007B3ECD">
        <w:rPr>
          <w:sz w:val="18"/>
          <w:szCs w:val="18"/>
          <w:lang w:bidi="nl-NL"/>
        </w:rPr>
        <w:t>Er was b</w:t>
      </w:r>
      <w:r w:rsidRPr="00E43E40">
        <w:rPr>
          <w:sz w:val="18"/>
          <w:szCs w:val="18"/>
          <w:lang w:bidi="nl-NL"/>
        </w:rPr>
        <w:t xml:space="preserve">rede steun </w:t>
      </w:r>
      <w:r w:rsidR="007B3ECD">
        <w:rPr>
          <w:sz w:val="18"/>
          <w:szCs w:val="18"/>
          <w:lang w:bidi="nl-NL"/>
        </w:rPr>
        <w:t xml:space="preserve">van lidstaten </w:t>
      </w:r>
      <w:r w:rsidRPr="00E43E40">
        <w:rPr>
          <w:sz w:val="18"/>
          <w:szCs w:val="18"/>
          <w:lang w:bidi="nl-NL"/>
        </w:rPr>
        <w:t xml:space="preserve">voor focus zoals in </w:t>
      </w:r>
      <w:r w:rsidR="007B3ECD">
        <w:rPr>
          <w:sz w:val="18"/>
          <w:szCs w:val="18"/>
          <w:lang w:bidi="nl-NL"/>
        </w:rPr>
        <w:t xml:space="preserve">de </w:t>
      </w:r>
      <w:r w:rsidRPr="00E43E40">
        <w:rPr>
          <w:sz w:val="18"/>
          <w:szCs w:val="18"/>
          <w:lang w:bidi="nl-NL"/>
        </w:rPr>
        <w:t xml:space="preserve">gezamenlijke brief </w:t>
      </w:r>
      <w:r w:rsidR="007B3ECD">
        <w:rPr>
          <w:sz w:val="18"/>
          <w:szCs w:val="18"/>
          <w:lang w:bidi="nl-NL"/>
        </w:rPr>
        <w:t xml:space="preserve">van </w:t>
      </w:r>
      <w:r w:rsidR="00D74526">
        <w:rPr>
          <w:sz w:val="18"/>
          <w:szCs w:val="18"/>
          <w:lang w:bidi="nl-NL"/>
        </w:rPr>
        <w:t>acht</w:t>
      </w:r>
      <w:r w:rsidRPr="00E43E40" w:rsidR="00D74526">
        <w:rPr>
          <w:sz w:val="18"/>
          <w:szCs w:val="18"/>
          <w:lang w:bidi="nl-NL"/>
        </w:rPr>
        <w:t xml:space="preserve"> </w:t>
      </w:r>
      <w:r w:rsidR="007B3ECD">
        <w:rPr>
          <w:sz w:val="18"/>
          <w:szCs w:val="18"/>
          <w:lang w:bidi="nl-NL"/>
        </w:rPr>
        <w:t xml:space="preserve">lidstaten </w:t>
      </w:r>
      <w:r w:rsidRPr="00E43E40">
        <w:rPr>
          <w:sz w:val="18"/>
          <w:szCs w:val="18"/>
          <w:lang w:bidi="nl-NL"/>
        </w:rPr>
        <w:t xml:space="preserve">op initiatief </w:t>
      </w:r>
      <w:r w:rsidR="007B3ECD">
        <w:rPr>
          <w:sz w:val="18"/>
          <w:szCs w:val="18"/>
          <w:lang w:bidi="nl-NL"/>
        </w:rPr>
        <w:t xml:space="preserve">van </w:t>
      </w:r>
      <w:r w:rsidRPr="00E43E40">
        <w:rPr>
          <w:sz w:val="18"/>
          <w:szCs w:val="18"/>
          <w:lang w:bidi="nl-NL"/>
        </w:rPr>
        <w:t>N</w:t>
      </w:r>
      <w:r w:rsidR="007B3ECD">
        <w:rPr>
          <w:sz w:val="18"/>
          <w:szCs w:val="18"/>
          <w:lang w:bidi="nl-NL"/>
        </w:rPr>
        <w:t>ederland, Zweden en Finland</w:t>
      </w:r>
      <w:r w:rsidRPr="00E43E40">
        <w:rPr>
          <w:sz w:val="18"/>
          <w:szCs w:val="18"/>
          <w:lang w:bidi="nl-NL"/>
        </w:rPr>
        <w:t xml:space="preserve"> op consolidatie, implementatie en kostenefficiëntie. </w:t>
      </w:r>
    </w:p>
    <w:p w:rsidRPr="00E43E40" w:rsidR="00E43E40" w:rsidP="00E43E40" w:rsidRDefault="00E43E40" w14:paraId="682E589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E43E40" w:rsidP="00E43E40" w:rsidRDefault="00D74526" w14:paraId="5508B44D" w14:textId="2F4C31F8">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b/>
          <w:sz w:val="18"/>
          <w:szCs w:val="18"/>
          <w:lang w:bidi="nl-NL"/>
        </w:rPr>
        <w:t>Gegevensbescherming</w:t>
      </w:r>
      <w:r w:rsidRPr="00E43E40" w:rsidR="00E43E40">
        <w:rPr>
          <w:sz w:val="18"/>
          <w:szCs w:val="18"/>
          <w:lang w:bidi="nl-NL"/>
        </w:rPr>
        <w:t xml:space="preserve">: </w:t>
      </w:r>
      <w:r w:rsidR="007B3ECD">
        <w:rPr>
          <w:sz w:val="18"/>
          <w:szCs w:val="18"/>
          <w:lang w:bidi="nl-NL"/>
        </w:rPr>
        <w:t xml:space="preserve">Er is geen </w:t>
      </w:r>
      <w:r w:rsidRPr="00E43E40" w:rsidR="00E43E40">
        <w:rPr>
          <w:sz w:val="18"/>
          <w:szCs w:val="18"/>
          <w:lang w:bidi="nl-NL"/>
        </w:rPr>
        <w:t xml:space="preserve">akkoord </w:t>
      </w:r>
      <w:r w:rsidR="007B3ECD">
        <w:rPr>
          <w:sz w:val="18"/>
          <w:szCs w:val="18"/>
          <w:lang w:bidi="nl-NL"/>
        </w:rPr>
        <w:t xml:space="preserve">bereikt </w:t>
      </w:r>
      <w:r w:rsidRPr="00E43E40" w:rsidR="00E43E40">
        <w:rPr>
          <w:sz w:val="18"/>
          <w:szCs w:val="18"/>
          <w:lang w:bidi="nl-NL"/>
        </w:rPr>
        <w:t xml:space="preserve">op de </w:t>
      </w:r>
      <w:r>
        <w:rPr>
          <w:sz w:val="18"/>
          <w:szCs w:val="18"/>
          <w:lang w:bidi="nl-NL"/>
        </w:rPr>
        <w:t>“o</w:t>
      </w:r>
      <w:r w:rsidRPr="00E43E40" w:rsidR="00E43E40">
        <w:rPr>
          <w:sz w:val="18"/>
          <w:szCs w:val="18"/>
          <w:lang w:bidi="nl-NL"/>
        </w:rPr>
        <w:t>ne-stop-shop</w:t>
      </w:r>
      <w:r>
        <w:rPr>
          <w:sz w:val="18"/>
          <w:szCs w:val="18"/>
          <w:lang w:bidi="nl-NL"/>
        </w:rPr>
        <w:t>”</w:t>
      </w:r>
      <w:r w:rsidRPr="00E43E40" w:rsidR="00E43E40">
        <w:rPr>
          <w:sz w:val="18"/>
          <w:szCs w:val="18"/>
          <w:lang w:bidi="nl-NL"/>
        </w:rPr>
        <w:t xml:space="preserve">. </w:t>
      </w:r>
      <w:r w:rsidR="007B3ECD">
        <w:rPr>
          <w:sz w:val="18"/>
          <w:szCs w:val="18"/>
          <w:lang w:bidi="nl-NL"/>
        </w:rPr>
        <w:t xml:space="preserve">De Juridische Dienst van de Raad en de Juridische Dienst van de Commissie </w:t>
      </w:r>
      <w:r w:rsidRPr="00E43E40" w:rsidR="00E43E40">
        <w:rPr>
          <w:sz w:val="18"/>
          <w:szCs w:val="18"/>
          <w:lang w:bidi="nl-NL"/>
        </w:rPr>
        <w:t>ga</w:t>
      </w:r>
      <w:r w:rsidR="007B3ECD">
        <w:rPr>
          <w:sz w:val="18"/>
          <w:szCs w:val="18"/>
          <w:lang w:bidi="nl-NL"/>
        </w:rPr>
        <w:t>ven aan w</w:t>
      </w:r>
      <w:r w:rsidRPr="00E43E40" w:rsidR="00E43E40">
        <w:rPr>
          <w:sz w:val="18"/>
          <w:szCs w:val="18"/>
          <w:lang w:bidi="nl-NL"/>
        </w:rPr>
        <w:t xml:space="preserve">aarom zij vonden dat het voorstel </w:t>
      </w:r>
      <w:r w:rsidR="007B3ECD">
        <w:rPr>
          <w:sz w:val="18"/>
          <w:szCs w:val="18"/>
          <w:lang w:bidi="nl-NL"/>
        </w:rPr>
        <w:t xml:space="preserve">respectievelijk niet en </w:t>
      </w:r>
      <w:r w:rsidRPr="00E43E40" w:rsidR="00E43E40">
        <w:rPr>
          <w:sz w:val="18"/>
          <w:szCs w:val="18"/>
          <w:lang w:bidi="nl-NL"/>
        </w:rPr>
        <w:t xml:space="preserve">wel in lijn was met het Handvest en EVRM. </w:t>
      </w:r>
      <w:r w:rsidR="007B3ECD">
        <w:rPr>
          <w:sz w:val="18"/>
          <w:szCs w:val="18"/>
          <w:lang w:bidi="nl-NL"/>
        </w:rPr>
        <w:t>De</w:t>
      </w:r>
      <w:r w:rsidRPr="00E43E40" w:rsidR="00E43E40">
        <w:rPr>
          <w:sz w:val="18"/>
          <w:szCs w:val="18"/>
          <w:lang w:bidi="nl-NL"/>
        </w:rPr>
        <w:t xml:space="preserve"> adviezen </w:t>
      </w:r>
      <w:r w:rsidR="007B3ECD">
        <w:rPr>
          <w:sz w:val="18"/>
          <w:szCs w:val="18"/>
          <w:lang w:bidi="nl-NL"/>
        </w:rPr>
        <w:t xml:space="preserve">worden eerst </w:t>
      </w:r>
      <w:r w:rsidRPr="00E43E40" w:rsidR="00E43E40">
        <w:rPr>
          <w:sz w:val="18"/>
          <w:szCs w:val="18"/>
          <w:lang w:bidi="nl-NL"/>
        </w:rPr>
        <w:t xml:space="preserve">grondig </w:t>
      </w:r>
      <w:r w:rsidRPr="00E43E40">
        <w:rPr>
          <w:sz w:val="18"/>
          <w:szCs w:val="18"/>
          <w:lang w:bidi="nl-NL"/>
        </w:rPr>
        <w:t>bestude</w:t>
      </w:r>
      <w:r>
        <w:rPr>
          <w:sz w:val="18"/>
          <w:szCs w:val="18"/>
          <w:lang w:bidi="nl-NL"/>
        </w:rPr>
        <w:t>erd</w:t>
      </w:r>
      <w:r w:rsidRPr="00E43E40">
        <w:rPr>
          <w:sz w:val="18"/>
          <w:szCs w:val="18"/>
          <w:lang w:bidi="nl-NL"/>
        </w:rPr>
        <w:t xml:space="preserve"> </w:t>
      </w:r>
      <w:r w:rsidRPr="00E43E40" w:rsidR="00E43E40">
        <w:rPr>
          <w:sz w:val="18"/>
          <w:szCs w:val="18"/>
          <w:lang w:bidi="nl-NL"/>
        </w:rPr>
        <w:t>en de onderhandelingen op technisch niveau o</w:t>
      </w:r>
      <w:r>
        <w:rPr>
          <w:sz w:val="18"/>
          <w:szCs w:val="18"/>
          <w:lang w:bidi="nl-NL"/>
        </w:rPr>
        <w:t>ver</w:t>
      </w:r>
      <w:r w:rsidRPr="00E43E40" w:rsidR="00E43E40">
        <w:rPr>
          <w:sz w:val="18"/>
          <w:szCs w:val="18"/>
          <w:lang w:bidi="nl-NL"/>
        </w:rPr>
        <w:t xml:space="preserve"> de </w:t>
      </w:r>
      <w:r>
        <w:rPr>
          <w:sz w:val="18"/>
          <w:szCs w:val="18"/>
          <w:lang w:bidi="nl-NL"/>
        </w:rPr>
        <w:t>“o</w:t>
      </w:r>
      <w:r w:rsidR="007B3ECD">
        <w:rPr>
          <w:sz w:val="18"/>
          <w:szCs w:val="18"/>
          <w:lang w:bidi="nl-NL"/>
        </w:rPr>
        <w:t>ne-stop-shop</w:t>
      </w:r>
      <w:r>
        <w:rPr>
          <w:sz w:val="18"/>
          <w:szCs w:val="18"/>
          <w:lang w:bidi="nl-NL"/>
        </w:rPr>
        <w:t>”</w:t>
      </w:r>
      <w:r w:rsidR="007B3ECD">
        <w:rPr>
          <w:sz w:val="18"/>
          <w:szCs w:val="18"/>
          <w:lang w:bidi="nl-NL"/>
        </w:rPr>
        <w:t xml:space="preserve"> worden hervat</w:t>
      </w:r>
      <w:r w:rsidRPr="00E43E40" w:rsidR="00E43E40">
        <w:rPr>
          <w:sz w:val="18"/>
          <w:szCs w:val="18"/>
          <w:lang w:bidi="nl-NL"/>
        </w:rPr>
        <w:t xml:space="preserve">. </w:t>
      </w:r>
    </w:p>
    <w:p w:rsidRPr="00E43E40" w:rsidR="007B3ECD" w:rsidP="00E43E40" w:rsidRDefault="007B3ECD" w14:paraId="49F9D0F4"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E43E40" w:rsidR="00E43E40" w:rsidP="00E43E40" w:rsidRDefault="00E43E40" w14:paraId="0FD1F876"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sidRPr="00E43E40">
        <w:rPr>
          <w:b/>
          <w:sz w:val="18"/>
          <w:szCs w:val="18"/>
          <w:lang w:bidi="nl-NL"/>
        </w:rPr>
        <w:t>Europees Bankbeslag</w:t>
      </w:r>
      <w:r w:rsidRPr="00E43E40">
        <w:rPr>
          <w:sz w:val="18"/>
          <w:szCs w:val="18"/>
          <w:lang w:bidi="nl-NL"/>
        </w:rPr>
        <w:t xml:space="preserve">: </w:t>
      </w:r>
      <w:r w:rsidR="007B3ECD">
        <w:rPr>
          <w:sz w:val="18"/>
          <w:szCs w:val="18"/>
          <w:lang w:bidi="nl-NL"/>
        </w:rPr>
        <w:t>D</w:t>
      </w:r>
      <w:r w:rsidRPr="00E43E40">
        <w:rPr>
          <w:sz w:val="18"/>
          <w:szCs w:val="18"/>
        </w:rPr>
        <w:t xml:space="preserve">e </w:t>
      </w:r>
      <w:r w:rsidR="007B3ECD">
        <w:rPr>
          <w:sz w:val="18"/>
          <w:szCs w:val="18"/>
        </w:rPr>
        <w:t xml:space="preserve">Raad nam de </w:t>
      </w:r>
      <w:r w:rsidRPr="00E43E40">
        <w:rPr>
          <w:sz w:val="18"/>
          <w:szCs w:val="18"/>
        </w:rPr>
        <w:t>voorgelegde compromis-tekst aan als algemene o</w:t>
      </w:r>
      <w:r w:rsidR="007B3ECD">
        <w:rPr>
          <w:sz w:val="18"/>
          <w:szCs w:val="18"/>
        </w:rPr>
        <w:t>riëntatie</w:t>
      </w:r>
      <w:r w:rsidRPr="00E43E40">
        <w:rPr>
          <w:sz w:val="18"/>
          <w:szCs w:val="18"/>
        </w:rPr>
        <w:t xml:space="preserve">. </w:t>
      </w:r>
    </w:p>
    <w:p w:rsidR="007B3ECD" w:rsidP="00E43E40" w:rsidRDefault="007B3ECD" w14:paraId="053575D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E43E40" w:rsidR="00E43E40" w:rsidP="00E43E40" w:rsidRDefault="00E43E40" w14:paraId="6EF6DB66"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E43E40">
        <w:rPr>
          <w:b/>
          <w:sz w:val="18"/>
          <w:szCs w:val="18"/>
          <w:lang w:bidi="nl-NL"/>
        </w:rPr>
        <w:t>Insolventie</w:t>
      </w:r>
      <w:r w:rsidRPr="00E43E40">
        <w:rPr>
          <w:sz w:val="18"/>
          <w:szCs w:val="18"/>
          <w:lang w:bidi="nl-NL"/>
        </w:rPr>
        <w:t xml:space="preserve">: De </w:t>
      </w:r>
      <w:r w:rsidRPr="00E43E40">
        <w:rPr>
          <w:sz w:val="18"/>
          <w:szCs w:val="18"/>
          <w:lang w:val="nl-BE"/>
        </w:rPr>
        <w:t>Raad stel</w:t>
      </w:r>
      <w:r w:rsidR="007B3ECD">
        <w:rPr>
          <w:sz w:val="18"/>
          <w:szCs w:val="18"/>
          <w:lang w:val="nl-BE"/>
        </w:rPr>
        <w:t>de</w:t>
      </w:r>
      <w:r w:rsidRPr="00E43E40">
        <w:rPr>
          <w:sz w:val="18"/>
          <w:szCs w:val="18"/>
          <w:lang w:val="nl-BE"/>
        </w:rPr>
        <w:t xml:space="preserve"> de voorgelegde richtsnoeren vast. </w:t>
      </w:r>
    </w:p>
    <w:p w:rsidR="007B3ECD" w:rsidP="00E43E40" w:rsidRDefault="007B3ECD" w14:paraId="0F4BC28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rPr>
      </w:pPr>
    </w:p>
    <w:p w:rsidRPr="00E43E40" w:rsidR="00E43E40" w:rsidP="00E43E40" w:rsidRDefault="00E43E40" w14:paraId="6872933A" w14:textId="6F77A89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sidRPr="00E43E40">
        <w:rPr>
          <w:b/>
          <w:sz w:val="18"/>
          <w:szCs w:val="18"/>
        </w:rPr>
        <w:t>Justi</w:t>
      </w:r>
      <w:r w:rsidR="007B3ECD">
        <w:rPr>
          <w:b/>
          <w:sz w:val="18"/>
          <w:szCs w:val="18"/>
        </w:rPr>
        <w:t xml:space="preserve">tie </w:t>
      </w:r>
      <w:r w:rsidRPr="00E43E40">
        <w:rPr>
          <w:b/>
          <w:sz w:val="18"/>
          <w:szCs w:val="18"/>
        </w:rPr>
        <w:t>Scorebord</w:t>
      </w:r>
      <w:r w:rsidRPr="00E43E40">
        <w:rPr>
          <w:sz w:val="18"/>
          <w:szCs w:val="18"/>
        </w:rPr>
        <w:t xml:space="preserve">: </w:t>
      </w:r>
      <w:r w:rsidR="007B3ECD">
        <w:rPr>
          <w:sz w:val="18"/>
          <w:szCs w:val="18"/>
        </w:rPr>
        <w:t xml:space="preserve">Veel lidstaten </w:t>
      </w:r>
      <w:r w:rsidRPr="00E43E40">
        <w:rPr>
          <w:sz w:val="18"/>
          <w:szCs w:val="18"/>
        </w:rPr>
        <w:t>h</w:t>
      </w:r>
      <w:r w:rsidR="007B3ECD">
        <w:rPr>
          <w:sz w:val="18"/>
          <w:szCs w:val="18"/>
        </w:rPr>
        <w:t>adden</w:t>
      </w:r>
      <w:r w:rsidRPr="00E43E40">
        <w:rPr>
          <w:sz w:val="18"/>
          <w:szCs w:val="18"/>
        </w:rPr>
        <w:t xml:space="preserve"> bezwaar tegen de rol die de </w:t>
      </w:r>
      <w:r w:rsidR="007B3ECD">
        <w:rPr>
          <w:sz w:val="18"/>
          <w:szCs w:val="18"/>
        </w:rPr>
        <w:t>Commissie</w:t>
      </w:r>
      <w:r w:rsidRPr="00E43E40">
        <w:rPr>
          <w:sz w:val="18"/>
          <w:szCs w:val="18"/>
        </w:rPr>
        <w:t xml:space="preserve"> voor zich opeist bij het geven van inzicht in het functioneren van nationale rechtssystemen in het Justi</w:t>
      </w:r>
      <w:r w:rsidR="007B3ECD">
        <w:rPr>
          <w:sz w:val="18"/>
          <w:szCs w:val="18"/>
        </w:rPr>
        <w:t xml:space="preserve">tie </w:t>
      </w:r>
      <w:r w:rsidRPr="00E43E40">
        <w:rPr>
          <w:sz w:val="18"/>
          <w:szCs w:val="18"/>
        </w:rPr>
        <w:t>Scorebord. Daarnaast uit</w:t>
      </w:r>
      <w:r w:rsidR="007B3ECD">
        <w:rPr>
          <w:sz w:val="18"/>
          <w:szCs w:val="18"/>
        </w:rPr>
        <w:t>t</w:t>
      </w:r>
      <w:r w:rsidRPr="00E43E40">
        <w:rPr>
          <w:sz w:val="18"/>
          <w:szCs w:val="18"/>
        </w:rPr>
        <w:t>en zij felle kritiek op het ontbre</w:t>
      </w:r>
      <w:r w:rsidR="007B3ECD">
        <w:rPr>
          <w:sz w:val="18"/>
          <w:szCs w:val="18"/>
        </w:rPr>
        <w:t>ken van voldoende inbreng van lidstaten</w:t>
      </w:r>
      <w:r w:rsidRPr="00E43E40">
        <w:rPr>
          <w:sz w:val="18"/>
          <w:szCs w:val="18"/>
        </w:rPr>
        <w:t xml:space="preserve"> bij </w:t>
      </w:r>
      <w:r w:rsidR="00D74526">
        <w:rPr>
          <w:sz w:val="18"/>
          <w:szCs w:val="18"/>
        </w:rPr>
        <w:t xml:space="preserve">de </w:t>
      </w:r>
      <w:r w:rsidRPr="00E43E40">
        <w:rPr>
          <w:sz w:val="18"/>
          <w:szCs w:val="18"/>
        </w:rPr>
        <w:t>methodiek</w:t>
      </w:r>
      <w:r w:rsidR="007B3ECD">
        <w:rPr>
          <w:sz w:val="18"/>
          <w:szCs w:val="18"/>
        </w:rPr>
        <w:t xml:space="preserve">. De Commissie zal op korte termijn </w:t>
      </w:r>
      <w:r w:rsidRPr="00E43E40">
        <w:rPr>
          <w:sz w:val="18"/>
          <w:szCs w:val="18"/>
        </w:rPr>
        <w:t xml:space="preserve">een dialoog </w:t>
      </w:r>
      <w:r w:rsidR="007B3ECD">
        <w:rPr>
          <w:sz w:val="18"/>
          <w:szCs w:val="18"/>
        </w:rPr>
        <w:t xml:space="preserve">hierover </w:t>
      </w:r>
      <w:r w:rsidRPr="00E43E40">
        <w:rPr>
          <w:sz w:val="18"/>
          <w:szCs w:val="18"/>
        </w:rPr>
        <w:t xml:space="preserve">starten met experts </w:t>
      </w:r>
      <w:r w:rsidR="007B3ECD">
        <w:rPr>
          <w:sz w:val="18"/>
          <w:szCs w:val="18"/>
        </w:rPr>
        <w:t>van de lidstaten</w:t>
      </w:r>
      <w:r w:rsidRPr="00E43E40">
        <w:rPr>
          <w:sz w:val="18"/>
          <w:szCs w:val="18"/>
        </w:rPr>
        <w:t>.</w:t>
      </w:r>
    </w:p>
    <w:p w:rsidR="007B3ECD" w:rsidP="00E43E40" w:rsidRDefault="007B3ECD" w14:paraId="0E86FE4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rPr>
      </w:pPr>
    </w:p>
    <w:p w:rsidRPr="00E43E40" w:rsidR="00E43E40" w:rsidP="00E43E40" w:rsidRDefault="00E43E40" w14:paraId="6BD593F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E43E40">
        <w:rPr>
          <w:b/>
          <w:sz w:val="18"/>
          <w:szCs w:val="18"/>
        </w:rPr>
        <w:t>Ministerslunch Europees Openbaar Ministerie (EOM)</w:t>
      </w:r>
      <w:r w:rsidRPr="00E43E40">
        <w:rPr>
          <w:sz w:val="18"/>
          <w:szCs w:val="18"/>
        </w:rPr>
        <w:t xml:space="preserve">: </w:t>
      </w:r>
      <w:r w:rsidRPr="00E43E40">
        <w:rPr>
          <w:sz w:val="18"/>
          <w:szCs w:val="18"/>
          <w:lang w:bidi="nl-NL"/>
        </w:rPr>
        <w:t xml:space="preserve">Veel </w:t>
      </w:r>
      <w:r w:rsidR="002F66A2">
        <w:rPr>
          <w:sz w:val="18"/>
          <w:szCs w:val="18"/>
          <w:lang w:bidi="nl-NL"/>
        </w:rPr>
        <w:t xml:space="preserve">lidstaten </w:t>
      </w:r>
      <w:r w:rsidRPr="00E43E40">
        <w:rPr>
          <w:sz w:val="18"/>
          <w:szCs w:val="18"/>
          <w:lang w:bidi="nl-NL"/>
        </w:rPr>
        <w:t>onderschreven het belang om de zorgen van nationale parlementen, zoals vervat in de ‘reasoned opinions</w:t>
      </w:r>
      <w:r w:rsidR="00D74526">
        <w:rPr>
          <w:sz w:val="18"/>
          <w:szCs w:val="18"/>
          <w:lang w:bidi="nl-NL"/>
        </w:rPr>
        <w:t>’</w:t>
      </w:r>
      <w:r w:rsidRPr="00E43E40">
        <w:rPr>
          <w:sz w:val="18"/>
          <w:szCs w:val="18"/>
          <w:lang w:bidi="nl-NL"/>
        </w:rPr>
        <w:t xml:space="preserve">, serieus te nemen. </w:t>
      </w:r>
      <w:r w:rsidR="002F66A2">
        <w:rPr>
          <w:sz w:val="18"/>
          <w:szCs w:val="18"/>
          <w:lang w:bidi="nl-NL"/>
        </w:rPr>
        <w:t xml:space="preserve">Over het verloop van deze lunch is de Kamer per </w:t>
      </w:r>
      <w:r w:rsidR="002F66A2">
        <w:rPr>
          <w:sz w:val="18"/>
          <w:szCs w:val="18"/>
        </w:rPr>
        <w:t>afzonderlijke brief van 12 december 2013 van de Minister van Veiligheid en Justitie, geïnformeerd.</w:t>
      </w:r>
    </w:p>
    <w:p w:rsidRPr="00E43E40" w:rsidR="00CA5278" w:rsidP="006D2A6C" w:rsidRDefault="00CA5278" w14:paraId="7B9AC1C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006D2A6C" w:rsidRDefault="006D2A6C" w14:paraId="7B08AEC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Bold" w:hAnsi="Verdana Bold"/>
        </w:rPr>
      </w:pPr>
    </w:p>
    <w:p w:rsidR="00CA5278" w:rsidRDefault="006D2A6C" w14:paraId="17251CA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Bold" w:hAnsi="Verdana Bold"/>
        </w:rPr>
      </w:pPr>
      <w:r>
        <w:rPr>
          <w:rFonts w:ascii="Verdana Bold" w:hAnsi="Verdana Bold"/>
        </w:rPr>
        <w:t xml:space="preserve">Binnenlandse Zaken / </w:t>
      </w:r>
      <w:r w:rsidR="00CA5278">
        <w:rPr>
          <w:rFonts w:ascii="Verdana Bold" w:hAnsi="Verdana Bold"/>
        </w:rPr>
        <w:t xml:space="preserve">Immigratie en Asiel </w:t>
      </w:r>
    </w:p>
    <w:p w:rsidR="00CA5278" w:rsidRDefault="00CA5278" w14:paraId="05C7D90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rFonts w:ascii="Verdana Italic" w:hAnsi="Verdana Italic"/>
          <w:u w:val="single"/>
        </w:rPr>
      </w:pPr>
    </w:p>
    <w:p w:rsidRPr="00E43E40" w:rsidR="00E43E40" w:rsidP="00E43E40" w:rsidRDefault="00E43E40" w14:paraId="5EDCBBA6" w14:textId="5FF3DFBB">
      <w:pPr>
        <w:pStyle w:val="Standaard1"/>
        <w:spacing w:line="240" w:lineRule="atLeast"/>
        <w:rPr>
          <w:sz w:val="18"/>
          <w:szCs w:val="18"/>
        </w:rPr>
      </w:pPr>
      <w:r w:rsidRPr="00E43E40">
        <w:rPr>
          <w:b/>
          <w:sz w:val="18"/>
          <w:szCs w:val="18"/>
        </w:rPr>
        <w:t>Vrij verkeer:</w:t>
      </w:r>
      <w:r w:rsidRPr="00E43E40">
        <w:rPr>
          <w:sz w:val="18"/>
          <w:szCs w:val="18"/>
        </w:rPr>
        <w:t xml:space="preserve"> </w:t>
      </w:r>
      <w:r w:rsidRPr="001100F0" w:rsidR="001100F0">
        <w:rPr>
          <w:sz w:val="18"/>
          <w:szCs w:val="18"/>
        </w:rPr>
        <w:t>Alle interveniërende lidstaten vonden vrij verkeer een hoeksteen van de Europese Unie. Tegelijkertijd dient misbruik bestreden te worden. De vijf actiepunten uit de Mededeling vonden brede steun al vindt een aantal lidstaten, waaronder Nederland, deze stappen niet voldoende en meer een begin van een voortgaand proces.</w:t>
      </w:r>
    </w:p>
    <w:p w:rsidRPr="00E43E40" w:rsidR="00E43E40" w:rsidP="00E43E40" w:rsidRDefault="00E43E40" w14:paraId="5517C9A9" w14:textId="77777777">
      <w:pPr>
        <w:pStyle w:val="Standaard1"/>
        <w:spacing w:line="240" w:lineRule="atLeast"/>
        <w:rPr>
          <w:sz w:val="18"/>
          <w:szCs w:val="18"/>
        </w:rPr>
      </w:pPr>
    </w:p>
    <w:p w:rsidRPr="001100F0" w:rsidR="001100F0" w:rsidP="001100F0" w:rsidRDefault="001100F0" w14:paraId="743096EC" w14:textId="44AA46F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sidRPr="001100F0">
        <w:rPr>
          <w:b/>
          <w:sz w:val="18"/>
          <w:szCs w:val="18"/>
        </w:rPr>
        <w:t>Schengen/ ROE-BUL VZ:</w:t>
      </w:r>
      <w:r w:rsidRPr="001100F0">
        <w:rPr>
          <w:sz w:val="18"/>
          <w:szCs w:val="18"/>
        </w:rPr>
        <w:t xml:space="preserve"> Het Voorzitterschap concludeerde dat de benodigde unanimiteit om een besluit te kunnen nemen tot volledige toepassing van het Schengenacquis ontbreekt. </w:t>
      </w:r>
    </w:p>
    <w:p w:rsidRPr="001100F0" w:rsidR="001100F0" w:rsidP="001100F0" w:rsidRDefault="001100F0" w14:paraId="071AC7DC"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Pr="00CD589B" w:rsidR="006D2A6C" w:rsidP="001100F0" w:rsidRDefault="001100F0" w14:paraId="09806734" w14:textId="2971FA98">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sidRPr="001100F0">
        <w:rPr>
          <w:b/>
          <w:sz w:val="18"/>
          <w:szCs w:val="18"/>
        </w:rPr>
        <w:t>Taskforce Middellandse Zee:</w:t>
      </w:r>
      <w:r w:rsidRPr="001100F0">
        <w:rPr>
          <w:sz w:val="18"/>
          <w:szCs w:val="18"/>
        </w:rPr>
        <w:t xml:space="preserve"> Volgens alle lidstaten vormt het rapport van de taskforce voor het Middellandse Zeegebied een uitstekende basis voor de discussie in de Europese Raad later deze maand. Vervolg en uitvoering van de maatregelen worden verwacht onder het komende Griekse en Italiaanse voorzitterschap.</w:t>
      </w:r>
      <w:r w:rsidRPr="00CD589B" w:rsidR="00BD4216">
        <w:rPr>
          <w:sz w:val="18"/>
          <w:szCs w:val="18"/>
        </w:rPr>
        <w:t xml:space="preserve">  </w:t>
      </w:r>
    </w:p>
    <w:p w:rsidRPr="00BD4216" w:rsidR="00517684" w:rsidRDefault="00517684" w14:paraId="1E03E566"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00CA5278" w:rsidRDefault="00CA5278" w14:paraId="168433A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Pr="004B0925" w:rsidR="006D2A6C" w:rsidP="006D2A6C" w:rsidRDefault="006D2A6C" w14:paraId="68BF417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rFonts w:ascii="Verdana Bold" w:hAnsi="Verdana Bold"/>
          <w:sz w:val="24"/>
        </w:rPr>
      </w:pPr>
      <w:r w:rsidRPr="004B0925">
        <w:rPr>
          <w:rFonts w:ascii="Verdana Bold" w:hAnsi="Verdana Bold"/>
          <w:sz w:val="24"/>
        </w:rPr>
        <w:lastRenderedPageBreak/>
        <w:t>I.</w:t>
      </w:r>
      <w:r w:rsidRPr="004B0925">
        <w:rPr>
          <w:rFonts w:ascii="Verdana Bold" w:hAnsi="Verdana Bold"/>
          <w:sz w:val="24"/>
        </w:rPr>
        <w:tab/>
      </w:r>
      <w:r w:rsidR="00473365">
        <w:rPr>
          <w:rFonts w:ascii="Verdana Bold" w:hAnsi="Verdana Bold"/>
          <w:sz w:val="24"/>
        </w:rPr>
        <w:t>Binnenlandse Zaken / Immigratie en Asiel</w:t>
      </w:r>
      <w:r w:rsidRPr="004B0925" w:rsidR="00473365">
        <w:rPr>
          <w:rFonts w:ascii="Verdana Bold" w:hAnsi="Verdana Bold"/>
          <w:sz w:val="24"/>
        </w:rPr>
        <w:t xml:space="preserve"> </w:t>
      </w:r>
    </w:p>
    <w:p w:rsidR="006D2A6C" w:rsidP="006D2A6C" w:rsidRDefault="006D2A6C" w14:paraId="0C3F9FB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Pr="0076147B" w:rsidR="00473365" w:rsidP="006D2A6C" w:rsidRDefault="00473365" w14:paraId="7FDE0FE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rPr>
      </w:pPr>
      <w:r w:rsidRPr="0076147B">
        <w:rPr>
          <w:b/>
        </w:rPr>
        <w:t>Gemengd comité</w:t>
      </w:r>
    </w:p>
    <w:p w:rsidR="00473365" w:rsidP="006D2A6C" w:rsidRDefault="00473365" w14:paraId="05142EF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Pr="00B965C6" w:rsidR="00473365" w:rsidP="006D2A6C" w:rsidRDefault="00473365" w14:paraId="725B6A5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rPr>
      </w:pPr>
    </w:p>
    <w:p w:rsidRPr="00B965C6" w:rsidR="00B965C6" w:rsidP="00B965C6" w:rsidRDefault="00B965C6" w14:paraId="380A6710" w14:textId="643175A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b/>
          <w:sz w:val="18"/>
          <w:szCs w:val="18"/>
          <w:lang w:bidi="nl-NL"/>
        </w:rPr>
      </w:pPr>
      <w:r>
        <w:rPr>
          <w:b/>
          <w:sz w:val="18"/>
          <w:szCs w:val="18"/>
        </w:rPr>
        <w:t xml:space="preserve">1. </w:t>
      </w:r>
      <w:r>
        <w:rPr>
          <w:b/>
          <w:sz w:val="18"/>
          <w:szCs w:val="18"/>
        </w:rPr>
        <w:tab/>
      </w:r>
      <w:r w:rsidRPr="00B965C6">
        <w:rPr>
          <w:b/>
          <w:sz w:val="18"/>
          <w:szCs w:val="18"/>
          <w:lang w:bidi="nl-NL"/>
        </w:rPr>
        <w:t>Ontwerpbesluit van de Raad betreffende het kader voor de volledige toepassing van de bepalingen van het Schengenacquis in de Republiek Bulgarije en in Roemenië</w:t>
      </w:r>
    </w:p>
    <w:p w:rsidR="00B965C6" w:rsidP="00B965C6" w:rsidRDefault="00B965C6" w14:paraId="0220AF2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ab/>
      </w:r>
      <w:r w:rsidRPr="00B965C6">
        <w:rPr>
          <w:b/>
          <w:sz w:val="18"/>
          <w:szCs w:val="18"/>
          <w:lang w:bidi="nl-NL"/>
        </w:rPr>
        <w:t>-</w:t>
      </w:r>
      <w:r w:rsidRPr="00B965C6">
        <w:rPr>
          <w:b/>
          <w:sz w:val="18"/>
          <w:szCs w:val="18"/>
          <w:lang w:bidi="nl-NL"/>
        </w:rPr>
        <w:tab/>
        <w:t>Stand van zaken</w:t>
      </w:r>
    </w:p>
    <w:p w:rsidR="00B965C6" w:rsidP="00B965C6" w:rsidRDefault="00B965C6" w14:paraId="3AEC129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1100F0" w:rsidR="001100F0" w:rsidP="001100F0" w:rsidRDefault="001100F0" w14:paraId="206472D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Het Voorzitterschap had een nieuw conceptbesluit willen voorleggen voor het volledig toepassen van het Schengenacquis op Bulgarije en Roemenië. Echter, het Voorzitterschap concludeerde in aanloop naar de Raad dat er geen sprake was van de vereiste unanimiteit om dit besluit te kunnen nemen. Het Voorzitterschap wees op de conclusies van de Europese Raad van december 2012 en van de JBZ-Raad van juni 2011 waarin is vastgesteld dat beide landen voldoen aan alle technische vereisten.</w:t>
      </w:r>
    </w:p>
    <w:p w:rsidRPr="001100F0" w:rsidR="001100F0" w:rsidP="001100F0" w:rsidRDefault="001100F0" w14:paraId="48959E0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2EDB83A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Roemenië en Bulgarije verwezen naar een gezamenlijke verklaring en gaven aan van mening te zijn dat ze aan alle gestelde criteria voldoen. Beide landen hebben veel inspanningen geleverd en de Raad heeft de plicht nu een besluit te nemen, aldus Roemenië en Bulgarije. Beide landen spraken hun teleurstelling uit over het uitblijven van een besluit.</w:t>
      </w:r>
    </w:p>
    <w:p w:rsidRPr="001100F0" w:rsidR="001100F0" w:rsidP="001100F0" w:rsidRDefault="001100F0" w14:paraId="365657B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2970BEBC"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 xml:space="preserve">De Europese Commissie erkende geen rol te hebben in de besluitvorming, maar onderstreepte dat beide landen aan alle gestelde criteria voldoen. De Commissie hoopt dat snel een besluit kan worden genomen. </w:t>
      </w:r>
    </w:p>
    <w:p w:rsidRPr="001100F0" w:rsidR="001100F0" w:rsidP="001100F0" w:rsidRDefault="001100F0" w14:paraId="6551FA4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B965C6" w:rsidP="001100F0" w:rsidRDefault="001100F0" w14:paraId="60F365A8" w14:textId="14FC4B2B">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Het Voorzitterschap heeft de verklaring van Roemenië en Bulgarije opgenomen in de notulen van de Raad en kondigde aan dat de Raad zo snel mogelijk terug zal komen op dit onderwerp.</w:t>
      </w:r>
    </w:p>
    <w:p w:rsidR="00B965C6" w:rsidP="00B965C6" w:rsidRDefault="00B965C6" w14:paraId="748FD96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B965C6" w:rsidR="00B965C6" w:rsidP="00B965C6" w:rsidRDefault="00B965C6" w14:paraId="4D957DBF" w14:textId="46446C0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2.</w:t>
      </w:r>
      <w:r>
        <w:rPr>
          <w:b/>
          <w:sz w:val="18"/>
          <w:szCs w:val="18"/>
          <w:lang w:bidi="nl-NL"/>
        </w:rPr>
        <w:tab/>
      </w:r>
      <w:r w:rsidRPr="00B965C6">
        <w:rPr>
          <w:b/>
          <w:sz w:val="18"/>
          <w:szCs w:val="18"/>
          <w:lang w:bidi="nl-NL"/>
        </w:rPr>
        <w:t>Task</w:t>
      </w:r>
      <w:r w:rsidR="00902DA1">
        <w:rPr>
          <w:b/>
          <w:sz w:val="18"/>
          <w:szCs w:val="18"/>
          <w:lang w:bidi="nl-NL"/>
        </w:rPr>
        <w:t>f</w:t>
      </w:r>
      <w:r w:rsidRPr="00B965C6">
        <w:rPr>
          <w:b/>
          <w:sz w:val="18"/>
          <w:szCs w:val="18"/>
          <w:lang w:bidi="nl-NL"/>
        </w:rPr>
        <w:t>orce Middellandse Zee</w:t>
      </w:r>
    </w:p>
    <w:p w:rsidR="00B965C6" w:rsidP="00B965C6" w:rsidRDefault="00B965C6" w14:paraId="7B05DD2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ab/>
      </w:r>
      <w:r w:rsidRPr="00B965C6">
        <w:rPr>
          <w:b/>
          <w:sz w:val="18"/>
          <w:szCs w:val="18"/>
          <w:lang w:bidi="nl-NL"/>
        </w:rPr>
        <w:t>-</w:t>
      </w:r>
      <w:r w:rsidRPr="00B965C6">
        <w:rPr>
          <w:b/>
          <w:sz w:val="18"/>
          <w:szCs w:val="18"/>
          <w:lang w:bidi="nl-NL"/>
        </w:rPr>
        <w:tab/>
        <w:t>Verslag van de Commissie</w:t>
      </w:r>
    </w:p>
    <w:p w:rsidR="00B965C6" w:rsidP="00B965C6" w:rsidRDefault="00B965C6" w14:paraId="2B01258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1100F0" w:rsidR="001100F0" w:rsidP="001100F0" w:rsidRDefault="001100F0" w14:paraId="19176B6C"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Het Voorzitterschap introduceerde het rapport van de taskforce voor het Middellandse Zeegebied (TFM) die twee keer bijeen is geweest en bestond uit Europese Commissie, alle lidstaten, de Europese dienst voor extern optreden (EDEO), relevante EU agentschappen en internationale organisaties. Het rapport is in de vorm van een mededeling van de Commissie op 4 december verschenen.</w:t>
      </w:r>
    </w:p>
    <w:p w:rsidRPr="001100F0" w:rsidR="001100F0" w:rsidP="001100F0" w:rsidRDefault="001100F0" w14:paraId="3280C0D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1071CD5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 xml:space="preserve">De Commissie stelde dat 2 maanden na Lampedusa er nog elke dag vergelijkbare tragedies plaatsvinden. De TFM is ingesteld om maatregelen te identificeren om dit zo veel mogelijk te voorkomen. De Europese Commissie gaf een toelichting op de vijf hoofdlijnen en de 38 actiepunten uit de Mededeling. </w:t>
      </w:r>
    </w:p>
    <w:p w:rsidRPr="001100F0" w:rsidR="001100F0" w:rsidP="001100F0" w:rsidRDefault="001100F0" w14:paraId="78DF846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31E66E2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De Europese Commissie gaf aan dat preventie alleen niet zal werken. Zij denkt ook aan additionele manieren om reguliere toelating te faciliteren die veilig en ordelijk zijn. Tevens zal Frontex worden versterkt met additionele fondsen à € 8 mln. Daarnaast is Eurosur in werking getreden. Bovendien verschaft de Europese Commissie steun aan lidstaten die massale migratiedruk ervaren (€ 50 miljoen aan noodfondsen). Met EASO wordt een pilot gezamenlijke behandeling van asielverzoeken ingezet; ook wordt er in alle lidstaten gewerkt aan een planning voor crisissituaties. Tot slot stelde de Europese Commissie dat ze in toenemende mate hoort over het over de grens terugzetten van opgepakte migranten (push backs). De Commissie benadrukte dat deze werkwijze verboden is en in strijd is met het non-refoulement beginsel.</w:t>
      </w:r>
    </w:p>
    <w:p w:rsidRPr="001100F0" w:rsidR="001100F0" w:rsidP="001100F0" w:rsidRDefault="001100F0" w14:paraId="701CC42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1A9EF5C6" w14:textId="36B4838D">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Veel lidstaten steun</w:t>
      </w:r>
      <w:r w:rsidR="00777377">
        <w:rPr>
          <w:sz w:val="18"/>
          <w:szCs w:val="18"/>
          <w:lang w:bidi="nl-NL"/>
        </w:rPr>
        <w:t>d</w:t>
      </w:r>
      <w:r w:rsidRPr="001100F0">
        <w:rPr>
          <w:sz w:val="18"/>
          <w:szCs w:val="18"/>
          <w:lang w:bidi="nl-NL"/>
        </w:rPr>
        <w:t xml:space="preserve">en de instelling van de taskforce voor het Middellandse Zeegebied en de meeste maatregelen die voorgesteld zijn. Sommige lidstaten zien de uitbreiding van Frontex operaties ook in het licht van het tegengaan van mensensmokkel, maar wijzen erop dat de zoek- en reddingsoperaties geen aanzuigende werking moet krijgen. Ook werd er aangegeven dat het hier gaat om het bewaken van de EU buitengrenzen en dat dat de hele Europese Unie raakt, niet alleen de Middellandse Zeeregio. Syrië en de oostelijke buitengrens verdienen ook blijvende aandacht. </w:t>
      </w:r>
    </w:p>
    <w:p w:rsidRPr="001100F0" w:rsidR="001100F0" w:rsidP="001100F0" w:rsidRDefault="001100F0" w14:paraId="5F47775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53B9DFE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De prioriteit van preventie door acties in landen van herkomst en transit conform het Nederlandse standpunt werd breed gesteund. Ook de strijd tegen mensensmokkel is prioriteit. Veel lidstaten waren, zoals Nederland, gekant tegen meer of nieuwe vormen van reguliere toegang. Een aantal lidstaten wees op de cruciale rol van Libië in het geheel. Dit land dient gesteund te worden bij het tegengaan van de illegale immigratie, o.a. door inzet van Frontex op grenzen en bescherming. Sommige lidstaten onderstreepten de noodzaak van onderlinge solidariteit waaronder relocatie en verwezen naar de wens van een substantiële discussie tijdens de Europese Raad. Bij terugkeer moet ook door Nederland gewenste conditionaliteit worden ingezet d.m.v. het belonen van goede samenwerking, hoewel er niet geschuwd hoeft te worden voor het terugtrekken daarvan bij slechte samenwerking.</w:t>
      </w:r>
    </w:p>
    <w:p w:rsidRPr="001100F0" w:rsidR="001100F0" w:rsidP="001100F0" w:rsidRDefault="001100F0" w14:paraId="1CCE991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3CD33BA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Ook werd er gepleit voor rappe implementatie van het gemeenschappelijk Europees asielstelsel (GEAS) in alle lidstaten. Dit systeem werkt alleen als alle lidstaten GEAS toepassen met inzet van eigen geld, personeel en middelen. De Europese Commissie heeft hier een belangrijke verantwoordelijkheid als hoedster van de verdragen.</w:t>
      </w:r>
    </w:p>
    <w:p w:rsidRPr="001100F0" w:rsidR="001100F0" w:rsidP="001100F0" w:rsidRDefault="001100F0" w14:paraId="0EA54A8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76288EA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 xml:space="preserve">Meer hervestiging werd een aantal keer bepleit met name in de context dat alleen financiële steun aan de landen in de regio niet voldoende is. Een aantal lidstaten heeft vervolgens aangegeven additionele mensen te zullen hervestigen. </w:t>
      </w:r>
    </w:p>
    <w:p w:rsidRPr="001100F0" w:rsidR="001100F0" w:rsidP="001100F0" w:rsidRDefault="001100F0" w14:paraId="0CF5A1A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4647E07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Frontex gaf aan dat zijn capaciteit is uitgebreid in 2014. Echter, met behulp van de € 14 miljoen extra kan Frontex niet alles implementeren wat nodig is. Coördinatie tussen Frontex operaties en bilaterale acties wordt een grote uitdaging. Actieve deelname van lidstaten met materieel en mankracht is cruciaal. Er vindt volop samenwerking plaats met EASO en EUROPOL. Ook is er goede samenwerking met derde landen. Tot slot wijst Frontex erop dat de Middellandse Zeeregio niet de enige regio is waar ze actief zijn.</w:t>
      </w:r>
    </w:p>
    <w:p w:rsidRPr="001100F0" w:rsidR="001100F0" w:rsidP="001100F0" w:rsidRDefault="001100F0" w14:paraId="4E7BB3D6"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7AAEFAD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De Europese dienst voor extern optreden pleitte voorts voor een intensivering van de migratiedialogen met derde landen, ook binnen het Nabuurschapspact.</w:t>
      </w:r>
    </w:p>
    <w:p w:rsidRPr="001100F0" w:rsidR="001100F0" w:rsidP="001100F0" w:rsidRDefault="001100F0" w14:paraId="25D94194"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B965C6" w:rsidP="001100F0" w:rsidRDefault="001100F0" w14:paraId="3C7797A6" w14:textId="1AB584D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Tot slot benadrukte de Europese Commissie dat zij grote zorgen heeft over de situatie in en rond Syrië. Er is € 1 miljard steun gegeven aan de buurlanden door de Europese Unie en daarnaast hebben een aantal lidstaten ook bijgedragen. Syriërs blijven echter nog steeds op eigen gelegenheid naar de EU komen en daarom is hervestiging zo belangrijk. De Europese Commissie wacht evenals het Voorzitterschap nu op de follow-up door de Europese Raad.</w:t>
      </w:r>
    </w:p>
    <w:p w:rsidR="001100F0" w:rsidP="001100F0" w:rsidRDefault="001100F0" w14:paraId="40B5D6D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B965C6" w:rsidR="00B965C6" w:rsidP="00B965C6" w:rsidRDefault="00B965C6" w14:paraId="5301846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3.</w:t>
      </w:r>
      <w:r>
        <w:rPr>
          <w:b/>
          <w:sz w:val="18"/>
          <w:szCs w:val="18"/>
          <w:lang w:bidi="nl-NL"/>
        </w:rPr>
        <w:tab/>
      </w:r>
      <w:r w:rsidRPr="00B965C6">
        <w:rPr>
          <w:b/>
          <w:sz w:val="18"/>
          <w:szCs w:val="18"/>
          <w:lang w:bidi="nl-NL"/>
        </w:rPr>
        <w:t>Diversen</w:t>
      </w:r>
    </w:p>
    <w:p w:rsidRPr="00B965C6" w:rsidR="00B965C6" w:rsidP="00B965C6" w:rsidRDefault="00B965C6" w14:paraId="7C427AF3" w14:textId="69F0CF62">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8"/>
        <w:rPr>
          <w:b/>
          <w:sz w:val="18"/>
          <w:szCs w:val="18"/>
          <w:lang w:bidi="nl-NL"/>
        </w:rPr>
      </w:pPr>
      <w:r w:rsidRPr="00B965C6">
        <w:rPr>
          <w:b/>
          <w:sz w:val="18"/>
          <w:szCs w:val="18"/>
          <w:lang w:bidi="nl-NL"/>
        </w:rPr>
        <w:t xml:space="preserve">a) Informatie van het voorzitterschap over </w:t>
      </w:r>
      <w:r w:rsidR="00B20B54">
        <w:rPr>
          <w:b/>
          <w:sz w:val="18"/>
          <w:szCs w:val="18"/>
          <w:lang w:bidi="nl-NL"/>
        </w:rPr>
        <w:t>lopende</w:t>
      </w:r>
      <w:r w:rsidRPr="00B965C6">
        <w:rPr>
          <w:b/>
          <w:sz w:val="18"/>
          <w:szCs w:val="18"/>
          <w:lang w:bidi="nl-NL"/>
        </w:rPr>
        <w:t xml:space="preserve"> wetgevingsvoorstellen</w:t>
      </w:r>
    </w:p>
    <w:p w:rsidR="00B965C6" w:rsidP="00B965C6" w:rsidRDefault="00B965C6" w14:paraId="1D73BA4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1100F0" w:rsidR="001100F0" w:rsidP="001100F0" w:rsidRDefault="001100F0" w14:paraId="696FFB0A" w14:textId="77777777">
      <w:pPr>
        <w:rPr>
          <w:rFonts w:ascii="Verdana" w:hAnsi="Verdana" w:eastAsia="Calibri"/>
          <w:i/>
          <w:sz w:val="18"/>
          <w:szCs w:val="18"/>
        </w:rPr>
      </w:pPr>
      <w:r w:rsidRPr="001100F0">
        <w:rPr>
          <w:rFonts w:ascii="Verdana" w:hAnsi="Verdana" w:eastAsia="Calibri"/>
          <w:i/>
          <w:sz w:val="18"/>
          <w:szCs w:val="18"/>
        </w:rPr>
        <w:t xml:space="preserve">Verordening 539/2001 inzake het opschortings- en wederkerigheidsmechanisme </w:t>
      </w:r>
    </w:p>
    <w:p w:rsidRPr="001100F0" w:rsidR="001100F0" w:rsidP="001100F0" w:rsidRDefault="001100F0" w14:paraId="07FE97E9" w14:textId="77777777">
      <w:pPr>
        <w:rPr>
          <w:rFonts w:ascii="Verdana" w:hAnsi="Verdana" w:eastAsia="Calibri"/>
          <w:sz w:val="18"/>
          <w:szCs w:val="18"/>
        </w:rPr>
      </w:pPr>
      <w:r w:rsidRPr="001100F0">
        <w:rPr>
          <w:rFonts w:ascii="Verdana" w:hAnsi="Verdana" w:eastAsia="Calibri"/>
          <w:sz w:val="18"/>
          <w:szCs w:val="18"/>
        </w:rPr>
        <w:t>Het Voorzitterschap meldde de Raad dat over dit voorstel overeenstemming is bereikt met het Europees Parlement en dat het voorstel als hamerstuk is aangenomen door de Raad Vervoer, Telecommunicatie en Energie.</w:t>
      </w:r>
    </w:p>
    <w:p w:rsidRPr="001100F0" w:rsidR="001100F0" w:rsidP="001100F0" w:rsidRDefault="001100F0" w14:paraId="4D1680FD" w14:textId="77777777">
      <w:pPr>
        <w:rPr>
          <w:rFonts w:ascii="Verdana" w:hAnsi="Verdana" w:eastAsia="Calibri"/>
          <w:sz w:val="18"/>
          <w:szCs w:val="18"/>
        </w:rPr>
      </w:pPr>
    </w:p>
    <w:p w:rsidRPr="001100F0" w:rsidR="001100F0" w:rsidP="001100F0" w:rsidRDefault="001100F0" w14:paraId="735F3E5A" w14:textId="77777777">
      <w:pPr>
        <w:rPr>
          <w:rFonts w:ascii="Verdana" w:hAnsi="Verdana" w:eastAsia="Calibri"/>
          <w:i/>
          <w:sz w:val="18"/>
          <w:szCs w:val="18"/>
        </w:rPr>
      </w:pPr>
      <w:r w:rsidRPr="001100F0">
        <w:rPr>
          <w:rFonts w:ascii="Verdana" w:hAnsi="Verdana" w:eastAsia="Calibri"/>
          <w:i/>
          <w:sz w:val="18"/>
          <w:szCs w:val="18"/>
        </w:rPr>
        <w:t>Verordening 539/2001 inzake wijziging van de Annex</w:t>
      </w:r>
    </w:p>
    <w:p w:rsidRPr="001100F0" w:rsidR="001100F0" w:rsidP="001100F0" w:rsidRDefault="001100F0" w14:paraId="27E7F7BC" w14:textId="77777777">
      <w:pPr>
        <w:rPr>
          <w:rFonts w:ascii="Verdana" w:hAnsi="Verdana" w:eastAsia="Calibri"/>
          <w:sz w:val="18"/>
          <w:szCs w:val="18"/>
        </w:rPr>
      </w:pPr>
      <w:r w:rsidRPr="001100F0">
        <w:rPr>
          <w:rFonts w:ascii="Verdana" w:hAnsi="Verdana" w:eastAsia="Calibri"/>
          <w:sz w:val="18"/>
          <w:szCs w:val="18"/>
        </w:rPr>
        <w:t>Het Voorzitterschap heeft dit dossier bestempeld als prioritair en probeert de onderhandelingen hierover nog tijdens het huidige voorzitterschap af te ronden. De LIBE-commissie van het Europees Parlement heeft in oktober een mandaat afgegeven aan de rapporteur om de onderhandelingen met de Raad te starten.</w:t>
      </w:r>
    </w:p>
    <w:p w:rsidRPr="001100F0" w:rsidR="001100F0" w:rsidP="001100F0" w:rsidRDefault="001100F0" w14:paraId="0917B680" w14:textId="77777777">
      <w:pPr>
        <w:rPr>
          <w:rFonts w:ascii="Verdana" w:hAnsi="Verdana" w:eastAsia="Calibri"/>
          <w:sz w:val="18"/>
          <w:szCs w:val="18"/>
        </w:rPr>
      </w:pPr>
    </w:p>
    <w:p w:rsidRPr="001100F0" w:rsidR="001100F0" w:rsidP="001100F0" w:rsidRDefault="001100F0" w14:paraId="6DC0FFC0" w14:textId="77777777">
      <w:pPr>
        <w:rPr>
          <w:rFonts w:ascii="Verdana" w:hAnsi="Verdana" w:eastAsia="Calibri"/>
          <w:i/>
          <w:sz w:val="18"/>
          <w:szCs w:val="18"/>
        </w:rPr>
      </w:pPr>
      <w:r w:rsidRPr="001100F0">
        <w:rPr>
          <w:rFonts w:ascii="Verdana" w:hAnsi="Verdana" w:eastAsia="Calibri"/>
          <w:i/>
          <w:sz w:val="18"/>
          <w:szCs w:val="18"/>
        </w:rPr>
        <w:t>Pakket slimme grenzen</w:t>
      </w:r>
    </w:p>
    <w:p w:rsidRPr="001100F0" w:rsidR="001100F0" w:rsidP="001100F0" w:rsidRDefault="001100F0" w14:paraId="20204BE2" w14:textId="77777777">
      <w:pPr>
        <w:rPr>
          <w:rFonts w:ascii="Verdana" w:hAnsi="Verdana" w:eastAsia="Calibri"/>
          <w:sz w:val="18"/>
          <w:szCs w:val="18"/>
        </w:rPr>
      </w:pPr>
      <w:r w:rsidRPr="001100F0">
        <w:rPr>
          <w:rFonts w:ascii="Verdana" w:hAnsi="Verdana" w:eastAsia="Calibri"/>
          <w:sz w:val="18"/>
          <w:szCs w:val="18"/>
        </w:rPr>
        <w:t>Het Voorzitterschap koppelde terug uit de ambtelijke besprekingen. Daaruit heeft het Voorzitterschap de conclusie getrokken dat de Raad van mening is dat wetshandhavingsdiensten vanaf de inwerkingtreding toegang moeten krijgen tot het in- en uitreissysteem en dat een meerderheid van de Raad vanaf de inwerkingtreding biometrie wil gebruiken in dit systeem.</w:t>
      </w:r>
    </w:p>
    <w:p w:rsidR="001100F0" w:rsidP="001100F0" w:rsidRDefault="001100F0" w14:paraId="120BDC92" w14:textId="77777777">
      <w:pPr>
        <w:rPr>
          <w:rFonts w:ascii="Verdana" w:hAnsi="Verdana" w:eastAsia="Calibri"/>
          <w:sz w:val="18"/>
          <w:szCs w:val="18"/>
        </w:rPr>
      </w:pPr>
    </w:p>
    <w:p w:rsidRPr="001100F0" w:rsidR="001100F0" w:rsidP="001100F0" w:rsidRDefault="001100F0" w14:paraId="459B0FB1" w14:textId="77777777">
      <w:pPr>
        <w:rPr>
          <w:rFonts w:ascii="Verdana" w:hAnsi="Verdana" w:eastAsia="Calibri"/>
          <w:sz w:val="18"/>
          <w:szCs w:val="18"/>
        </w:rPr>
      </w:pPr>
    </w:p>
    <w:p w:rsidRPr="001100F0" w:rsidR="001100F0" w:rsidP="001100F0" w:rsidRDefault="001100F0" w14:paraId="6C197ABE" w14:textId="77777777">
      <w:pPr>
        <w:rPr>
          <w:rFonts w:ascii="Verdana" w:hAnsi="Verdana" w:eastAsia="Calibri"/>
          <w:i/>
          <w:sz w:val="18"/>
          <w:szCs w:val="18"/>
        </w:rPr>
      </w:pPr>
      <w:r w:rsidRPr="001100F0">
        <w:rPr>
          <w:rFonts w:ascii="Verdana" w:hAnsi="Verdana" w:eastAsia="Calibri"/>
          <w:i/>
          <w:sz w:val="18"/>
          <w:szCs w:val="18"/>
        </w:rPr>
        <w:t>Frontex operaties op zee</w:t>
      </w:r>
    </w:p>
    <w:p w:rsidRPr="001100F0" w:rsidR="001100F0" w:rsidP="001100F0" w:rsidRDefault="001100F0" w14:paraId="2886C396" w14:textId="77777777">
      <w:pPr>
        <w:rPr>
          <w:rFonts w:ascii="Verdana" w:hAnsi="Verdana" w:eastAsia="Calibri"/>
          <w:sz w:val="18"/>
          <w:szCs w:val="18"/>
        </w:rPr>
      </w:pPr>
      <w:r w:rsidRPr="001100F0">
        <w:rPr>
          <w:rFonts w:ascii="Verdana" w:hAnsi="Verdana" w:eastAsia="Calibri"/>
          <w:sz w:val="18"/>
          <w:szCs w:val="18"/>
        </w:rPr>
        <w:t>Het Voorzitterschap wees op het belang van dit dossier om zowel politieke als juridische redenen. Het Hof van Justitie van de EU heeft in 2012 het oude Raadsbesluit vernietigd, dus moet dit voorstel snel worden aangenomen. Er is forse vooruitgang geboekt en het Voorzitterschap roept de lidstaten op alles eraan te doen om te zorgen dat  het Coreper nog dit jaar een gemeenschappelijke Raadspositie kan vaststellen.</w:t>
      </w:r>
    </w:p>
    <w:p w:rsidRPr="001100F0" w:rsidR="001100F0" w:rsidP="001100F0" w:rsidRDefault="001100F0" w14:paraId="550A0F02" w14:textId="77777777">
      <w:pPr>
        <w:rPr>
          <w:rFonts w:ascii="Verdana" w:hAnsi="Verdana" w:eastAsia="Calibri"/>
          <w:sz w:val="18"/>
          <w:szCs w:val="18"/>
        </w:rPr>
      </w:pPr>
    </w:p>
    <w:p w:rsidRPr="001100F0" w:rsidR="001100F0" w:rsidP="001100F0" w:rsidRDefault="001100F0" w14:paraId="7DEE9E6F" w14:textId="77777777">
      <w:pPr>
        <w:rPr>
          <w:rFonts w:ascii="Verdana" w:hAnsi="Verdana" w:eastAsia="Calibri"/>
          <w:i/>
          <w:sz w:val="18"/>
          <w:szCs w:val="18"/>
        </w:rPr>
      </w:pPr>
      <w:r w:rsidRPr="001100F0">
        <w:rPr>
          <w:rFonts w:ascii="Verdana" w:hAnsi="Verdana" w:eastAsia="Calibri"/>
          <w:i/>
          <w:sz w:val="18"/>
          <w:szCs w:val="18"/>
        </w:rPr>
        <w:t>Meerjarig Financieel Kader</w:t>
      </w:r>
    </w:p>
    <w:p w:rsidR="00B965C6" w:rsidP="001100F0" w:rsidRDefault="001100F0" w14:paraId="4FE223D3" w14:textId="4640F8F1">
      <w:pPr>
        <w:rPr>
          <w:rFonts w:ascii="Verdana" w:hAnsi="Verdana" w:eastAsia="Calibri"/>
          <w:sz w:val="18"/>
          <w:szCs w:val="18"/>
        </w:rPr>
      </w:pPr>
      <w:r w:rsidRPr="001100F0">
        <w:rPr>
          <w:rFonts w:ascii="Verdana" w:hAnsi="Verdana" w:eastAsia="Calibri"/>
          <w:sz w:val="18"/>
          <w:szCs w:val="18"/>
        </w:rPr>
        <w:t>Het Voorzitterschap meldde dat er hard wordt gewerkt aan het afronden van het hele pakket. Er zijn al akkoorden bereikt over het Interne Veiligheidsfonds. Het Voorzitterschap hoopt ook op korte termijn een akkoord te bereiken op het Asiel en Migratiefonds en op de Horizontale Verordening.</w:t>
      </w:r>
    </w:p>
    <w:p w:rsidR="00B965C6" w:rsidP="00B965C6" w:rsidRDefault="00B965C6" w14:paraId="31854453" w14:textId="77777777">
      <w:pPr>
        <w:ind w:firstLine="720"/>
        <w:rPr>
          <w:rFonts w:ascii="Verdana" w:hAnsi="Verdana" w:eastAsia="Calibri"/>
          <w:sz w:val="18"/>
          <w:szCs w:val="18"/>
        </w:rPr>
      </w:pPr>
    </w:p>
    <w:p w:rsidRPr="00B965C6" w:rsidR="00B965C6" w:rsidP="00B965C6" w:rsidRDefault="00B965C6" w14:paraId="609AE27E" w14:textId="77777777">
      <w:pPr>
        <w:ind w:firstLine="720"/>
        <w:rPr>
          <w:rFonts w:ascii="Verdana" w:hAnsi="Verdana" w:eastAsia="Calibri"/>
          <w:sz w:val="18"/>
          <w:szCs w:val="18"/>
        </w:rPr>
      </w:pPr>
      <w:r w:rsidRPr="00B965C6">
        <w:rPr>
          <w:rFonts w:ascii="Verdana" w:hAnsi="Verdana" w:eastAsia="Calibri"/>
          <w:b/>
          <w:sz w:val="18"/>
          <w:szCs w:val="18"/>
          <w:lang w:bidi="nl-NL"/>
        </w:rPr>
        <w:t>b)</w:t>
      </w:r>
      <w:r w:rsidRPr="00B965C6">
        <w:rPr>
          <w:rFonts w:ascii="Verdana" w:hAnsi="Verdana" w:eastAsia="Calibri"/>
          <w:sz w:val="18"/>
          <w:szCs w:val="18"/>
          <w:lang w:bidi="nl-NL"/>
        </w:rPr>
        <w:t xml:space="preserve"> </w:t>
      </w:r>
      <w:r w:rsidRPr="00B965C6">
        <w:rPr>
          <w:rFonts w:ascii="Verdana" w:hAnsi="Verdana" w:eastAsia="Calibri"/>
          <w:b/>
          <w:sz w:val="18"/>
          <w:szCs w:val="18"/>
          <w:lang w:bidi="nl-NL"/>
        </w:rPr>
        <w:t>Vijf jaar Zwitserse operationele Schengensamenwerking</w:t>
      </w:r>
    </w:p>
    <w:p w:rsidR="00B965C6" w:rsidP="00B965C6" w:rsidRDefault="00B965C6" w14:paraId="30EFDA6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1100F0" w:rsidR="002F66A2" w:rsidP="00B965C6" w:rsidRDefault="001100F0" w14:paraId="5595A725" w14:textId="671CF9A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Zwitserland meldde dat het op 12 december 2013 vijf jaar geleden is dat het associatieverdrag over Schengen inwerking is getreden. Vanaf dat moment is de mobiliteit van Zwitsers en Unieburgers vergroot. Ook is het erg blij met het Schengen evaluatiemechanisme. Zwitserland wordt dit jaar al voor de tweede keer geëvalueerd. In de afgelopen vijf jaar is Zwitserland ervan overtuigd geraakt dat Schengen, evenals het Dublin-systeem, een goed kader vormt om de uitdagingen die aan de buitengrenzen bestaan, aan te pakken. Zwitserland dankt de andere lidstaten uitdrukkelijk voor de samenwerking in de afgelopen vijf jaar.</w:t>
      </w:r>
    </w:p>
    <w:p w:rsidR="001100F0" w:rsidP="00B965C6" w:rsidRDefault="001100F0" w14:paraId="5DA398F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00B965C6" w:rsidP="00B965C6" w:rsidRDefault="00B965C6" w14:paraId="693A1CB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8"/>
        <w:rPr>
          <w:b/>
          <w:sz w:val="18"/>
          <w:szCs w:val="18"/>
          <w:lang w:bidi="nl-NL"/>
        </w:rPr>
      </w:pPr>
      <w:r w:rsidRPr="00B965C6">
        <w:rPr>
          <w:b/>
          <w:sz w:val="18"/>
          <w:szCs w:val="18"/>
          <w:lang w:bidi="nl-NL"/>
        </w:rPr>
        <w:t>c) Presentatie door Griekenland van het programma van het aantredende voorzitterschap (januari-juni 2014)</w:t>
      </w:r>
    </w:p>
    <w:p w:rsidR="001100F0" w:rsidP="001100F0" w:rsidRDefault="001100F0" w14:paraId="595F734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5272AAA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 xml:space="preserve">Het Grieks inkomend voorzitterschap gaf een opsomming van de prioriteiten van het voorzitterschap voor de eerste helft van 2014. Griekenland is stevig geraakt door zowel een migratie- als een economische crisis en die zijn van invloed op de prioriteiten die Griekenland stelt. </w:t>
      </w:r>
    </w:p>
    <w:p w:rsidRPr="001100F0" w:rsidR="001100F0" w:rsidP="001100F0" w:rsidRDefault="001100F0" w14:paraId="14089F5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29D5463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 xml:space="preserve">In juni 2014 zal de Europese Raad de strategische richtsnoeren voor het JBZ-terrein in de komende jaren vaststellen. Griekenland zal hiertoe nauw samenwerken met de lidstaten, de Europese Commissie en het Europees Parlement. </w:t>
      </w:r>
    </w:p>
    <w:p w:rsidRPr="001100F0" w:rsidR="001100F0" w:rsidP="001100F0" w:rsidRDefault="001100F0" w14:paraId="75F45B2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100F0" w:rsidR="001100F0" w:rsidP="001100F0" w:rsidRDefault="001100F0" w14:paraId="3A594AC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Op het terrein van politie en terrorisme wil Griekenland de besprekingen over EUROPOL in de werkgroep afronden. De strategie radicalisering en recrutering terrorisme zal worden herzien en zal er ook aandacht besteden worden aan terreurbestrijding op de Westelijke Balkan. Griekenland zal zich ervoor inzetten dat het Singel Point of Contact (SPOC) zal gaan functioneren. Er komt een document met richtsnoeren over hoe de SPOC-eenheden zullen functioneren. Griekenland zal zich inzetten voor gemeenschappelijke contact centra voor politie en douane, zodat samenwerking zal worden verbeterd.</w:t>
      </w:r>
    </w:p>
    <w:p w:rsidRPr="001100F0" w:rsidR="001100F0" w:rsidP="001100F0" w:rsidRDefault="001100F0" w14:paraId="0E96478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2F66A2" w:rsidP="001100F0" w:rsidRDefault="001100F0" w14:paraId="35D65EE8" w14:textId="3643B9D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100F0">
        <w:rPr>
          <w:sz w:val="18"/>
          <w:szCs w:val="18"/>
          <w:lang w:bidi="nl-NL"/>
        </w:rPr>
        <w:t>Op het terrein van migratie zal Griekenland de nadruk leggen op die punten waarmee de gevolgen van immigratie kunnen worden opgevangen. Bestrijding van illegale immigratie moet effectiever. Het terugkeerbeleid moet efficiënter en doeltreffender. Griekenland wil het EU actieplan ter bestrijding van illegale immigratie moderniseren en zal inzetten op preventie, terug- en overname en bestrijding van mensenhandel. Ook is van belang om de samenwerking met derde landen te verbeteren op met name het terrein van asiel, terug- en overname, reguliere migratie en visumbeleid. Daarnaast wil Griekenland voortgang boeken op de lopende wetgevingsdossiers slimme grenzen en Frontex zee-operaties. Het gemeenschappelijk Europees asielstelsel moet in werking gaan treden en solidariteit moet daarbij een leidend beginsel zijn. Ook wil Griekenland een discussie over de lange-termijn ontwikkeling van het gezamenlijk asielbeleid, waarbij ook gekeken zal worden naar een zo eerlijk mogelijke verdeling van asielzoekers in de EU. Op het terrein van reguliere migratie wil Griekenland het wetgevingsdossier voor de intra-corporate transfers afronden en starten met de triloog over de Richtlijn studenten en onderzoekers. Ten slotte wil Griekenland het EU-integratiebeleid een zetje geven.</w:t>
      </w:r>
    </w:p>
    <w:p w:rsidRPr="001100F0" w:rsidR="001100F0" w:rsidP="001100F0" w:rsidRDefault="001100F0" w14:paraId="5F3D9A9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B7210C" w:rsidP="00B7210C" w:rsidRDefault="00B7210C" w14:paraId="7C03B44F" w14:textId="259F1BD2">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4.</w:t>
      </w:r>
      <w:r>
        <w:rPr>
          <w:b/>
          <w:sz w:val="18"/>
          <w:szCs w:val="18"/>
          <w:lang w:bidi="nl-NL"/>
        </w:rPr>
        <w:tab/>
      </w:r>
      <w:r w:rsidRPr="00B7210C">
        <w:rPr>
          <w:b/>
          <w:sz w:val="18"/>
          <w:szCs w:val="18"/>
          <w:lang w:bidi="nl-NL"/>
        </w:rPr>
        <w:t>Toekomstige ontwikkeling van het JBZ-gebied</w:t>
      </w:r>
      <w:r>
        <w:rPr>
          <w:b/>
          <w:sz w:val="18"/>
          <w:szCs w:val="18"/>
          <w:lang w:bidi="nl-NL"/>
        </w:rPr>
        <w:t>/</w:t>
      </w:r>
      <w:r w:rsidR="0021387A">
        <w:rPr>
          <w:b/>
          <w:sz w:val="18"/>
          <w:szCs w:val="18"/>
          <w:lang w:bidi="nl-NL"/>
        </w:rPr>
        <w:t>Binnenlandse Zaken</w:t>
      </w:r>
    </w:p>
    <w:p w:rsidR="00B7210C" w:rsidP="00B7210C" w:rsidRDefault="00B7210C" w14:paraId="3529263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1100F0" w:rsidR="001100F0" w:rsidP="001100F0" w:rsidRDefault="001100F0" w14:paraId="462A8E47" w14:textId="77777777">
      <w:pPr>
        <w:pStyle w:val="Standaard1"/>
        <w:rPr>
          <w:sz w:val="18"/>
          <w:szCs w:val="18"/>
          <w:lang w:bidi="nl-NL"/>
        </w:rPr>
      </w:pPr>
      <w:r w:rsidRPr="001100F0">
        <w:rPr>
          <w:sz w:val="18"/>
          <w:szCs w:val="18"/>
          <w:lang w:bidi="nl-NL"/>
        </w:rPr>
        <w:t xml:space="preserve">Het Voorzitterschap merkte op dat de discussie tijdens de Raad een vervolg was op de eerste bespreking van de strategische richtsnoeren op JBZ-terrein tijdens de Informele Raad in juli jongstleden. De lidstaten werden bedankt voor hun inbreng in de thematische groepen zoals CATS, SCIFA en COSI en de schriftelijke bijdragen. De bespreking tijdens deze Raad was om de stand van zaken te bepalen. </w:t>
      </w:r>
    </w:p>
    <w:p w:rsidRPr="001100F0" w:rsidR="001100F0" w:rsidP="001100F0" w:rsidRDefault="001100F0" w14:paraId="69A10B9D" w14:textId="77777777">
      <w:pPr>
        <w:pStyle w:val="Standaard1"/>
        <w:rPr>
          <w:sz w:val="18"/>
          <w:szCs w:val="18"/>
          <w:lang w:bidi="nl-NL"/>
        </w:rPr>
      </w:pPr>
    </w:p>
    <w:p w:rsidRPr="001100F0" w:rsidR="001100F0" w:rsidP="001100F0" w:rsidRDefault="001100F0" w14:paraId="62476D5C" w14:textId="77777777">
      <w:pPr>
        <w:pStyle w:val="Standaard1"/>
        <w:rPr>
          <w:sz w:val="18"/>
          <w:szCs w:val="18"/>
          <w:lang w:bidi="nl-NL"/>
        </w:rPr>
      </w:pPr>
      <w:r w:rsidRPr="001100F0">
        <w:rPr>
          <w:sz w:val="18"/>
          <w:szCs w:val="18"/>
          <w:lang w:bidi="nl-NL"/>
        </w:rPr>
        <w:t xml:space="preserve">De Commissie verwees naar de publieke consultatie die zij is gestart op de website van de Europese Commissie. Daarnaast vinden er expertmeetings plaats die eind januari uitmonden in een high level conferentie over veiligheid. De afgelopen vijf jaar is het nodige bereikt op dit terrein. De wereld verandert echter snel en het is dan ook zaak om ons meer flexibel op te stellen voor oplossingen richting de toekomst. Zij wil daarom in de strategische richtsnoeren focus op strategische oplossingen voor de uitdagingen. Daarbij moet de nadruk liggen op consolidatie en goede implementatie van de huidige regels. Verder moet meer synergie ontstaan met andere beleidsterreinen, vooral ook extern met derde landen. Uit consultaties blijkt dat er een wens bestaat om migratie te richten op het versterken van de concurrentiekracht en economische groei. De Europese Commissie is blij met de voorgenomen inzet van inkomend voorzitterschap Griekenland op het terrein van integratie. Verder een roep om meer solidariteit en een planning voor crisissituaties. Op het terrein van veiligheid heeft de Europese Commissie vijf prioriteiten om in de gaten te houden: cybercrime, terrorisme, grensbewaking, georganiseerde criminaliteit en “natural and man-made disasters”. Als bedreigende factoren ziet de Europese Commissie de handel in vuurwapens en de georganiseerde criminaliteit. Ook is er meer aandacht voor misdaad gericht op milieu-overtredingen. Ten slotte is de financiering uit Meerjarig Financieel Kader-fondsen een factor die de ambities bepaalt. </w:t>
      </w:r>
    </w:p>
    <w:p w:rsidRPr="001100F0" w:rsidR="001100F0" w:rsidP="001100F0" w:rsidRDefault="001100F0" w14:paraId="693B4EC4" w14:textId="77777777">
      <w:pPr>
        <w:pStyle w:val="Standaard1"/>
        <w:rPr>
          <w:sz w:val="18"/>
          <w:szCs w:val="18"/>
          <w:lang w:bidi="nl-NL"/>
        </w:rPr>
      </w:pPr>
    </w:p>
    <w:p w:rsidRPr="001100F0" w:rsidR="001100F0" w:rsidP="001100F0" w:rsidRDefault="001100F0" w14:paraId="2349A812" w14:textId="77777777">
      <w:pPr>
        <w:pStyle w:val="Standaard1"/>
        <w:rPr>
          <w:sz w:val="18"/>
          <w:szCs w:val="18"/>
          <w:lang w:bidi="nl-NL"/>
        </w:rPr>
      </w:pPr>
      <w:r w:rsidRPr="001100F0">
        <w:rPr>
          <w:sz w:val="18"/>
          <w:szCs w:val="18"/>
          <w:lang w:bidi="nl-NL"/>
        </w:rPr>
        <w:t xml:space="preserve">Alle lidstaten die hierna het woord namen verwezen naar het belang van consolidatie, evaluatie en effectieve implementatie van het EU-acquis. </w:t>
      </w:r>
    </w:p>
    <w:p w:rsidRPr="001100F0" w:rsidR="001100F0" w:rsidP="001100F0" w:rsidRDefault="001100F0" w14:paraId="5BC17F79" w14:textId="77777777">
      <w:pPr>
        <w:pStyle w:val="Standaard1"/>
        <w:rPr>
          <w:sz w:val="18"/>
          <w:szCs w:val="18"/>
          <w:lang w:bidi="nl-NL"/>
        </w:rPr>
      </w:pPr>
    </w:p>
    <w:p w:rsidRPr="001100F0" w:rsidR="001100F0" w:rsidP="001100F0" w:rsidRDefault="001100F0" w14:paraId="294422FE" w14:textId="77777777">
      <w:pPr>
        <w:pStyle w:val="Standaard1"/>
        <w:rPr>
          <w:sz w:val="18"/>
          <w:szCs w:val="18"/>
          <w:lang w:bidi="nl-NL"/>
        </w:rPr>
      </w:pPr>
      <w:r w:rsidRPr="001100F0">
        <w:rPr>
          <w:sz w:val="18"/>
          <w:szCs w:val="18"/>
          <w:lang w:bidi="nl-NL"/>
        </w:rPr>
        <w:t xml:space="preserve">Er werd ook verwezen op het belang van een goede en tijdige bespreking van het post-Stockholm programma in de JBZ-Raad. Deze Raad moet in de “lead” zijn in de aanloop naar vaststelling door de Europese Raad in juni 2014. Ook werd er verwezen naar de “guiding principles” van acht lidstaten op initiatief van Zweden, Finland en Nederland. Daarnaast zijn er twee prioriteiten genoemd. Te weten: (1) het wederzijds versterken van vertrouwen tussen lidstaten. Dit kan door middel van een doelgerichte actie met training van professionals en uitwisselingsprogramma’s. Effectieve implementatie van EU-regels is ook van belang voor het vertrouwen. Ook moeten nationale autoriteiten even makkelijk met collega’s uit andere lidstaten kunnen samenwerken; (2) de obstakels voor goede informatie-uitwisseling moeten effectief worden verwijderd. Verder moet er meer coherentie zijn tussen intern en extern optreden.  </w:t>
      </w:r>
    </w:p>
    <w:p w:rsidRPr="001100F0" w:rsidR="001100F0" w:rsidP="001100F0" w:rsidRDefault="001100F0" w14:paraId="35FF428A" w14:textId="77777777">
      <w:pPr>
        <w:pStyle w:val="Standaard1"/>
        <w:rPr>
          <w:sz w:val="18"/>
          <w:szCs w:val="18"/>
          <w:lang w:bidi="nl-NL"/>
        </w:rPr>
      </w:pPr>
    </w:p>
    <w:p w:rsidRPr="001100F0" w:rsidR="001100F0" w:rsidP="001100F0" w:rsidRDefault="001100F0" w14:paraId="1CA880ED" w14:textId="77777777">
      <w:pPr>
        <w:pStyle w:val="Standaard1"/>
        <w:rPr>
          <w:sz w:val="18"/>
          <w:szCs w:val="18"/>
          <w:lang w:bidi="nl-NL"/>
        </w:rPr>
      </w:pPr>
      <w:r w:rsidRPr="001100F0">
        <w:rPr>
          <w:sz w:val="18"/>
          <w:szCs w:val="18"/>
          <w:lang w:bidi="nl-NL"/>
        </w:rPr>
        <w:t xml:space="preserve">Ook werd er door een aantal lidstaten gezegd dat de rol van de Raad verder moet worden versterkt bij de implementatie en monitoring van de richtsnoeren. Nieuwe richtsnoeren moeten korter zijn en meer strategisch van aard en zijn gericht op effectieve implementatie van het EU-acquis. Het Verenigde Koninkrijk gaf aan de gezamenlijke paper over asiel en migratie van onder andere Nederland niet te hebben mee-ondertekend, maar deze nu wel volledig te kunnen ondersteunen. </w:t>
      </w:r>
    </w:p>
    <w:p w:rsidRPr="001100F0" w:rsidR="001100F0" w:rsidP="001100F0" w:rsidRDefault="001100F0" w14:paraId="0766C0F1" w14:textId="77777777">
      <w:pPr>
        <w:pStyle w:val="Standaard1"/>
        <w:rPr>
          <w:sz w:val="18"/>
          <w:szCs w:val="18"/>
          <w:lang w:bidi="nl-NL"/>
        </w:rPr>
      </w:pPr>
    </w:p>
    <w:p w:rsidRPr="001100F0" w:rsidR="001100F0" w:rsidP="001100F0" w:rsidRDefault="001100F0" w14:paraId="0C04A3E9" w14:textId="77777777">
      <w:pPr>
        <w:pStyle w:val="Standaard1"/>
        <w:rPr>
          <w:sz w:val="18"/>
          <w:szCs w:val="18"/>
          <w:lang w:bidi="nl-NL"/>
        </w:rPr>
      </w:pPr>
      <w:r w:rsidRPr="001100F0">
        <w:rPr>
          <w:sz w:val="18"/>
          <w:szCs w:val="18"/>
          <w:lang w:bidi="nl-NL"/>
        </w:rPr>
        <w:t xml:space="preserve">Minister Opstelten wees op de eerdergenoemde gezamenlijke brief. Hij gaf aan dat ministers voor de komende periode duidelijk de politieke richting aan moeten geven en trachten met de Europese Commissie een gezamenlijke agenda overeen te komen gericht op effectieve daden. Vervolgens heeft hij drie belangrijke aandachtspunten genoemd: (1) consolidatie met aandacht voor de implementatie van wat nu op tafel ligt, (2) subsidiariteit en (3) aandacht voor kosteneffectiviteit en rendement. Daarnaast vraagt hij de Europese Commissie pas met mededelingen en initiatieven te komen nadat daarover met de lidstaten debat is gevoerd. Hij noemt verder de voor Nederland belangrijkste thema’s: implementatie gemeenschappelijk Europees asielstelsel, effectief terugkeerbeleid, aanpak misbruik en fraude vrij verkeer van personen, cyber security (van extra groot belang), bestrijding georganiseerde criminaliteit met extra aandacht voor de bestuurlijke aanpak en een Europese forensische ruimte met aandacht voor standaardisering. </w:t>
      </w:r>
    </w:p>
    <w:p w:rsidRPr="001100F0" w:rsidR="001100F0" w:rsidP="001100F0" w:rsidRDefault="001100F0" w14:paraId="2910EAA0" w14:textId="77777777">
      <w:pPr>
        <w:pStyle w:val="Standaard1"/>
        <w:rPr>
          <w:sz w:val="18"/>
          <w:szCs w:val="18"/>
          <w:lang w:bidi="nl-NL"/>
        </w:rPr>
      </w:pPr>
    </w:p>
    <w:p w:rsidRPr="001100F0" w:rsidR="001100F0" w:rsidP="001100F0" w:rsidRDefault="001100F0" w14:paraId="0905D2D2" w14:textId="77777777">
      <w:pPr>
        <w:pStyle w:val="Standaard1"/>
        <w:rPr>
          <w:sz w:val="18"/>
          <w:szCs w:val="18"/>
          <w:lang w:bidi="nl-NL"/>
        </w:rPr>
      </w:pPr>
      <w:r w:rsidRPr="001100F0">
        <w:rPr>
          <w:sz w:val="18"/>
          <w:szCs w:val="18"/>
          <w:lang w:bidi="nl-NL"/>
        </w:rPr>
        <w:t xml:space="preserve">Griekenland vraagt als aankomend voorzitterschap aandacht voor de samenwerking met het Europees Parlement. De inbreng van de Raad zal verder worden voorbereid tijdens de Informele Raad eind januari in Athene en in Coreper begin volgend jaar. </w:t>
      </w:r>
    </w:p>
    <w:p w:rsidRPr="001100F0" w:rsidR="001100F0" w:rsidP="001100F0" w:rsidRDefault="001100F0" w14:paraId="3F757BD6" w14:textId="77777777">
      <w:pPr>
        <w:pStyle w:val="Standaard1"/>
        <w:rPr>
          <w:sz w:val="18"/>
          <w:szCs w:val="18"/>
          <w:lang w:bidi="nl-NL"/>
        </w:rPr>
      </w:pPr>
    </w:p>
    <w:p w:rsidRPr="001100F0" w:rsidR="001100F0" w:rsidP="001100F0" w:rsidRDefault="001100F0" w14:paraId="191C8767" w14:textId="77777777">
      <w:pPr>
        <w:pStyle w:val="Standaard1"/>
        <w:rPr>
          <w:sz w:val="18"/>
          <w:szCs w:val="18"/>
          <w:lang w:bidi="nl-NL"/>
        </w:rPr>
      </w:pPr>
      <w:r w:rsidRPr="001100F0">
        <w:rPr>
          <w:sz w:val="18"/>
          <w:szCs w:val="18"/>
          <w:lang w:bidi="nl-NL"/>
        </w:rPr>
        <w:t xml:space="preserve">Hierna vindt er een opsomming plaats van wat de andere lidstaten in het post-Stockholm programma terug zouden willen zien met veel herhaling van eerdergenoemde onderwerpen. </w:t>
      </w:r>
    </w:p>
    <w:p w:rsidRPr="001100F0" w:rsidR="001100F0" w:rsidP="001100F0" w:rsidRDefault="001100F0" w14:paraId="768338E8" w14:textId="77777777">
      <w:pPr>
        <w:pStyle w:val="Standaard1"/>
        <w:rPr>
          <w:sz w:val="18"/>
          <w:szCs w:val="18"/>
          <w:lang w:bidi="nl-NL"/>
        </w:rPr>
      </w:pPr>
    </w:p>
    <w:p w:rsidRPr="001100F0" w:rsidR="001100F0" w:rsidP="001100F0" w:rsidRDefault="001100F0" w14:paraId="232B08DB" w14:textId="77777777">
      <w:pPr>
        <w:pStyle w:val="Standaard1"/>
        <w:rPr>
          <w:sz w:val="18"/>
          <w:szCs w:val="18"/>
          <w:lang w:bidi="nl-NL"/>
        </w:rPr>
      </w:pPr>
      <w:r w:rsidRPr="001100F0">
        <w:rPr>
          <w:sz w:val="18"/>
          <w:szCs w:val="18"/>
          <w:lang w:bidi="nl-NL"/>
        </w:rPr>
        <w:t xml:space="preserve">Er werd ook verwezen naar de joint-paper van het Salzburg Forum. Dit forum wil meer gebruik maken van nieuwe technologieën en samenwerking tussen agentschappen, in het bijzonder aan de buitengrenzen door Frontex en Europol. </w:t>
      </w:r>
    </w:p>
    <w:p w:rsidRPr="001100F0" w:rsidR="001100F0" w:rsidP="001100F0" w:rsidRDefault="001100F0" w14:paraId="44FF74AD" w14:textId="77777777">
      <w:pPr>
        <w:pStyle w:val="Standaard1"/>
        <w:rPr>
          <w:sz w:val="18"/>
          <w:szCs w:val="18"/>
          <w:lang w:bidi="nl-NL"/>
        </w:rPr>
      </w:pPr>
    </w:p>
    <w:p w:rsidRPr="001100F0" w:rsidR="001100F0" w:rsidP="001100F0" w:rsidRDefault="001100F0" w14:paraId="172BF6C1" w14:textId="77777777">
      <w:pPr>
        <w:pStyle w:val="Standaard1"/>
        <w:rPr>
          <w:sz w:val="18"/>
          <w:szCs w:val="18"/>
          <w:lang w:bidi="nl-NL"/>
        </w:rPr>
      </w:pPr>
      <w:r w:rsidRPr="001100F0">
        <w:rPr>
          <w:sz w:val="18"/>
          <w:szCs w:val="18"/>
          <w:lang w:bidi="nl-NL"/>
        </w:rPr>
        <w:t xml:space="preserve">Ook werd er gezegd dat er alleen nieuwe wetgeving op JBZ-terrein moet komen als een lacune is geïdentificeerd en de toegevoegde waarde is aangetoond. Daarnaast zouden alleen nieuwe initiatieven worden ontwikkeld na een goede kosten-baten analyse. Tevens werd er gezegd dat het GEAS nog niet heeft geleid tot een gelijke verdeling van verantwoordelijkheden en aanpassingen zijn vereist in de geest van solidariteit: “one size does not fit all”. </w:t>
      </w:r>
    </w:p>
    <w:p w:rsidRPr="001100F0" w:rsidR="001100F0" w:rsidP="001100F0" w:rsidRDefault="001100F0" w14:paraId="0CA5FECB" w14:textId="77777777">
      <w:pPr>
        <w:pStyle w:val="Standaard1"/>
        <w:rPr>
          <w:sz w:val="18"/>
          <w:szCs w:val="18"/>
          <w:lang w:bidi="nl-NL"/>
        </w:rPr>
      </w:pPr>
    </w:p>
    <w:p w:rsidRPr="001100F0" w:rsidR="001100F0" w:rsidP="001100F0" w:rsidRDefault="001100F0" w14:paraId="572C5975" w14:textId="77777777">
      <w:pPr>
        <w:pStyle w:val="Standaard1"/>
        <w:rPr>
          <w:sz w:val="18"/>
          <w:szCs w:val="18"/>
          <w:lang w:bidi="nl-NL"/>
        </w:rPr>
      </w:pPr>
      <w:r w:rsidRPr="001100F0">
        <w:rPr>
          <w:sz w:val="18"/>
          <w:szCs w:val="18"/>
          <w:lang w:bidi="nl-NL"/>
        </w:rPr>
        <w:t xml:space="preserve">Het Voorzitterschap concludeerde dat de lidstaten korte en beleidsgerichte richtsnoeren willen. Deze moeten flexibel zijn om in te kunnen springen op crisissituaties. De nadruk ligt op implementatie en gelijke behandeling van lidstaten. Eerst consolideren alvorens nieuwe initiatieven te starten. Daarnaast is het belangrijk dat wanneer er een evaluatie gedaan wordt de kosten en de baten tegen elkaar afgewogen worden. </w:t>
      </w:r>
    </w:p>
    <w:p w:rsidRPr="00B7210C" w:rsidR="00B7210C" w:rsidP="00B7210C" w:rsidRDefault="00B7210C" w14:paraId="036C8BE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B965C6" w:rsidR="00B965C6" w:rsidP="00B965C6" w:rsidRDefault="00B965C6" w14:paraId="763FC7E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006D2A6C" w:rsidP="006D2A6C" w:rsidRDefault="006D2A6C" w14:paraId="07E5B2F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Bold" w:hAnsi="Verdana Bold"/>
          <w:u w:val="single"/>
        </w:rPr>
      </w:pPr>
      <w:r>
        <w:rPr>
          <w:rFonts w:ascii="Verdana Bold" w:hAnsi="Verdana Bold"/>
          <w:u w:val="single"/>
        </w:rPr>
        <w:t>Raad - wetgevende besprekingen</w:t>
      </w:r>
    </w:p>
    <w:p w:rsidR="006D2A6C" w:rsidP="006D2A6C" w:rsidRDefault="006D2A6C" w14:paraId="120FFF9C"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Pr="00B965C6" w:rsidR="006D2A6C" w:rsidP="006D2A6C" w:rsidRDefault="00EF25ED" w14:paraId="0ACDAE89" w14:textId="5B069A43">
      <w:pPr>
        <w:spacing w:after="200"/>
        <w:rPr>
          <w:rFonts w:ascii="Verdana" w:hAnsi="Verdana"/>
          <w:sz w:val="18"/>
          <w:szCs w:val="18"/>
        </w:rPr>
      </w:pPr>
      <w:r>
        <w:rPr>
          <w:rFonts w:ascii="Verdana" w:hAnsi="Verdana"/>
          <w:b/>
          <w:sz w:val="18"/>
          <w:szCs w:val="18"/>
        </w:rPr>
        <w:t>5</w:t>
      </w:r>
      <w:r w:rsidR="00B965C6">
        <w:rPr>
          <w:rFonts w:ascii="Verdana" w:hAnsi="Verdana"/>
          <w:b/>
          <w:sz w:val="18"/>
          <w:szCs w:val="18"/>
        </w:rPr>
        <w:t>.</w:t>
      </w:r>
      <w:r w:rsidR="00B965C6">
        <w:rPr>
          <w:rFonts w:ascii="Verdana" w:hAnsi="Verdana"/>
          <w:b/>
          <w:sz w:val="18"/>
          <w:szCs w:val="18"/>
        </w:rPr>
        <w:tab/>
      </w:r>
      <w:r w:rsidRPr="00B965C6" w:rsidR="00B965C6">
        <w:rPr>
          <w:rFonts w:ascii="Verdana" w:hAnsi="Verdana"/>
          <w:sz w:val="18"/>
          <w:szCs w:val="18"/>
        </w:rPr>
        <w:t>Diversen</w:t>
      </w:r>
      <w:r w:rsidR="00B965C6">
        <w:rPr>
          <w:rFonts w:ascii="Verdana" w:hAnsi="Verdana"/>
          <w:sz w:val="18"/>
          <w:szCs w:val="18"/>
        </w:rPr>
        <w:t xml:space="preserve">. </w:t>
      </w:r>
      <w:r w:rsidRPr="00B965C6" w:rsidR="00B965C6">
        <w:rPr>
          <w:rFonts w:ascii="Verdana" w:hAnsi="Verdana"/>
          <w:sz w:val="18"/>
          <w:szCs w:val="18"/>
        </w:rPr>
        <w:t>Zie</w:t>
      </w:r>
      <w:r w:rsidR="00B965C6">
        <w:rPr>
          <w:rFonts w:ascii="Verdana" w:hAnsi="Verdana"/>
          <w:sz w:val="18"/>
          <w:szCs w:val="18"/>
        </w:rPr>
        <w:t xml:space="preserve"> onder 3.</w:t>
      </w:r>
    </w:p>
    <w:p w:rsidRPr="00B965C6" w:rsidR="006D2A6C" w:rsidP="006D2A6C" w:rsidRDefault="006D2A6C" w14:paraId="0FAD6D5A" w14:textId="77777777">
      <w:pPr>
        <w:spacing w:after="200"/>
        <w:rPr>
          <w:rFonts w:ascii="Verdana" w:hAnsi="Verdana"/>
          <w:b/>
          <w:sz w:val="20"/>
          <w:szCs w:val="20"/>
        </w:rPr>
      </w:pPr>
      <w:r w:rsidRPr="00B965C6">
        <w:rPr>
          <w:rFonts w:ascii="Verdana" w:hAnsi="Verdana"/>
          <w:b/>
          <w:sz w:val="20"/>
          <w:szCs w:val="20"/>
          <w:u w:val="single"/>
        </w:rPr>
        <w:t>Raad – niet wetgevende besprekingen</w:t>
      </w:r>
    </w:p>
    <w:p w:rsidR="005127FD" w:rsidP="005127FD" w:rsidRDefault="00EF25ED" w14:paraId="0B48D649" w14:textId="155FBCEC">
      <w:pPr>
        <w:pStyle w:val="PointManual"/>
        <w:rPr>
          <w:rFonts w:ascii="Verdana" w:hAnsi="Verdana"/>
          <w:b/>
          <w:sz w:val="18"/>
          <w:szCs w:val="18"/>
          <w:lang w:bidi="nl-NL"/>
        </w:rPr>
      </w:pPr>
      <w:r>
        <w:rPr>
          <w:rFonts w:ascii="Verdana" w:hAnsi="Verdana"/>
          <w:b/>
          <w:sz w:val="18"/>
          <w:szCs w:val="18"/>
        </w:rPr>
        <w:t>6</w:t>
      </w:r>
      <w:r w:rsidR="00033FFF">
        <w:rPr>
          <w:rFonts w:ascii="Verdana" w:hAnsi="Verdana"/>
          <w:b/>
          <w:sz w:val="18"/>
          <w:szCs w:val="18"/>
        </w:rPr>
        <w:t>.</w:t>
      </w:r>
      <w:r w:rsidRPr="004B0925" w:rsidR="006D2A6C">
        <w:rPr>
          <w:rFonts w:ascii="Verdana" w:hAnsi="Verdana"/>
          <w:b/>
          <w:sz w:val="18"/>
          <w:szCs w:val="18"/>
        </w:rPr>
        <w:tab/>
      </w:r>
      <w:r w:rsidR="005127FD">
        <w:rPr>
          <w:rFonts w:ascii="Verdana" w:hAnsi="Verdana"/>
          <w:b/>
          <w:sz w:val="18"/>
          <w:szCs w:val="18"/>
        </w:rPr>
        <w:tab/>
      </w:r>
      <w:r w:rsidR="00F87886">
        <w:rPr>
          <w:rFonts w:ascii="Verdana" w:hAnsi="Verdana"/>
          <w:b/>
          <w:sz w:val="18"/>
          <w:szCs w:val="18"/>
          <w:lang w:bidi="nl-NL"/>
        </w:rPr>
        <w:t>V</w:t>
      </w:r>
      <w:r w:rsidR="005127FD">
        <w:rPr>
          <w:rFonts w:ascii="Verdana" w:hAnsi="Verdana"/>
          <w:b/>
          <w:sz w:val="18"/>
          <w:szCs w:val="18"/>
          <w:lang w:bidi="nl-NL"/>
        </w:rPr>
        <w:t>rij verkeer van personen</w:t>
      </w:r>
    </w:p>
    <w:p w:rsidR="00B965C6" w:rsidP="005127FD" w:rsidRDefault="005127FD" w14:paraId="04517807" w14:textId="77777777">
      <w:pPr>
        <w:pStyle w:val="PointManual"/>
        <w:ind w:firstLine="153"/>
        <w:rPr>
          <w:rFonts w:ascii="Verdana" w:hAnsi="Verdana"/>
          <w:b/>
          <w:sz w:val="18"/>
          <w:szCs w:val="18"/>
          <w:lang w:bidi="nl-NL"/>
        </w:rPr>
      </w:pPr>
      <w:r>
        <w:rPr>
          <w:rFonts w:ascii="Verdana" w:hAnsi="Verdana"/>
          <w:b/>
          <w:sz w:val="18"/>
          <w:szCs w:val="18"/>
          <w:lang w:bidi="nl-NL"/>
        </w:rPr>
        <w:t xml:space="preserve">- </w:t>
      </w:r>
      <w:r w:rsidRPr="00B965C6" w:rsidR="00B965C6">
        <w:rPr>
          <w:rFonts w:ascii="Verdana" w:hAnsi="Verdana"/>
          <w:b/>
          <w:sz w:val="18"/>
          <w:szCs w:val="18"/>
          <w:lang w:bidi="nl-NL"/>
        </w:rPr>
        <w:t>Eindverslag van de Commissie</w:t>
      </w:r>
    </w:p>
    <w:p w:rsidRPr="001100F0" w:rsidR="001100F0" w:rsidP="001100F0" w:rsidRDefault="001100F0" w14:paraId="10885ABF" w14:textId="22545D8D">
      <w:pPr>
        <w:pStyle w:val="PointManual"/>
        <w:ind w:left="0" w:firstLine="0"/>
        <w:rPr>
          <w:rFonts w:ascii="Verdana" w:hAnsi="Verdana"/>
          <w:sz w:val="18"/>
          <w:szCs w:val="18"/>
          <w:lang w:bidi="nl-NL"/>
        </w:rPr>
      </w:pPr>
      <w:r w:rsidRPr="001100F0">
        <w:rPr>
          <w:rFonts w:ascii="Verdana" w:hAnsi="Verdana"/>
          <w:sz w:val="18"/>
          <w:szCs w:val="18"/>
          <w:lang w:bidi="nl-NL"/>
        </w:rPr>
        <w:t>De Commissie opende haar presentatie door te zeggen dat ze heeft geluisterd naar de geuite zorgen van ministers en experts van de lidstaten en deze zorgen serieus neemt, vandaar het uitbrengen van deze mededeling die gebaseerd is op feiten en cijfers die door 22 lidstaten zijn aangeleverd. De Raad Werkgelegenheid, Sociaal Beleid, Volksgezondheid en Consumentenzaken van 9 december 2013 zal ook over dit onderwerp spreken. Vrij verkeer is een recht dat met plichten komt; dit recht ziet op vrije circulatie, maar niet op het recht om te migreren naar de sociale voorzieningen van andere lidstaten. De mededeling verduidelijkt de regels van vrij personenverkeer en de mogelijkheden om misbruik tegen te gaan en geeft vijf concrete maatregelen om nationale en lokale autoriteiten te helpen. De vijf maatregelen zijn: een handboek schijnhuwelijken dat in samenspraak met experts uit de lidstaten is opgesteld is bijna klaar; een verduidelijking van het begrip ‘de plaats waar een persoon pleegt te wonen’ in Verordening 883/2004; toename tot 20% van de sociale inclusie prioriteit van het Europees Sociaal Fonds; meer uitwisseling van geleerde lessen op lokaal niveau door een studie over de effecten van vrij personenverkeer op lokaal niveau en een conferentie van burgemeesters op 11 februari 2014. Tot slot hulp aan lokale autoriteiten om de regels van het vrij personenverkeer toe te passen door middel van o.a. een ‘online training module’ en versterking van het EURES netwerk (Europees portaal voor beroepsmobiliteit). De Commissie sloot af met het verzoek om steun bij het uitvoeren van de vijf maatregelen en om samen zorg te dragen dat vrij verkeer van personen een groot goed blijft voor Europa en om ongefundeerde percepties over het vrij verkeer van personen tegen te gaan.</w:t>
      </w:r>
    </w:p>
    <w:p w:rsidRPr="001100F0" w:rsidR="001100F0" w:rsidP="001100F0" w:rsidRDefault="001100F0" w14:paraId="5A0E077C" w14:textId="77777777">
      <w:pPr>
        <w:spacing w:before="200"/>
        <w:rPr>
          <w:rFonts w:ascii="Verdana" w:hAnsi="Verdana"/>
          <w:sz w:val="18"/>
          <w:szCs w:val="18"/>
          <w:lang w:eastAsia="nl-NL" w:bidi="nl-NL"/>
        </w:rPr>
      </w:pPr>
      <w:r w:rsidRPr="001100F0">
        <w:rPr>
          <w:rFonts w:ascii="Verdana" w:hAnsi="Verdana"/>
          <w:sz w:val="18"/>
          <w:szCs w:val="18"/>
          <w:lang w:eastAsia="nl-NL" w:bidi="nl-NL"/>
        </w:rPr>
        <w:t>Staatssecretaris Teeven benoemde het vrij verkeer van personen als een van de grootste verworvenheden van de Europese Unie en dat het van groot belang is voor Nederland als handelsnatie. Dit wil echter niet zeggen dat de lasten van het vrij personenverkeer geen aandacht meer behoeven. Ook gaf hij aan dat het belangrijk is het draagvlak voor het vrij personenverkeer juist groot blijft en dat het daarom belangrijk is dat lidstaten beschikken over effectieve instrumenten om op te treden. Om dit goed te kunnen doen is het belangrijk dat lidstaten onderling geleerde lessen uitwisselen om fraude en misbruik zo goed mogelijk het hoofd te kunnen bieden. Met de mededeling zet de Commissie een belangrijke eerste stap om problemen met het vrij verkeer van personen te adresseren. De mededeling belicht terecht dat een aantal van de problemen zijn oorsprong heeft in de lidstaten van herkomst. Een beter en effectiever gebruik van het Europees Sociaal Fonds kan er toe bijdragen dat problemen voorkomen worden. Anderzijds doet de Mededeling onvoldoende recht aan de noodzaak voor effectieve instrumenten. Een voorbeeld hiervan is het concept handboek schijnhuwelijken, dat onvoldoende operationele handvatten biedt. Een ander punt is het opleggen van een verbod het grondgebied binnen te komen aan criminele EU-burgers. Nederland ziet het als een gedeelde verantwoordelijkheid van lidstaten en Commissie om zorg te dragen voor het behoud van dit draagvlak. Het actieplan is volgens Nederland dan ook vooral een eerste stap en zeker niet de afronding van het proces.</w:t>
      </w:r>
    </w:p>
    <w:p w:rsidRPr="001100F0" w:rsidR="001100F0" w:rsidP="001100F0" w:rsidRDefault="001100F0" w14:paraId="6741FF6E" w14:textId="77777777">
      <w:pPr>
        <w:spacing w:before="200"/>
        <w:rPr>
          <w:rFonts w:ascii="Verdana" w:hAnsi="Verdana"/>
          <w:sz w:val="18"/>
          <w:szCs w:val="18"/>
          <w:lang w:eastAsia="nl-NL" w:bidi="nl-NL"/>
        </w:rPr>
      </w:pPr>
      <w:r w:rsidRPr="001100F0">
        <w:rPr>
          <w:rFonts w:ascii="Verdana" w:hAnsi="Verdana"/>
          <w:sz w:val="18"/>
          <w:szCs w:val="18"/>
          <w:lang w:eastAsia="nl-NL" w:bidi="nl-NL"/>
        </w:rPr>
        <w:t>De meeste lidstaten gaven aan dat het vrij verkeer van personen inderdaad een grote verworvenheid is van de Europese Unie en dat dit recht beschermd moet worden tegen misbruik. Fraude en misbruik van sociale zekerheid moeten worden tegengegaan. Ook gaven de meeste lidstaten aan dat bepaalde acties van de Europese Commissie de lidstaten kunnen ondersteunen, maar dat deze nog niet voldoende oplossingen aandragen voor het oplossen van de problemen. Een aantal lidstaten daarentegen gaf aan dat de meeste mobiele Europese burgers naar andere lidstaten gaan om te werken en zijn daar meer actief aan het werk dan gemiddeld en doen minder beroep op sociale zekerheid. Deze lidstaten erkennen dat misbruik van sociale zekerheid bestaat, maar gaven ook aan dat dit probleem niet groot is.</w:t>
      </w:r>
    </w:p>
    <w:p w:rsidR="002F66A2" w:rsidP="001100F0" w:rsidRDefault="001100F0" w14:paraId="294A3F5E" w14:textId="69F10190">
      <w:pPr>
        <w:pStyle w:val="PointManual"/>
        <w:ind w:left="0" w:firstLine="0"/>
        <w:rPr>
          <w:rFonts w:ascii="Verdana" w:hAnsi="Verdana"/>
          <w:sz w:val="18"/>
          <w:szCs w:val="18"/>
          <w:lang w:bidi="nl-NL"/>
        </w:rPr>
      </w:pPr>
      <w:r w:rsidRPr="001100F0">
        <w:rPr>
          <w:rFonts w:ascii="Verdana" w:hAnsi="Verdana"/>
          <w:sz w:val="18"/>
          <w:szCs w:val="18"/>
          <w:lang w:eastAsia="en-US" w:bidi="nl-NL"/>
        </w:rPr>
        <w:t>Ter afronding reageerde de Europese Commissie met een constatering dat er een overweldigende steun is voor het fundamentele recht van het vrij verkeer van personen en dat er ook een erkenning is van de problemen van misbruik. De Commissie staat aan de kant van de lidstaten in de strijd daartegen. Het handboek schijnhuwelijken is in de laatste stadia van vaststelling in overleg met de experts van de lidstaten. Voorbeelden van lidstaten zullen worden opgenomen. De sociale zekerheid is een 100% nationale aangelegenheid en misbruik dient dus nationaal aangepakt te worden. Bij een serieuze inbreuk op de openbare orde is een inreisverbod mogelijk. De conferentie voor burgemeesters in februari 2014 is een goede gelegenheid om geleerde lessen uit te wisselen.</w:t>
      </w:r>
    </w:p>
    <w:p w:rsidRPr="005127FD" w:rsidR="005127FD" w:rsidP="0076147B" w:rsidRDefault="00EF25ED" w14:paraId="2EB48E90" w14:textId="587AAD1D">
      <w:pPr>
        <w:pStyle w:val="PointManual"/>
        <w:ind w:left="720" w:hanging="720"/>
        <w:rPr>
          <w:rFonts w:ascii="Verdana" w:hAnsi="Verdana"/>
          <w:b/>
          <w:sz w:val="18"/>
          <w:szCs w:val="18"/>
          <w:lang w:bidi="nl-NL"/>
        </w:rPr>
      </w:pPr>
      <w:r>
        <w:rPr>
          <w:rFonts w:ascii="Verdana" w:hAnsi="Verdana"/>
          <w:b/>
          <w:sz w:val="18"/>
          <w:szCs w:val="18"/>
          <w:lang w:bidi="nl-NL"/>
        </w:rPr>
        <w:t>7</w:t>
      </w:r>
      <w:r w:rsidR="005127FD">
        <w:rPr>
          <w:rFonts w:ascii="Verdana" w:hAnsi="Verdana"/>
          <w:b/>
          <w:sz w:val="18"/>
          <w:szCs w:val="18"/>
          <w:lang w:bidi="nl-NL"/>
        </w:rPr>
        <w:t>.</w:t>
      </w:r>
      <w:r w:rsidR="005127FD">
        <w:rPr>
          <w:rFonts w:ascii="Verdana" w:hAnsi="Verdana"/>
          <w:b/>
          <w:sz w:val="18"/>
          <w:szCs w:val="18"/>
          <w:lang w:bidi="nl-NL"/>
        </w:rPr>
        <w:tab/>
      </w:r>
      <w:r w:rsidRPr="0076147B" w:rsidR="0076147B">
        <w:rPr>
          <w:rFonts w:ascii="Verdana" w:hAnsi="Verdana"/>
          <w:b/>
          <w:sz w:val="18"/>
          <w:szCs w:val="18"/>
          <w:lang w:bidi="nl-NL"/>
        </w:rPr>
        <w:t>Terrorismebestrijding: Buitenlandse strijders en repatrianten vanuit het oogpunt van terrorismebestrijding, met name in verband met Syrië</w:t>
      </w:r>
    </w:p>
    <w:p w:rsidR="00CA5278" w:rsidP="0076147B" w:rsidRDefault="0076147B" w14:paraId="5FCDF80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8" w:hanging="708"/>
        <w:rPr>
          <w:b/>
          <w:sz w:val="18"/>
          <w:szCs w:val="18"/>
          <w:lang w:bidi="nl-NL"/>
        </w:rPr>
      </w:pPr>
      <w:r>
        <w:tab/>
      </w:r>
      <w:r w:rsidRPr="0076147B">
        <w:rPr>
          <w:b/>
          <w:sz w:val="18"/>
          <w:szCs w:val="18"/>
          <w:lang w:bidi="nl-NL"/>
        </w:rPr>
        <w:t>-</w:t>
      </w:r>
      <w:r w:rsidRPr="0076147B">
        <w:rPr>
          <w:b/>
          <w:sz w:val="18"/>
          <w:szCs w:val="18"/>
          <w:lang w:bidi="nl-NL"/>
        </w:rPr>
        <w:tab/>
        <w:t>Presentatie door de EU-coördinator voor terrorismebestrijding en bespreking</w:t>
      </w:r>
    </w:p>
    <w:p w:rsidR="0076147B" w:rsidP="0076147B" w:rsidRDefault="0076147B" w14:paraId="7BB072C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8" w:hanging="708"/>
        <w:rPr>
          <w:b/>
          <w:sz w:val="18"/>
          <w:szCs w:val="18"/>
          <w:lang w:bidi="nl-NL"/>
        </w:rPr>
      </w:pPr>
    </w:p>
    <w:p w:rsidR="0011021B" w:rsidP="0076147B" w:rsidRDefault="00B21BC4" w14:paraId="524C0796" w14:textId="2B356B3F">
      <w:pPr>
        <w:rPr>
          <w:rFonts w:ascii="Verdana" w:hAnsi="Verdana" w:eastAsia="Calibri"/>
          <w:color w:val="auto"/>
          <w:sz w:val="18"/>
          <w:szCs w:val="18"/>
        </w:rPr>
      </w:pPr>
      <w:r>
        <w:rPr>
          <w:rFonts w:ascii="Verdana" w:hAnsi="Verdana" w:eastAsia="Calibri"/>
          <w:color w:val="auto"/>
          <w:sz w:val="18"/>
          <w:szCs w:val="18"/>
        </w:rPr>
        <w:t xml:space="preserve">De heer De Kerchove, </w:t>
      </w:r>
      <w:r w:rsidRPr="0076147B">
        <w:rPr>
          <w:rFonts w:ascii="Verdana" w:hAnsi="Verdana" w:eastAsia="Calibri"/>
          <w:color w:val="auto"/>
          <w:sz w:val="18"/>
          <w:szCs w:val="18"/>
        </w:rPr>
        <w:t>EU</w:t>
      </w:r>
      <w:r>
        <w:rPr>
          <w:rFonts w:ascii="Verdana" w:hAnsi="Verdana" w:eastAsia="Calibri"/>
          <w:color w:val="auto"/>
          <w:sz w:val="18"/>
          <w:szCs w:val="18"/>
        </w:rPr>
        <w:t xml:space="preserve">-coördinator voor terrorismebestrijding (CTC) </w:t>
      </w:r>
      <w:r w:rsidR="0011021B">
        <w:rPr>
          <w:rFonts w:ascii="Verdana" w:hAnsi="Verdana" w:eastAsia="Calibri"/>
          <w:color w:val="auto"/>
          <w:sz w:val="18"/>
          <w:szCs w:val="18"/>
        </w:rPr>
        <w:t xml:space="preserve">gaf een toelichting op </w:t>
      </w:r>
      <w:r>
        <w:rPr>
          <w:rFonts w:ascii="Verdana" w:hAnsi="Verdana" w:eastAsia="Calibri"/>
          <w:color w:val="auto"/>
          <w:sz w:val="18"/>
          <w:szCs w:val="18"/>
        </w:rPr>
        <w:t>een p</w:t>
      </w:r>
      <w:r w:rsidRPr="00B21BC4">
        <w:rPr>
          <w:rFonts w:ascii="Verdana" w:hAnsi="Verdana" w:eastAsia="Calibri"/>
          <w:color w:val="auto"/>
          <w:sz w:val="18"/>
          <w:szCs w:val="18"/>
          <w:lang w:bidi="nl-NL"/>
        </w:rPr>
        <w:t xml:space="preserve">aper waarin </w:t>
      </w:r>
      <w:r w:rsidR="0011021B">
        <w:rPr>
          <w:rFonts w:ascii="Verdana" w:hAnsi="Verdana" w:eastAsia="Calibri"/>
          <w:color w:val="auto"/>
          <w:sz w:val="18"/>
          <w:szCs w:val="18"/>
          <w:lang w:bidi="nl-NL"/>
        </w:rPr>
        <w:t xml:space="preserve">– wat betreft de aanpak van jihadistische strijders en hun terugkeer in de EU </w:t>
      </w:r>
      <w:r w:rsidR="0014024F">
        <w:rPr>
          <w:rFonts w:ascii="Verdana" w:hAnsi="Verdana" w:eastAsia="Calibri"/>
          <w:color w:val="auto"/>
          <w:sz w:val="18"/>
          <w:szCs w:val="18"/>
          <w:lang w:bidi="nl-NL"/>
        </w:rPr>
        <w:t>–</w:t>
      </w:r>
      <w:r w:rsidR="0011021B">
        <w:rPr>
          <w:rFonts w:ascii="Verdana" w:hAnsi="Verdana" w:eastAsia="Calibri"/>
          <w:color w:val="auto"/>
          <w:sz w:val="18"/>
          <w:szCs w:val="18"/>
          <w:lang w:bidi="nl-NL"/>
        </w:rPr>
        <w:t xml:space="preserve"> </w:t>
      </w:r>
      <w:r w:rsidR="0014024F">
        <w:rPr>
          <w:rFonts w:ascii="Verdana" w:hAnsi="Verdana" w:eastAsia="Calibri"/>
          <w:color w:val="auto"/>
          <w:sz w:val="18"/>
          <w:szCs w:val="18"/>
          <w:lang w:bidi="nl-NL"/>
        </w:rPr>
        <w:t xml:space="preserve">vier </w:t>
      </w:r>
      <w:r w:rsidRPr="00B21BC4">
        <w:rPr>
          <w:rFonts w:ascii="Verdana" w:hAnsi="Verdana" w:eastAsia="Calibri"/>
          <w:color w:val="auto"/>
          <w:sz w:val="18"/>
          <w:szCs w:val="18"/>
          <w:lang w:bidi="nl-NL"/>
        </w:rPr>
        <w:t xml:space="preserve">prioritaire gebieden voor vervolgacties zijn voorgesteld (preventie, informatie uitwisseling en reisbewegingen, strafrechtelijk antwoord en samenwerking met </w:t>
      </w:r>
      <w:r>
        <w:rPr>
          <w:rFonts w:ascii="Verdana" w:hAnsi="Verdana" w:eastAsia="Calibri"/>
          <w:color w:val="auto"/>
          <w:sz w:val="18"/>
          <w:szCs w:val="18"/>
          <w:lang w:bidi="nl-NL"/>
        </w:rPr>
        <w:t>derde</w:t>
      </w:r>
      <w:r w:rsidRPr="00B21BC4">
        <w:rPr>
          <w:rFonts w:ascii="Verdana" w:hAnsi="Verdana" w:eastAsia="Calibri"/>
          <w:color w:val="auto"/>
          <w:sz w:val="18"/>
          <w:szCs w:val="18"/>
          <w:lang w:bidi="nl-NL"/>
        </w:rPr>
        <w:t xml:space="preserve"> landen)</w:t>
      </w:r>
      <w:r>
        <w:rPr>
          <w:rFonts w:ascii="Verdana" w:hAnsi="Verdana" w:eastAsia="Calibri"/>
          <w:color w:val="auto"/>
          <w:sz w:val="18"/>
          <w:szCs w:val="18"/>
          <w:lang w:bidi="nl-NL"/>
        </w:rPr>
        <w:t xml:space="preserve">. </w:t>
      </w:r>
      <w:r>
        <w:rPr>
          <w:rFonts w:ascii="Verdana" w:hAnsi="Verdana" w:eastAsia="Calibri"/>
          <w:color w:val="auto"/>
          <w:sz w:val="18"/>
          <w:szCs w:val="18"/>
        </w:rPr>
        <w:t xml:space="preserve">De </w:t>
      </w:r>
      <w:r w:rsidRPr="00B21BC4">
        <w:rPr>
          <w:rFonts w:ascii="Verdana" w:hAnsi="Verdana" w:eastAsia="Calibri"/>
          <w:color w:val="auto"/>
          <w:sz w:val="18"/>
          <w:szCs w:val="18"/>
        </w:rPr>
        <w:t>CTC verzo</w:t>
      </w:r>
      <w:r>
        <w:rPr>
          <w:rFonts w:ascii="Verdana" w:hAnsi="Verdana" w:eastAsia="Calibri"/>
          <w:color w:val="auto"/>
          <w:sz w:val="18"/>
          <w:szCs w:val="18"/>
        </w:rPr>
        <w:t xml:space="preserve">cht </w:t>
      </w:r>
      <w:r w:rsidRPr="00B21BC4">
        <w:rPr>
          <w:rFonts w:ascii="Verdana" w:hAnsi="Verdana" w:eastAsia="Calibri"/>
          <w:color w:val="auto"/>
          <w:sz w:val="18"/>
          <w:szCs w:val="18"/>
        </w:rPr>
        <w:t>om politieke steun voor de uitwerking van de door h</w:t>
      </w:r>
      <w:r w:rsidR="0011021B">
        <w:rPr>
          <w:rFonts w:ascii="Verdana" w:hAnsi="Verdana" w:eastAsia="Calibri"/>
          <w:color w:val="auto"/>
          <w:sz w:val="18"/>
          <w:szCs w:val="18"/>
        </w:rPr>
        <w:t xml:space="preserve">em voorgestelde vervolgstappen en lichtte de </w:t>
      </w:r>
      <w:r w:rsidR="0014024F">
        <w:rPr>
          <w:rFonts w:ascii="Verdana" w:hAnsi="Verdana" w:eastAsia="Calibri"/>
          <w:color w:val="auto"/>
          <w:sz w:val="18"/>
          <w:szCs w:val="18"/>
        </w:rPr>
        <w:t>vier</w:t>
      </w:r>
      <w:r w:rsidR="0011021B">
        <w:rPr>
          <w:rFonts w:ascii="Verdana" w:hAnsi="Verdana" w:eastAsia="Calibri"/>
          <w:color w:val="auto"/>
          <w:sz w:val="18"/>
          <w:szCs w:val="18"/>
        </w:rPr>
        <w:t xml:space="preserve"> gebieden kort toe.</w:t>
      </w:r>
    </w:p>
    <w:p w:rsidR="0011021B" w:rsidP="0076147B" w:rsidRDefault="0011021B" w14:paraId="49CBF9A1" w14:textId="18E8CB2D">
      <w:pPr>
        <w:rPr>
          <w:rFonts w:ascii="Verdana" w:hAnsi="Verdana" w:eastAsia="Calibri"/>
          <w:color w:val="auto"/>
          <w:sz w:val="18"/>
          <w:szCs w:val="18"/>
        </w:rPr>
      </w:pPr>
      <w:r>
        <w:rPr>
          <w:rFonts w:ascii="Verdana" w:hAnsi="Verdana" w:eastAsia="Calibri"/>
          <w:color w:val="auto"/>
          <w:sz w:val="18"/>
          <w:szCs w:val="18"/>
        </w:rPr>
        <w:t>Preventie: d</w:t>
      </w:r>
      <w:r w:rsidR="00B21BC4">
        <w:rPr>
          <w:rFonts w:ascii="Verdana" w:hAnsi="Verdana" w:eastAsia="Calibri"/>
          <w:color w:val="auto"/>
          <w:sz w:val="18"/>
          <w:szCs w:val="18"/>
        </w:rPr>
        <w:t xml:space="preserve">e </w:t>
      </w:r>
      <w:r w:rsidRPr="0076147B" w:rsidR="0076147B">
        <w:rPr>
          <w:rFonts w:ascii="Verdana" w:hAnsi="Verdana" w:eastAsia="Calibri"/>
          <w:color w:val="auto"/>
          <w:sz w:val="18"/>
          <w:szCs w:val="18"/>
        </w:rPr>
        <w:t xml:space="preserve">CTC </w:t>
      </w:r>
      <w:r>
        <w:rPr>
          <w:rFonts w:ascii="Verdana" w:hAnsi="Verdana" w:eastAsia="Calibri"/>
          <w:color w:val="auto"/>
          <w:sz w:val="18"/>
          <w:szCs w:val="18"/>
        </w:rPr>
        <w:t>v</w:t>
      </w:r>
      <w:r w:rsidRPr="0076147B" w:rsidR="0076147B">
        <w:rPr>
          <w:rFonts w:ascii="Verdana" w:hAnsi="Verdana" w:eastAsia="Calibri"/>
          <w:color w:val="auto"/>
          <w:sz w:val="18"/>
          <w:szCs w:val="18"/>
        </w:rPr>
        <w:t>erwe</w:t>
      </w:r>
      <w:r>
        <w:rPr>
          <w:rFonts w:ascii="Verdana" w:hAnsi="Verdana" w:eastAsia="Calibri"/>
          <w:color w:val="auto"/>
          <w:sz w:val="18"/>
          <w:szCs w:val="18"/>
        </w:rPr>
        <w:t xml:space="preserve">es </w:t>
      </w:r>
      <w:r w:rsidRPr="0076147B" w:rsidR="0076147B">
        <w:rPr>
          <w:rFonts w:ascii="Verdana" w:hAnsi="Verdana" w:eastAsia="Calibri"/>
          <w:color w:val="auto"/>
          <w:sz w:val="18"/>
          <w:szCs w:val="18"/>
        </w:rPr>
        <w:t xml:space="preserve">naar de activiteiten van </w:t>
      </w:r>
      <w:r w:rsidR="00B05607">
        <w:rPr>
          <w:rFonts w:ascii="Verdana" w:hAnsi="Verdana" w:eastAsia="Calibri"/>
          <w:color w:val="auto"/>
          <w:sz w:val="18"/>
          <w:szCs w:val="18"/>
        </w:rPr>
        <w:t xml:space="preserve">het </w:t>
      </w:r>
      <w:r w:rsidRPr="00B05607" w:rsidR="00B05607">
        <w:rPr>
          <w:rFonts w:ascii="Verdana" w:hAnsi="Verdana" w:eastAsia="Calibri"/>
          <w:bCs/>
          <w:color w:val="auto"/>
          <w:sz w:val="18"/>
          <w:szCs w:val="18"/>
        </w:rPr>
        <w:t>Radicalisation Awareness Network</w:t>
      </w:r>
      <w:r w:rsidRPr="00B05607" w:rsidR="00B05607">
        <w:rPr>
          <w:rFonts w:ascii="Verdana" w:hAnsi="Verdana" w:eastAsia="Calibri"/>
          <w:color w:val="auto"/>
          <w:sz w:val="18"/>
          <w:szCs w:val="18"/>
        </w:rPr>
        <w:t xml:space="preserve"> </w:t>
      </w:r>
      <w:r w:rsidRPr="0076147B" w:rsidR="0076147B">
        <w:rPr>
          <w:rFonts w:ascii="Verdana" w:hAnsi="Verdana" w:eastAsia="Calibri"/>
          <w:color w:val="auto"/>
          <w:sz w:val="18"/>
          <w:szCs w:val="18"/>
        </w:rPr>
        <w:t xml:space="preserve">en in het bijzonder de komende Cities Conferentie die eind  januari 2014 plaatsvindt in Den Haag. </w:t>
      </w:r>
    </w:p>
    <w:p w:rsidR="0011021B" w:rsidP="0076147B" w:rsidRDefault="005D478B" w14:paraId="31348429" w14:textId="1C845B2E">
      <w:pPr>
        <w:rPr>
          <w:rFonts w:ascii="Verdana" w:hAnsi="Verdana" w:eastAsia="Calibri"/>
          <w:color w:val="auto"/>
          <w:sz w:val="18"/>
          <w:szCs w:val="18"/>
        </w:rPr>
      </w:pPr>
      <w:r>
        <w:rPr>
          <w:rFonts w:ascii="Verdana" w:hAnsi="Verdana" w:eastAsia="Calibri"/>
          <w:color w:val="auto"/>
          <w:sz w:val="18"/>
          <w:szCs w:val="18"/>
        </w:rPr>
        <w:t>Wat betreft het m</w:t>
      </w:r>
      <w:r w:rsidRPr="0076147B" w:rsidR="0076147B">
        <w:rPr>
          <w:rFonts w:ascii="Verdana" w:hAnsi="Verdana" w:eastAsia="Calibri"/>
          <w:color w:val="auto"/>
          <w:sz w:val="18"/>
          <w:szCs w:val="18"/>
        </w:rPr>
        <w:t xml:space="preserve">onitoren </w:t>
      </w:r>
      <w:r>
        <w:rPr>
          <w:rFonts w:ascii="Verdana" w:hAnsi="Verdana" w:eastAsia="Calibri"/>
          <w:color w:val="auto"/>
          <w:sz w:val="18"/>
          <w:szCs w:val="18"/>
        </w:rPr>
        <w:t xml:space="preserve">van </w:t>
      </w:r>
      <w:r w:rsidRPr="0076147B" w:rsidR="0076147B">
        <w:rPr>
          <w:rFonts w:ascii="Verdana" w:hAnsi="Verdana" w:eastAsia="Calibri"/>
          <w:color w:val="auto"/>
          <w:sz w:val="18"/>
          <w:szCs w:val="18"/>
        </w:rPr>
        <w:t>reis dat</w:t>
      </w:r>
      <w:r>
        <w:rPr>
          <w:rFonts w:ascii="Verdana" w:hAnsi="Verdana" w:eastAsia="Calibri"/>
          <w:color w:val="auto"/>
          <w:sz w:val="18"/>
          <w:szCs w:val="18"/>
        </w:rPr>
        <w:t>, dit gaat om</w:t>
      </w:r>
      <w:r w:rsidR="0011021B">
        <w:rPr>
          <w:rFonts w:ascii="Verdana" w:hAnsi="Verdana" w:eastAsia="Calibri"/>
          <w:color w:val="auto"/>
          <w:sz w:val="18"/>
          <w:szCs w:val="18"/>
        </w:rPr>
        <w:t xml:space="preserve"> data van b</w:t>
      </w:r>
      <w:r w:rsidRPr="0076147B" w:rsidR="0076147B">
        <w:rPr>
          <w:rFonts w:ascii="Verdana" w:hAnsi="Verdana" w:eastAsia="Calibri"/>
          <w:color w:val="auto"/>
          <w:sz w:val="18"/>
          <w:szCs w:val="18"/>
        </w:rPr>
        <w:t xml:space="preserve">ekende </w:t>
      </w:r>
      <w:r w:rsidR="0011021B">
        <w:rPr>
          <w:rFonts w:ascii="Verdana" w:hAnsi="Verdana" w:eastAsia="Calibri"/>
          <w:color w:val="auto"/>
          <w:sz w:val="18"/>
          <w:szCs w:val="18"/>
        </w:rPr>
        <w:t xml:space="preserve">en </w:t>
      </w:r>
      <w:r w:rsidRPr="0076147B" w:rsidR="0076147B">
        <w:rPr>
          <w:rFonts w:ascii="Verdana" w:hAnsi="Verdana" w:eastAsia="Calibri"/>
          <w:color w:val="auto"/>
          <w:sz w:val="18"/>
          <w:szCs w:val="18"/>
        </w:rPr>
        <w:t>onbekende personen</w:t>
      </w:r>
      <w:r w:rsidR="0011021B">
        <w:rPr>
          <w:rFonts w:ascii="Verdana" w:hAnsi="Verdana" w:eastAsia="Calibri"/>
          <w:color w:val="auto"/>
          <w:sz w:val="18"/>
          <w:szCs w:val="18"/>
        </w:rPr>
        <w:t>. De</w:t>
      </w:r>
      <w:r w:rsidRPr="0076147B" w:rsidR="0076147B">
        <w:rPr>
          <w:rFonts w:ascii="Verdana" w:hAnsi="Verdana" w:eastAsia="Calibri"/>
          <w:color w:val="auto"/>
          <w:sz w:val="18"/>
          <w:szCs w:val="18"/>
        </w:rPr>
        <w:t xml:space="preserve"> CTC </w:t>
      </w:r>
      <w:r w:rsidR="0011021B">
        <w:rPr>
          <w:rFonts w:ascii="Verdana" w:hAnsi="Verdana" w:eastAsia="Calibri"/>
          <w:color w:val="auto"/>
          <w:sz w:val="18"/>
          <w:szCs w:val="18"/>
        </w:rPr>
        <w:t xml:space="preserve">gaf </w:t>
      </w:r>
      <w:r w:rsidRPr="0076147B" w:rsidR="0076147B">
        <w:rPr>
          <w:rFonts w:ascii="Verdana" w:hAnsi="Verdana" w:eastAsia="Calibri"/>
          <w:color w:val="auto"/>
          <w:sz w:val="18"/>
          <w:szCs w:val="18"/>
        </w:rPr>
        <w:t>aan niet te streven naar nieuwe systemen</w:t>
      </w:r>
      <w:r w:rsidR="0014024F">
        <w:rPr>
          <w:rFonts w:ascii="Verdana" w:hAnsi="Verdana" w:eastAsia="Calibri"/>
          <w:color w:val="auto"/>
          <w:sz w:val="18"/>
          <w:szCs w:val="18"/>
        </w:rPr>
        <w:t>,</w:t>
      </w:r>
      <w:r w:rsidRPr="0076147B" w:rsidR="0076147B">
        <w:rPr>
          <w:rFonts w:ascii="Verdana" w:hAnsi="Verdana" w:eastAsia="Calibri"/>
          <w:color w:val="auto"/>
          <w:sz w:val="18"/>
          <w:szCs w:val="18"/>
        </w:rPr>
        <w:t xml:space="preserve"> maar </w:t>
      </w:r>
      <w:r w:rsidR="0011021B">
        <w:rPr>
          <w:rFonts w:ascii="Verdana" w:hAnsi="Verdana" w:eastAsia="Calibri"/>
          <w:color w:val="auto"/>
          <w:sz w:val="18"/>
          <w:szCs w:val="18"/>
        </w:rPr>
        <w:t xml:space="preserve">stelt voor </w:t>
      </w:r>
      <w:r w:rsidRPr="0076147B" w:rsidR="0076147B">
        <w:rPr>
          <w:rFonts w:ascii="Verdana" w:hAnsi="Verdana" w:eastAsia="Calibri"/>
          <w:color w:val="auto"/>
          <w:sz w:val="18"/>
          <w:szCs w:val="18"/>
        </w:rPr>
        <w:t xml:space="preserve">te inventariseren welke systemen er al bestaan </w:t>
      </w:r>
      <w:r w:rsidR="0011021B">
        <w:rPr>
          <w:rFonts w:ascii="Verdana" w:hAnsi="Verdana" w:eastAsia="Calibri"/>
          <w:color w:val="auto"/>
          <w:sz w:val="18"/>
          <w:szCs w:val="18"/>
        </w:rPr>
        <w:t xml:space="preserve">opdat </w:t>
      </w:r>
      <w:r w:rsidRPr="0076147B" w:rsidR="0076147B">
        <w:rPr>
          <w:rFonts w:ascii="Verdana" w:hAnsi="Verdana" w:eastAsia="Calibri"/>
          <w:color w:val="auto"/>
          <w:sz w:val="18"/>
          <w:szCs w:val="18"/>
        </w:rPr>
        <w:t xml:space="preserve">deze beter </w:t>
      </w:r>
      <w:r w:rsidR="0011021B">
        <w:rPr>
          <w:rFonts w:ascii="Verdana" w:hAnsi="Verdana" w:eastAsia="Calibri"/>
          <w:color w:val="auto"/>
          <w:sz w:val="18"/>
          <w:szCs w:val="18"/>
        </w:rPr>
        <w:t xml:space="preserve">worden </w:t>
      </w:r>
      <w:r w:rsidRPr="0076147B" w:rsidR="0076147B">
        <w:rPr>
          <w:rFonts w:ascii="Verdana" w:hAnsi="Verdana" w:eastAsia="Calibri"/>
          <w:color w:val="auto"/>
          <w:sz w:val="18"/>
          <w:szCs w:val="18"/>
        </w:rPr>
        <w:t xml:space="preserve">benut. </w:t>
      </w:r>
    </w:p>
    <w:p w:rsidR="0011021B" w:rsidP="0076147B" w:rsidRDefault="0011021B" w14:paraId="46BED73C" w14:textId="3B601605">
      <w:pPr>
        <w:rPr>
          <w:rFonts w:ascii="Verdana" w:hAnsi="Verdana" w:eastAsia="Calibri"/>
          <w:color w:val="auto"/>
          <w:sz w:val="18"/>
          <w:szCs w:val="18"/>
        </w:rPr>
      </w:pPr>
      <w:r>
        <w:rPr>
          <w:rFonts w:ascii="Verdana" w:hAnsi="Verdana" w:eastAsia="Calibri"/>
          <w:color w:val="auto"/>
          <w:sz w:val="18"/>
          <w:szCs w:val="18"/>
        </w:rPr>
        <w:t>S</w:t>
      </w:r>
      <w:r w:rsidRPr="0076147B" w:rsidR="0076147B">
        <w:rPr>
          <w:rFonts w:ascii="Verdana" w:hAnsi="Verdana" w:eastAsia="Calibri"/>
          <w:color w:val="auto"/>
          <w:sz w:val="18"/>
          <w:szCs w:val="18"/>
        </w:rPr>
        <w:t>t</w:t>
      </w:r>
      <w:r>
        <w:rPr>
          <w:rFonts w:ascii="Verdana" w:hAnsi="Verdana" w:eastAsia="Calibri"/>
          <w:color w:val="auto"/>
          <w:sz w:val="18"/>
          <w:szCs w:val="18"/>
        </w:rPr>
        <w:t>r</w:t>
      </w:r>
      <w:r w:rsidRPr="0076147B" w:rsidR="0076147B">
        <w:rPr>
          <w:rFonts w:ascii="Verdana" w:hAnsi="Verdana" w:eastAsia="Calibri"/>
          <w:color w:val="auto"/>
          <w:sz w:val="18"/>
          <w:szCs w:val="18"/>
        </w:rPr>
        <w:t>afrechtelijk antwoord</w:t>
      </w:r>
      <w:r>
        <w:rPr>
          <w:rFonts w:ascii="Verdana" w:hAnsi="Verdana" w:eastAsia="Calibri"/>
          <w:color w:val="auto"/>
          <w:sz w:val="18"/>
          <w:szCs w:val="18"/>
        </w:rPr>
        <w:t xml:space="preserve">: de CTC heeft dit gebied op eigen initiatief aangewezen, </w:t>
      </w:r>
      <w:r w:rsidRPr="0076147B" w:rsidR="0076147B">
        <w:rPr>
          <w:rFonts w:ascii="Verdana" w:hAnsi="Verdana" w:eastAsia="Calibri"/>
          <w:color w:val="auto"/>
          <w:sz w:val="18"/>
          <w:szCs w:val="18"/>
        </w:rPr>
        <w:t>mede op basis van het recent verschenen Eurojust</w:t>
      </w:r>
      <w:r w:rsidR="0014024F">
        <w:rPr>
          <w:rFonts w:ascii="Verdana" w:hAnsi="Verdana" w:eastAsia="Calibri"/>
          <w:color w:val="auto"/>
          <w:sz w:val="18"/>
          <w:szCs w:val="18"/>
        </w:rPr>
        <w:t>-</w:t>
      </w:r>
      <w:r w:rsidRPr="0076147B" w:rsidR="0076147B">
        <w:rPr>
          <w:rFonts w:ascii="Verdana" w:hAnsi="Verdana" w:eastAsia="Calibri"/>
          <w:color w:val="auto"/>
          <w:sz w:val="18"/>
          <w:szCs w:val="18"/>
        </w:rPr>
        <w:t xml:space="preserve">rapport over foreign fighters. </w:t>
      </w:r>
    </w:p>
    <w:p w:rsidR="0076147B" w:rsidP="0076147B" w:rsidRDefault="0011021B" w14:paraId="2253F76F" w14:textId="77777777">
      <w:pPr>
        <w:rPr>
          <w:rFonts w:ascii="Verdana" w:hAnsi="Verdana" w:eastAsia="Calibri"/>
          <w:color w:val="auto"/>
          <w:sz w:val="18"/>
          <w:szCs w:val="18"/>
        </w:rPr>
      </w:pPr>
      <w:r>
        <w:rPr>
          <w:rFonts w:ascii="Verdana" w:hAnsi="Verdana" w:eastAsia="Calibri"/>
          <w:color w:val="auto"/>
          <w:sz w:val="18"/>
          <w:szCs w:val="18"/>
        </w:rPr>
        <w:t>S</w:t>
      </w:r>
      <w:r w:rsidRPr="0076147B" w:rsidR="0076147B">
        <w:rPr>
          <w:rFonts w:ascii="Verdana" w:hAnsi="Verdana" w:eastAsia="Calibri"/>
          <w:color w:val="auto"/>
          <w:sz w:val="18"/>
          <w:szCs w:val="18"/>
        </w:rPr>
        <w:t xml:space="preserve">amenwerking met </w:t>
      </w:r>
      <w:r>
        <w:rPr>
          <w:rFonts w:ascii="Verdana" w:hAnsi="Verdana" w:eastAsia="Calibri"/>
          <w:color w:val="auto"/>
          <w:sz w:val="18"/>
          <w:szCs w:val="18"/>
        </w:rPr>
        <w:t>derde</w:t>
      </w:r>
      <w:r w:rsidRPr="0076147B" w:rsidR="0076147B">
        <w:rPr>
          <w:rFonts w:ascii="Verdana" w:hAnsi="Verdana" w:eastAsia="Calibri"/>
          <w:color w:val="auto"/>
          <w:sz w:val="18"/>
          <w:szCs w:val="18"/>
        </w:rPr>
        <w:t xml:space="preserve"> landen</w:t>
      </w:r>
      <w:r>
        <w:rPr>
          <w:rFonts w:ascii="Verdana" w:hAnsi="Verdana" w:eastAsia="Calibri"/>
          <w:color w:val="auto"/>
          <w:sz w:val="18"/>
          <w:szCs w:val="18"/>
        </w:rPr>
        <w:t xml:space="preserve">: wat de CTC betreft </w:t>
      </w:r>
      <w:r w:rsidRPr="0076147B" w:rsidR="0076147B">
        <w:rPr>
          <w:rFonts w:ascii="Verdana" w:hAnsi="Verdana" w:eastAsia="Calibri"/>
          <w:color w:val="auto"/>
          <w:sz w:val="18"/>
          <w:szCs w:val="18"/>
        </w:rPr>
        <w:t>dient de nadruk te l</w:t>
      </w:r>
      <w:r>
        <w:rPr>
          <w:rFonts w:ascii="Verdana" w:hAnsi="Verdana" w:eastAsia="Calibri"/>
          <w:color w:val="auto"/>
          <w:sz w:val="18"/>
          <w:szCs w:val="18"/>
        </w:rPr>
        <w:t>i</w:t>
      </w:r>
      <w:r w:rsidRPr="0076147B" w:rsidR="0076147B">
        <w:rPr>
          <w:rFonts w:ascii="Verdana" w:hAnsi="Verdana" w:eastAsia="Calibri"/>
          <w:color w:val="auto"/>
          <w:sz w:val="18"/>
          <w:szCs w:val="18"/>
        </w:rPr>
        <w:t>ggen op ondersteuning van de opbouw van capaciteit.</w:t>
      </w:r>
    </w:p>
    <w:p w:rsidR="00F775D9" w:rsidP="0076147B" w:rsidRDefault="00F775D9" w14:paraId="0A48209D" w14:textId="77777777">
      <w:pPr>
        <w:rPr>
          <w:rFonts w:ascii="Verdana" w:hAnsi="Verdana" w:eastAsia="Calibri"/>
          <w:color w:val="auto"/>
          <w:sz w:val="18"/>
          <w:szCs w:val="18"/>
        </w:rPr>
      </w:pPr>
    </w:p>
    <w:p w:rsidRPr="0076147B" w:rsidR="00F775D9" w:rsidP="0076147B" w:rsidRDefault="00F775D9" w14:paraId="0C17DEDC" w14:textId="70399841">
      <w:pPr>
        <w:rPr>
          <w:rFonts w:ascii="Verdana" w:hAnsi="Verdana" w:eastAsia="Calibri"/>
          <w:color w:val="auto"/>
          <w:sz w:val="18"/>
          <w:szCs w:val="18"/>
        </w:rPr>
      </w:pPr>
      <w:r>
        <w:rPr>
          <w:rFonts w:ascii="Verdana" w:hAnsi="Verdana" w:eastAsia="Calibri"/>
          <w:color w:val="auto"/>
          <w:sz w:val="18"/>
          <w:szCs w:val="18"/>
        </w:rPr>
        <w:t xml:space="preserve">De </w:t>
      </w:r>
      <w:r w:rsidR="0014024F">
        <w:rPr>
          <w:rFonts w:ascii="Verdana" w:hAnsi="Verdana" w:eastAsia="Calibri"/>
          <w:color w:val="auto"/>
          <w:sz w:val="18"/>
          <w:szCs w:val="18"/>
        </w:rPr>
        <w:t>l</w:t>
      </w:r>
      <w:r>
        <w:rPr>
          <w:rFonts w:ascii="Verdana" w:hAnsi="Verdana" w:eastAsia="Calibri"/>
          <w:color w:val="auto"/>
          <w:sz w:val="18"/>
          <w:szCs w:val="18"/>
        </w:rPr>
        <w:t>idstaten steunden de benadering van de CTC.</w:t>
      </w:r>
    </w:p>
    <w:p w:rsidRPr="0076147B" w:rsidR="0076147B" w:rsidP="0076147B" w:rsidRDefault="0076147B" w14:paraId="0ACD5DC4" w14:textId="77777777">
      <w:pPr>
        <w:rPr>
          <w:rFonts w:ascii="Verdana" w:hAnsi="Verdana" w:eastAsia="Calibri"/>
          <w:color w:val="auto"/>
          <w:sz w:val="18"/>
          <w:szCs w:val="18"/>
        </w:rPr>
      </w:pPr>
    </w:p>
    <w:p w:rsidRPr="0076147B" w:rsidR="0076147B" w:rsidP="0076147B" w:rsidRDefault="0011021B" w14:paraId="0392D264" w14:textId="4F6E2F03">
      <w:pPr>
        <w:rPr>
          <w:rFonts w:ascii="Verdana" w:hAnsi="Verdana" w:eastAsia="Calibri"/>
          <w:color w:val="auto"/>
          <w:sz w:val="18"/>
          <w:szCs w:val="18"/>
        </w:rPr>
      </w:pPr>
      <w:r>
        <w:rPr>
          <w:rFonts w:ascii="Verdana" w:hAnsi="Verdana" w:eastAsia="Calibri"/>
          <w:color w:val="auto"/>
          <w:sz w:val="18"/>
          <w:szCs w:val="18"/>
        </w:rPr>
        <w:t>De Commissie gaf</w:t>
      </w:r>
      <w:r w:rsidRPr="0076147B" w:rsidR="0076147B">
        <w:rPr>
          <w:rFonts w:ascii="Verdana" w:hAnsi="Verdana" w:eastAsia="Calibri"/>
          <w:color w:val="auto"/>
          <w:sz w:val="18"/>
          <w:szCs w:val="18"/>
        </w:rPr>
        <w:t xml:space="preserve"> aan dat </w:t>
      </w:r>
      <w:r w:rsidR="001779F5">
        <w:rPr>
          <w:rFonts w:ascii="Verdana" w:hAnsi="Verdana" w:eastAsia="Calibri"/>
          <w:color w:val="auto"/>
          <w:sz w:val="18"/>
          <w:szCs w:val="18"/>
        </w:rPr>
        <w:t xml:space="preserve">de aanpak van </w:t>
      </w:r>
      <w:r w:rsidRPr="0076147B" w:rsidR="0076147B">
        <w:rPr>
          <w:rFonts w:ascii="Verdana" w:hAnsi="Verdana" w:eastAsia="Calibri"/>
          <w:color w:val="auto"/>
          <w:sz w:val="18"/>
          <w:szCs w:val="18"/>
        </w:rPr>
        <w:t>foreign fighters in beginsel een nationale (en lokale) aangelegenheid is</w:t>
      </w:r>
      <w:r w:rsidR="001779F5">
        <w:rPr>
          <w:rFonts w:ascii="Verdana" w:hAnsi="Verdana" w:eastAsia="Calibri"/>
          <w:color w:val="auto"/>
          <w:sz w:val="18"/>
          <w:szCs w:val="18"/>
        </w:rPr>
        <w:t>. Er dient echter oo</w:t>
      </w:r>
      <w:r w:rsidRPr="0076147B" w:rsidR="0076147B">
        <w:rPr>
          <w:rFonts w:ascii="Verdana" w:hAnsi="Verdana" w:eastAsia="Calibri"/>
          <w:color w:val="auto"/>
          <w:sz w:val="18"/>
          <w:szCs w:val="18"/>
        </w:rPr>
        <w:t xml:space="preserve">k aandacht </w:t>
      </w:r>
      <w:r w:rsidR="001779F5">
        <w:rPr>
          <w:rFonts w:ascii="Verdana" w:hAnsi="Verdana" w:eastAsia="Calibri"/>
          <w:color w:val="auto"/>
          <w:sz w:val="18"/>
          <w:szCs w:val="18"/>
        </w:rPr>
        <w:t xml:space="preserve">te zijn voor de </w:t>
      </w:r>
      <w:r w:rsidRPr="0076147B" w:rsidR="0076147B">
        <w:rPr>
          <w:rFonts w:ascii="Verdana" w:hAnsi="Verdana" w:eastAsia="Calibri"/>
          <w:color w:val="auto"/>
          <w:sz w:val="18"/>
          <w:szCs w:val="18"/>
        </w:rPr>
        <w:t>mogelijk toegevoegde waarde van EU inspanningen</w:t>
      </w:r>
      <w:r w:rsidR="001779F5">
        <w:rPr>
          <w:rFonts w:ascii="Verdana" w:hAnsi="Verdana" w:eastAsia="Calibri"/>
          <w:color w:val="auto"/>
          <w:sz w:val="18"/>
          <w:szCs w:val="18"/>
        </w:rPr>
        <w:t>. De Commissie gaf daartoe een</w:t>
      </w:r>
      <w:r w:rsidRPr="0076147B" w:rsidR="0076147B">
        <w:rPr>
          <w:rFonts w:ascii="Verdana" w:hAnsi="Verdana" w:eastAsia="Calibri"/>
          <w:color w:val="auto"/>
          <w:sz w:val="18"/>
          <w:szCs w:val="18"/>
        </w:rPr>
        <w:t xml:space="preserve"> overzicht van de activiteiten</w:t>
      </w:r>
      <w:r w:rsidR="001779F5">
        <w:rPr>
          <w:rFonts w:ascii="Verdana" w:hAnsi="Verdana" w:eastAsia="Calibri"/>
          <w:color w:val="auto"/>
          <w:sz w:val="18"/>
          <w:szCs w:val="18"/>
        </w:rPr>
        <w:t xml:space="preserve"> van de Commissie</w:t>
      </w:r>
      <w:r w:rsidRPr="0076147B" w:rsidR="0076147B">
        <w:rPr>
          <w:rFonts w:ascii="Verdana" w:hAnsi="Verdana" w:eastAsia="Calibri"/>
          <w:color w:val="auto"/>
          <w:sz w:val="18"/>
          <w:szCs w:val="18"/>
        </w:rPr>
        <w:t>.</w:t>
      </w:r>
      <w:r w:rsidRPr="00E1629A" w:rsidR="00E1629A">
        <w:rPr>
          <w:rFonts w:ascii="Verdana" w:hAnsi="Verdana" w:eastAsia="Calibri"/>
          <w:color w:val="auto"/>
          <w:sz w:val="18"/>
          <w:szCs w:val="18"/>
        </w:rPr>
        <w:t xml:space="preserve"> </w:t>
      </w:r>
      <w:r w:rsidR="00E1629A">
        <w:rPr>
          <w:rFonts w:ascii="Verdana" w:hAnsi="Verdana" w:eastAsia="Calibri"/>
          <w:color w:val="auto"/>
          <w:sz w:val="18"/>
          <w:szCs w:val="18"/>
        </w:rPr>
        <w:t>Enkele van die activiteiten zijn de ontwikkeling van een Radicalisering &amp; Recruitement programma dat naar verwachting eind januari 2014 gereed is en de eind januari 2014 te organiseren Cities Conference</w:t>
      </w:r>
      <w:r w:rsidR="001779F5">
        <w:rPr>
          <w:rFonts w:ascii="Verdana" w:hAnsi="Verdana" w:eastAsia="Calibri"/>
          <w:color w:val="auto"/>
          <w:sz w:val="18"/>
          <w:szCs w:val="18"/>
        </w:rPr>
        <w:t>,</w:t>
      </w:r>
      <w:r w:rsidRPr="0076147B" w:rsidR="0076147B">
        <w:rPr>
          <w:rFonts w:ascii="Verdana" w:hAnsi="Verdana" w:eastAsia="Calibri"/>
          <w:color w:val="auto"/>
          <w:sz w:val="18"/>
          <w:szCs w:val="18"/>
        </w:rPr>
        <w:t xml:space="preserve"> die bedoeld is om best practices uit te wisselen om vertrek </w:t>
      </w:r>
      <w:r w:rsidR="001779F5">
        <w:rPr>
          <w:rFonts w:ascii="Verdana" w:hAnsi="Verdana" w:eastAsia="Calibri"/>
          <w:color w:val="auto"/>
          <w:sz w:val="18"/>
          <w:szCs w:val="18"/>
        </w:rPr>
        <w:t xml:space="preserve">van jihadistische strijders vanuit de EU </w:t>
      </w:r>
      <w:r w:rsidRPr="0076147B" w:rsidR="0076147B">
        <w:rPr>
          <w:rFonts w:ascii="Verdana" w:hAnsi="Verdana" w:eastAsia="Calibri"/>
          <w:color w:val="auto"/>
          <w:sz w:val="18"/>
          <w:szCs w:val="18"/>
        </w:rPr>
        <w:t xml:space="preserve">tegen te gaan. PNR en API data zijn nodig om foreign fighters te detecteren. </w:t>
      </w:r>
      <w:r w:rsidR="001779F5">
        <w:rPr>
          <w:rFonts w:ascii="Verdana" w:hAnsi="Verdana" w:eastAsia="Calibri"/>
          <w:color w:val="auto"/>
          <w:sz w:val="18"/>
          <w:szCs w:val="18"/>
        </w:rPr>
        <w:t>Wat de Commissie betreft kan o</w:t>
      </w:r>
      <w:r w:rsidRPr="0076147B" w:rsidR="0076147B">
        <w:rPr>
          <w:rFonts w:ascii="Verdana" w:hAnsi="Verdana" w:eastAsia="Calibri"/>
          <w:color w:val="auto"/>
          <w:sz w:val="18"/>
          <w:szCs w:val="18"/>
        </w:rPr>
        <w:t xml:space="preserve">ok TFTP data hiervoor aangewend worden. </w:t>
      </w:r>
      <w:r w:rsidR="001779F5">
        <w:rPr>
          <w:rFonts w:ascii="Verdana" w:hAnsi="Verdana" w:eastAsia="Calibri"/>
          <w:color w:val="auto"/>
          <w:sz w:val="18"/>
          <w:szCs w:val="18"/>
        </w:rPr>
        <w:t>Tot slot benadrukte de Commissie dat het n</w:t>
      </w:r>
      <w:r w:rsidRPr="0076147B" w:rsidR="0076147B">
        <w:rPr>
          <w:rFonts w:ascii="Verdana" w:hAnsi="Verdana" w:eastAsia="Calibri"/>
          <w:color w:val="auto"/>
          <w:sz w:val="18"/>
          <w:szCs w:val="18"/>
        </w:rPr>
        <w:t xml:space="preserve">odig is dat SIS II beter gebruikt gaat worden. </w:t>
      </w:r>
    </w:p>
    <w:p w:rsidRPr="0076147B" w:rsidR="0076147B" w:rsidP="0076147B" w:rsidRDefault="0076147B" w14:paraId="329E03EC" w14:textId="77777777">
      <w:pPr>
        <w:rPr>
          <w:rFonts w:ascii="Verdana" w:hAnsi="Verdana" w:eastAsia="Calibri"/>
          <w:color w:val="auto"/>
          <w:sz w:val="18"/>
          <w:szCs w:val="18"/>
        </w:rPr>
      </w:pPr>
    </w:p>
    <w:p w:rsidRPr="0076147B" w:rsidR="0076147B" w:rsidP="0076147B" w:rsidRDefault="005E5A70" w14:paraId="7309340C" w14:textId="77777777">
      <w:pPr>
        <w:rPr>
          <w:rFonts w:ascii="Verdana" w:hAnsi="Verdana" w:eastAsia="Calibri"/>
          <w:color w:val="auto"/>
          <w:sz w:val="18"/>
          <w:szCs w:val="18"/>
        </w:rPr>
      </w:pPr>
      <w:r>
        <w:rPr>
          <w:rFonts w:ascii="Verdana" w:hAnsi="Verdana" w:eastAsia="Calibri"/>
          <w:color w:val="auto"/>
          <w:sz w:val="18"/>
          <w:szCs w:val="18"/>
        </w:rPr>
        <w:t>De Externe Dienst van de EU (EDEO)</w:t>
      </w:r>
      <w:r w:rsidRPr="0076147B" w:rsidR="0076147B">
        <w:rPr>
          <w:rFonts w:ascii="Verdana" w:hAnsi="Verdana" w:eastAsia="Calibri"/>
          <w:color w:val="auto"/>
          <w:sz w:val="18"/>
          <w:szCs w:val="18"/>
        </w:rPr>
        <w:t xml:space="preserve"> benadrukt</w:t>
      </w:r>
      <w:r>
        <w:rPr>
          <w:rFonts w:ascii="Verdana" w:hAnsi="Verdana" w:eastAsia="Calibri"/>
          <w:color w:val="auto"/>
          <w:sz w:val="18"/>
          <w:szCs w:val="18"/>
        </w:rPr>
        <w:t>e</w:t>
      </w:r>
      <w:r w:rsidRPr="0076147B" w:rsidR="0076147B">
        <w:rPr>
          <w:rFonts w:ascii="Verdana" w:hAnsi="Verdana" w:eastAsia="Calibri"/>
          <w:color w:val="auto"/>
          <w:sz w:val="18"/>
          <w:szCs w:val="18"/>
        </w:rPr>
        <w:t xml:space="preserve"> het belang van de link tussen externe en interne veiligheid</w:t>
      </w:r>
      <w:r w:rsidR="00F775D9">
        <w:rPr>
          <w:rFonts w:ascii="Verdana" w:hAnsi="Verdana" w:eastAsia="Calibri"/>
          <w:color w:val="auto"/>
          <w:sz w:val="18"/>
          <w:szCs w:val="18"/>
        </w:rPr>
        <w:t xml:space="preserve"> en wees</w:t>
      </w:r>
      <w:r w:rsidRPr="0076147B" w:rsidR="0076147B">
        <w:rPr>
          <w:rFonts w:ascii="Verdana" w:hAnsi="Verdana" w:eastAsia="Calibri"/>
          <w:color w:val="auto"/>
          <w:sz w:val="18"/>
          <w:szCs w:val="18"/>
        </w:rPr>
        <w:t xml:space="preserve"> erop dat onderscheid gemaakt moet worden tussen personen die naar de strijdgebieden afreizen vanuit louter humanitaire overwegingen en personen die vertrekken om deel te nemen aan de (gewapende) strijd. </w:t>
      </w:r>
      <w:r w:rsidR="00F775D9">
        <w:rPr>
          <w:rFonts w:ascii="Verdana" w:hAnsi="Verdana" w:eastAsia="Calibri"/>
          <w:color w:val="auto"/>
          <w:sz w:val="18"/>
          <w:szCs w:val="18"/>
        </w:rPr>
        <w:t xml:space="preserve">Naast Syrië, dient er ook aandacht te zijn </w:t>
      </w:r>
      <w:r w:rsidRPr="0076147B" w:rsidR="0076147B">
        <w:rPr>
          <w:rFonts w:ascii="Verdana" w:hAnsi="Verdana" w:eastAsia="Calibri"/>
          <w:color w:val="auto"/>
          <w:sz w:val="18"/>
          <w:szCs w:val="18"/>
        </w:rPr>
        <w:t xml:space="preserve">voor landen als Irak en Libanon. </w:t>
      </w:r>
      <w:r w:rsidR="00F775D9">
        <w:rPr>
          <w:rFonts w:ascii="Verdana" w:hAnsi="Verdana" w:eastAsia="Calibri"/>
          <w:color w:val="auto"/>
          <w:sz w:val="18"/>
          <w:szCs w:val="18"/>
        </w:rPr>
        <w:t xml:space="preserve">EDEO gaf aan </w:t>
      </w:r>
      <w:r w:rsidRPr="0076147B" w:rsidR="0076147B">
        <w:rPr>
          <w:rFonts w:ascii="Verdana" w:hAnsi="Verdana" w:eastAsia="Calibri"/>
          <w:color w:val="auto"/>
          <w:sz w:val="18"/>
          <w:szCs w:val="18"/>
        </w:rPr>
        <w:t xml:space="preserve">de nadruk op preventie </w:t>
      </w:r>
      <w:r w:rsidR="00F775D9">
        <w:rPr>
          <w:rFonts w:ascii="Verdana" w:hAnsi="Verdana" w:eastAsia="Calibri"/>
          <w:color w:val="auto"/>
          <w:sz w:val="18"/>
          <w:szCs w:val="18"/>
        </w:rPr>
        <w:t>te steunen</w:t>
      </w:r>
      <w:r w:rsidRPr="0076147B" w:rsidR="0076147B">
        <w:rPr>
          <w:rFonts w:ascii="Verdana" w:hAnsi="Verdana" w:eastAsia="Calibri"/>
          <w:color w:val="auto"/>
          <w:sz w:val="18"/>
          <w:szCs w:val="18"/>
        </w:rPr>
        <w:t>.</w:t>
      </w:r>
    </w:p>
    <w:p w:rsidRPr="0076147B" w:rsidR="0076147B" w:rsidP="0076147B" w:rsidRDefault="0076147B" w14:paraId="431E9CD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8" w:hanging="708"/>
        <w:rPr>
          <w:sz w:val="18"/>
          <w:szCs w:val="18"/>
        </w:rPr>
      </w:pPr>
    </w:p>
    <w:p w:rsidRPr="00F775D9" w:rsidR="0076147B" w:rsidP="0076147B" w:rsidRDefault="00EF25ED" w14:paraId="08745800" w14:textId="1ECAC5C5">
      <w:pPr>
        <w:pStyle w:val="PointManual"/>
        <w:spacing w:before="240"/>
        <w:ind w:left="0" w:firstLine="0"/>
        <w:rPr>
          <w:rFonts w:ascii="Verdana" w:hAnsi="Verdana"/>
          <w:b/>
          <w:sz w:val="18"/>
          <w:szCs w:val="18"/>
        </w:rPr>
      </w:pPr>
      <w:r>
        <w:rPr>
          <w:rFonts w:ascii="Verdana" w:hAnsi="Verdana"/>
          <w:b/>
          <w:sz w:val="18"/>
          <w:szCs w:val="18"/>
        </w:rPr>
        <w:t>8</w:t>
      </w:r>
      <w:r w:rsidRPr="00F775D9" w:rsidR="0076147B">
        <w:rPr>
          <w:rFonts w:ascii="Verdana" w:hAnsi="Verdana"/>
          <w:b/>
          <w:sz w:val="18"/>
          <w:szCs w:val="18"/>
        </w:rPr>
        <w:t xml:space="preserve">. </w:t>
      </w:r>
      <w:r w:rsidR="00F775D9">
        <w:rPr>
          <w:rFonts w:ascii="Verdana" w:hAnsi="Verdana"/>
          <w:b/>
          <w:sz w:val="18"/>
          <w:szCs w:val="18"/>
        </w:rPr>
        <w:tab/>
      </w:r>
      <w:r w:rsidRPr="00F775D9" w:rsidR="0076147B">
        <w:rPr>
          <w:rFonts w:ascii="Verdana" w:hAnsi="Verdana"/>
          <w:b/>
          <w:sz w:val="18"/>
          <w:szCs w:val="18"/>
        </w:rPr>
        <w:t>Diversen</w:t>
      </w:r>
    </w:p>
    <w:p w:rsidRPr="00F775D9" w:rsidR="0076147B" w:rsidP="00F775D9" w:rsidRDefault="0076147B" w14:paraId="7260B4B0" w14:textId="77777777">
      <w:pPr>
        <w:pStyle w:val="PointManual1"/>
        <w:ind w:left="720" w:firstLine="0"/>
        <w:rPr>
          <w:rFonts w:ascii="Verdana" w:hAnsi="Verdana"/>
          <w:sz w:val="18"/>
          <w:szCs w:val="18"/>
        </w:rPr>
      </w:pPr>
      <w:r w:rsidRPr="00F775D9">
        <w:rPr>
          <w:rFonts w:ascii="Verdana" w:hAnsi="Verdana"/>
          <w:b/>
          <w:sz w:val="18"/>
          <w:szCs w:val="18"/>
        </w:rPr>
        <w:t>-</w:t>
      </w:r>
      <w:r w:rsidRPr="00F775D9">
        <w:rPr>
          <w:rFonts w:ascii="Verdana" w:hAnsi="Verdana"/>
          <w:b/>
          <w:sz w:val="18"/>
          <w:szCs w:val="18"/>
        </w:rPr>
        <w:tab/>
        <w:t>Resultaten van de ministeriële bijeenkomst EU-VS inzake JBZ</w:t>
      </w:r>
      <w:r w:rsidRPr="00F775D9">
        <w:rPr>
          <w:rFonts w:ascii="Verdana" w:hAnsi="Verdana"/>
          <w:sz w:val="18"/>
          <w:szCs w:val="18"/>
        </w:rPr>
        <w:t xml:space="preserve"> </w:t>
      </w:r>
    </w:p>
    <w:p w:rsidRPr="00F775D9" w:rsidR="0076147B" w:rsidP="0076147B" w:rsidRDefault="00F775D9" w14:paraId="0300C91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rPr>
      </w:pPr>
      <w:r>
        <w:rPr>
          <w:sz w:val="18"/>
          <w:szCs w:val="18"/>
        </w:rPr>
        <w:tab/>
      </w:r>
      <w:r w:rsidRPr="00F775D9" w:rsidR="0076147B">
        <w:rPr>
          <w:b/>
          <w:sz w:val="18"/>
          <w:szCs w:val="18"/>
        </w:rPr>
        <w:t>=</w:t>
      </w:r>
      <w:r w:rsidRPr="00F775D9" w:rsidR="0076147B">
        <w:rPr>
          <w:b/>
          <w:sz w:val="18"/>
          <w:szCs w:val="18"/>
        </w:rPr>
        <w:tab/>
        <w:t>Informatie van het voorzitterschap</w:t>
      </w:r>
    </w:p>
    <w:p w:rsidR="0076147B" w:rsidP="0076147B" w:rsidRDefault="0076147B" w14:paraId="502F224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Pr="00F775D9" w:rsidR="00F775D9" w:rsidP="00F775D9" w:rsidRDefault="006413AA" w14:paraId="3B434DCC" w14:textId="6C92D8AB">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Pr>
          <w:sz w:val="18"/>
          <w:szCs w:val="18"/>
        </w:rPr>
        <w:t xml:space="preserve">Het Voorzitterschap gaf een toelichting op de </w:t>
      </w:r>
      <w:r w:rsidRPr="00F775D9">
        <w:rPr>
          <w:sz w:val="18"/>
          <w:szCs w:val="18"/>
        </w:rPr>
        <w:t>EU</w:t>
      </w:r>
      <w:r w:rsidR="0091717C">
        <w:rPr>
          <w:sz w:val="18"/>
          <w:szCs w:val="18"/>
        </w:rPr>
        <w:t>-</w:t>
      </w:r>
      <w:r w:rsidRPr="00F775D9">
        <w:rPr>
          <w:sz w:val="18"/>
          <w:szCs w:val="18"/>
        </w:rPr>
        <w:t>VS JBZ Ministeriële bijeenkomst van 18 november 2013</w:t>
      </w:r>
      <w:r w:rsidRPr="00F775D9" w:rsidR="00F775D9">
        <w:rPr>
          <w:sz w:val="18"/>
          <w:szCs w:val="18"/>
        </w:rPr>
        <w:t>. Surveillance en intelligence stonden hoog op de agenda</w:t>
      </w:r>
      <w:r>
        <w:rPr>
          <w:sz w:val="18"/>
          <w:szCs w:val="18"/>
        </w:rPr>
        <w:t xml:space="preserve"> en ook </w:t>
      </w:r>
      <w:r w:rsidRPr="00F775D9" w:rsidR="00F775D9">
        <w:rPr>
          <w:sz w:val="18"/>
          <w:szCs w:val="18"/>
        </w:rPr>
        <w:t>de</w:t>
      </w:r>
      <w:r>
        <w:rPr>
          <w:sz w:val="18"/>
          <w:szCs w:val="18"/>
        </w:rPr>
        <w:t xml:space="preserve"> v</w:t>
      </w:r>
      <w:r w:rsidRPr="00F775D9" w:rsidR="00F775D9">
        <w:rPr>
          <w:sz w:val="18"/>
          <w:szCs w:val="18"/>
        </w:rPr>
        <w:t xml:space="preserve">oortzetting van de samenwerking op het terrein van dataprotectie </w:t>
      </w:r>
      <w:r>
        <w:rPr>
          <w:sz w:val="18"/>
          <w:szCs w:val="18"/>
        </w:rPr>
        <w:t xml:space="preserve">is </w:t>
      </w:r>
      <w:r w:rsidRPr="00F775D9" w:rsidR="00F775D9">
        <w:rPr>
          <w:sz w:val="18"/>
          <w:szCs w:val="18"/>
        </w:rPr>
        <w:t>noodzakelijk.</w:t>
      </w:r>
    </w:p>
    <w:p w:rsidRPr="00F775D9" w:rsidR="00F775D9" w:rsidP="00F775D9" w:rsidRDefault="00F775D9" w14:paraId="200C5E9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Pr="00F775D9" w:rsidR="00F775D9" w:rsidP="00F775D9" w:rsidRDefault="00F775D9" w14:paraId="15953AF2" w14:textId="24A4C9A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sidRPr="00F775D9">
        <w:rPr>
          <w:sz w:val="18"/>
          <w:szCs w:val="18"/>
        </w:rPr>
        <w:t>Commissaris Malmstr</w:t>
      </w:r>
      <w:r w:rsidR="006413AA">
        <w:rPr>
          <w:sz w:val="18"/>
          <w:szCs w:val="18"/>
        </w:rPr>
        <w:t>ö</w:t>
      </w:r>
      <w:r w:rsidRPr="00F775D9">
        <w:rPr>
          <w:sz w:val="18"/>
          <w:szCs w:val="18"/>
        </w:rPr>
        <w:t xml:space="preserve">m </w:t>
      </w:r>
      <w:r w:rsidR="006413AA">
        <w:rPr>
          <w:sz w:val="18"/>
          <w:szCs w:val="18"/>
        </w:rPr>
        <w:t>vulde aan dat</w:t>
      </w:r>
      <w:r w:rsidRPr="00F775D9">
        <w:rPr>
          <w:sz w:val="18"/>
          <w:szCs w:val="18"/>
        </w:rPr>
        <w:t xml:space="preserve"> het noodzakelijk is dat het vertrouwen tussen EU en VS wordt hersteld. </w:t>
      </w:r>
      <w:r w:rsidR="006413AA">
        <w:rPr>
          <w:sz w:val="18"/>
          <w:szCs w:val="18"/>
        </w:rPr>
        <w:t xml:space="preserve">Een </w:t>
      </w:r>
      <w:r w:rsidRPr="00F775D9">
        <w:rPr>
          <w:sz w:val="18"/>
          <w:szCs w:val="18"/>
        </w:rPr>
        <w:t>ad-hoc EU</w:t>
      </w:r>
      <w:r w:rsidR="0091717C">
        <w:rPr>
          <w:sz w:val="18"/>
          <w:szCs w:val="18"/>
        </w:rPr>
        <w:t>-</w:t>
      </w:r>
      <w:r w:rsidRPr="00F775D9">
        <w:rPr>
          <w:sz w:val="18"/>
          <w:szCs w:val="18"/>
        </w:rPr>
        <w:t xml:space="preserve">VS Werkgroep </w:t>
      </w:r>
      <w:r w:rsidR="006413AA">
        <w:rPr>
          <w:sz w:val="18"/>
          <w:szCs w:val="18"/>
        </w:rPr>
        <w:t xml:space="preserve">is daar mee bezig, </w:t>
      </w:r>
      <w:r w:rsidRPr="00F775D9">
        <w:rPr>
          <w:sz w:val="18"/>
          <w:szCs w:val="18"/>
        </w:rPr>
        <w:t>n</w:t>
      </w:r>
      <w:r w:rsidR="006413AA">
        <w:rPr>
          <w:sz w:val="18"/>
          <w:szCs w:val="18"/>
        </w:rPr>
        <w:t>aar aanleiding van d</w:t>
      </w:r>
      <w:r w:rsidRPr="00F775D9">
        <w:rPr>
          <w:sz w:val="18"/>
          <w:szCs w:val="18"/>
        </w:rPr>
        <w:t>e PRISM</w:t>
      </w:r>
      <w:r w:rsidR="0091717C">
        <w:rPr>
          <w:sz w:val="18"/>
          <w:szCs w:val="18"/>
        </w:rPr>
        <w:t>-</w:t>
      </w:r>
      <w:r w:rsidR="006413AA">
        <w:rPr>
          <w:sz w:val="18"/>
          <w:szCs w:val="18"/>
        </w:rPr>
        <w:t>affaire</w:t>
      </w:r>
      <w:r w:rsidRPr="00F775D9">
        <w:rPr>
          <w:sz w:val="18"/>
          <w:szCs w:val="18"/>
        </w:rPr>
        <w:t>. Inzet is en blijft dat ook de data van EU</w:t>
      </w:r>
      <w:r w:rsidR="0091717C">
        <w:rPr>
          <w:sz w:val="18"/>
          <w:szCs w:val="18"/>
        </w:rPr>
        <w:t>-</w:t>
      </w:r>
      <w:r w:rsidRPr="00F775D9">
        <w:rPr>
          <w:sz w:val="18"/>
          <w:szCs w:val="18"/>
        </w:rPr>
        <w:t>burgers onder dezelfde waarborgen vallen als die van VS</w:t>
      </w:r>
      <w:r w:rsidR="0091717C">
        <w:rPr>
          <w:sz w:val="18"/>
          <w:szCs w:val="18"/>
        </w:rPr>
        <w:t>-</w:t>
      </w:r>
      <w:r w:rsidRPr="00F775D9">
        <w:rPr>
          <w:sz w:val="18"/>
          <w:szCs w:val="18"/>
        </w:rPr>
        <w:t xml:space="preserve">burgers. Ook is afgesproken de </w:t>
      </w:r>
      <w:r w:rsidR="006413AA">
        <w:rPr>
          <w:sz w:val="18"/>
          <w:szCs w:val="18"/>
        </w:rPr>
        <w:t>“</w:t>
      </w:r>
      <w:r w:rsidRPr="00F775D9">
        <w:rPr>
          <w:sz w:val="18"/>
          <w:szCs w:val="18"/>
        </w:rPr>
        <w:t>Safe Harbo</w:t>
      </w:r>
      <w:r w:rsidR="006413AA">
        <w:rPr>
          <w:sz w:val="18"/>
          <w:szCs w:val="18"/>
        </w:rPr>
        <w:t>u</w:t>
      </w:r>
      <w:r w:rsidRPr="00F775D9">
        <w:rPr>
          <w:sz w:val="18"/>
          <w:szCs w:val="18"/>
        </w:rPr>
        <w:t>r</w:t>
      </w:r>
      <w:r w:rsidR="006413AA">
        <w:rPr>
          <w:sz w:val="18"/>
          <w:szCs w:val="18"/>
        </w:rPr>
        <w:t xml:space="preserve">” </w:t>
      </w:r>
      <w:r w:rsidRPr="00F775D9">
        <w:rPr>
          <w:sz w:val="18"/>
          <w:szCs w:val="18"/>
        </w:rPr>
        <w:t xml:space="preserve"> uitgangspunten te herzien</w:t>
      </w:r>
      <w:r w:rsidR="006413AA">
        <w:rPr>
          <w:sz w:val="18"/>
          <w:szCs w:val="18"/>
        </w:rPr>
        <w:t xml:space="preserve">. Er moet zo </w:t>
      </w:r>
      <w:r w:rsidRPr="00F775D9">
        <w:rPr>
          <w:sz w:val="18"/>
          <w:szCs w:val="18"/>
        </w:rPr>
        <w:t xml:space="preserve">spoedig mogelijk </w:t>
      </w:r>
      <w:r w:rsidR="006413AA">
        <w:rPr>
          <w:sz w:val="18"/>
          <w:szCs w:val="18"/>
        </w:rPr>
        <w:t>worden ge</w:t>
      </w:r>
      <w:r w:rsidRPr="00F775D9">
        <w:rPr>
          <w:sz w:val="18"/>
          <w:szCs w:val="18"/>
        </w:rPr>
        <w:t>komen tot een afronding van de EU</w:t>
      </w:r>
      <w:r w:rsidR="0091717C">
        <w:rPr>
          <w:sz w:val="18"/>
          <w:szCs w:val="18"/>
        </w:rPr>
        <w:t>-</w:t>
      </w:r>
      <w:r w:rsidRPr="00F775D9">
        <w:rPr>
          <w:sz w:val="18"/>
          <w:szCs w:val="18"/>
        </w:rPr>
        <w:t>VS ‘</w:t>
      </w:r>
      <w:r w:rsidR="00B05607">
        <w:rPr>
          <w:sz w:val="18"/>
          <w:szCs w:val="18"/>
        </w:rPr>
        <w:t>paraplu</w:t>
      </w:r>
      <w:r w:rsidRPr="00F775D9">
        <w:rPr>
          <w:sz w:val="18"/>
          <w:szCs w:val="18"/>
        </w:rPr>
        <w:t>’ overeenkomst</w:t>
      </w:r>
      <w:r w:rsidR="00B05607">
        <w:rPr>
          <w:sz w:val="18"/>
          <w:szCs w:val="18"/>
        </w:rPr>
        <w:t xml:space="preserve"> betreffende gegevensbescherming</w:t>
      </w:r>
      <w:r w:rsidRPr="00F775D9">
        <w:rPr>
          <w:sz w:val="18"/>
          <w:szCs w:val="18"/>
        </w:rPr>
        <w:t xml:space="preserve">. </w:t>
      </w:r>
    </w:p>
    <w:p w:rsidRPr="00F775D9" w:rsidR="00F775D9" w:rsidP="00F775D9" w:rsidRDefault="00F775D9" w14:paraId="19030DF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Pr="0076147B" w:rsidR="0076147B" w:rsidP="0076147B" w:rsidRDefault="00F775D9" w14:paraId="253B6B1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rPr>
      </w:pPr>
      <w:r w:rsidRPr="00F775D9">
        <w:rPr>
          <w:sz w:val="18"/>
          <w:szCs w:val="18"/>
        </w:rPr>
        <w:t xml:space="preserve">Commissaris </w:t>
      </w:r>
      <w:r w:rsidR="006413AA">
        <w:rPr>
          <w:sz w:val="18"/>
          <w:szCs w:val="18"/>
        </w:rPr>
        <w:t xml:space="preserve">Malmström </w:t>
      </w:r>
      <w:r w:rsidRPr="00F775D9">
        <w:rPr>
          <w:sz w:val="18"/>
          <w:szCs w:val="18"/>
        </w:rPr>
        <w:t>deel</w:t>
      </w:r>
      <w:r w:rsidR="006413AA">
        <w:rPr>
          <w:sz w:val="18"/>
          <w:szCs w:val="18"/>
        </w:rPr>
        <w:t xml:space="preserve">de ten aanzien van de door </w:t>
      </w:r>
      <w:r w:rsidRPr="00F775D9">
        <w:rPr>
          <w:sz w:val="18"/>
          <w:szCs w:val="18"/>
        </w:rPr>
        <w:t>het E</w:t>
      </w:r>
      <w:r w:rsidR="006413AA">
        <w:rPr>
          <w:sz w:val="18"/>
          <w:szCs w:val="18"/>
        </w:rPr>
        <w:t>uropees Parlement (LIBE) verzochte</w:t>
      </w:r>
      <w:r w:rsidRPr="00F775D9">
        <w:rPr>
          <w:sz w:val="18"/>
          <w:szCs w:val="18"/>
        </w:rPr>
        <w:t xml:space="preserve"> opschorting van de TFTP </w:t>
      </w:r>
      <w:r w:rsidR="00C444E9">
        <w:rPr>
          <w:sz w:val="18"/>
          <w:szCs w:val="18"/>
        </w:rPr>
        <w:t xml:space="preserve">(Terrorism Financing Tracking Programme) </w:t>
      </w:r>
      <w:r w:rsidRPr="00F775D9">
        <w:rPr>
          <w:sz w:val="18"/>
          <w:szCs w:val="18"/>
        </w:rPr>
        <w:t>overeenkomst</w:t>
      </w:r>
      <w:r w:rsidR="006413AA">
        <w:rPr>
          <w:sz w:val="18"/>
          <w:szCs w:val="18"/>
        </w:rPr>
        <w:t xml:space="preserve"> mede dat onder meer op basis van gesprekken met de VS is vastgesteld dat </w:t>
      </w:r>
      <w:r w:rsidRPr="00F775D9">
        <w:rPr>
          <w:sz w:val="18"/>
          <w:szCs w:val="18"/>
        </w:rPr>
        <w:t xml:space="preserve">er geen inbreuk </w:t>
      </w:r>
      <w:r w:rsidR="006413AA">
        <w:rPr>
          <w:sz w:val="18"/>
          <w:szCs w:val="18"/>
        </w:rPr>
        <w:t xml:space="preserve">door de NSA </w:t>
      </w:r>
      <w:r w:rsidR="00C444E9">
        <w:rPr>
          <w:sz w:val="18"/>
          <w:szCs w:val="18"/>
        </w:rPr>
        <w:t xml:space="preserve">in het TFTP-systeem </w:t>
      </w:r>
      <w:r w:rsidRPr="00F775D9">
        <w:rPr>
          <w:sz w:val="18"/>
          <w:szCs w:val="18"/>
        </w:rPr>
        <w:t xml:space="preserve">heeft plaatsgevonden. </w:t>
      </w:r>
      <w:r w:rsidR="006413AA">
        <w:rPr>
          <w:sz w:val="18"/>
          <w:szCs w:val="18"/>
        </w:rPr>
        <w:t xml:space="preserve">Er is voor de Commissie </w:t>
      </w:r>
      <w:r w:rsidRPr="00F775D9">
        <w:rPr>
          <w:sz w:val="18"/>
          <w:szCs w:val="18"/>
        </w:rPr>
        <w:t xml:space="preserve">geen reden om overeenkomst op te schorten. </w:t>
      </w:r>
    </w:p>
    <w:p w:rsidR="005127FD" w:rsidRDefault="005127FD" w14:paraId="7388FBB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005127FD" w:rsidRDefault="005127FD" w14:paraId="692DA6E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00CA5278" w:rsidRDefault="00CA5278" w14:paraId="176986E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Bold" w:hAnsi="Verdana Bold"/>
          <w:sz w:val="24"/>
        </w:rPr>
      </w:pPr>
      <w:r>
        <w:rPr>
          <w:rFonts w:ascii="Verdana Bold" w:hAnsi="Verdana Bold"/>
          <w:sz w:val="24"/>
        </w:rPr>
        <w:t xml:space="preserve">II. </w:t>
      </w:r>
      <w:r w:rsidRPr="004B0925" w:rsidR="00473365">
        <w:rPr>
          <w:rFonts w:ascii="Verdana Bold" w:hAnsi="Verdana Bold"/>
          <w:sz w:val="24"/>
        </w:rPr>
        <w:t>Veiligheid en Justitie, Grondrechten en Burgerschap</w:t>
      </w:r>
      <w:r w:rsidR="00473365">
        <w:rPr>
          <w:rFonts w:ascii="Verdana Bold" w:hAnsi="Verdana Bold"/>
          <w:sz w:val="24"/>
        </w:rPr>
        <w:t xml:space="preserve"> </w:t>
      </w:r>
    </w:p>
    <w:p w:rsidR="00CA5278" w:rsidRDefault="00CA5278" w14:paraId="4669E7BF" w14:textId="77777777">
      <w:pPr>
        <w:pStyle w:val="Kop11"/>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rPr>
          <w:rFonts w:ascii="Verdana Bold" w:hAnsi="Verdana Bold"/>
          <w:sz w:val="24"/>
        </w:rPr>
      </w:pPr>
    </w:p>
    <w:p w:rsidR="00CA5278" w:rsidRDefault="00CA5278" w14:paraId="67EC665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rFonts w:ascii="Verdana Bold" w:hAnsi="Verdana Bold"/>
          <w:u w:val="single"/>
        </w:rPr>
      </w:pPr>
      <w:r>
        <w:rPr>
          <w:rFonts w:ascii="Verdana Bold" w:hAnsi="Verdana Bold"/>
          <w:u w:val="single"/>
        </w:rPr>
        <w:t>Raad - wetgevende besprekingen</w:t>
      </w:r>
    </w:p>
    <w:p w:rsidRPr="00033FFF" w:rsidR="00CA5278" w:rsidRDefault="00CA5278" w14:paraId="731E531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Pr="00C0602A" w:rsidR="00C0602A" w:rsidP="00C0602A" w:rsidRDefault="00EF25ED" w14:paraId="6D67A559" w14:textId="19475C42">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ind w:left="705" w:hanging="705"/>
        <w:rPr>
          <w:rFonts w:ascii="Verdana Bold" w:hAnsi="Verdana Bold"/>
          <w:sz w:val="18"/>
          <w:szCs w:val="18"/>
        </w:rPr>
      </w:pPr>
      <w:r>
        <w:rPr>
          <w:rFonts w:ascii="Verdana Bold" w:hAnsi="Verdana Bold"/>
          <w:sz w:val="18"/>
          <w:szCs w:val="18"/>
        </w:rPr>
        <w:t>9</w:t>
      </w:r>
      <w:r w:rsidRPr="00033FFF" w:rsidR="00CA5278">
        <w:rPr>
          <w:rFonts w:ascii="Verdana Bold" w:hAnsi="Verdana Bold"/>
          <w:sz w:val="18"/>
          <w:szCs w:val="18"/>
        </w:rPr>
        <w:t>.</w:t>
      </w:r>
      <w:r w:rsidRPr="00033FFF" w:rsidR="00CA5278">
        <w:rPr>
          <w:rFonts w:ascii="Verdana Bold" w:hAnsi="Verdana Bold"/>
          <w:sz w:val="18"/>
          <w:szCs w:val="18"/>
        </w:rPr>
        <w:tab/>
      </w:r>
      <w:r w:rsidRPr="00C0602A" w:rsidR="00C0602A">
        <w:rPr>
          <w:rFonts w:ascii="Verdana Bold" w:hAnsi="Verdana Bold"/>
          <w:sz w:val="18"/>
          <w:szCs w:val="18"/>
        </w:rPr>
        <w:t xml:space="preserve">Voorstel voor een verordening van het Europees Parlement en de Raad betreffende de bescherming van natuurlijke personen in verband met de verwerking van persoonsgegevens en betreffende het vrije verkeer van die gegevens (algemene verordening gegevensbescherming) </w:t>
      </w:r>
    </w:p>
    <w:p w:rsidRPr="00033FFF" w:rsidR="00CA5278" w:rsidP="00C0602A" w:rsidRDefault="00C0602A" w14:paraId="3C3F467C"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ind w:left="705" w:hanging="705"/>
        <w:rPr>
          <w:rFonts w:ascii="Verdana Bold" w:hAnsi="Verdana Bold"/>
          <w:sz w:val="18"/>
          <w:szCs w:val="18"/>
        </w:rPr>
      </w:pPr>
      <w:r>
        <w:rPr>
          <w:rFonts w:ascii="Verdana Bold" w:hAnsi="Verdana Bold"/>
          <w:sz w:val="18"/>
          <w:szCs w:val="18"/>
        </w:rPr>
        <w:tab/>
      </w:r>
      <w:r w:rsidRPr="00C0602A">
        <w:rPr>
          <w:rFonts w:ascii="Verdana Bold" w:hAnsi="Verdana Bold"/>
          <w:sz w:val="18"/>
          <w:szCs w:val="18"/>
        </w:rPr>
        <w:t>-</w:t>
      </w:r>
      <w:r w:rsidRPr="00C0602A">
        <w:rPr>
          <w:rFonts w:ascii="Verdana Bold" w:hAnsi="Verdana Bold"/>
          <w:sz w:val="18"/>
          <w:szCs w:val="18"/>
        </w:rPr>
        <w:tab/>
        <w:t>Essentiële elementen van de éénloketfunctie</w:t>
      </w:r>
    </w:p>
    <w:p w:rsidR="00C0602A" w:rsidP="00C0602A" w:rsidRDefault="00C0602A" w14:paraId="627FE65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00BD33AB" w:rsidP="00C0602A" w:rsidRDefault="00BD33AB" w14:paraId="5FB3F1D7" w14:textId="69A04D3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Aan de orde was </w:t>
      </w:r>
      <w:r w:rsidRPr="00C0602A" w:rsidR="00C0602A">
        <w:rPr>
          <w:sz w:val="18"/>
          <w:szCs w:val="18"/>
        </w:rPr>
        <w:t xml:space="preserve">de </w:t>
      </w:r>
      <w:r w:rsidR="00B451E2">
        <w:rPr>
          <w:sz w:val="18"/>
          <w:szCs w:val="18"/>
        </w:rPr>
        <w:t>“o</w:t>
      </w:r>
      <w:r w:rsidRPr="00C0602A" w:rsidR="00C0602A">
        <w:rPr>
          <w:sz w:val="18"/>
          <w:szCs w:val="18"/>
        </w:rPr>
        <w:t>ne-stop-shop</w:t>
      </w:r>
      <w:r w:rsidR="00B451E2">
        <w:rPr>
          <w:sz w:val="18"/>
          <w:szCs w:val="18"/>
        </w:rPr>
        <w:t>”</w:t>
      </w:r>
      <w:r w:rsidRPr="00C0602A" w:rsidR="00C0602A">
        <w:rPr>
          <w:sz w:val="18"/>
          <w:szCs w:val="18"/>
        </w:rPr>
        <w:t xml:space="preserve"> (voortaan OSS). De JBZ-</w:t>
      </w:r>
      <w:r w:rsidR="00B451E2">
        <w:rPr>
          <w:sz w:val="18"/>
          <w:szCs w:val="18"/>
        </w:rPr>
        <w:t>R</w:t>
      </w:r>
      <w:r w:rsidRPr="00C0602A" w:rsidR="00C0602A">
        <w:rPr>
          <w:sz w:val="18"/>
          <w:szCs w:val="18"/>
        </w:rPr>
        <w:t xml:space="preserve">aad van oktober </w:t>
      </w:r>
      <w:r w:rsidR="00C0602A">
        <w:rPr>
          <w:sz w:val="18"/>
          <w:szCs w:val="18"/>
        </w:rPr>
        <w:t>heeft ge</w:t>
      </w:r>
      <w:r w:rsidRPr="00C0602A" w:rsidR="00C0602A">
        <w:rPr>
          <w:sz w:val="18"/>
          <w:szCs w:val="18"/>
        </w:rPr>
        <w:t xml:space="preserve">concludeerd dat een effectieve OSS bestaat uit één toezichtbesluit, de rechtszekerheid moet bedienen en effectief en kostenbesparend moet zijn. </w:t>
      </w:r>
      <w:r>
        <w:rPr>
          <w:sz w:val="18"/>
          <w:szCs w:val="18"/>
        </w:rPr>
        <w:t xml:space="preserve">De </w:t>
      </w:r>
      <w:r w:rsidR="00B451E2">
        <w:rPr>
          <w:sz w:val="18"/>
          <w:szCs w:val="18"/>
        </w:rPr>
        <w:t>raads</w:t>
      </w:r>
      <w:r>
        <w:rPr>
          <w:sz w:val="18"/>
          <w:szCs w:val="18"/>
        </w:rPr>
        <w:t xml:space="preserve">werkgroep </w:t>
      </w:r>
      <w:r w:rsidRPr="00C0602A" w:rsidR="00C0602A">
        <w:rPr>
          <w:sz w:val="18"/>
          <w:szCs w:val="18"/>
        </w:rPr>
        <w:t xml:space="preserve">was gevraagd om </w:t>
      </w:r>
      <w:r w:rsidR="00B451E2">
        <w:rPr>
          <w:sz w:val="18"/>
          <w:szCs w:val="18"/>
        </w:rPr>
        <w:t>de</w:t>
      </w:r>
      <w:r w:rsidRPr="00C0602A" w:rsidR="00B451E2">
        <w:rPr>
          <w:sz w:val="18"/>
          <w:szCs w:val="18"/>
        </w:rPr>
        <w:t xml:space="preserve"> </w:t>
      </w:r>
      <w:r w:rsidRPr="00C0602A" w:rsidR="00C0602A">
        <w:rPr>
          <w:sz w:val="18"/>
          <w:szCs w:val="18"/>
        </w:rPr>
        <w:t xml:space="preserve">OSS verder uit te werken, maar een akkoord op de OSS </w:t>
      </w:r>
      <w:r>
        <w:rPr>
          <w:sz w:val="18"/>
          <w:szCs w:val="18"/>
        </w:rPr>
        <w:t>bleef uit. Het Voorzitterschap verzocht om e</w:t>
      </w:r>
      <w:r w:rsidRPr="00C0602A" w:rsidR="00C0602A">
        <w:rPr>
          <w:sz w:val="18"/>
          <w:szCs w:val="18"/>
        </w:rPr>
        <w:t>en reactie op de</w:t>
      </w:r>
      <w:r>
        <w:rPr>
          <w:sz w:val="18"/>
          <w:szCs w:val="18"/>
        </w:rPr>
        <w:t xml:space="preserve"> volgende</w:t>
      </w:r>
      <w:r w:rsidRPr="00C0602A" w:rsidR="00C0602A">
        <w:rPr>
          <w:sz w:val="18"/>
          <w:szCs w:val="18"/>
        </w:rPr>
        <w:t xml:space="preserve"> </w:t>
      </w:r>
      <w:r w:rsidR="00B451E2">
        <w:rPr>
          <w:sz w:val="18"/>
          <w:szCs w:val="18"/>
        </w:rPr>
        <w:t>twee</w:t>
      </w:r>
      <w:r w:rsidRPr="00C0602A" w:rsidR="00B451E2">
        <w:rPr>
          <w:sz w:val="18"/>
          <w:szCs w:val="18"/>
        </w:rPr>
        <w:t xml:space="preserve"> </w:t>
      </w:r>
      <w:r w:rsidRPr="00C0602A" w:rsidR="00C0602A">
        <w:rPr>
          <w:sz w:val="18"/>
          <w:szCs w:val="18"/>
        </w:rPr>
        <w:t xml:space="preserve">vragen </w:t>
      </w:r>
      <w:r>
        <w:rPr>
          <w:sz w:val="18"/>
          <w:szCs w:val="18"/>
        </w:rPr>
        <w:t xml:space="preserve">zodat </w:t>
      </w:r>
      <w:r w:rsidRPr="00C0602A" w:rsidR="00C0602A">
        <w:rPr>
          <w:sz w:val="18"/>
          <w:szCs w:val="18"/>
        </w:rPr>
        <w:t xml:space="preserve">meer duidelijkheid </w:t>
      </w:r>
      <w:r>
        <w:rPr>
          <w:sz w:val="18"/>
          <w:szCs w:val="18"/>
        </w:rPr>
        <w:t xml:space="preserve">komt in de </w:t>
      </w:r>
      <w:r w:rsidRPr="00C0602A" w:rsidR="00C0602A">
        <w:rPr>
          <w:sz w:val="18"/>
          <w:szCs w:val="18"/>
        </w:rPr>
        <w:t xml:space="preserve">posities van de </w:t>
      </w:r>
      <w:r>
        <w:rPr>
          <w:sz w:val="18"/>
          <w:szCs w:val="18"/>
        </w:rPr>
        <w:t>lidstaten</w:t>
      </w:r>
      <w:r w:rsidRPr="00C0602A">
        <w:rPr>
          <w:sz w:val="18"/>
          <w:szCs w:val="18"/>
        </w:rPr>
        <w:t xml:space="preserve">: 1) Kunt u instemmen met het geven van exclusieve corrigerende bevoegdheden aan de toezichthouder van de hoofdvestiging, naast autoriserende bevoegdheden? 2) Zo niet, kunt u dan aangeven of in alle gevallen deze corrigerende bevoegdheden bij de nationale toezichthouder moeten blijven of dat bij sommige zeer belangrijke transnationale zaken de </w:t>
      </w:r>
      <w:r w:rsidR="00EF25ED">
        <w:rPr>
          <w:sz w:val="18"/>
          <w:szCs w:val="18"/>
        </w:rPr>
        <w:t>Europese Data Protectie Board (</w:t>
      </w:r>
      <w:r w:rsidRPr="00C0602A">
        <w:rPr>
          <w:sz w:val="18"/>
          <w:szCs w:val="18"/>
        </w:rPr>
        <w:t>EDPB</w:t>
      </w:r>
      <w:r w:rsidR="00EF25ED">
        <w:rPr>
          <w:sz w:val="18"/>
          <w:szCs w:val="18"/>
        </w:rPr>
        <w:t>)</w:t>
      </w:r>
      <w:r w:rsidRPr="00C0602A">
        <w:rPr>
          <w:sz w:val="18"/>
          <w:szCs w:val="18"/>
        </w:rPr>
        <w:t xml:space="preserve"> de bevoegdheid krijgt om bindende besluiten te nemen?</w:t>
      </w:r>
    </w:p>
    <w:p w:rsidRPr="00C0602A" w:rsidR="00C0602A" w:rsidP="00C0602A" w:rsidRDefault="00C0602A" w14:paraId="1551B05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sidRPr="00C0602A">
        <w:rPr>
          <w:sz w:val="18"/>
          <w:szCs w:val="18"/>
        </w:rPr>
        <w:t xml:space="preserve">  </w:t>
      </w:r>
    </w:p>
    <w:p w:rsidR="00C0602A" w:rsidP="00C0602A" w:rsidRDefault="00897FD8" w14:paraId="79E65D94" w14:textId="573446F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De Commissie gaf aan </w:t>
      </w:r>
      <w:r w:rsidR="00B451E2">
        <w:rPr>
          <w:sz w:val="18"/>
          <w:szCs w:val="18"/>
        </w:rPr>
        <w:t xml:space="preserve">er </w:t>
      </w:r>
      <w:r w:rsidRPr="00C0602A" w:rsidR="00C0602A">
        <w:rPr>
          <w:sz w:val="18"/>
          <w:szCs w:val="18"/>
        </w:rPr>
        <w:t xml:space="preserve">altijd voorstander </w:t>
      </w:r>
      <w:r w:rsidR="00B451E2">
        <w:rPr>
          <w:sz w:val="18"/>
          <w:szCs w:val="18"/>
        </w:rPr>
        <w:t xml:space="preserve">van </w:t>
      </w:r>
      <w:r>
        <w:rPr>
          <w:sz w:val="18"/>
          <w:szCs w:val="18"/>
        </w:rPr>
        <w:t xml:space="preserve">te zijn </w:t>
      </w:r>
      <w:r w:rsidRPr="00C0602A" w:rsidR="00C0602A">
        <w:rPr>
          <w:sz w:val="18"/>
          <w:szCs w:val="18"/>
        </w:rPr>
        <w:t xml:space="preserve">geweest dat een betrokkene bij elke nationale toezichthouder een klacht kan indienen om zijn grondrecht te kunnen uitoefenen. De OSS is een belangrijke pilaar van deze hervorming, zo stelt de </w:t>
      </w:r>
      <w:r w:rsidR="00EF25ED">
        <w:rPr>
          <w:sz w:val="18"/>
          <w:szCs w:val="18"/>
        </w:rPr>
        <w:t>Commissie.</w:t>
      </w:r>
      <w:r w:rsidRPr="00C0602A" w:rsidR="00C0602A">
        <w:rPr>
          <w:sz w:val="18"/>
          <w:szCs w:val="18"/>
        </w:rPr>
        <w:t xml:space="preserve"> De JBZ-Raad van oktober </w:t>
      </w:r>
      <w:r>
        <w:rPr>
          <w:sz w:val="18"/>
          <w:szCs w:val="18"/>
        </w:rPr>
        <w:t>en ook de E</w:t>
      </w:r>
      <w:r w:rsidR="00B451E2">
        <w:rPr>
          <w:sz w:val="18"/>
          <w:szCs w:val="18"/>
        </w:rPr>
        <w:t xml:space="preserve">uropese </w:t>
      </w:r>
      <w:r>
        <w:rPr>
          <w:sz w:val="18"/>
          <w:szCs w:val="18"/>
        </w:rPr>
        <w:t>R</w:t>
      </w:r>
      <w:r w:rsidR="00B451E2">
        <w:rPr>
          <w:sz w:val="18"/>
          <w:szCs w:val="18"/>
        </w:rPr>
        <w:t>aad</w:t>
      </w:r>
      <w:r>
        <w:rPr>
          <w:sz w:val="18"/>
          <w:szCs w:val="18"/>
        </w:rPr>
        <w:t xml:space="preserve"> </w:t>
      </w:r>
      <w:r w:rsidRPr="00C0602A" w:rsidR="00C0602A">
        <w:rPr>
          <w:sz w:val="18"/>
          <w:szCs w:val="18"/>
        </w:rPr>
        <w:t xml:space="preserve">heeft richtinggevende conclusies hierover aangenomen, zoals </w:t>
      </w:r>
      <w:r w:rsidR="00EF25ED">
        <w:rPr>
          <w:sz w:val="18"/>
          <w:szCs w:val="18"/>
        </w:rPr>
        <w:t xml:space="preserve">het Voorzitterschap </w:t>
      </w:r>
      <w:r w:rsidRPr="00C0602A" w:rsidR="00C0602A">
        <w:rPr>
          <w:sz w:val="18"/>
          <w:szCs w:val="18"/>
        </w:rPr>
        <w:t xml:space="preserve">al zei. Tijdens de onderhandelingen in de </w:t>
      </w:r>
      <w:r w:rsidR="00EF25ED">
        <w:rPr>
          <w:sz w:val="18"/>
          <w:szCs w:val="18"/>
        </w:rPr>
        <w:t xml:space="preserve">Raadswerkgroep </w:t>
      </w:r>
      <w:r w:rsidRPr="00C0602A" w:rsidR="00C0602A">
        <w:rPr>
          <w:sz w:val="18"/>
          <w:szCs w:val="18"/>
        </w:rPr>
        <w:t xml:space="preserve">is de bevoegdheid van de nationale toezichthouder uitgebreid en is gekeken naar een adequate verdeling van de bevoegdheden. </w:t>
      </w:r>
      <w:r>
        <w:rPr>
          <w:sz w:val="18"/>
          <w:szCs w:val="18"/>
        </w:rPr>
        <w:t>U</w:t>
      </w:r>
      <w:r w:rsidR="00032E55">
        <w:rPr>
          <w:sz w:val="18"/>
          <w:szCs w:val="18"/>
        </w:rPr>
        <w:t>i</w:t>
      </w:r>
      <w:r w:rsidRPr="00C0602A" w:rsidR="00C0602A">
        <w:rPr>
          <w:sz w:val="18"/>
          <w:szCs w:val="18"/>
        </w:rPr>
        <w:t>teindelijk is het compromis van het V</w:t>
      </w:r>
      <w:r w:rsidR="00FA2468">
        <w:rPr>
          <w:sz w:val="18"/>
          <w:szCs w:val="18"/>
        </w:rPr>
        <w:t>oorzitter</w:t>
      </w:r>
      <w:r w:rsidRPr="00C0602A" w:rsidR="00C0602A">
        <w:rPr>
          <w:sz w:val="18"/>
          <w:szCs w:val="18"/>
        </w:rPr>
        <w:t>schap minder geworden dan de conclusies van de JBZ-</w:t>
      </w:r>
      <w:r w:rsidR="00FA2468">
        <w:rPr>
          <w:sz w:val="18"/>
          <w:szCs w:val="18"/>
        </w:rPr>
        <w:t>R</w:t>
      </w:r>
      <w:r w:rsidRPr="00C0602A" w:rsidR="00C0602A">
        <w:rPr>
          <w:sz w:val="18"/>
          <w:szCs w:val="18"/>
        </w:rPr>
        <w:t xml:space="preserve">aad in oktober. Veel </w:t>
      </w:r>
      <w:r w:rsidR="00FA2468">
        <w:rPr>
          <w:sz w:val="18"/>
          <w:szCs w:val="18"/>
        </w:rPr>
        <w:t xml:space="preserve">lidstaten </w:t>
      </w:r>
      <w:r w:rsidRPr="00C0602A" w:rsidR="00C0602A">
        <w:rPr>
          <w:sz w:val="18"/>
          <w:szCs w:val="18"/>
        </w:rPr>
        <w:t xml:space="preserve">zijn teruggekomen op de conclusies, er is meer twijfel gerezen en meer onduidelijkheid gekomen voor burgers en bedrijven. Kortom, het is geen betekenisvolle OSS meer, daarom kan de CIE niet instemmen. Ten slotte stelt CIE dat zij teleurgesteld zijn over de zeer late advisering van de </w:t>
      </w:r>
      <w:r w:rsidR="00EF25ED">
        <w:rPr>
          <w:sz w:val="18"/>
          <w:szCs w:val="18"/>
        </w:rPr>
        <w:t>Juridische Dienst van de Raad(</w:t>
      </w:r>
      <w:r w:rsidRPr="00C0602A" w:rsidR="00C0602A">
        <w:rPr>
          <w:sz w:val="18"/>
          <w:szCs w:val="18"/>
        </w:rPr>
        <w:t>JDR</w:t>
      </w:r>
      <w:r w:rsidR="00EF25ED">
        <w:rPr>
          <w:sz w:val="18"/>
          <w:szCs w:val="18"/>
        </w:rPr>
        <w:t>)</w:t>
      </w:r>
      <w:r w:rsidRPr="00C0602A" w:rsidR="00C0602A">
        <w:rPr>
          <w:sz w:val="18"/>
          <w:szCs w:val="18"/>
        </w:rPr>
        <w:t xml:space="preserve">. </w:t>
      </w:r>
    </w:p>
    <w:p w:rsidRPr="00C0602A" w:rsidR="00897FD8" w:rsidP="00C0602A" w:rsidRDefault="00897FD8" w14:paraId="15A0F98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00032E55" w:rsidP="00C0602A" w:rsidRDefault="00C0602A" w14:paraId="5B911571" w14:textId="5EEA2A4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sidRPr="00C0602A">
        <w:rPr>
          <w:sz w:val="18"/>
          <w:szCs w:val="18"/>
        </w:rPr>
        <w:t xml:space="preserve">De JDR </w:t>
      </w:r>
      <w:r w:rsidR="00032E55">
        <w:rPr>
          <w:sz w:val="18"/>
          <w:szCs w:val="18"/>
        </w:rPr>
        <w:t>lichtte de eigen zienswijze toe.</w:t>
      </w:r>
      <w:r w:rsidRPr="00C0602A">
        <w:rPr>
          <w:sz w:val="18"/>
          <w:szCs w:val="18"/>
        </w:rPr>
        <w:t xml:space="preserve"> De rechtsbasis voor de verordening is art</w:t>
      </w:r>
      <w:r w:rsidR="00FA2468">
        <w:rPr>
          <w:sz w:val="18"/>
          <w:szCs w:val="18"/>
        </w:rPr>
        <w:t>ikel</w:t>
      </w:r>
      <w:r w:rsidRPr="00C0602A">
        <w:rPr>
          <w:sz w:val="18"/>
          <w:szCs w:val="18"/>
        </w:rPr>
        <w:t xml:space="preserve"> 16 VWEU. Dit artikel is gebaseerd op art</w:t>
      </w:r>
      <w:r w:rsidR="00EF25ED">
        <w:rPr>
          <w:sz w:val="18"/>
          <w:szCs w:val="18"/>
        </w:rPr>
        <w:t>ikel</w:t>
      </w:r>
      <w:r w:rsidRPr="00C0602A">
        <w:rPr>
          <w:sz w:val="18"/>
          <w:szCs w:val="18"/>
        </w:rPr>
        <w:t xml:space="preserve"> 8 van het Handvest. Art</w:t>
      </w:r>
      <w:r w:rsidR="00EF25ED">
        <w:rPr>
          <w:sz w:val="18"/>
          <w:szCs w:val="18"/>
        </w:rPr>
        <w:t>ikel</w:t>
      </w:r>
      <w:r w:rsidRPr="00C0602A">
        <w:rPr>
          <w:sz w:val="18"/>
          <w:szCs w:val="18"/>
        </w:rPr>
        <w:t>16 VWEU is geen bepaling ter regulering van de interne markt, maar een artikel ter bescherming van de grondrechten van betrokkenen. De betrokkene heeft drie manieren om zijn rechtsbescherming in te roepen, te weten: 1) De betrokkene kan naar de nationale toezichthouder gaan met een klacht. Maar bij een klacht over een gegevensverwerking die onder de verantwoordelijkheid van een toezichthouder van een hoofdvestiging valt, heeft de nationale toezichthouder geen bevoegdheid en kan deze nationale toezichthouder niets anders doen dan de klacht doorzenden naar de bevoegde toezichthouder of een verzoek tot deze richten. 2) De betrokkene kan met zijn klacht naar de toezichthouder van de hoofdvestiging, omdat deze bevoegd is in zijn zaak. Dat kan soms ver weg van zijn eigen land zijn</w:t>
      </w:r>
      <w:r w:rsidR="00FA2468">
        <w:rPr>
          <w:sz w:val="18"/>
          <w:szCs w:val="18"/>
        </w:rPr>
        <w:t>; en k</w:t>
      </w:r>
      <w:r w:rsidRPr="00C0602A">
        <w:rPr>
          <w:sz w:val="18"/>
          <w:szCs w:val="18"/>
        </w:rPr>
        <w:t>ost veel tijd, geld en energie. Op basis van het Handvest (o.a. art</w:t>
      </w:r>
      <w:r w:rsidR="00EF25ED">
        <w:rPr>
          <w:sz w:val="18"/>
          <w:szCs w:val="18"/>
        </w:rPr>
        <w:t>ikel</w:t>
      </w:r>
      <w:r w:rsidRPr="00C0602A">
        <w:rPr>
          <w:sz w:val="18"/>
          <w:szCs w:val="18"/>
        </w:rPr>
        <w:t xml:space="preserve"> 74) en het EVRM is deze route, volgens de JDR, geen “effective remedy”. 3) Bij “judicial redress” en “judicial review” is voor de JDR niet duidelijk welke instantie nu eigenlijk het definitieve besluit neemt en hoe deze parallelle procedures verlopen. Burgers kunnen trouwens bij “judicial redress” alleen maar genoegdoening halen. Kortom, de rechtsbescherming voor de burger is niet goed geregeld. </w:t>
      </w:r>
    </w:p>
    <w:p w:rsidR="00032E55" w:rsidP="00C0602A" w:rsidRDefault="00C0602A" w14:paraId="67F07DB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sidRPr="00C0602A">
        <w:rPr>
          <w:sz w:val="18"/>
          <w:szCs w:val="18"/>
        </w:rPr>
        <w:t xml:space="preserve">De mogelijke alternatieven zouden </w:t>
      </w:r>
      <w:r w:rsidR="00032E55">
        <w:rPr>
          <w:sz w:val="18"/>
          <w:szCs w:val="18"/>
        </w:rPr>
        <w:t xml:space="preserve">volgens de JDR </w:t>
      </w:r>
      <w:r w:rsidRPr="00C0602A">
        <w:rPr>
          <w:sz w:val="18"/>
          <w:szCs w:val="18"/>
        </w:rPr>
        <w:t xml:space="preserve">kunnen zijn: 1) De betrokkene moet in beroep kunnen gaan bij de eigen nationale toezichthouder en rechter 2) er moet een Europese autoriteit met bindende bevoegdheden worden ingericht. </w:t>
      </w:r>
    </w:p>
    <w:p w:rsidR="00C0602A" w:rsidP="00C0602A" w:rsidRDefault="00C0602A" w14:paraId="1014DF3B" w14:textId="72351FD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sidRPr="00C0602A">
        <w:rPr>
          <w:sz w:val="18"/>
          <w:szCs w:val="18"/>
        </w:rPr>
        <w:t xml:space="preserve">De JDR adviseert </w:t>
      </w:r>
      <w:r w:rsidR="00032E55">
        <w:rPr>
          <w:sz w:val="18"/>
          <w:szCs w:val="18"/>
        </w:rPr>
        <w:t xml:space="preserve">de </w:t>
      </w:r>
      <w:r w:rsidRPr="00C0602A">
        <w:rPr>
          <w:sz w:val="18"/>
          <w:szCs w:val="18"/>
        </w:rPr>
        <w:t xml:space="preserve">Raad </w:t>
      </w:r>
      <w:r w:rsidR="00032E55">
        <w:rPr>
          <w:sz w:val="18"/>
          <w:szCs w:val="18"/>
        </w:rPr>
        <w:t xml:space="preserve">hier </w:t>
      </w:r>
      <w:r w:rsidRPr="00C0602A">
        <w:rPr>
          <w:sz w:val="18"/>
          <w:szCs w:val="18"/>
        </w:rPr>
        <w:t>nog eens goed naar te kijken. Voordelen van de Europese oplossing zouden zijn: 1) geen forum shopping 2) een hoog beschermingsniveau (incl</w:t>
      </w:r>
      <w:r w:rsidR="00FA2468">
        <w:rPr>
          <w:sz w:val="18"/>
          <w:szCs w:val="18"/>
        </w:rPr>
        <w:t>usief</w:t>
      </w:r>
      <w:r w:rsidRPr="00C0602A">
        <w:rPr>
          <w:sz w:val="18"/>
          <w:szCs w:val="18"/>
        </w:rPr>
        <w:t xml:space="preserve"> beroep </w:t>
      </w:r>
      <w:r w:rsidR="00FA2468">
        <w:rPr>
          <w:sz w:val="18"/>
          <w:szCs w:val="18"/>
        </w:rPr>
        <w:t xml:space="preserve">bij het </w:t>
      </w:r>
      <w:r w:rsidRPr="00C0602A">
        <w:rPr>
          <w:sz w:val="18"/>
          <w:szCs w:val="18"/>
        </w:rPr>
        <w:t xml:space="preserve">Hof) 3) gebruik van EU-bevoegdheid </w:t>
      </w:r>
      <w:r w:rsidR="00FA2468">
        <w:rPr>
          <w:sz w:val="18"/>
          <w:szCs w:val="18"/>
        </w:rPr>
        <w:t xml:space="preserve">en </w:t>
      </w:r>
      <w:r w:rsidRPr="00C0602A">
        <w:rPr>
          <w:sz w:val="18"/>
          <w:szCs w:val="18"/>
        </w:rPr>
        <w:t>4) de nationale toezichthouders spreken met één stem.</w:t>
      </w:r>
    </w:p>
    <w:p w:rsidRPr="00C0602A" w:rsidR="00032E55" w:rsidP="00C0602A" w:rsidRDefault="00032E55" w14:paraId="0BC4A1E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00032E55" w:rsidP="00C0602A" w:rsidRDefault="00EF25ED" w14:paraId="118472CA" w14:textId="41BB575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De Commissie</w:t>
      </w:r>
      <w:r w:rsidRPr="00C0602A" w:rsidR="00C0602A">
        <w:rPr>
          <w:sz w:val="18"/>
          <w:szCs w:val="18"/>
        </w:rPr>
        <w:t xml:space="preserve"> kan </w:t>
      </w:r>
      <w:r w:rsidR="00032E55">
        <w:rPr>
          <w:sz w:val="18"/>
          <w:szCs w:val="18"/>
        </w:rPr>
        <w:t xml:space="preserve">niet </w:t>
      </w:r>
      <w:r w:rsidRPr="00C0602A" w:rsidR="00C0602A">
        <w:rPr>
          <w:sz w:val="18"/>
          <w:szCs w:val="18"/>
        </w:rPr>
        <w:t>instemmen met de strekking</w:t>
      </w:r>
      <w:r w:rsidR="00032E55">
        <w:rPr>
          <w:sz w:val="18"/>
          <w:szCs w:val="18"/>
        </w:rPr>
        <w:t xml:space="preserve"> van het advies</w:t>
      </w:r>
      <w:r w:rsidRPr="00C0602A" w:rsidR="00C0602A">
        <w:rPr>
          <w:sz w:val="18"/>
          <w:szCs w:val="18"/>
        </w:rPr>
        <w:t>. D</w:t>
      </w:r>
      <w:r>
        <w:rPr>
          <w:sz w:val="18"/>
          <w:szCs w:val="18"/>
        </w:rPr>
        <w:t>e Commissie</w:t>
      </w:r>
      <w:r w:rsidRPr="00C0602A" w:rsidR="00C0602A">
        <w:rPr>
          <w:sz w:val="18"/>
          <w:szCs w:val="18"/>
        </w:rPr>
        <w:t xml:space="preserve"> heeft vanwege de aard van het beleidsgebied niet gekozen voor een Europese oplossing, maar juist voor een samenwerking van de betrokken nationale toezichthouders binnen de EU. Dit is een effectiever systeem met minder bureaucratie. </w:t>
      </w:r>
    </w:p>
    <w:p w:rsidR="00C0602A" w:rsidP="00C0602A" w:rsidRDefault="00C0602A" w14:paraId="21346EA0" w14:textId="5B69247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sidRPr="00C0602A">
        <w:rPr>
          <w:sz w:val="18"/>
          <w:szCs w:val="18"/>
        </w:rPr>
        <w:t xml:space="preserve">De </w:t>
      </w:r>
      <w:r w:rsidR="00032E55">
        <w:rPr>
          <w:sz w:val="18"/>
          <w:szCs w:val="18"/>
        </w:rPr>
        <w:t xml:space="preserve">Juridische Dienst </w:t>
      </w:r>
      <w:r w:rsidR="00FA2468">
        <w:rPr>
          <w:sz w:val="18"/>
          <w:szCs w:val="18"/>
        </w:rPr>
        <w:t xml:space="preserve">van de Commissie (JDC) </w:t>
      </w:r>
      <w:r w:rsidR="00297E87">
        <w:rPr>
          <w:sz w:val="18"/>
          <w:szCs w:val="18"/>
        </w:rPr>
        <w:t xml:space="preserve">lichtte toe dat </w:t>
      </w:r>
      <w:r w:rsidR="00032E55">
        <w:rPr>
          <w:sz w:val="18"/>
          <w:szCs w:val="18"/>
        </w:rPr>
        <w:t xml:space="preserve">de </w:t>
      </w:r>
      <w:r w:rsidR="00EF25ED">
        <w:rPr>
          <w:sz w:val="18"/>
          <w:szCs w:val="18"/>
        </w:rPr>
        <w:t>Commissie</w:t>
      </w:r>
      <w:r w:rsidRPr="00C0602A">
        <w:rPr>
          <w:sz w:val="18"/>
          <w:szCs w:val="18"/>
        </w:rPr>
        <w:t xml:space="preserve"> nadrukkelijk art</w:t>
      </w:r>
      <w:r w:rsidR="00EF25ED">
        <w:rPr>
          <w:sz w:val="18"/>
          <w:szCs w:val="18"/>
        </w:rPr>
        <w:t>kel</w:t>
      </w:r>
      <w:r w:rsidRPr="00C0602A">
        <w:rPr>
          <w:sz w:val="18"/>
          <w:szCs w:val="18"/>
        </w:rPr>
        <w:t xml:space="preserve"> 16 VWEU </w:t>
      </w:r>
      <w:r w:rsidR="00297E87">
        <w:rPr>
          <w:sz w:val="18"/>
          <w:szCs w:val="18"/>
        </w:rPr>
        <w:t xml:space="preserve">heeft </w:t>
      </w:r>
      <w:r w:rsidRPr="00C0602A">
        <w:rPr>
          <w:sz w:val="18"/>
          <w:szCs w:val="18"/>
        </w:rPr>
        <w:t xml:space="preserve">bevestigd als rechtsgrondslag voor de </w:t>
      </w:r>
      <w:r w:rsidR="00FA2468">
        <w:rPr>
          <w:sz w:val="18"/>
          <w:szCs w:val="18"/>
        </w:rPr>
        <w:t>v</w:t>
      </w:r>
      <w:r w:rsidRPr="00C0602A">
        <w:rPr>
          <w:sz w:val="18"/>
          <w:szCs w:val="18"/>
        </w:rPr>
        <w:t xml:space="preserve">erordening om de grondrechten van de betrokkene te beschermen en niet om de interne markt te reguleren. Ook op die rechtsbasis is de structuur zoals gekozen in het oorspronkelijke CIE-voorstel goed te verdedigen. </w:t>
      </w:r>
      <w:r w:rsidR="00297E87">
        <w:rPr>
          <w:sz w:val="18"/>
          <w:szCs w:val="18"/>
        </w:rPr>
        <w:t xml:space="preserve">De </w:t>
      </w:r>
      <w:r w:rsidRPr="00C0602A">
        <w:rPr>
          <w:sz w:val="18"/>
          <w:szCs w:val="18"/>
        </w:rPr>
        <w:t>JDC is van mening dat er geen problemen zijn met de rechtsbescherming uit het oogpunt van art</w:t>
      </w:r>
      <w:r w:rsidR="005D478B">
        <w:rPr>
          <w:sz w:val="18"/>
          <w:szCs w:val="18"/>
        </w:rPr>
        <w:t>ikel</w:t>
      </w:r>
      <w:r w:rsidRPr="00C0602A">
        <w:rPr>
          <w:sz w:val="18"/>
          <w:szCs w:val="18"/>
        </w:rPr>
        <w:t xml:space="preserve"> 16 VWEU en deelt de conclusie van de JDR dus nadrukkelijk niet. </w:t>
      </w:r>
    </w:p>
    <w:p w:rsidRPr="00C0602A" w:rsidR="00297E87" w:rsidP="00C0602A" w:rsidRDefault="00297E87" w14:paraId="7384AF4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00FA2468" w:rsidP="00C0602A" w:rsidRDefault="00297E87" w14:paraId="097E272C" w14:textId="59C434F2">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Het Voorzitterschap </w:t>
      </w:r>
      <w:r w:rsidRPr="00C0602A" w:rsidR="00C0602A">
        <w:rPr>
          <w:sz w:val="18"/>
          <w:szCs w:val="18"/>
        </w:rPr>
        <w:t xml:space="preserve">nodigt de </w:t>
      </w:r>
      <w:r w:rsidR="00FA2468">
        <w:rPr>
          <w:sz w:val="18"/>
          <w:szCs w:val="18"/>
        </w:rPr>
        <w:t>lidstaten</w:t>
      </w:r>
      <w:r w:rsidRPr="00C0602A" w:rsidR="00FA2468">
        <w:rPr>
          <w:sz w:val="18"/>
          <w:szCs w:val="18"/>
        </w:rPr>
        <w:t xml:space="preserve"> </w:t>
      </w:r>
      <w:r w:rsidRPr="00C0602A" w:rsidR="00C0602A">
        <w:rPr>
          <w:sz w:val="18"/>
          <w:szCs w:val="18"/>
        </w:rPr>
        <w:t>uit om hun reacties te geven op de gestelde vragen en de adviezen van de Juridische diensten.</w:t>
      </w:r>
    </w:p>
    <w:p w:rsidR="00C0602A" w:rsidP="00C0602A" w:rsidRDefault="00C0602A" w14:paraId="44458871" w14:textId="57301708">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Pr="00EF25ED" w:rsidR="003A09E4" w:rsidP="00256184" w:rsidRDefault="00256184" w14:paraId="3A9039E2" w14:textId="77777777">
      <w:pPr>
        <w:pStyle w:val="Standaard1"/>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i/>
          <w:sz w:val="18"/>
          <w:szCs w:val="18"/>
        </w:rPr>
      </w:pPr>
      <w:r w:rsidRPr="00EF25ED">
        <w:rPr>
          <w:i/>
          <w:sz w:val="18"/>
          <w:szCs w:val="18"/>
        </w:rPr>
        <w:t>Kunt u instemmen met het geven van exclusieve corrigerende bevoegdheden aan de toezichthouder van de hoofdvestiging, naast autoriserende bevoegdheden?</w:t>
      </w:r>
    </w:p>
    <w:p w:rsidR="00256184" w:rsidP="00256184" w:rsidRDefault="00256184" w14:paraId="4A095CF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003A09E4" w:rsidP="003A09E4" w:rsidRDefault="003A09E4" w14:paraId="6440E6C4" w14:textId="7486802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bCs/>
          <w:sz w:val="18"/>
          <w:szCs w:val="18"/>
        </w:rPr>
      </w:pPr>
      <w:r>
        <w:rPr>
          <w:sz w:val="18"/>
          <w:szCs w:val="18"/>
        </w:rPr>
        <w:t xml:space="preserve">De </w:t>
      </w:r>
      <w:r w:rsidR="00FA2468">
        <w:rPr>
          <w:sz w:val="18"/>
          <w:szCs w:val="18"/>
        </w:rPr>
        <w:t xml:space="preserve">minister </w:t>
      </w:r>
      <w:r>
        <w:rPr>
          <w:sz w:val="18"/>
          <w:szCs w:val="18"/>
        </w:rPr>
        <w:t xml:space="preserve">van Veiligheid en Justitie gaf aan dat Nederland </w:t>
      </w:r>
      <w:r w:rsidRPr="00C0602A">
        <w:rPr>
          <w:sz w:val="18"/>
          <w:szCs w:val="18"/>
        </w:rPr>
        <w:t xml:space="preserve">altijd voorstander </w:t>
      </w:r>
      <w:r>
        <w:rPr>
          <w:sz w:val="18"/>
          <w:szCs w:val="18"/>
        </w:rPr>
        <w:t xml:space="preserve">is </w:t>
      </w:r>
      <w:r w:rsidRPr="00C0602A">
        <w:rPr>
          <w:sz w:val="18"/>
          <w:szCs w:val="18"/>
        </w:rPr>
        <w:t>geweest van een betekenisvolle “one-stop-shop”-oplossing. Een betekenisvolle “one-stop-shop” zorgt ervoor dat zaken met een grensoverschrijdend karakter of met een potentieel effect op de interne markt in één re</w:t>
      </w:r>
      <w:r>
        <w:rPr>
          <w:sz w:val="18"/>
          <w:szCs w:val="18"/>
        </w:rPr>
        <w:t xml:space="preserve">chtsstelsel worden behandeld. De </w:t>
      </w:r>
      <w:r w:rsidR="00FA2468">
        <w:rPr>
          <w:sz w:val="18"/>
          <w:szCs w:val="18"/>
        </w:rPr>
        <w:t>m</w:t>
      </w:r>
      <w:r>
        <w:rPr>
          <w:sz w:val="18"/>
          <w:szCs w:val="18"/>
        </w:rPr>
        <w:t xml:space="preserve">inister benadrukte dat </w:t>
      </w:r>
      <w:r w:rsidRPr="00C0602A">
        <w:rPr>
          <w:sz w:val="18"/>
          <w:szCs w:val="18"/>
        </w:rPr>
        <w:t>eenvormige interpretatie en handhaving van de verordening essentieel</w:t>
      </w:r>
      <w:r>
        <w:rPr>
          <w:sz w:val="18"/>
          <w:szCs w:val="18"/>
        </w:rPr>
        <w:t xml:space="preserve"> is</w:t>
      </w:r>
      <w:r w:rsidRPr="00C0602A">
        <w:rPr>
          <w:sz w:val="18"/>
          <w:szCs w:val="18"/>
        </w:rPr>
        <w:t>. Alleen dan kan de doelstelling van harmonisatie een succes worden en kunnen te hoge nalevingskosten</w:t>
      </w:r>
      <w:r>
        <w:rPr>
          <w:sz w:val="18"/>
          <w:szCs w:val="18"/>
        </w:rPr>
        <w:t xml:space="preserve"> - voor Nederland een belangrijk punt -</w:t>
      </w:r>
      <w:r w:rsidRPr="00C0602A">
        <w:rPr>
          <w:sz w:val="18"/>
          <w:szCs w:val="18"/>
        </w:rPr>
        <w:t xml:space="preserve"> voor bedrijven </w:t>
      </w:r>
      <w:r>
        <w:rPr>
          <w:sz w:val="18"/>
          <w:szCs w:val="18"/>
        </w:rPr>
        <w:t xml:space="preserve">worden </w:t>
      </w:r>
      <w:r w:rsidRPr="00C0602A">
        <w:rPr>
          <w:sz w:val="18"/>
          <w:szCs w:val="18"/>
        </w:rPr>
        <w:t>verm</w:t>
      </w:r>
      <w:r>
        <w:rPr>
          <w:sz w:val="18"/>
          <w:szCs w:val="18"/>
        </w:rPr>
        <w:t>e</w:t>
      </w:r>
      <w:r w:rsidRPr="00C0602A">
        <w:rPr>
          <w:sz w:val="18"/>
          <w:szCs w:val="18"/>
        </w:rPr>
        <w:t>den.</w:t>
      </w:r>
      <w:r w:rsidRPr="00C0602A">
        <w:rPr>
          <w:bCs/>
          <w:sz w:val="18"/>
          <w:szCs w:val="18"/>
        </w:rPr>
        <w:t xml:space="preserve"> </w:t>
      </w:r>
      <w:r>
        <w:rPr>
          <w:bCs/>
          <w:sz w:val="18"/>
          <w:szCs w:val="18"/>
        </w:rPr>
        <w:t xml:space="preserve">Op de vragen antwoorde de </w:t>
      </w:r>
      <w:r w:rsidR="00FA2468">
        <w:rPr>
          <w:bCs/>
          <w:sz w:val="18"/>
          <w:szCs w:val="18"/>
        </w:rPr>
        <w:t>m</w:t>
      </w:r>
      <w:r>
        <w:rPr>
          <w:bCs/>
          <w:sz w:val="18"/>
          <w:szCs w:val="18"/>
        </w:rPr>
        <w:t xml:space="preserve">inister dat </w:t>
      </w:r>
      <w:r w:rsidRPr="00C0602A">
        <w:rPr>
          <w:sz w:val="18"/>
          <w:szCs w:val="18"/>
        </w:rPr>
        <w:t>N</w:t>
      </w:r>
      <w:r>
        <w:rPr>
          <w:sz w:val="18"/>
          <w:szCs w:val="18"/>
        </w:rPr>
        <w:t xml:space="preserve">ederland </w:t>
      </w:r>
      <w:r w:rsidRPr="00C0602A">
        <w:rPr>
          <w:sz w:val="18"/>
          <w:szCs w:val="18"/>
        </w:rPr>
        <w:t>er geen tegenstander van</w:t>
      </w:r>
      <w:r>
        <w:rPr>
          <w:sz w:val="18"/>
          <w:szCs w:val="18"/>
        </w:rPr>
        <w:t xml:space="preserve"> is</w:t>
      </w:r>
      <w:r w:rsidRPr="00C0602A">
        <w:rPr>
          <w:sz w:val="18"/>
          <w:szCs w:val="18"/>
        </w:rPr>
        <w:t xml:space="preserve">, als </w:t>
      </w:r>
      <w:r>
        <w:rPr>
          <w:sz w:val="18"/>
          <w:szCs w:val="18"/>
        </w:rPr>
        <w:t xml:space="preserve">de </w:t>
      </w:r>
      <w:r w:rsidRPr="00C0602A">
        <w:rPr>
          <w:sz w:val="18"/>
          <w:szCs w:val="18"/>
        </w:rPr>
        <w:t xml:space="preserve">toezichthouder van de lidstaat van de hoofdvestiging de bevoegdheid krijgt om sancties op te leggen, en als hij bevoegd wordt tot voorafgaande autorisaties van gegevensverwerkingen. </w:t>
      </w:r>
      <w:r>
        <w:rPr>
          <w:sz w:val="18"/>
          <w:szCs w:val="18"/>
        </w:rPr>
        <w:t xml:space="preserve">Voor </w:t>
      </w:r>
      <w:r w:rsidRPr="00C0602A">
        <w:rPr>
          <w:sz w:val="18"/>
          <w:szCs w:val="18"/>
        </w:rPr>
        <w:t>N</w:t>
      </w:r>
      <w:r>
        <w:rPr>
          <w:sz w:val="18"/>
          <w:szCs w:val="18"/>
        </w:rPr>
        <w:t xml:space="preserve">ederland is </w:t>
      </w:r>
      <w:r w:rsidRPr="00C0602A">
        <w:rPr>
          <w:sz w:val="18"/>
          <w:szCs w:val="18"/>
        </w:rPr>
        <w:t>dit overigens niet noodzakelijkerwijs een exclusief recht.</w:t>
      </w:r>
      <w:r w:rsidRPr="00C0602A">
        <w:rPr>
          <w:bCs/>
          <w:sz w:val="18"/>
          <w:szCs w:val="18"/>
        </w:rPr>
        <w:t xml:space="preserve"> Een nationale toezichthouder heeft deze bevoegdheden namelijk ook, zolang het maar een nationale aangelegenheid is. </w:t>
      </w:r>
    </w:p>
    <w:p w:rsidR="00297E87" w:rsidP="00C0602A" w:rsidRDefault="00297E87" w14:paraId="28E1E86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00151212" w:rsidP="00C0602A" w:rsidRDefault="00151212" w14:paraId="7D9CE91D" w14:textId="23BB955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Op vraag 1</w:t>
      </w:r>
      <w:r w:rsidR="00C235A3">
        <w:rPr>
          <w:sz w:val="18"/>
          <w:szCs w:val="18"/>
        </w:rPr>
        <w:t xml:space="preserve"> ontstond </w:t>
      </w:r>
      <w:r w:rsidR="00256184">
        <w:rPr>
          <w:sz w:val="18"/>
          <w:szCs w:val="18"/>
        </w:rPr>
        <w:t xml:space="preserve">verder het </w:t>
      </w:r>
      <w:r w:rsidR="00C235A3">
        <w:rPr>
          <w:sz w:val="18"/>
          <w:szCs w:val="18"/>
        </w:rPr>
        <w:t xml:space="preserve">volgende beeld. Zeker zes lidstaten gaven aan graag een </w:t>
      </w:r>
      <w:r w:rsidRPr="00C0602A">
        <w:rPr>
          <w:sz w:val="18"/>
          <w:szCs w:val="18"/>
        </w:rPr>
        <w:t xml:space="preserve">betekenisvolle OSS </w:t>
      </w:r>
      <w:r w:rsidR="00C235A3">
        <w:rPr>
          <w:sz w:val="18"/>
          <w:szCs w:val="18"/>
        </w:rPr>
        <w:t xml:space="preserve">te zien, </w:t>
      </w:r>
      <w:r w:rsidRPr="00C0602A">
        <w:rPr>
          <w:sz w:val="18"/>
          <w:szCs w:val="18"/>
        </w:rPr>
        <w:t>met uitgebreide exclusieve bevoegdheden voor de toezichthouder van de hoofdvestiging.</w:t>
      </w:r>
      <w:r>
        <w:rPr>
          <w:sz w:val="18"/>
          <w:szCs w:val="18"/>
        </w:rPr>
        <w:t xml:space="preserve"> Wel </w:t>
      </w:r>
      <w:r w:rsidR="00C235A3">
        <w:rPr>
          <w:sz w:val="18"/>
          <w:szCs w:val="18"/>
        </w:rPr>
        <w:t xml:space="preserve">moet er bij de uitoefening van die bevoegdheden een </w:t>
      </w:r>
      <w:r>
        <w:rPr>
          <w:sz w:val="18"/>
          <w:szCs w:val="18"/>
        </w:rPr>
        <w:t xml:space="preserve">nauwe samenwerking met de betrokken </w:t>
      </w:r>
      <w:r w:rsidR="00C235A3">
        <w:rPr>
          <w:sz w:val="18"/>
          <w:szCs w:val="18"/>
        </w:rPr>
        <w:t xml:space="preserve">nationale </w:t>
      </w:r>
      <w:r>
        <w:rPr>
          <w:sz w:val="18"/>
          <w:szCs w:val="18"/>
        </w:rPr>
        <w:t>toezichthouders</w:t>
      </w:r>
      <w:r w:rsidR="00C235A3">
        <w:rPr>
          <w:sz w:val="18"/>
          <w:szCs w:val="18"/>
        </w:rPr>
        <w:t xml:space="preserve"> zijn. S</w:t>
      </w:r>
      <w:r w:rsidR="00E70FF9">
        <w:rPr>
          <w:sz w:val="18"/>
          <w:szCs w:val="18"/>
        </w:rPr>
        <w:t xml:space="preserve">ommige lidstaten vonden dat de </w:t>
      </w:r>
      <w:r w:rsidRPr="00E70FF9" w:rsidR="00E70FF9">
        <w:rPr>
          <w:sz w:val="18"/>
          <w:szCs w:val="18"/>
        </w:rPr>
        <w:t xml:space="preserve">toezichthouder van de hoofdvestiging alleen corrigerende bevoegdheden </w:t>
      </w:r>
      <w:r w:rsidR="00C235A3">
        <w:rPr>
          <w:sz w:val="18"/>
          <w:szCs w:val="18"/>
        </w:rPr>
        <w:t>mag krijgen</w:t>
      </w:r>
      <w:r w:rsidRPr="00E70FF9" w:rsidR="00E70FF9">
        <w:rPr>
          <w:sz w:val="18"/>
          <w:szCs w:val="18"/>
        </w:rPr>
        <w:t xml:space="preserve"> als de nationale toezichthouder hierin toestemt</w:t>
      </w:r>
      <w:r w:rsidR="00E70FF9">
        <w:rPr>
          <w:sz w:val="18"/>
          <w:szCs w:val="18"/>
        </w:rPr>
        <w:t>.</w:t>
      </w:r>
      <w:r w:rsidR="002775AC">
        <w:rPr>
          <w:sz w:val="18"/>
          <w:szCs w:val="18"/>
        </w:rPr>
        <w:t xml:space="preserve"> </w:t>
      </w:r>
      <w:r w:rsidR="00C235A3">
        <w:rPr>
          <w:sz w:val="18"/>
          <w:szCs w:val="18"/>
        </w:rPr>
        <w:t>Een lidstaat benadrukte dat he</w:t>
      </w:r>
      <w:r w:rsidR="002775AC">
        <w:rPr>
          <w:sz w:val="18"/>
          <w:szCs w:val="18"/>
        </w:rPr>
        <w:t xml:space="preserve">t een goede </w:t>
      </w:r>
      <w:r w:rsidRPr="002775AC" w:rsidR="002775AC">
        <w:rPr>
          <w:sz w:val="18"/>
          <w:szCs w:val="18"/>
        </w:rPr>
        <w:t xml:space="preserve">zaak </w:t>
      </w:r>
      <w:r w:rsidR="002775AC">
        <w:rPr>
          <w:sz w:val="18"/>
          <w:szCs w:val="18"/>
        </w:rPr>
        <w:t xml:space="preserve">is </w:t>
      </w:r>
      <w:r w:rsidR="00C235A3">
        <w:rPr>
          <w:sz w:val="18"/>
          <w:szCs w:val="18"/>
        </w:rPr>
        <w:t>als</w:t>
      </w:r>
      <w:r w:rsidRPr="002775AC" w:rsidR="002775AC">
        <w:rPr>
          <w:sz w:val="18"/>
          <w:szCs w:val="18"/>
        </w:rPr>
        <w:t xml:space="preserve"> de nationale toezichthouder ook bevoegd wordt, ook al is er geen (hoofd)vestiging binnen het grondgebied</w:t>
      </w:r>
      <w:r w:rsidR="00C235A3">
        <w:rPr>
          <w:sz w:val="18"/>
          <w:szCs w:val="18"/>
        </w:rPr>
        <w:t>; i</w:t>
      </w:r>
      <w:r w:rsidR="002775AC">
        <w:rPr>
          <w:sz w:val="18"/>
          <w:szCs w:val="18"/>
        </w:rPr>
        <w:t>n</w:t>
      </w:r>
      <w:r w:rsidRPr="002775AC" w:rsidR="002775AC">
        <w:rPr>
          <w:sz w:val="18"/>
          <w:szCs w:val="18"/>
        </w:rPr>
        <w:t xml:space="preserve"> </w:t>
      </w:r>
      <w:r w:rsidR="002775AC">
        <w:rPr>
          <w:sz w:val="18"/>
          <w:szCs w:val="18"/>
        </w:rPr>
        <w:t xml:space="preserve">het huidige </w:t>
      </w:r>
      <w:r w:rsidRPr="002775AC" w:rsidR="002775AC">
        <w:rPr>
          <w:sz w:val="18"/>
          <w:szCs w:val="18"/>
        </w:rPr>
        <w:t>digitale tijdperk</w:t>
      </w:r>
      <w:r w:rsidR="002775AC">
        <w:rPr>
          <w:sz w:val="18"/>
          <w:szCs w:val="18"/>
        </w:rPr>
        <w:t xml:space="preserve"> moet dat geen probleem zijn</w:t>
      </w:r>
      <w:r w:rsidRPr="002775AC" w:rsidR="002775AC">
        <w:rPr>
          <w:sz w:val="18"/>
          <w:szCs w:val="18"/>
        </w:rPr>
        <w:t xml:space="preserve">. </w:t>
      </w:r>
      <w:r w:rsidR="00C235A3">
        <w:rPr>
          <w:sz w:val="18"/>
          <w:szCs w:val="18"/>
        </w:rPr>
        <w:t>H</w:t>
      </w:r>
      <w:r w:rsidR="002775AC">
        <w:rPr>
          <w:sz w:val="18"/>
          <w:szCs w:val="18"/>
        </w:rPr>
        <w:t xml:space="preserve">et is </w:t>
      </w:r>
      <w:r w:rsidRPr="002775AC" w:rsidR="002775AC">
        <w:rPr>
          <w:sz w:val="18"/>
          <w:szCs w:val="18"/>
        </w:rPr>
        <w:t>jammer dat er bij de toepassing van de corrigerende bevoegdheden en rechtsbescherming we</w:t>
      </w:r>
      <w:r w:rsidR="002775AC">
        <w:rPr>
          <w:sz w:val="18"/>
          <w:szCs w:val="18"/>
        </w:rPr>
        <w:t>er</w:t>
      </w:r>
      <w:r w:rsidRPr="002775AC" w:rsidR="002775AC">
        <w:rPr>
          <w:sz w:val="18"/>
          <w:szCs w:val="18"/>
        </w:rPr>
        <w:t xml:space="preserve"> territoriale grenzen worden getrokken</w:t>
      </w:r>
      <w:r w:rsidR="002775AC">
        <w:rPr>
          <w:sz w:val="18"/>
          <w:szCs w:val="18"/>
        </w:rPr>
        <w:t xml:space="preserve">, merkte een </w:t>
      </w:r>
      <w:r w:rsidR="00C235A3">
        <w:rPr>
          <w:sz w:val="18"/>
          <w:szCs w:val="18"/>
        </w:rPr>
        <w:t xml:space="preserve">andere </w:t>
      </w:r>
      <w:r w:rsidR="002775AC">
        <w:rPr>
          <w:sz w:val="18"/>
          <w:szCs w:val="18"/>
        </w:rPr>
        <w:t>lidstaat op</w:t>
      </w:r>
      <w:r w:rsidRPr="002775AC" w:rsidR="002775AC">
        <w:rPr>
          <w:sz w:val="18"/>
          <w:szCs w:val="18"/>
        </w:rPr>
        <w:t>.</w:t>
      </w:r>
    </w:p>
    <w:p w:rsidR="00210658" w:rsidP="00C0602A" w:rsidRDefault="00C235A3" w14:paraId="07A804DC" w14:textId="18BBAF8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Zeker een zevental lidstaten gaf aan</w:t>
      </w:r>
      <w:r w:rsidR="0027672C">
        <w:rPr>
          <w:sz w:val="18"/>
          <w:szCs w:val="18"/>
        </w:rPr>
        <w:t xml:space="preserve"> </w:t>
      </w:r>
      <w:r w:rsidR="00151212">
        <w:rPr>
          <w:sz w:val="18"/>
          <w:szCs w:val="18"/>
        </w:rPr>
        <w:t xml:space="preserve">geen </w:t>
      </w:r>
      <w:r w:rsidRPr="00151212" w:rsidR="00151212">
        <w:rPr>
          <w:sz w:val="18"/>
          <w:szCs w:val="18"/>
        </w:rPr>
        <w:t>exclusieve bevoegdheden voor de toezi</w:t>
      </w:r>
      <w:r w:rsidR="00210658">
        <w:rPr>
          <w:sz w:val="18"/>
          <w:szCs w:val="18"/>
        </w:rPr>
        <w:t>chthouder van de hoofdvestiging</w:t>
      </w:r>
      <w:r>
        <w:rPr>
          <w:sz w:val="18"/>
          <w:szCs w:val="18"/>
        </w:rPr>
        <w:t xml:space="preserve"> te willen. Juist</w:t>
      </w:r>
      <w:r w:rsidR="00210658">
        <w:rPr>
          <w:sz w:val="18"/>
          <w:szCs w:val="18"/>
        </w:rPr>
        <w:t xml:space="preserve"> de nationale toezichthouder moet de corrigerende bevoegdheden houden. </w:t>
      </w:r>
      <w:r>
        <w:rPr>
          <w:sz w:val="18"/>
          <w:szCs w:val="18"/>
        </w:rPr>
        <w:t>Er was w</w:t>
      </w:r>
      <w:r w:rsidR="0027672C">
        <w:rPr>
          <w:sz w:val="18"/>
          <w:szCs w:val="18"/>
        </w:rPr>
        <w:t xml:space="preserve">el </w:t>
      </w:r>
      <w:r>
        <w:rPr>
          <w:sz w:val="18"/>
          <w:szCs w:val="18"/>
        </w:rPr>
        <w:t xml:space="preserve">wat </w:t>
      </w:r>
      <w:r w:rsidR="0027672C">
        <w:rPr>
          <w:sz w:val="18"/>
          <w:szCs w:val="18"/>
        </w:rPr>
        <w:t xml:space="preserve">steun voor het geven van autorisatiebevoegdheden aan de toezichthouder van de hoofdvestiging. </w:t>
      </w:r>
      <w:r>
        <w:rPr>
          <w:sz w:val="18"/>
          <w:szCs w:val="18"/>
        </w:rPr>
        <w:t xml:space="preserve">Twee lidstaten benadrukten </w:t>
      </w:r>
      <w:r w:rsidR="00E70FF9">
        <w:rPr>
          <w:sz w:val="18"/>
          <w:szCs w:val="18"/>
        </w:rPr>
        <w:t xml:space="preserve">dat </w:t>
      </w:r>
      <w:r>
        <w:rPr>
          <w:sz w:val="18"/>
          <w:szCs w:val="18"/>
        </w:rPr>
        <w:t xml:space="preserve">wat hen betreft </w:t>
      </w:r>
      <w:r w:rsidRPr="00E70FF9" w:rsidR="00E70FF9">
        <w:rPr>
          <w:sz w:val="18"/>
          <w:szCs w:val="18"/>
        </w:rPr>
        <w:t>exclusieve corrigerende bevoegdheden binnen het eigen grondgebied</w:t>
      </w:r>
      <w:r>
        <w:rPr>
          <w:sz w:val="18"/>
          <w:szCs w:val="18"/>
        </w:rPr>
        <w:t xml:space="preserve"> blijven</w:t>
      </w:r>
      <w:r w:rsidRPr="00E70FF9" w:rsidR="00E70FF9">
        <w:rPr>
          <w:sz w:val="18"/>
          <w:szCs w:val="18"/>
        </w:rPr>
        <w:t>, dus bij de nationale toezichthouder</w:t>
      </w:r>
      <w:r>
        <w:rPr>
          <w:sz w:val="18"/>
          <w:szCs w:val="18"/>
        </w:rPr>
        <w:t>. O</w:t>
      </w:r>
      <w:r w:rsidR="00475A97">
        <w:rPr>
          <w:sz w:val="18"/>
          <w:szCs w:val="18"/>
        </w:rPr>
        <w:t>ok de</w:t>
      </w:r>
      <w:r w:rsidRPr="00475A97" w:rsidR="00475A97">
        <w:rPr>
          <w:rFonts w:ascii="Times New Roman" w:hAnsi="Times New Roman" w:eastAsia="Times New Roman"/>
          <w:color w:val="auto"/>
          <w:sz w:val="24"/>
          <w:szCs w:val="24"/>
        </w:rPr>
        <w:t xml:space="preserve"> </w:t>
      </w:r>
      <w:r w:rsidRPr="00475A97" w:rsidR="00475A97">
        <w:rPr>
          <w:sz w:val="18"/>
          <w:szCs w:val="18"/>
        </w:rPr>
        <w:t>burger moet hiertegen in bezwaar en beroep kunnen</w:t>
      </w:r>
      <w:r>
        <w:rPr>
          <w:sz w:val="18"/>
          <w:szCs w:val="18"/>
        </w:rPr>
        <w:t>,</w:t>
      </w:r>
      <w:r w:rsidRPr="00475A97" w:rsidR="00475A97">
        <w:rPr>
          <w:sz w:val="18"/>
          <w:szCs w:val="18"/>
        </w:rPr>
        <w:t xml:space="preserve"> binnen het eigen grondgebied.</w:t>
      </w:r>
    </w:p>
    <w:p w:rsidR="00151212" w:rsidP="00C0602A" w:rsidRDefault="00C235A3" w14:paraId="53CF213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Twee lidstaten gaven aan te kunnen instemmen met </w:t>
      </w:r>
      <w:r w:rsidR="00210658">
        <w:rPr>
          <w:sz w:val="18"/>
          <w:szCs w:val="18"/>
        </w:rPr>
        <w:t>gedeelde corrigerende bevoegdheden voor de toezichthouder van de hoofdvestiging en nationale toezichthouder.</w:t>
      </w:r>
      <w:r w:rsidR="00F80719">
        <w:rPr>
          <w:sz w:val="18"/>
          <w:szCs w:val="18"/>
        </w:rPr>
        <w:t xml:space="preserve"> </w:t>
      </w:r>
      <w:r>
        <w:rPr>
          <w:sz w:val="18"/>
          <w:szCs w:val="18"/>
        </w:rPr>
        <w:t>Daarbij moet de</w:t>
      </w:r>
      <w:r w:rsidR="00151212">
        <w:rPr>
          <w:sz w:val="18"/>
          <w:szCs w:val="18"/>
        </w:rPr>
        <w:t xml:space="preserve"> </w:t>
      </w:r>
      <w:r w:rsidRPr="00210658" w:rsidR="00210658">
        <w:rPr>
          <w:sz w:val="18"/>
          <w:szCs w:val="18"/>
        </w:rPr>
        <w:t xml:space="preserve">toezichthouder van de hoofdvestiging ook passende bevoegdheden hebben om </w:t>
      </w:r>
      <w:r>
        <w:rPr>
          <w:sz w:val="18"/>
          <w:szCs w:val="18"/>
        </w:rPr>
        <w:t>de eigen</w:t>
      </w:r>
      <w:r w:rsidRPr="00210658" w:rsidR="00210658">
        <w:rPr>
          <w:sz w:val="18"/>
          <w:szCs w:val="18"/>
        </w:rPr>
        <w:t xml:space="preserve"> rol waar te maken. Maar </w:t>
      </w:r>
      <w:r>
        <w:rPr>
          <w:sz w:val="18"/>
          <w:szCs w:val="18"/>
        </w:rPr>
        <w:t xml:space="preserve">ook door deze lidstaten werd benadrukt dat </w:t>
      </w:r>
      <w:r w:rsidRPr="00210658" w:rsidR="00210658">
        <w:rPr>
          <w:sz w:val="18"/>
          <w:szCs w:val="18"/>
        </w:rPr>
        <w:t xml:space="preserve">de nationale toezichthouder corrigerende bevoegdheden </w:t>
      </w:r>
      <w:r>
        <w:rPr>
          <w:sz w:val="18"/>
          <w:szCs w:val="18"/>
        </w:rPr>
        <w:t xml:space="preserve">moet </w:t>
      </w:r>
      <w:r w:rsidRPr="00210658" w:rsidR="00210658">
        <w:rPr>
          <w:sz w:val="18"/>
          <w:szCs w:val="18"/>
        </w:rPr>
        <w:t>hebben.</w:t>
      </w:r>
    </w:p>
    <w:p w:rsidR="00210658" w:rsidP="00C0602A" w:rsidRDefault="00C235A3" w14:paraId="4C395A9F" w14:textId="66EF8EC4">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Een lidstaat maakte </w:t>
      </w:r>
      <w:r w:rsidRPr="00210658" w:rsidR="00210658">
        <w:rPr>
          <w:sz w:val="18"/>
          <w:szCs w:val="18"/>
        </w:rPr>
        <w:t>een onderscheid tussen de corrigerende bevoegdheden voor de nationale toezichthouder in het kader van de nabijheid en rechtsbescherming en de toezichthouder van de hoof</w:t>
      </w:r>
      <w:r w:rsidR="00256184">
        <w:rPr>
          <w:sz w:val="18"/>
          <w:szCs w:val="18"/>
        </w:rPr>
        <w:t>d</w:t>
      </w:r>
      <w:r w:rsidRPr="00210658" w:rsidR="00210658">
        <w:rPr>
          <w:sz w:val="18"/>
          <w:szCs w:val="18"/>
        </w:rPr>
        <w:t xml:space="preserve">vestiging. De toezichthouder van de hoofdvestiging moet de andere toezichthouders betrekken als </w:t>
      </w:r>
      <w:r w:rsidR="00FA2468">
        <w:rPr>
          <w:sz w:val="18"/>
          <w:szCs w:val="18"/>
        </w:rPr>
        <w:t>h</w:t>
      </w:r>
      <w:r w:rsidRPr="00210658" w:rsidR="00210658">
        <w:rPr>
          <w:sz w:val="18"/>
          <w:szCs w:val="18"/>
        </w:rPr>
        <w:t>ij een besluit wil nemen. Dit moet in goede samenwerking</w:t>
      </w:r>
      <w:r w:rsidR="00256184">
        <w:rPr>
          <w:sz w:val="18"/>
          <w:szCs w:val="18"/>
        </w:rPr>
        <w:t>, volgens die lidstaat</w:t>
      </w:r>
      <w:r w:rsidRPr="00210658" w:rsidR="00210658">
        <w:rPr>
          <w:sz w:val="18"/>
          <w:szCs w:val="18"/>
        </w:rPr>
        <w:t>.</w:t>
      </w:r>
    </w:p>
    <w:p w:rsidR="00210658" w:rsidP="00C0602A" w:rsidRDefault="00210658" w14:paraId="4F566F56"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Pr="00EF25ED" w:rsidR="00256184" w:rsidP="00C0602A" w:rsidRDefault="00256184" w14:paraId="41FA0D7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i/>
          <w:sz w:val="18"/>
          <w:szCs w:val="18"/>
        </w:rPr>
      </w:pPr>
      <w:r w:rsidRPr="00EF25ED">
        <w:rPr>
          <w:i/>
          <w:sz w:val="18"/>
          <w:szCs w:val="18"/>
        </w:rPr>
        <w:t>2) In geval van een negatief antwoord op vraag 1, kunt u dan aangeven of in alle gevallen deze corrigerende bevoegdheden bij de nationale toezichthouder moeten blijven of dat bij sommige zeer belangrijke transnationale zaken de EDPB de bevoegdheid krijgt om bindende besluiten te nemen?</w:t>
      </w:r>
    </w:p>
    <w:p w:rsidR="00256184" w:rsidP="00C0602A" w:rsidRDefault="00256184" w14:paraId="30E32BD4"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Pr="00C0602A" w:rsidR="008F4DA6" w:rsidP="008F4DA6" w:rsidRDefault="008F4DA6" w14:paraId="16153431" w14:textId="0F44E85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bCs/>
          <w:sz w:val="18"/>
          <w:szCs w:val="18"/>
        </w:rPr>
        <w:t>Op vraag</w:t>
      </w:r>
      <w:r w:rsidRPr="00C0602A">
        <w:rPr>
          <w:sz w:val="18"/>
          <w:szCs w:val="18"/>
        </w:rPr>
        <w:t xml:space="preserve"> 2) </w:t>
      </w:r>
      <w:r>
        <w:rPr>
          <w:sz w:val="18"/>
          <w:szCs w:val="18"/>
        </w:rPr>
        <w:t xml:space="preserve">gaf minister </w:t>
      </w:r>
      <w:r w:rsidR="00FA2468">
        <w:rPr>
          <w:sz w:val="18"/>
          <w:szCs w:val="18"/>
        </w:rPr>
        <w:t xml:space="preserve">Opstelten </w:t>
      </w:r>
      <w:r>
        <w:rPr>
          <w:sz w:val="18"/>
          <w:szCs w:val="18"/>
        </w:rPr>
        <w:t xml:space="preserve">aan dat Nederland </w:t>
      </w:r>
      <w:r w:rsidRPr="00C0602A">
        <w:rPr>
          <w:sz w:val="18"/>
          <w:szCs w:val="18"/>
        </w:rPr>
        <w:t xml:space="preserve">er voorstander van </w:t>
      </w:r>
      <w:r>
        <w:rPr>
          <w:sz w:val="18"/>
          <w:szCs w:val="18"/>
        </w:rPr>
        <w:t xml:space="preserve">is </w:t>
      </w:r>
      <w:r w:rsidRPr="00C0602A">
        <w:rPr>
          <w:sz w:val="18"/>
          <w:szCs w:val="18"/>
        </w:rPr>
        <w:t xml:space="preserve">om de EDPB een beslissende rol toe te kennen in grensoverschrijdende zaken, wanneer verschillen van inzicht blijken tussen de betrokken toezichthouders. Zo nodig moet de EDPB bindende uitspraken kunnen doen. </w:t>
      </w:r>
      <w:r>
        <w:rPr>
          <w:sz w:val="18"/>
          <w:szCs w:val="18"/>
        </w:rPr>
        <w:t xml:space="preserve">Voorts gaf de minister aan </w:t>
      </w:r>
      <w:r w:rsidRPr="00C0602A">
        <w:rPr>
          <w:sz w:val="18"/>
          <w:szCs w:val="18"/>
        </w:rPr>
        <w:t xml:space="preserve">wel wat vragen </w:t>
      </w:r>
      <w:r>
        <w:rPr>
          <w:sz w:val="18"/>
          <w:szCs w:val="18"/>
        </w:rPr>
        <w:t>te hebben bij het advies van de JDR</w:t>
      </w:r>
      <w:r w:rsidRPr="00C0602A">
        <w:rPr>
          <w:sz w:val="18"/>
          <w:szCs w:val="18"/>
        </w:rPr>
        <w:t xml:space="preserve">. Het lijkt alsof de analyse eigenlijk maar twee oplossingen openlaat. Namelijk ofwel één Europese toezichthouder voor alle grensoverschrijdende dataprotectiezaken, ofwel het behoud van de bestaande toestand met 28 toezichthouders en een informele samenwerking. </w:t>
      </w:r>
      <w:r>
        <w:rPr>
          <w:sz w:val="18"/>
          <w:szCs w:val="18"/>
        </w:rPr>
        <w:t xml:space="preserve">Wat Nederland betreft zou toch echt naar de mogelijkheden van </w:t>
      </w:r>
      <w:r w:rsidRPr="00C0602A">
        <w:rPr>
          <w:sz w:val="18"/>
          <w:szCs w:val="18"/>
        </w:rPr>
        <w:t xml:space="preserve">een hybride model </w:t>
      </w:r>
      <w:r>
        <w:rPr>
          <w:sz w:val="18"/>
          <w:szCs w:val="18"/>
        </w:rPr>
        <w:t>moeten worden gekeken.</w:t>
      </w:r>
      <w:r w:rsidRPr="00C0602A">
        <w:rPr>
          <w:sz w:val="18"/>
          <w:szCs w:val="18"/>
        </w:rPr>
        <w:t xml:space="preserve"> </w:t>
      </w:r>
      <w:r>
        <w:rPr>
          <w:sz w:val="18"/>
          <w:szCs w:val="18"/>
        </w:rPr>
        <w:t xml:space="preserve">Tot slot gaf de minister aan de </w:t>
      </w:r>
      <w:r w:rsidRPr="00C0602A">
        <w:rPr>
          <w:sz w:val="18"/>
          <w:szCs w:val="18"/>
        </w:rPr>
        <w:t xml:space="preserve">adviezen van beide juridische diensten </w:t>
      </w:r>
      <w:r>
        <w:rPr>
          <w:sz w:val="18"/>
          <w:szCs w:val="18"/>
        </w:rPr>
        <w:t xml:space="preserve">eerst nog eens </w:t>
      </w:r>
      <w:r w:rsidRPr="00C0602A">
        <w:rPr>
          <w:sz w:val="18"/>
          <w:szCs w:val="18"/>
        </w:rPr>
        <w:t xml:space="preserve">goed te </w:t>
      </w:r>
      <w:r>
        <w:rPr>
          <w:sz w:val="18"/>
          <w:szCs w:val="18"/>
        </w:rPr>
        <w:t xml:space="preserve">willen </w:t>
      </w:r>
      <w:r w:rsidRPr="00C0602A">
        <w:rPr>
          <w:sz w:val="18"/>
          <w:szCs w:val="18"/>
        </w:rPr>
        <w:t xml:space="preserve">bestuderen en </w:t>
      </w:r>
      <w:r>
        <w:rPr>
          <w:sz w:val="18"/>
          <w:szCs w:val="18"/>
        </w:rPr>
        <w:t>andere lidstaten op dit punt te steunen.</w:t>
      </w:r>
      <w:r w:rsidRPr="00C0602A">
        <w:rPr>
          <w:sz w:val="18"/>
          <w:szCs w:val="18"/>
        </w:rPr>
        <w:t xml:space="preserve"> </w:t>
      </w:r>
    </w:p>
    <w:p w:rsidR="008F4DA6" w:rsidP="00C0602A" w:rsidRDefault="008F4DA6" w14:paraId="467FFCE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00210658" w:rsidP="00C0602A" w:rsidRDefault="00256184" w14:paraId="371670E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De lidstaten reageerden </w:t>
      </w:r>
      <w:r w:rsidR="008F4DA6">
        <w:rPr>
          <w:sz w:val="18"/>
          <w:szCs w:val="18"/>
        </w:rPr>
        <w:t>verder langs de volgende lijnen</w:t>
      </w:r>
      <w:r>
        <w:rPr>
          <w:sz w:val="18"/>
          <w:szCs w:val="18"/>
        </w:rPr>
        <w:t>.</w:t>
      </w:r>
    </w:p>
    <w:p w:rsidR="005D3AF6" w:rsidP="00C0602A" w:rsidRDefault="00F44C0F" w14:paraId="72F71EB8" w14:textId="7349043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Een vijftal lidstaten vond dat d</w:t>
      </w:r>
      <w:r w:rsidRPr="00256184" w:rsidR="00256184">
        <w:rPr>
          <w:sz w:val="18"/>
          <w:szCs w:val="18"/>
        </w:rPr>
        <w:t xml:space="preserve">e EDPB wel bindende besluiten </w:t>
      </w:r>
      <w:r>
        <w:rPr>
          <w:sz w:val="18"/>
          <w:szCs w:val="18"/>
        </w:rPr>
        <w:t xml:space="preserve">zou moeten kunnen </w:t>
      </w:r>
      <w:r w:rsidRPr="00256184" w:rsidR="00256184">
        <w:rPr>
          <w:sz w:val="18"/>
          <w:szCs w:val="18"/>
        </w:rPr>
        <w:t xml:space="preserve">nemen, maar alleen in </w:t>
      </w:r>
      <w:r w:rsidR="0040441B">
        <w:rPr>
          <w:sz w:val="18"/>
          <w:szCs w:val="18"/>
        </w:rPr>
        <w:t xml:space="preserve">bepaalde </w:t>
      </w:r>
      <w:r w:rsidRPr="00256184" w:rsidR="00256184">
        <w:rPr>
          <w:sz w:val="18"/>
          <w:szCs w:val="18"/>
        </w:rPr>
        <w:t>gevallen</w:t>
      </w:r>
      <w:r w:rsidR="0040441B">
        <w:rPr>
          <w:sz w:val="18"/>
          <w:szCs w:val="18"/>
        </w:rPr>
        <w:t xml:space="preserve">, bijvoorbeeld als </w:t>
      </w:r>
      <w:r w:rsidRPr="00256184" w:rsidR="00256184">
        <w:rPr>
          <w:sz w:val="18"/>
          <w:szCs w:val="18"/>
        </w:rPr>
        <w:t xml:space="preserve">de toezichthouders het niet eens kunnen worden. </w:t>
      </w:r>
      <w:r>
        <w:rPr>
          <w:sz w:val="18"/>
          <w:szCs w:val="18"/>
        </w:rPr>
        <w:t xml:space="preserve">Er werd </w:t>
      </w:r>
      <w:r w:rsidRPr="00256184" w:rsidR="00256184">
        <w:rPr>
          <w:sz w:val="18"/>
          <w:szCs w:val="18"/>
        </w:rPr>
        <w:t>verw</w:t>
      </w:r>
      <w:r>
        <w:rPr>
          <w:sz w:val="18"/>
          <w:szCs w:val="18"/>
        </w:rPr>
        <w:t>ezen</w:t>
      </w:r>
      <w:r w:rsidRPr="00256184" w:rsidR="00256184">
        <w:rPr>
          <w:sz w:val="18"/>
          <w:szCs w:val="18"/>
        </w:rPr>
        <w:t xml:space="preserve"> naar de ER-conclusies</w:t>
      </w:r>
      <w:r w:rsidR="0040441B">
        <w:rPr>
          <w:sz w:val="18"/>
          <w:szCs w:val="18"/>
        </w:rPr>
        <w:t>.</w:t>
      </w:r>
      <w:r w:rsidRPr="005D3AF6" w:rsidR="005D3AF6">
        <w:rPr>
          <w:rFonts w:ascii="Times New Roman" w:hAnsi="Times New Roman" w:eastAsia="Calibri"/>
          <w:color w:val="auto"/>
          <w:sz w:val="24"/>
          <w:szCs w:val="24"/>
          <w:lang w:eastAsia="en-US"/>
        </w:rPr>
        <w:t xml:space="preserve"> </w:t>
      </w:r>
      <w:r>
        <w:rPr>
          <w:sz w:val="18"/>
          <w:szCs w:val="18"/>
        </w:rPr>
        <w:t xml:space="preserve">Twee lidstaten (HON FRA) </w:t>
      </w:r>
      <w:r w:rsidR="005D3AF6">
        <w:rPr>
          <w:sz w:val="18"/>
          <w:szCs w:val="18"/>
        </w:rPr>
        <w:t xml:space="preserve">gaven aan </w:t>
      </w:r>
      <w:r w:rsidRPr="005D3AF6" w:rsidR="005D3AF6">
        <w:rPr>
          <w:sz w:val="18"/>
          <w:szCs w:val="18"/>
        </w:rPr>
        <w:t xml:space="preserve">zeer </w:t>
      </w:r>
      <w:r w:rsidR="005D3AF6">
        <w:rPr>
          <w:sz w:val="18"/>
          <w:szCs w:val="18"/>
        </w:rPr>
        <w:t xml:space="preserve">te hechten </w:t>
      </w:r>
      <w:r w:rsidRPr="005D3AF6" w:rsidR="005D3AF6">
        <w:rPr>
          <w:sz w:val="18"/>
          <w:szCs w:val="18"/>
        </w:rPr>
        <w:t>aan het nabijheidsbeginsel.</w:t>
      </w:r>
      <w:r w:rsidR="005D3AF6">
        <w:rPr>
          <w:sz w:val="18"/>
          <w:szCs w:val="18"/>
        </w:rPr>
        <w:t xml:space="preserve"> Rechtsbescherming van de burger is erg belangrijk. Daarom moeten b</w:t>
      </w:r>
      <w:r w:rsidRPr="005D3AF6" w:rsidR="005D3AF6">
        <w:rPr>
          <w:sz w:val="18"/>
          <w:szCs w:val="18"/>
        </w:rPr>
        <w:t>urger</w:t>
      </w:r>
      <w:r w:rsidR="005D3AF6">
        <w:rPr>
          <w:sz w:val="18"/>
          <w:szCs w:val="18"/>
        </w:rPr>
        <w:t>s</w:t>
      </w:r>
      <w:r w:rsidRPr="005D3AF6" w:rsidR="005D3AF6">
        <w:rPr>
          <w:sz w:val="18"/>
          <w:szCs w:val="18"/>
        </w:rPr>
        <w:t xml:space="preserve"> binnen hun eigen grondgebied kunnen </w:t>
      </w:r>
      <w:r w:rsidR="005D3AF6">
        <w:rPr>
          <w:sz w:val="18"/>
          <w:szCs w:val="18"/>
        </w:rPr>
        <w:t>op</w:t>
      </w:r>
      <w:r w:rsidRPr="005D3AF6" w:rsidR="005D3AF6">
        <w:rPr>
          <w:sz w:val="18"/>
          <w:szCs w:val="18"/>
        </w:rPr>
        <w:t>treden tegen besluiten van de nationale toezichthouder.</w:t>
      </w:r>
      <w:r w:rsidR="005D3AF6">
        <w:rPr>
          <w:sz w:val="18"/>
          <w:szCs w:val="18"/>
        </w:rPr>
        <w:t xml:space="preserve"> </w:t>
      </w:r>
      <w:r>
        <w:rPr>
          <w:sz w:val="18"/>
          <w:szCs w:val="18"/>
        </w:rPr>
        <w:t>Een lidstaat (</w:t>
      </w:r>
      <w:r w:rsidR="005D3AF6">
        <w:rPr>
          <w:sz w:val="18"/>
          <w:szCs w:val="18"/>
        </w:rPr>
        <w:t>Spa</w:t>
      </w:r>
      <w:r>
        <w:rPr>
          <w:sz w:val="18"/>
          <w:szCs w:val="18"/>
        </w:rPr>
        <w:t>)</w:t>
      </w:r>
      <w:r w:rsidR="005D3AF6">
        <w:rPr>
          <w:sz w:val="18"/>
          <w:szCs w:val="18"/>
        </w:rPr>
        <w:t xml:space="preserve"> legde de nadruk </w:t>
      </w:r>
      <w:r w:rsidRPr="005D3AF6" w:rsidR="005D3AF6">
        <w:rPr>
          <w:sz w:val="18"/>
          <w:szCs w:val="18"/>
        </w:rPr>
        <w:t>op de nationale toezichthouder die in overleg met de toezichthouder van de hoofdvestiging een bepaald besluit op kan leggen</w:t>
      </w:r>
      <w:r w:rsidR="005D3AF6">
        <w:rPr>
          <w:sz w:val="18"/>
          <w:szCs w:val="18"/>
        </w:rPr>
        <w:t>, maar onder bepaalde omstandigheden zou de EDPB wel bindende besluiten mogen nemen.</w:t>
      </w:r>
    </w:p>
    <w:p w:rsidR="005D3AF6" w:rsidP="00C0602A" w:rsidRDefault="00F44C0F" w14:paraId="0D6264E5" w14:textId="53347538">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Een andere lidstaat </w:t>
      </w:r>
      <w:r w:rsidR="00A65158">
        <w:rPr>
          <w:sz w:val="18"/>
          <w:szCs w:val="18"/>
        </w:rPr>
        <w:t xml:space="preserve">gaf in aansluiting op de JDR </w:t>
      </w:r>
      <w:r>
        <w:rPr>
          <w:sz w:val="18"/>
          <w:szCs w:val="18"/>
        </w:rPr>
        <w:t xml:space="preserve">aan </w:t>
      </w:r>
      <w:r w:rsidR="00A65158">
        <w:rPr>
          <w:sz w:val="18"/>
          <w:szCs w:val="18"/>
        </w:rPr>
        <w:t xml:space="preserve">dat </w:t>
      </w:r>
      <w:r>
        <w:rPr>
          <w:sz w:val="18"/>
          <w:szCs w:val="18"/>
        </w:rPr>
        <w:t xml:space="preserve">juist </w:t>
      </w:r>
      <w:r w:rsidR="00A65158">
        <w:rPr>
          <w:sz w:val="18"/>
          <w:szCs w:val="18"/>
        </w:rPr>
        <w:t>een EDPB in het kader van de nabijheid voor de burger een adequate rechtsbescherming zou kunnen bieden.</w:t>
      </w:r>
    </w:p>
    <w:p w:rsidR="0040441B" w:rsidP="00C0602A" w:rsidRDefault="00F44C0F" w14:paraId="12C555F9" w14:textId="61933EF4">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Een enkele lidstaat (Bel) vond éé</w:t>
      </w:r>
      <w:r w:rsidRPr="0040441B" w:rsidR="0040441B">
        <w:rPr>
          <w:sz w:val="18"/>
          <w:szCs w:val="18"/>
        </w:rPr>
        <w:t>n Europees agentschap, zoals de EDPB met uitgebreide bevoegdheden</w:t>
      </w:r>
      <w:r w:rsidR="00FA2468">
        <w:rPr>
          <w:sz w:val="18"/>
          <w:szCs w:val="18"/>
        </w:rPr>
        <w:t>,</w:t>
      </w:r>
      <w:r>
        <w:rPr>
          <w:sz w:val="18"/>
          <w:szCs w:val="18"/>
        </w:rPr>
        <w:t xml:space="preserve"> goed </w:t>
      </w:r>
      <w:r w:rsidR="0040441B">
        <w:rPr>
          <w:sz w:val="18"/>
          <w:szCs w:val="18"/>
        </w:rPr>
        <w:t>denkbaar</w:t>
      </w:r>
      <w:r w:rsidR="00D35AB8">
        <w:rPr>
          <w:sz w:val="18"/>
          <w:szCs w:val="18"/>
        </w:rPr>
        <w:t>.</w:t>
      </w:r>
    </w:p>
    <w:p w:rsidR="00F44C0F" w:rsidP="00C0602A" w:rsidRDefault="00F44C0F" w14:paraId="377FEE7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0040441B" w:rsidP="00C0602A" w:rsidRDefault="00D35AB8" w14:paraId="41EB8612" w14:textId="1E81D61D">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Er werd ook gesteld </w:t>
      </w:r>
      <w:r w:rsidR="0040441B">
        <w:rPr>
          <w:sz w:val="18"/>
          <w:szCs w:val="18"/>
        </w:rPr>
        <w:t>dat juist vanwege de bescherming van grondrechten,</w:t>
      </w:r>
      <w:r w:rsidR="00A65158">
        <w:rPr>
          <w:sz w:val="18"/>
          <w:szCs w:val="18"/>
        </w:rPr>
        <w:t xml:space="preserve"> zoals </w:t>
      </w:r>
      <w:r>
        <w:rPr>
          <w:sz w:val="18"/>
          <w:szCs w:val="18"/>
        </w:rPr>
        <w:t xml:space="preserve">aangegeven </w:t>
      </w:r>
      <w:r w:rsidR="00A65158">
        <w:rPr>
          <w:sz w:val="18"/>
          <w:szCs w:val="18"/>
        </w:rPr>
        <w:t xml:space="preserve">door de JDR, vooral (ook) </w:t>
      </w:r>
      <w:r w:rsidR="0040441B">
        <w:rPr>
          <w:sz w:val="18"/>
          <w:szCs w:val="18"/>
        </w:rPr>
        <w:t>de nationale toezichthouder</w:t>
      </w:r>
      <w:r w:rsidR="00A65158">
        <w:rPr>
          <w:sz w:val="18"/>
          <w:szCs w:val="18"/>
        </w:rPr>
        <w:t>s</w:t>
      </w:r>
      <w:r w:rsidR="0040441B">
        <w:rPr>
          <w:sz w:val="18"/>
          <w:szCs w:val="18"/>
        </w:rPr>
        <w:t xml:space="preserve"> corrigerende bevoegdheden moeten worden gegeven. </w:t>
      </w:r>
    </w:p>
    <w:p w:rsidR="0040441B" w:rsidP="00C0602A" w:rsidRDefault="00D35AB8" w14:paraId="038347A5" w14:textId="0DD19BE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Enkele andere lidstaten </w:t>
      </w:r>
      <w:r w:rsidR="005D3AF6">
        <w:rPr>
          <w:sz w:val="18"/>
          <w:szCs w:val="18"/>
        </w:rPr>
        <w:t>stelden dat de EDPB geen enkele bevoegdheid mag krijgen om bindende besluiten te nemen</w:t>
      </w:r>
      <w:r w:rsidR="008F4DA6">
        <w:rPr>
          <w:sz w:val="18"/>
          <w:szCs w:val="18"/>
        </w:rPr>
        <w:t xml:space="preserve">, </w:t>
      </w:r>
      <w:r>
        <w:rPr>
          <w:sz w:val="18"/>
          <w:szCs w:val="18"/>
        </w:rPr>
        <w:t xml:space="preserve">en weer </w:t>
      </w:r>
      <w:r w:rsidR="008F4DA6">
        <w:rPr>
          <w:sz w:val="18"/>
          <w:szCs w:val="18"/>
        </w:rPr>
        <w:t>anderen</w:t>
      </w:r>
      <w:r w:rsidR="00EF25ED">
        <w:rPr>
          <w:sz w:val="18"/>
          <w:szCs w:val="18"/>
        </w:rPr>
        <w:t xml:space="preserve"> </w:t>
      </w:r>
      <w:r>
        <w:rPr>
          <w:sz w:val="18"/>
          <w:szCs w:val="18"/>
        </w:rPr>
        <w:t xml:space="preserve">vonden </w:t>
      </w:r>
      <w:r w:rsidR="008F4DA6">
        <w:rPr>
          <w:sz w:val="18"/>
          <w:szCs w:val="18"/>
        </w:rPr>
        <w:t xml:space="preserve">dat dat de vraag of </w:t>
      </w:r>
      <w:r w:rsidRPr="008F4DA6" w:rsidR="008F4DA6">
        <w:rPr>
          <w:sz w:val="18"/>
          <w:szCs w:val="18"/>
        </w:rPr>
        <w:t>de EDPB binden</w:t>
      </w:r>
      <w:r w:rsidR="008F4DA6">
        <w:rPr>
          <w:sz w:val="18"/>
          <w:szCs w:val="18"/>
        </w:rPr>
        <w:t xml:space="preserve">de besluiten moet kunnen nemen, </w:t>
      </w:r>
      <w:r w:rsidRPr="008F4DA6" w:rsidR="008F4DA6">
        <w:rPr>
          <w:sz w:val="18"/>
          <w:szCs w:val="18"/>
        </w:rPr>
        <w:t xml:space="preserve">eerst op technisch niveau </w:t>
      </w:r>
      <w:r w:rsidR="008F4DA6">
        <w:rPr>
          <w:sz w:val="18"/>
          <w:szCs w:val="18"/>
        </w:rPr>
        <w:t xml:space="preserve">moeten </w:t>
      </w:r>
      <w:r w:rsidRPr="008F4DA6" w:rsidR="008F4DA6">
        <w:rPr>
          <w:sz w:val="18"/>
          <w:szCs w:val="18"/>
        </w:rPr>
        <w:t>worden uitgewerkt</w:t>
      </w:r>
      <w:r w:rsidR="00F44C0F">
        <w:rPr>
          <w:sz w:val="18"/>
          <w:szCs w:val="18"/>
        </w:rPr>
        <w:t xml:space="preserve"> en/of dat er vooral een rol zou moeten zijn voor de EPDB inzake geschillen tussen de nationale toezic</w:t>
      </w:r>
      <w:r w:rsidR="00EF25ED">
        <w:rPr>
          <w:sz w:val="18"/>
          <w:szCs w:val="18"/>
        </w:rPr>
        <w:t>ht</w:t>
      </w:r>
      <w:r w:rsidR="00F44C0F">
        <w:rPr>
          <w:sz w:val="18"/>
          <w:szCs w:val="18"/>
        </w:rPr>
        <w:t xml:space="preserve"> (Cyp KRO</w:t>
      </w:r>
      <w:r>
        <w:rPr>
          <w:sz w:val="18"/>
          <w:szCs w:val="18"/>
        </w:rPr>
        <w:t>)</w:t>
      </w:r>
      <w:r w:rsidR="00A65158">
        <w:rPr>
          <w:sz w:val="18"/>
          <w:szCs w:val="18"/>
        </w:rPr>
        <w:t xml:space="preserve">. </w:t>
      </w:r>
      <w:r w:rsidR="00A970D3">
        <w:rPr>
          <w:sz w:val="18"/>
          <w:szCs w:val="18"/>
        </w:rPr>
        <w:t>E</w:t>
      </w:r>
      <w:r>
        <w:rPr>
          <w:sz w:val="18"/>
          <w:szCs w:val="18"/>
        </w:rPr>
        <w:t>é</w:t>
      </w:r>
      <w:r w:rsidR="00A970D3">
        <w:rPr>
          <w:sz w:val="18"/>
          <w:szCs w:val="18"/>
        </w:rPr>
        <w:t xml:space="preserve">n lidstaat vond dat </w:t>
      </w:r>
      <w:r w:rsidRPr="00A970D3" w:rsidR="00A970D3">
        <w:rPr>
          <w:sz w:val="18"/>
          <w:szCs w:val="18"/>
        </w:rPr>
        <w:t>het antwoord op deze vraag moet voldoen aan de eisen, zoals gesteld in het VWEU en het Handvest</w:t>
      </w:r>
      <w:r w:rsidR="00A970D3">
        <w:rPr>
          <w:sz w:val="18"/>
          <w:szCs w:val="18"/>
        </w:rPr>
        <w:t>. E</w:t>
      </w:r>
      <w:r w:rsidR="00A65158">
        <w:rPr>
          <w:sz w:val="18"/>
          <w:szCs w:val="18"/>
        </w:rPr>
        <w:t xml:space="preserve">r werd </w:t>
      </w:r>
      <w:r>
        <w:rPr>
          <w:sz w:val="18"/>
          <w:szCs w:val="18"/>
        </w:rPr>
        <w:t xml:space="preserve">in deze discussie </w:t>
      </w:r>
      <w:r w:rsidR="00A65158">
        <w:rPr>
          <w:sz w:val="18"/>
          <w:szCs w:val="18"/>
        </w:rPr>
        <w:t xml:space="preserve">ook gewaarschuwd </w:t>
      </w:r>
      <w:r w:rsidR="00A970D3">
        <w:rPr>
          <w:sz w:val="18"/>
          <w:szCs w:val="18"/>
        </w:rPr>
        <w:t xml:space="preserve">(Lux) </w:t>
      </w:r>
      <w:r w:rsidR="00A65158">
        <w:rPr>
          <w:sz w:val="18"/>
          <w:szCs w:val="18"/>
        </w:rPr>
        <w:t xml:space="preserve">dat er </w:t>
      </w:r>
      <w:r w:rsidRPr="00A65158" w:rsidR="00A65158">
        <w:rPr>
          <w:sz w:val="18"/>
          <w:szCs w:val="18"/>
        </w:rPr>
        <w:t xml:space="preserve">geen politieke antwoorden </w:t>
      </w:r>
      <w:r w:rsidR="00A65158">
        <w:rPr>
          <w:sz w:val="18"/>
          <w:szCs w:val="18"/>
        </w:rPr>
        <w:t xml:space="preserve">worden </w:t>
      </w:r>
      <w:r w:rsidRPr="00A65158" w:rsidR="00A65158">
        <w:rPr>
          <w:sz w:val="18"/>
          <w:szCs w:val="18"/>
        </w:rPr>
        <w:t>geven op juridische vragen en andersom</w:t>
      </w:r>
      <w:r w:rsidR="00A65158">
        <w:rPr>
          <w:sz w:val="18"/>
          <w:szCs w:val="18"/>
        </w:rPr>
        <w:t>.</w:t>
      </w:r>
    </w:p>
    <w:p w:rsidR="005D3AF6" w:rsidP="00C0602A" w:rsidRDefault="005D3AF6" w14:paraId="5E60360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00151212" w:rsidP="00C0602A" w:rsidRDefault="00151212" w14:paraId="2C0536AF" w14:textId="760B1E6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 xml:space="preserve">Diverse landen benadrukten dat het in dit dossier </w:t>
      </w:r>
      <w:r w:rsidRPr="00C0602A">
        <w:rPr>
          <w:sz w:val="18"/>
          <w:szCs w:val="18"/>
        </w:rPr>
        <w:t>gaat om kwaliteit boven snelheid</w:t>
      </w:r>
      <w:r>
        <w:rPr>
          <w:sz w:val="18"/>
          <w:szCs w:val="18"/>
        </w:rPr>
        <w:t>. En dat eerst duidelijk juridisch advies moet bestaan, gezien de uiteenlopende adviezen nu van de JDR en JDC.</w:t>
      </w:r>
      <w:r w:rsidR="00210658">
        <w:rPr>
          <w:sz w:val="18"/>
          <w:szCs w:val="18"/>
        </w:rPr>
        <w:t xml:space="preserve"> </w:t>
      </w:r>
      <w:r w:rsidR="00C235A3">
        <w:rPr>
          <w:sz w:val="18"/>
          <w:szCs w:val="18"/>
        </w:rPr>
        <w:t>Wat kan nu wel en wat niet</w:t>
      </w:r>
      <w:r w:rsidR="00D35AB8">
        <w:rPr>
          <w:sz w:val="18"/>
          <w:szCs w:val="18"/>
        </w:rPr>
        <w:t>?</w:t>
      </w:r>
      <w:r w:rsidR="00C235A3">
        <w:rPr>
          <w:sz w:val="18"/>
          <w:szCs w:val="18"/>
        </w:rPr>
        <w:t xml:space="preserve"> </w:t>
      </w:r>
      <w:r w:rsidR="00210658">
        <w:rPr>
          <w:sz w:val="18"/>
          <w:szCs w:val="18"/>
        </w:rPr>
        <w:t xml:space="preserve">Van besluitvorming nu kan geen sprake zijn, gaven veel lidstaten aan. </w:t>
      </w:r>
      <w:r w:rsidR="00E70FF9">
        <w:rPr>
          <w:sz w:val="18"/>
          <w:szCs w:val="18"/>
        </w:rPr>
        <w:t xml:space="preserve">Er werd vrees geuit dat </w:t>
      </w:r>
      <w:r w:rsidR="00E362DB">
        <w:rPr>
          <w:sz w:val="18"/>
          <w:szCs w:val="18"/>
        </w:rPr>
        <w:t xml:space="preserve">de </w:t>
      </w:r>
      <w:r w:rsidR="00E70FF9">
        <w:rPr>
          <w:sz w:val="18"/>
          <w:szCs w:val="18"/>
        </w:rPr>
        <w:t xml:space="preserve">OSS geen verbetering is </w:t>
      </w:r>
      <w:r w:rsidRPr="00E70FF9" w:rsidR="00E70FF9">
        <w:rPr>
          <w:sz w:val="18"/>
          <w:szCs w:val="18"/>
        </w:rPr>
        <w:t>ten opzichte van de huidige situatie</w:t>
      </w:r>
      <w:r w:rsidR="00E70FF9">
        <w:rPr>
          <w:sz w:val="18"/>
          <w:szCs w:val="18"/>
        </w:rPr>
        <w:t>.</w:t>
      </w:r>
      <w:r w:rsidRPr="00E70FF9" w:rsidR="00E70FF9">
        <w:rPr>
          <w:sz w:val="18"/>
          <w:szCs w:val="18"/>
        </w:rPr>
        <w:t xml:space="preserve"> </w:t>
      </w:r>
      <w:r w:rsidR="00210658">
        <w:rPr>
          <w:sz w:val="18"/>
          <w:szCs w:val="18"/>
        </w:rPr>
        <w:t xml:space="preserve">Gewezen werd op </w:t>
      </w:r>
      <w:r w:rsidR="00E362DB">
        <w:rPr>
          <w:sz w:val="18"/>
          <w:szCs w:val="18"/>
        </w:rPr>
        <w:t xml:space="preserve">het </w:t>
      </w:r>
      <w:r w:rsidR="00210658">
        <w:rPr>
          <w:sz w:val="18"/>
          <w:szCs w:val="18"/>
        </w:rPr>
        <w:t xml:space="preserve">belang dat </w:t>
      </w:r>
      <w:r w:rsidR="00E362DB">
        <w:rPr>
          <w:sz w:val="18"/>
          <w:szCs w:val="18"/>
        </w:rPr>
        <w:t xml:space="preserve">een </w:t>
      </w:r>
      <w:r w:rsidR="00210658">
        <w:rPr>
          <w:sz w:val="18"/>
          <w:szCs w:val="18"/>
        </w:rPr>
        <w:t xml:space="preserve">OSS </w:t>
      </w:r>
      <w:r w:rsidRPr="00210658" w:rsidR="00210658">
        <w:rPr>
          <w:sz w:val="18"/>
          <w:szCs w:val="18"/>
        </w:rPr>
        <w:t>afgestemd moet zijn op de behoefte</w:t>
      </w:r>
      <w:r w:rsidR="00E362DB">
        <w:rPr>
          <w:sz w:val="18"/>
          <w:szCs w:val="18"/>
        </w:rPr>
        <w:t>n</w:t>
      </w:r>
      <w:r w:rsidRPr="00210658" w:rsidR="00210658">
        <w:rPr>
          <w:sz w:val="18"/>
          <w:szCs w:val="18"/>
        </w:rPr>
        <w:t xml:space="preserve"> van het bedrijfsleven en de burgers</w:t>
      </w:r>
      <w:r w:rsidR="00210658">
        <w:rPr>
          <w:sz w:val="18"/>
          <w:szCs w:val="18"/>
        </w:rPr>
        <w:t xml:space="preserve"> en h</w:t>
      </w:r>
      <w:r w:rsidR="00E362DB">
        <w:rPr>
          <w:sz w:val="18"/>
          <w:szCs w:val="18"/>
        </w:rPr>
        <w:t>u</w:t>
      </w:r>
      <w:r w:rsidR="00210658">
        <w:rPr>
          <w:sz w:val="18"/>
          <w:szCs w:val="18"/>
        </w:rPr>
        <w:t>n duidelijke garanties biedt.</w:t>
      </w:r>
    </w:p>
    <w:p w:rsidR="00210658" w:rsidP="00C0602A" w:rsidRDefault="00210658" w14:paraId="5F0F9B6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Pr="00C0602A" w:rsidR="00C0602A" w:rsidP="00C0602A" w:rsidRDefault="00531442" w14:paraId="74C8E733" w14:textId="239A0C9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Pr>
          <w:sz w:val="18"/>
          <w:szCs w:val="18"/>
        </w:rPr>
        <w:t xml:space="preserve">De </w:t>
      </w:r>
      <w:r w:rsidRPr="00C0602A" w:rsidR="00C0602A">
        <w:rPr>
          <w:sz w:val="18"/>
          <w:szCs w:val="18"/>
        </w:rPr>
        <w:t>C</w:t>
      </w:r>
      <w:r>
        <w:rPr>
          <w:sz w:val="18"/>
          <w:szCs w:val="18"/>
        </w:rPr>
        <w:t>ommissie</w:t>
      </w:r>
      <w:r w:rsidRPr="00C0602A" w:rsidR="00C0602A">
        <w:rPr>
          <w:sz w:val="18"/>
          <w:szCs w:val="18"/>
        </w:rPr>
        <w:t xml:space="preserve"> stel</w:t>
      </w:r>
      <w:r>
        <w:rPr>
          <w:sz w:val="18"/>
          <w:szCs w:val="18"/>
        </w:rPr>
        <w:t>de</w:t>
      </w:r>
      <w:r w:rsidRPr="00C0602A" w:rsidR="00C0602A">
        <w:rPr>
          <w:sz w:val="18"/>
          <w:szCs w:val="18"/>
        </w:rPr>
        <w:t xml:space="preserve"> aan het einde van de discussie dat de verordening primair is opgesteld om de grondrechten van de burgers te beschermen en rekening te houden met de interne markt aspecten </w:t>
      </w:r>
      <w:r w:rsidR="00E362DB">
        <w:rPr>
          <w:sz w:val="18"/>
          <w:szCs w:val="18"/>
        </w:rPr>
        <w:t>van</w:t>
      </w:r>
      <w:r w:rsidRPr="00C0602A" w:rsidR="00E362DB">
        <w:rPr>
          <w:sz w:val="18"/>
          <w:szCs w:val="18"/>
        </w:rPr>
        <w:t xml:space="preserve"> </w:t>
      </w:r>
      <w:r w:rsidRPr="00C0602A" w:rsidR="00C0602A">
        <w:rPr>
          <w:sz w:val="18"/>
          <w:szCs w:val="18"/>
        </w:rPr>
        <w:t xml:space="preserve">persoonsgegevens. Volgens de </w:t>
      </w:r>
      <w:r>
        <w:rPr>
          <w:sz w:val="18"/>
          <w:szCs w:val="18"/>
        </w:rPr>
        <w:t>Commissie</w:t>
      </w:r>
      <w:r w:rsidRPr="00C0602A" w:rsidR="00C0602A">
        <w:rPr>
          <w:sz w:val="18"/>
          <w:szCs w:val="18"/>
        </w:rPr>
        <w:t xml:space="preserve"> moet de discussie weer op technisch niveau worden voortgezet met in achtneming wat hier is gezegd. </w:t>
      </w:r>
    </w:p>
    <w:p w:rsidRPr="00C0602A" w:rsidR="00C0602A" w:rsidP="00C0602A" w:rsidRDefault="00C0602A" w14:paraId="5A5A7F3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00C0602A" w:rsidRDefault="00531442" w14:paraId="5CD0672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r>
        <w:rPr>
          <w:sz w:val="18"/>
          <w:szCs w:val="18"/>
        </w:rPr>
        <w:t>Het Voorzitterschap c</w:t>
      </w:r>
      <w:r w:rsidRPr="00C0602A" w:rsidR="00C0602A">
        <w:rPr>
          <w:sz w:val="18"/>
          <w:szCs w:val="18"/>
        </w:rPr>
        <w:t>oncludeer</w:t>
      </w:r>
      <w:r>
        <w:rPr>
          <w:sz w:val="18"/>
          <w:szCs w:val="18"/>
        </w:rPr>
        <w:t>de</w:t>
      </w:r>
      <w:r w:rsidRPr="00C0602A" w:rsidR="00C0602A">
        <w:rPr>
          <w:sz w:val="18"/>
          <w:szCs w:val="18"/>
        </w:rPr>
        <w:t xml:space="preserve"> dat de meningen over de bevoegdheidsverdeling tussen de nationale toezichthouder en de toezichthouder van de hoofdvestiging ter invulling van de OSS uiteenlopen. Het is van belang dat op technisch niveau verder vooruitgang wordt geboekt. Twee elementen zijn hierbij leidend: het nabijheidsbeginsel en een effectief systeem voor bedrijven. Ook zal er aandacht moeten worden besteed aan de rechtsbescherming, de onderlinge samenwerking tussen toezichthouders en de bevoegdheden voor de EDPB. </w:t>
      </w:r>
    </w:p>
    <w:p w:rsidRPr="00146BB3" w:rsidR="00C0602A" w:rsidRDefault="00C0602A" w14:paraId="4211559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p w:rsidRPr="00D35AB8" w:rsidR="00D35AB8" w:rsidP="00D35AB8" w:rsidRDefault="00EF25ED" w14:paraId="2E0E9F89" w14:textId="797981C2">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rFonts w:ascii="Verdana Bold" w:hAnsi="Verdana Bold"/>
          <w:sz w:val="18"/>
          <w:szCs w:val="18"/>
          <w:lang w:bidi="nl-NL"/>
        </w:rPr>
      </w:pPr>
      <w:r>
        <w:rPr>
          <w:rFonts w:ascii="Verdana Bold" w:hAnsi="Verdana Bold"/>
          <w:sz w:val="18"/>
          <w:szCs w:val="18"/>
        </w:rPr>
        <w:t>10</w:t>
      </w:r>
      <w:r w:rsidRPr="00033FFF" w:rsidR="00D35AB8">
        <w:rPr>
          <w:rFonts w:ascii="Verdana Bold" w:hAnsi="Verdana Bold"/>
          <w:sz w:val="18"/>
          <w:szCs w:val="18"/>
        </w:rPr>
        <w:t>.</w:t>
      </w:r>
      <w:r w:rsidRPr="00033FFF" w:rsidR="00D35AB8">
        <w:rPr>
          <w:rFonts w:ascii="Verdana Bold" w:hAnsi="Verdana Bold"/>
          <w:sz w:val="18"/>
          <w:szCs w:val="18"/>
        </w:rPr>
        <w:tab/>
      </w:r>
      <w:r w:rsidRPr="00D35AB8" w:rsidR="00D35AB8">
        <w:rPr>
          <w:rFonts w:ascii="Verdana Bold" w:hAnsi="Verdana Bold"/>
          <w:b/>
          <w:sz w:val="18"/>
          <w:szCs w:val="18"/>
          <w:lang w:bidi="nl-NL"/>
        </w:rPr>
        <w:t>Voorstel voor een verordening van het Europees Parlement en de Raad tot vaststelling van een Europees bevel tot conservatoir beslag op bankrekeningen om de grensoverschrijdende inning van schuldvorderingen in burgerlijke en handelszaken te vergemakkelijken</w:t>
      </w:r>
    </w:p>
    <w:p w:rsidR="00CA5278" w:rsidP="00D35AB8" w:rsidRDefault="00D35AB8" w14:paraId="020B1E6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pPr>
      <w:r>
        <w:rPr>
          <w:rFonts w:ascii="Verdana Bold" w:hAnsi="Verdana Bold"/>
          <w:sz w:val="18"/>
          <w:szCs w:val="18"/>
          <w:lang w:bidi="nl-NL"/>
        </w:rPr>
        <w:tab/>
        <w:t xml:space="preserve">- </w:t>
      </w:r>
      <w:r w:rsidRPr="00D35AB8">
        <w:rPr>
          <w:rFonts w:ascii="Verdana Bold" w:hAnsi="Verdana Bold"/>
          <w:sz w:val="18"/>
          <w:szCs w:val="18"/>
          <w:lang w:bidi="nl-NL"/>
        </w:rPr>
        <w:t>Algemene oriëntatie</w:t>
      </w:r>
    </w:p>
    <w:p w:rsidR="00CA5278" w:rsidRDefault="00CA5278" w14:paraId="7F99B11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00A011F3" w:rsidP="00A011F3" w:rsidRDefault="00A011F3" w14:paraId="3ADFCFAC"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Pr>
          <w:sz w:val="18"/>
          <w:szCs w:val="18"/>
        </w:rPr>
        <w:t xml:space="preserve">De </w:t>
      </w:r>
      <w:r w:rsidRPr="00D35AB8">
        <w:rPr>
          <w:sz w:val="18"/>
          <w:szCs w:val="18"/>
        </w:rPr>
        <w:t>C</w:t>
      </w:r>
      <w:r>
        <w:rPr>
          <w:sz w:val="18"/>
          <w:szCs w:val="18"/>
        </w:rPr>
        <w:t>ommissie gaf aan te hopen dat het voorstel voor een</w:t>
      </w:r>
      <w:r w:rsidRPr="00D35AB8">
        <w:rPr>
          <w:sz w:val="18"/>
          <w:szCs w:val="18"/>
        </w:rPr>
        <w:t xml:space="preserve"> verordening </w:t>
      </w:r>
      <w:r w:rsidRPr="002A5167">
        <w:rPr>
          <w:sz w:val="18"/>
          <w:szCs w:val="18"/>
        </w:rPr>
        <w:t xml:space="preserve">tot vaststelling van een Europees bevel tot conservatoir beslag op bankrekeningen </w:t>
      </w:r>
      <w:r w:rsidRPr="00D35AB8">
        <w:rPr>
          <w:sz w:val="18"/>
          <w:szCs w:val="18"/>
        </w:rPr>
        <w:t>snel wordt afgerond onder het Griekse Voorzitterschap.</w:t>
      </w:r>
    </w:p>
    <w:p w:rsidR="00A011F3" w:rsidP="00A011F3" w:rsidRDefault="00A011F3" w14:paraId="372EBA1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p>
    <w:p w:rsidR="00A011F3" w:rsidP="00A011F3" w:rsidRDefault="00A011F3" w14:paraId="16A53469" w14:textId="46EDB6EB">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sz w:val="18"/>
          <w:szCs w:val="18"/>
        </w:rPr>
        <w:t xml:space="preserve">De lidstaten die het woord namen, stemden, met uitzondering van één lidstaat, in </w:t>
      </w:r>
      <w:r w:rsidRPr="00D35AB8">
        <w:rPr>
          <w:sz w:val="18"/>
          <w:szCs w:val="18"/>
        </w:rPr>
        <w:t>met de algemene oriëntatie</w:t>
      </w:r>
      <w:r>
        <w:rPr>
          <w:sz w:val="18"/>
          <w:szCs w:val="18"/>
        </w:rPr>
        <w:t>. Een aantal</w:t>
      </w:r>
      <w:r>
        <w:rPr>
          <w:sz w:val="18"/>
          <w:szCs w:val="18"/>
          <w:lang w:val="nl-BE"/>
        </w:rPr>
        <w:t xml:space="preserve"> lidstaten maakte k</w:t>
      </w:r>
      <w:r w:rsidRPr="00D35AB8">
        <w:rPr>
          <w:sz w:val="18"/>
          <w:szCs w:val="18"/>
          <w:lang w:val="nl-BE"/>
        </w:rPr>
        <w:t>ritische kanttekeningen bij de werkingssfeer van artikel 17</w:t>
      </w:r>
      <w:r>
        <w:rPr>
          <w:sz w:val="18"/>
          <w:szCs w:val="18"/>
          <w:lang w:val="nl-BE"/>
        </w:rPr>
        <w:t>, terwijl andere lidstaten, waaronder Nederland, juist p</w:t>
      </w:r>
      <w:r w:rsidRPr="00D35AB8">
        <w:rPr>
          <w:sz w:val="18"/>
          <w:szCs w:val="18"/>
          <w:lang w:val="nl-BE"/>
        </w:rPr>
        <w:t xml:space="preserve">ositief </w:t>
      </w:r>
      <w:r>
        <w:rPr>
          <w:sz w:val="18"/>
          <w:szCs w:val="18"/>
          <w:lang w:val="nl-BE"/>
        </w:rPr>
        <w:t xml:space="preserve">waren </w:t>
      </w:r>
      <w:r w:rsidRPr="00D35AB8">
        <w:rPr>
          <w:sz w:val="18"/>
          <w:szCs w:val="18"/>
          <w:lang w:val="nl-BE"/>
        </w:rPr>
        <w:t>over de (beperkte) werkingssfeer van artikel 17</w:t>
      </w:r>
      <w:r>
        <w:rPr>
          <w:sz w:val="18"/>
          <w:szCs w:val="18"/>
          <w:lang w:val="nl-BE"/>
        </w:rPr>
        <w:t>.</w:t>
      </w:r>
      <w:r w:rsidRPr="00D35AB8">
        <w:rPr>
          <w:sz w:val="18"/>
          <w:szCs w:val="18"/>
          <w:lang w:val="nl-BE"/>
        </w:rPr>
        <w:t xml:space="preserve"> </w:t>
      </w:r>
    </w:p>
    <w:p w:rsidR="00A011F3" w:rsidP="00A011F3" w:rsidRDefault="00A011F3" w14:paraId="5AD85AE3" w14:textId="288F2E3D">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sz w:val="18"/>
          <w:szCs w:val="18"/>
          <w:lang w:val="nl-BE"/>
        </w:rPr>
        <w:t xml:space="preserve">De Minister bedankte namens Nederland </w:t>
      </w:r>
      <w:r w:rsidRPr="00D35AB8">
        <w:rPr>
          <w:sz w:val="18"/>
          <w:szCs w:val="18"/>
          <w:lang w:val="nl-BE"/>
        </w:rPr>
        <w:t>het V</w:t>
      </w:r>
      <w:r>
        <w:rPr>
          <w:sz w:val="18"/>
          <w:szCs w:val="18"/>
          <w:lang w:val="nl-BE"/>
        </w:rPr>
        <w:t xml:space="preserve">oorzitterschap </w:t>
      </w:r>
      <w:r w:rsidRPr="00D35AB8">
        <w:rPr>
          <w:sz w:val="18"/>
          <w:szCs w:val="18"/>
          <w:lang w:val="nl-BE"/>
        </w:rPr>
        <w:t>voor alle inspanningen met betrekking tot dit voorstel. N</w:t>
      </w:r>
      <w:r>
        <w:rPr>
          <w:sz w:val="18"/>
          <w:szCs w:val="18"/>
          <w:lang w:val="nl-BE"/>
        </w:rPr>
        <w:t xml:space="preserve">ederland </w:t>
      </w:r>
      <w:r w:rsidRPr="00D35AB8">
        <w:rPr>
          <w:sz w:val="18"/>
          <w:szCs w:val="18"/>
          <w:lang w:val="nl-BE"/>
        </w:rPr>
        <w:t xml:space="preserve">is </w:t>
      </w:r>
      <w:r>
        <w:rPr>
          <w:sz w:val="18"/>
          <w:szCs w:val="18"/>
          <w:lang w:val="nl-BE"/>
        </w:rPr>
        <w:t xml:space="preserve">tevreden </w:t>
      </w:r>
      <w:r w:rsidRPr="00D35AB8">
        <w:rPr>
          <w:sz w:val="18"/>
          <w:szCs w:val="18"/>
          <w:lang w:val="nl-BE"/>
        </w:rPr>
        <w:t xml:space="preserve">met de beperking van het mechanisme om rekeninginformatie te verkrijgen tot de gevallen dat er al een uitvoerbare titel is. </w:t>
      </w:r>
      <w:r>
        <w:rPr>
          <w:sz w:val="18"/>
          <w:szCs w:val="18"/>
          <w:lang w:val="nl-BE"/>
        </w:rPr>
        <w:t xml:space="preserve">De Minister gaf aan dat </w:t>
      </w:r>
      <w:r w:rsidRPr="00D35AB8">
        <w:rPr>
          <w:sz w:val="18"/>
          <w:szCs w:val="18"/>
          <w:lang w:val="nl-BE"/>
        </w:rPr>
        <w:t xml:space="preserve">Nederland dan ook met het voorstel </w:t>
      </w:r>
      <w:r>
        <w:rPr>
          <w:sz w:val="18"/>
          <w:szCs w:val="18"/>
          <w:lang w:val="nl-BE"/>
        </w:rPr>
        <w:t xml:space="preserve">kan </w:t>
      </w:r>
      <w:r w:rsidRPr="00D35AB8">
        <w:rPr>
          <w:sz w:val="18"/>
          <w:szCs w:val="18"/>
          <w:lang w:val="nl-BE"/>
        </w:rPr>
        <w:t>instemmen</w:t>
      </w:r>
      <w:r>
        <w:rPr>
          <w:sz w:val="18"/>
          <w:szCs w:val="18"/>
          <w:lang w:val="nl-BE"/>
        </w:rPr>
        <w:t>.</w:t>
      </w:r>
      <w:r w:rsidRPr="00D35AB8">
        <w:rPr>
          <w:sz w:val="18"/>
          <w:szCs w:val="18"/>
          <w:lang w:val="nl-BE"/>
        </w:rPr>
        <w:t xml:space="preserve">. </w:t>
      </w:r>
      <w:r>
        <w:rPr>
          <w:sz w:val="18"/>
          <w:szCs w:val="18"/>
          <w:lang w:val="nl-BE"/>
        </w:rPr>
        <w:t xml:space="preserve">Wel </w:t>
      </w:r>
      <w:r w:rsidRPr="00D35AB8">
        <w:rPr>
          <w:sz w:val="18"/>
          <w:szCs w:val="18"/>
          <w:lang w:val="nl-BE"/>
        </w:rPr>
        <w:t xml:space="preserve">betreurt </w:t>
      </w:r>
      <w:r>
        <w:rPr>
          <w:sz w:val="18"/>
          <w:szCs w:val="18"/>
          <w:lang w:val="nl-BE"/>
        </w:rPr>
        <w:t xml:space="preserve">Nederland </w:t>
      </w:r>
      <w:r w:rsidRPr="00D35AB8">
        <w:rPr>
          <w:sz w:val="18"/>
          <w:szCs w:val="18"/>
          <w:lang w:val="nl-BE"/>
        </w:rPr>
        <w:t>dat de materiële aansprakelijkheidsregel niet is overgelaten aan het nationale recht</w:t>
      </w:r>
      <w:r>
        <w:rPr>
          <w:sz w:val="18"/>
          <w:szCs w:val="18"/>
          <w:lang w:val="nl-BE"/>
        </w:rPr>
        <w:t xml:space="preserve">. De Minister </w:t>
      </w:r>
      <w:r w:rsidRPr="00D35AB8">
        <w:rPr>
          <w:sz w:val="18"/>
          <w:szCs w:val="18"/>
          <w:lang w:val="nl-BE"/>
        </w:rPr>
        <w:t>benadrukt</w:t>
      </w:r>
      <w:r>
        <w:rPr>
          <w:sz w:val="18"/>
          <w:szCs w:val="18"/>
          <w:lang w:val="nl-BE"/>
        </w:rPr>
        <w:t xml:space="preserve">e </w:t>
      </w:r>
      <w:r w:rsidRPr="00D35AB8">
        <w:rPr>
          <w:sz w:val="18"/>
          <w:szCs w:val="18"/>
          <w:lang w:val="nl-BE"/>
        </w:rPr>
        <w:t>dat het opnemen van een materiële aansprakelijkheidsregel in het voorstel geen precedent moet scheppen voor andere instrumenten.</w:t>
      </w:r>
    </w:p>
    <w:p w:rsidRPr="00D35AB8" w:rsidR="00A011F3" w:rsidP="00A011F3" w:rsidRDefault="00A011F3" w14:paraId="39239FE4"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p>
    <w:p w:rsidR="00D35AB8" w:rsidP="00A011F3" w:rsidRDefault="00A011F3" w14:paraId="3CEE2E2B" w14:textId="26B9B71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sz w:val="18"/>
          <w:szCs w:val="18"/>
          <w:lang w:val="nl-BE"/>
        </w:rPr>
        <w:t>Het Voorzitterschap</w:t>
      </w:r>
      <w:r w:rsidRPr="00D35AB8">
        <w:rPr>
          <w:sz w:val="18"/>
          <w:szCs w:val="18"/>
          <w:lang w:val="nl-BE"/>
        </w:rPr>
        <w:t xml:space="preserve"> concludeer</w:t>
      </w:r>
      <w:r>
        <w:rPr>
          <w:sz w:val="18"/>
          <w:szCs w:val="18"/>
          <w:lang w:val="nl-BE"/>
        </w:rPr>
        <w:t>de</w:t>
      </w:r>
      <w:r w:rsidRPr="00D35AB8">
        <w:rPr>
          <w:sz w:val="18"/>
          <w:szCs w:val="18"/>
          <w:lang w:val="nl-BE"/>
        </w:rPr>
        <w:t xml:space="preserve"> dat de Raad de compromistekst als algemene oriëntatie aanneemt en moedig</w:t>
      </w:r>
      <w:r>
        <w:rPr>
          <w:sz w:val="18"/>
          <w:szCs w:val="18"/>
          <w:lang w:val="nl-BE"/>
        </w:rPr>
        <w:t>de</w:t>
      </w:r>
      <w:r w:rsidRPr="00D35AB8">
        <w:rPr>
          <w:sz w:val="18"/>
          <w:szCs w:val="18"/>
          <w:lang w:val="nl-BE"/>
        </w:rPr>
        <w:t xml:space="preserve"> de lidstaten aan om snel voortgang te maken met de overwegingen. </w:t>
      </w:r>
      <w:r w:rsidRPr="00D35AB8" w:rsidR="00D35AB8">
        <w:rPr>
          <w:sz w:val="18"/>
          <w:szCs w:val="18"/>
          <w:lang w:val="nl-BE"/>
        </w:rPr>
        <w:t xml:space="preserve"> </w:t>
      </w:r>
    </w:p>
    <w:p w:rsidR="00825B47" w:rsidP="00D35AB8" w:rsidRDefault="00825B47" w14:paraId="186DEFE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p>
    <w:p w:rsidRPr="007A4F2A" w:rsidR="007A4F2A" w:rsidP="007A4F2A" w:rsidRDefault="00EF25ED" w14:paraId="4C9A3BCD" w14:textId="08B0DB2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rFonts w:ascii="Verdana Bold" w:hAnsi="Verdana Bold"/>
          <w:sz w:val="18"/>
          <w:szCs w:val="18"/>
          <w:lang w:bidi="nl-NL"/>
        </w:rPr>
      </w:pPr>
      <w:r>
        <w:rPr>
          <w:rFonts w:ascii="Verdana Bold" w:hAnsi="Verdana Bold"/>
          <w:sz w:val="18"/>
          <w:szCs w:val="18"/>
        </w:rPr>
        <w:t>11</w:t>
      </w:r>
      <w:r w:rsidRPr="00033FFF" w:rsidR="007A4F2A">
        <w:rPr>
          <w:rFonts w:ascii="Verdana Bold" w:hAnsi="Verdana Bold"/>
          <w:sz w:val="18"/>
          <w:szCs w:val="18"/>
        </w:rPr>
        <w:t>.</w:t>
      </w:r>
      <w:r w:rsidRPr="00033FFF" w:rsidR="007A4F2A">
        <w:rPr>
          <w:rFonts w:ascii="Verdana Bold" w:hAnsi="Verdana Bold"/>
          <w:sz w:val="18"/>
          <w:szCs w:val="18"/>
        </w:rPr>
        <w:tab/>
      </w:r>
      <w:r w:rsidRPr="007A4F2A" w:rsidR="007A4F2A">
        <w:rPr>
          <w:rFonts w:ascii="Verdana Bold" w:hAnsi="Verdana Bold"/>
          <w:b/>
          <w:sz w:val="18"/>
          <w:szCs w:val="18"/>
          <w:lang w:bidi="nl-NL"/>
        </w:rPr>
        <w:t>Voorstel voor een verordening van het Europees Parlement en de Raad tot wijziging van Verordening (EG) nr. 1346/2000 van de Raad betreffende insolventieprocedures</w:t>
      </w:r>
    </w:p>
    <w:p w:rsidRPr="00D35AB8" w:rsidR="007A4F2A" w:rsidP="007A4F2A" w:rsidRDefault="007A4F2A" w14:paraId="53F5061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rFonts w:ascii="Verdana Bold" w:hAnsi="Verdana Bold"/>
          <w:sz w:val="18"/>
          <w:szCs w:val="18"/>
          <w:lang w:val="da-DK"/>
        </w:rPr>
        <w:tab/>
        <w:t xml:space="preserve">- </w:t>
      </w:r>
      <w:r w:rsidRPr="007A4F2A">
        <w:rPr>
          <w:rFonts w:ascii="Verdana Bold" w:hAnsi="Verdana Bold"/>
          <w:sz w:val="18"/>
          <w:szCs w:val="18"/>
          <w:lang w:val="da-DK"/>
        </w:rPr>
        <w:t>Oriënterend debat</w:t>
      </w:r>
    </w:p>
    <w:p w:rsidR="00D35AB8" w:rsidRDefault="00D35AB8" w14:paraId="79F82374"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p>
    <w:p w:rsidRPr="007A4F2A" w:rsidR="007A4F2A" w:rsidP="007A4F2A" w:rsidRDefault="007A4F2A" w14:paraId="3F751DB0" w14:textId="2FEBF4F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sz w:val="18"/>
          <w:szCs w:val="18"/>
          <w:lang w:val="nl-BE"/>
        </w:rPr>
        <w:t>De Commissie leidde het debat</w:t>
      </w:r>
      <w:r w:rsidRPr="00624F59" w:rsidR="00624F59">
        <w:t xml:space="preserve"> </w:t>
      </w:r>
      <w:r w:rsidR="00624F59">
        <w:t xml:space="preserve">over </w:t>
      </w:r>
      <w:r w:rsidRPr="00624F59" w:rsidR="00624F59">
        <w:rPr>
          <w:sz w:val="18"/>
          <w:szCs w:val="18"/>
          <w:lang w:val="nl-BE"/>
        </w:rPr>
        <w:t>insolventieprocedures</w:t>
      </w:r>
      <w:r>
        <w:rPr>
          <w:sz w:val="18"/>
          <w:szCs w:val="18"/>
          <w:lang w:val="nl-BE"/>
        </w:rPr>
        <w:t xml:space="preserve"> in en gaf aan </w:t>
      </w:r>
      <w:r w:rsidRPr="007A4F2A">
        <w:rPr>
          <w:sz w:val="18"/>
          <w:szCs w:val="18"/>
          <w:lang w:val="nl-BE"/>
        </w:rPr>
        <w:t xml:space="preserve">een ambitieuzer document </w:t>
      </w:r>
      <w:r>
        <w:rPr>
          <w:sz w:val="18"/>
          <w:szCs w:val="18"/>
          <w:lang w:val="nl-BE"/>
        </w:rPr>
        <w:t xml:space="preserve">te wensen, maar het verder </w:t>
      </w:r>
      <w:r w:rsidRPr="007A4F2A">
        <w:rPr>
          <w:sz w:val="18"/>
          <w:szCs w:val="18"/>
          <w:lang w:val="nl-BE"/>
        </w:rPr>
        <w:t xml:space="preserve">eens </w:t>
      </w:r>
      <w:r>
        <w:rPr>
          <w:sz w:val="18"/>
          <w:szCs w:val="18"/>
          <w:lang w:val="nl-BE"/>
        </w:rPr>
        <w:t xml:space="preserve">te zijn </w:t>
      </w:r>
      <w:r w:rsidRPr="007A4F2A">
        <w:rPr>
          <w:sz w:val="18"/>
          <w:szCs w:val="18"/>
          <w:lang w:val="nl-BE"/>
        </w:rPr>
        <w:t xml:space="preserve">met de voorgelegde </w:t>
      </w:r>
      <w:r w:rsidR="00624F59">
        <w:rPr>
          <w:sz w:val="18"/>
          <w:szCs w:val="18"/>
          <w:lang w:val="nl-BE"/>
        </w:rPr>
        <w:t>richtsnoeren</w:t>
      </w:r>
      <w:r w:rsidRPr="007A4F2A">
        <w:rPr>
          <w:sz w:val="18"/>
          <w:szCs w:val="18"/>
          <w:lang w:val="nl-BE"/>
        </w:rPr>
        <w:t>.</w:t>
      </w:r>
    </w:p>
    <w:p w:rsidR="00327D48" w:rsidP="00327D48" w:rsidRDefault="00327D48" w14:paraId="0B00CF3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p>
    <w:p w:rsidRPr="007A4F2A" w:rsidR="00327D48" w:rsidP="00327D48" w:rsidRDefault="00327D48" w14:paraId="391A487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sz w:val="18"/>
          <w:szCs w:val="18"/>
          <w:lang w:val="nl-BE"/>
        </w:rPr>
        <w:t>De Minister gaf aan dat Nederland kan in</w:t>
      </w:r>
      <w:r w:rsidRPr="007A4F2A">
        <w:rPr>
          <w:sz w:val="18"/>
          <w:szCs w:val="18"/>
          <w:lang w:val="nl-BE"/>
        </w:rPr>
        <w:t>stemmen met de voorgestelde conclusies</w:t>
      </w:r>
      <w:r>
        <w:rPr>
          <w:sz w:val="18"/>
          <w:szCs w:val="18"/>
          <w:lang w:val="nl-BE"/>
        </w:rPr>
        <w:t>. H</w:t>
      </w:r>
      <w:r w:rsidRPr="007A4F2A">
        <w:rPr>
          <w:sz w:val="18"/>
          <w:szCs w:val="18"/>
          <w:lang w:val="nl-BE"/>
        </w:rPr>
        <w:t xml:space="preserve">et voorstel </w:t>
      </w:r>
      <w:r>
        <w:rPr>
          <w:sz w:val="18"/>
          <w:szCs w:val="18"/>
          <w:lang w:val="nl-BE"/>
        </w:rPr>
        <w:t xml:space="preserve">heeft wat Nederland betreft </w:t>
      </w:r>
      <w:r w:rsidRPr="007A4F2A">
        <w:rPr>
          <w:sz w:val="18"/>
          <w:szCs w:val="18"/>
          <w:lang w:val="nl-BE"/>
        </w:rPr>
        <w:t>op belang</w:t>
      </w:r>
      <w:r>
        <w:rPr>
          <w:sz w:val="18"/>
          <w:szCs w:val="18"/>
          <w:lang w:val="nl-BE"/>
        </w:rPr>
        <w:t>rijke punten aan kracht gewonnen</w:t>
      </w:r>
      <w:r w:rsidRPr="007A4F2A">
        <w:rPr>
          <w:sz w:val="18"/>
          <w:szCs w:val="18"/>
          <w:lang w:val="nl-BE"/>
        </w:rPr>
        <w:t>. Volgens N</w:t>
      </w:r>
      <w:r>
        <w:rPr>
          <w:sz w:val="18"/>
          <w:szCs w:val="18"/>
          <w:lang w:val="nl-BE"/>
        </w:rPr>
        <w:t>ederland</w:t>
      </w:r>
      <w:r w:rsidRPr="007A4F2A">
        <w:rPr>
          <w:sz w:val="18"/>
          <w:szCs w:val="18"/>
          <w:lang w:val="nl-BE"/>
        </w:rPr>
        <w:t xml:space="preserve"> is het goed dat het belang wordt onderkend om maatregelen tegen forumshopping te nemen. Daarmee wordt voorkomen dat een debiteur voor een makkelijker afwikkeling van zijn faillissement naar een ander land gaat, ten koste van crediteuren. </w:t>
      </w:r>
      <w:r>
        <w:rPr>
          <w:sz w:val="18"/>
          <w:szCs w:val="18"/>
          <w:lang w:val="nl-BE"/>
        </w:rPr>
        <w:t xml:space="preserve">De Minister gaf verder aan dat </w:t>
      </w:r>
      <w:r w:rsidRPr="007A4F2A">
        <w:rPr>
          <w:sz w:val="18"/>
          <w:szCs w:val="18"/>
          <w:lang w:val="nl-BE"/>
        </w:rPr>
        <w:t>N</w:t>
      </w:r>
      <w:r>
        <w:rPr>
          <w:sz w:val="18"/>
          <w:szCs w:val="18"/>
          <w:lang w:val="nl-BE"/>
        </w:rPr>
        <w:t>ederland</w:t>
      </w:r>
      <w:r w:rsidRPr="007A4F2A">
        <w:rPr>
          <w:sz w:val="18"/>
          <w:szCs w:val="18"/>
          <w:lang w:val="nl-BE"/>
        </w:rPr>
        <w:t xml:space="preserve"> verheugd </w:t>
      </w:r>
      <w:r>
        <w:rPr>
          <w:sz w:val="18"/>
          <w:szCs w:val="18"/>
          <w:lang w:val="nl-BE"/>
        </w:rPr>
        <w:t xml:space="preserve">is </w:t>
      </w:r>
      <w:r w:rsidRPr="007A4F2A">
        <w:rPr>
          <w:sz w:val="18"/>
          <w:szCs w:val="18"/>
          <w:lang w:val="nl-BE"/>
        </w:rPr>
        <w:t>dat in de te koppelen nationale insolventieregisters ook opgelegde bestuursverboden kunnen worden opgenomen. Ten slotte steunt N</w:t>
      </w:r>
      <w:r>
        <w:rPr>
          <w:sz w:val="18"/>
          <w:szCs w:val="18"/>
          <w:lang w:val="nl-BE"/>
        </w:rPr>
        <w:t>ederland</w:t>
      </w:r>
      <w:r w:rsidRPr="007A4F2A">
        <w:rPr>
          <w:sz w:val="18"/>
          <w:szCs w:val="18"/>
          <w:lang w:val="nl-BE"/>
        </w:rPr>
        <w:t xml:space="preserve"> een betere samenwerking bij de afwikkeling van grensoverschrijdende faillissementen in de EU. </w:t>
      </w:r>
      <w:r>
        <w:rPr>
          <w:sz w:val="18"/>
          <w:szCs w:val="18"/>
          <w:lang w:val="nl-BE"/>
        </w:rPr>
        <w:t xml:space="preserve">De Minister riep </w:t>
      </w:r>
      <w:r w:rsidRPr="007A4F2A">
        <w:rPr>
          <w:sz w:val="18"/>
          <w:szCs w:val="18"/>
          <w:lang w:val="nl-BE"/>
        </w:rPr>
        <w:t xml:space="preserve">het </w:t>
      </w:r>
      <w:r>
        <w:rPr>
          <w:sz w:val="18"/>
          <w:szCs w:val="18"/>
          <w:lang w:val="nl-BE"/>
        </w:rPr>
        <w:t>inkomende Griekse</w:t>
      </w:r>
      <w:r w:rsidRPr="007A4F2A">
        <w:rPr>
          <w:sz w:val="18"/>
          <w:szCs w:val="18"/>
          <w:lang w:val="nl-BE"/>
        </w:rPr>
        <w:t xml:space="preserve"> </w:t>
      </w:r>
      <w:r>
        <w:rPr>
          <w:sz w:val="18"/>
          <w:szCs w:val="18"/>
          <w:lang w:val="nl-BE"/>
        </w:rPr>
        <w:t>V</w:t>
      </w:r>
      <w:r w:rsidRPr="007A4F2A">
        <w:rPr>
          <w:sz w:val="18"/>
          <w:szCs w:val="18"/>
          <w:lang w:val="nl-BE"/>
        </w:rPr>
        <w:t>oorzitterschap op dit dossier af te ronden en zeg</w:t>
      </w:r>
      <w:r>
        <w:rPr>
          <w:sz w:val="18"/>
          <w:szCs w:val="18"/>
          <w:lang w:val="nl-BE"/>
        </w:rPr>
        <w:t>de</w:t>
      </w:r>
      <w:r w:rsidRPr="007A4F2A">
        <w:rPr>
          <w:sz w:val="18"/>
          <w:szCs w:val="18"/>
          <w:lang w:val="nl-BE"/>
        </w:rPr>
        <w:t xml:space="preserve"> daaraan </w:t>
      </w:r>
      <w:r>
        <w:rPr>
          <w:sz w:val="18"/>
          <w:szCs w:val="18"/>
          <w:lang w:val="nl-BE"/>
        </w:rPr>
        <w:t xml:space="preserve">namens Nederland </w:t>
      </w:r>
      <w:r w:rsidRPr="007A4F2A">
        <w:rPr>
          <w:sz w:val="18"/>
          <w:szCs w:val="18"/>
          <w:lang w:val="nl-BE"/>
        </w:rPr>
        <w:t xml:space="preserve">steun toe. </w:t>
      </w:r>
    </w:p>
    <w:p w:rsidR="007A4F2A" w:rsidP="007A4F2A" w:rsidRDefault="007A4F2A" w14:paraId="405C0FF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p>
    <w:p w:rsidRPr="00327D48" w:rsidR="00327D48" w:rsidP="00327D48" w:rsidRDefault="007A4F2A" w14:paraId="26DD8326" w14:textId="615C576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sz w:val="18"/>
          <w:szCs w:val="18"/>
          <w:lang w:val="nl-BE"/>
        </w:rPr>
        <w:t xml:space="preserve">Enkele lidstaten gaven aan te kunnen </w:t>
      </w:r>
      <w:r w:rsidRPr="007A4F2A">
        <w:rPr>
          <w:sz w:val="18"/>
          <w:szCs w:val="18"/>
          <w:lang w:val="nl-BE"/>
        </w:rPr>
        <w:t xml:space="preserve">instemmen met het </w:t>
      </w:r>
      <w:r>
        <w:rPr>
          <w:sz w:val="18"/>
          <w:szCs w:val="18"/>
          <w:lang w:val="nl-BE"/>
        </w:rPr>
        <w:t>voorliggende voorstel</w:t>
      </w:r>
      <w:r w:rsidRPr="007A4F2A">
        <w:rPr>
          <w:sz w:val="18"/>
          <w:szCs w:val="18"/>
          <w:lang w:val="nl-BE"/>
        </w:rPr>
        <w:t xml:space="preserve">, met één uitzondering, namelijk het deel dat gaat over de natuurlijke personen die geen onderneming exploiteren. Deze personen zitten in een andere positie dan rechtspersonen. </w:t>
      </w:r>
      <w:r w:rsidR="00200A72">
        <w:rPr>
          <w:sz w:val="18"/>
          <w:szCs w:val="18"/>
          <w:lang w:val="nl-BE"/>
        </w:rPr>
        <w:t>Als informatie over deze natuurlijke personen terecht komt in r</w:t>
      </w:r>
      <w:r w:rsidRPr="007A4F2A">
        <w:rPr>
          <w:sz w:val="18"/>
          <w:szCs w:val="18"/>
          <w:lang w:val="nl-BE"/>
        </w:rPr>
        <w:t>egisters</w:t>
      </w:r>
      <w:r w:rsidR="00200A72">
        <w:rPr>
          <w:sz w:val="18"/>
          <w:szCs w:val="18"/>
          <w:lang w:val="nl-BE"/>
        </w:rPr>
        <w:t>, dan kunnen die register</w:t>
      </w:r>
      <w:r w:rsidR="00624F59">
        <w:rPr>
          <w:sz w:val="18"/>
          <w:szCs w:val="18"/>
          <w:lang w:val="nl-BE"/>
        </w:rPr>
        <w:t>s</w:t>
      </w:r>
      <w:r w:rsidR="00200A72">
        <w:rPr>
          <w:sz w:val="18"/>
          <w:szCs w:val="18"/>
          <w:lang w:val="nl-BE"/>
        </w:rPr>
        <w:t xml:space="preserve"> misbruikt worden</w:t>
      </w:r>
      <w:r w:rsidRPr="007A4F2A">
        <w:rPr>
          <w:sz w:val="18"/>
          <w:szCs w:val="18"/>
          <w:lang w:val="nl-BE"/>
        </w:rPr>
        <w:t xml:space="preserve">. </w:t>
      </w:r>
      <w:r w:rsidR="00200A72">
        <w:rPr>
          <w:sz w:val="18"/>
          <w:szCs w:val="18"/>
          <w:lang w:val="nl-BE"/>
        </w:rPr>
        <w:t xml:space="preserve">Vanuit een oogpunt van </w:t>
      </w:r>
      <w:r w:rsidRPr="007A4F2A">
        <w:rPr>
          <w:sz w:val="18"/>
          <w:szCs w:val="18"/>
          <w:lang w:val="nl-BE"/>
        </w:rPr>
        <w:t>proportionaliteit</w:t>
      </w:r>
      <w:r w:rsidR="00200A72">
        <w:rPr>
          <w:sz w:val="18"/>
          <w:szCs w:val="18"/>
          <w:lang w:val="nl-BE"/>
        </w:rPr>
        <w:t xml:space="preserve"> zou er geen verplichting moeten zijn </w:t>
      </w:r>
      <w:r w:rsidRPr="007A4F2A">
        <w:rPr>
          <w:sz w:val="18"/>
          <w:szCs w:val="18"/>
          <w:lang w:val="nl-BE"/>
        </w:rPr>
        <w:t xml:space="preserve">om informatie over deze natuurlijke personen openbaar te maken. </w:t>
      </w:r>
      <w:r w:rsidRPr="00327D48" w:rsidR="00327D48">
        <w:rPr>
          <w:sz w:val="18"/>
          <w:szCs w:val="18"/>
          <w:lang w:val="nl-BE"/>
        </w:rPr>
        <w:t>Dit kan de financiële en maatschappelijke situatie van deze personen schaden.</w:t>
      </w:r>
      <w:r w:rsidR="00327D48">
        <w:rPr>
          <w:sz w:val="18"/>
          <w:szCs w:val="18"/>
          <w:lang w:val="nl-BE"/>
        </w:rPr>
        <w:t xml:space="preserve"> </w:t>
      </w:r>
      <w:r w:rsidR="00200A72">
        <w:rPr>
          <w:sz w:val="18"/>
          <w:szCs w:val="18"/>
          <w:lang w:val="nl-BE"/>
        </w:rPr>
        <w:t xml:space="preserve">Maar </w:t>
      </w:r>
      <w:r w:rsidR="00624F59">
        <w:rPr>
          <w:sz w:val="18"/>
          <w:szCs w:val="18"/>
          <w:lang w:val="nl-BE"/>
        </w:rPr>
        <w:t xml:space="preserve">een groter aantal </w:t>
      </w:r>
      <w:r w:rsidR="00200A72">
        <w:rPr>
          <w:sz w:val="18"/>
          <w:szCs w:val="18"/>
          <w:lang w:val="nl-BE"/>
        </w:rPr>
        <w:t>lidstaten wa</w:t>
      </w:r>
      <w:r w:rsidR="00624F59">
        <w:rPr>
          <w:sz w:val="18"/>
          <w:szCs w:val="18"/>
          <w:lang w:val="nl-BE"/>
        </w:rPr>
        <w:t>s</w:t>
      </w:r>
      <w:r w:rsidR="00200A72">
        <w:rPr>
          <w:sz w:val="18"/>
          <w:szCs w:val="18"/>
          <w:lang w:val="nl-BE"/>
        </w:rPr>
        <w:t xml:space="preserve"> juist van mening dat gegevens over natuurlijke personen wel moeten worden opgenomen, en ook dat de </w:t>
      </w:r>
      <w:r w:rsidR="00327D48">
        <w:rPr>
          <w:sz w:val="18"/>
          <w:szCs w:val="18"/>
          <w:lang w:val="nl-BE"/>
        </w:rPr>
        <w:t>basisinformatie in de</w:t>
      </w:r>
      <w:r w:rsidR="00200A72">
        <w:rPr>
          <w:sz w:val="18"/>
          <w:szCs w:val="18"/>
          <w:lang w:val="nl-BE"/>
        </w:rPr>
        <w:t xml:space="preserve"> registers gratis </w:t>
      </w:r>
      <w:r w:rsidR="00327D48">
        <w:rPr>
          <w:sz w:val="18"/>
          <w:szCs w:val="18"/>
          <w:lang w:val="nl-BE"/>
        </w:rPr>
        <w:t xml:space="preserve">(via internet) toegankelijkheid </w:t>
      </w:r>
      <w:r w:rsidR="00200A72">
        <w:rPr>
          <w:sz w:val="18"/>
          <w:szCs w:val="18"/>
          <w:lang w:val="nl-BE"/>
        </w:rPr>
        <w:t>moet zijn.</w:t>
      </w:r>
      <w:r w:rsidR="00327D48">
        <w:rPr>
          <w:sz w:val="18"/>
          <w:szCs w:val="18"/>
          <w:lang w:val="nl-BE"/>
        </w:rPr>
        <w:t xml:space="preserve"> Een lidstaat benadrukte daarbij wel dat er voldoende aandacht moet zijn voor de bescherming van de opgenomen gegevens van die natuurlijke personen. Een ander bracht nuance aan en vond dat de </w:t>
      </w:r>
      <w:r w:rsidRPr="00327D48" w:rsidR="00327D48">
        <w:rPr>
          <w:sz w:val="18"/>
          <w:szCs w:val="18"/>
          <w:lang w:val="nl-BE"/>
        </w:rPr>
        <w:t xml:space="preserve">gratis toegang beperkt moet blijven tot het strikt noodzakelijke en dat </w:t>
      </w:r>
      <w:r w:rsidR="00327D48">
        <w:rPr>
          <w:sz w:val="18"/>
          <w:szCs w:val="18"/>
          <w:lang w:val="nl-BE"/>
        </w:rPr>
        <w:t xml:space="preserve">er </w:t>
      </w:r>
      <w:r w:rsidRPr="00327D48" w:rsidR="00327D48">
        <w:rPr>
          <w:sz w:val="18"/>
          <w:szCs w:val="18"/>
          <w:lang w:val="nl-BE"/>
        </w:rPr>
        <w:t xml:space="preserve">toegang tot bepaalde informatie tegen betaling moet kunnen zijn. </w:t>
      </w:r>
    </w:p>
    <w:p w:rsidR="007A4F2A" w:rsidP="007A4F2A" w:rsidRDefault="00327D48" w14:paraId="1AFD0B6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sz w:val="18"/>
          <w:szCs w:val="18"/>
          <w:lang w:val="nl-BE"/>
        </w:rPr>
        <w:t xml:space="preserve">Er werd voorts opgemerkt dat het </w:t>
      </w:r>
      <w:r w:rsidRPr="007A4F2A">
        <w:rPr>
          <w:sz w:val="18"/>
          <w:szCs w:val="18"/>
          <w:lang w:val="nl-BE"/>
        </w:rPr>
        <w:t>belangrijk is om te blijven nadenken over het voorkomen van forumshoppen</w:t>
      </w:r>
      <w:r w:rsidRPr="00327D48">
        <w:rPr>
          <w:sz w:val="18"/>
          <w:szCs w:val="18"/>
          <w:lang w:val="nl-BE"/>
        </w:rPr>
        <w:t xml:space="preserve"> </w:t>
      </w:r>
      <w:r w:rsidRPr="007A4F2A">
        <w:rPr>
          <w:sz w:val="18"/>
          <w:szCs w:val="18"/>
          <w:lang w:val="nl-BE"/>
        </w:rPr>
        <w:t>met name als het gaat om insolventieprocedures waarbij natuurlijke personen zijn betrokken die geen economische activiteit uitoefenen</w:t>
      </w:r>
      <w:r>
        <w:rPr>
          <w:sz w:val="18"/>
          <w:szCs w:val="18"/>
          <w:lang w:val="nl-BE"/>
        </w:rPr>
        <w:t xml:space="preserve">. Er was verder veel steun voor het harmoniseren van de beroepstermijn. </w:t>
      </w:r>
    </w:p>
    <w:p w:rsidR="00200A72" w:rsidP="007A4F2A" w:rsidRDefault="00200A72" w14:paraId="78ABCDB3"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p>
    <w:p w:rsidRPr="007A4F2A" w:rsidR="007A4F2A" w:rsidP="007A4F2A" w:rsidRDefault="00327D48" w14:paraId="71FF575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sz w:val="18"/>
          <w:szCs w:val="18"/>
          <w:lang w:val="nl-BE"/>
        </w:rPr>
        <w:t xml:space="preserve">Het </w:t>
      </w:r>
      <w:r w:rsidRPr="007A4F2A" w:rsidR="007A4F2A">
        <w:rPr>
          <w:sz w:val="18"/>
          <w:szCs w:val="18"/>
          <w:lang w:val="nl-BE"/>
        </w:rPr>
        <w:t>V</w:t>
      </w:r>
      <w:r>
        <w:rPr>
          <w:sz w:val="18"/>
          <w:szCs w:val="18"/>
          <w:lang w:val="nl-BE"/>
        </w:rPr>
        <w:t>oorzitterschap</w:t>
      </w:r>
      <w:r w:rsidRPr="007A4F2A" w:rsidR="007A4F2A">
        <w:rPr>
          <w:sz w:val="18"/>
          <w:szCs w:val="18"/>
          <w:lang w:val="nl-BE"/>
        </w:rPr>
        <w:t xml:space="preserve"> stel</w:t>
      </w:r>
      <w:r>
        <w:rPr>
          <w:sz w:val="18"/>
          <w:szCs w:val="18"/>
          <w:lang w:val="nl-BE"/>
        </w:rPr>
        <w:t>de</w:t>
      </w:r>
      <w:r w:rsidRPr="007A4F2A" w:rsidR="007A4F2A">
        <w:rPr>
          <w:sz w:val="18"/>
          <w:szCs w:val="18"/>
          <w:lang w:val="nl-BE"/>
        </w:rPr>
        <w:t xml:space="preserve"> vast dat veel van de richtsnoeren kunnen worden ondersteund door de meeste </w:t>
      </w:r>
      <w:r>
        <w:rPr>
          <w:sz w:val="18"/>
          <w:szCs w:val="18"/>
          <w:lang w:val="nl-BE"/>
        </w:rPr>
        <w:t>lidstaten,</w:t>
      </w:r>
      <w:r w:rsidRPr="007A4F2A" w:rsidR="007A4F2A">
        <w:rPr>
          <w:sz w:val="18"/>
          <w:szCs w:val="18"/>
          <w:lang w:val="nl-BE"/>
        </w:rPr>
        <w:t xml:space="preserve"> maar constateer</w:t>
      </w:r>
      <w:r>
        <w:rPr>
          <w:sz w:val="18"/>
          <w:szCs w:val="18"/>
          <w:lang w:val="nl-BE"/>
        </w:rPr>
        <w:t>de</w:t>
      </w:r>
      <w:r w:rsidRPr="007A4F2A" w:rsidR="007A4F2A">
        <w:rPr>
          <w:sz w:val="18"/>
          <w:szCs w:val="18"/>
          <w:lang w:val="nl-BE"/>
        </w:rPr>
        <w:t xml:space="preserve"> ook dat een aantal </w:t>
      </w:r>
      <w:r w:rsidR="000F1111">
        <w:rPr>
          <w:sz w:val="18"/>
          <w:szCs w:val="18"/>
          <w:lang w:val="nl-BE"/>
        </w:rPr>
        <w:t xml:space="preserve">lidstaten </w:t>
      </w:r>
      <w:r w:rsidRPr="007A4F2A" w:rsidR="007A4F2A">
        <w:rPr>
          <w:sz w:val="18"/>
          <w:szCs w:val="18"/>
          <w:lang w:val="nl-BE"/>
        </w:rPr>
        <w:t xml:space="preserve">nog steeds problemen heeft met een aantal </w:t>
      </w:r>
      <w:r w:rsidR="000F1111">
        <w:rPr>
          <w:sz w:val="18"/>
          <w:szCs w:val="18"/>
          <w:lang w:val="nl-BE"/>
        </w:rPr>
        <w:t xml:space="preserve">onderdelen van het </w:t>
      </w:r>
      <w:r w:rsidRPr="007A4F2A" w:rsidR="007A4F2A">
        <w:rPr>
          <w:sz w:val="18"/>
          <w:szCs w:val="18"/>
          <w:lang w:val="nl-BE"/>
        </w:rPr>
        <w:t>voorstel</w:t>
      </w:r>
      <w:r w:rsidR="000F1111">
        <w:rPr>
          <w:sz w:val="18"/>
          <w:szCs w:val="18"/>
          <w:lang w:val="nl-BE"/>
        </w:rPr>
        <w:t>. D</w:t>
      </w:r>
      <w:r w:rsidRPr="007A4F2A" w:rsidR="007A4F2A">
        <w:rPr>
          <w:sz w:val="18"/>
          <w:szCs w:val="18"/>
          <w:lang w:val="nl-BE"/>
        </w:rPr>
        <w:t>aarmee moet rekening worden gehouden op het niveau van de Raadswerkgroep</w:t>
      </w:r>
      <w:r w:rsidR="000F1111">
        <w:rPr>
          <w:sz w:val="18"/>
          <w:szCs w:val="18"/>
          <w:lang w:val="nl-BE"/>
        </w:rPr>
        <w:t>, aldus het Voorzitterschap</w:t>
      </w:r>
      <w:r w:rsidRPr="007A4F2A" w:rsidR="007A4F2A">
        <w:rPr>
          <w:sz w:val="18"/>
          <w:szCs w:val="18"/>
          <w:lang w:val="nl-BE"/>
        </w:rPr>
        <w:t xml:space="preserve">. </w:t>
      </w:r>
    </w:p>
    <w:p w:rsidRPr="00D35AB8" w:rsidR="00D35AB8" w:rsidRDefault="00D35AB8" w14:paraId="6BC5B20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Pr="000F1111" w:rsidR="000F1111" w:rsidP="000F1111" w:rsidRDefault="00EF25ED" w14:paraId="1A4C0DF7" w14:textId="664C0CB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rFonts w:ascii="Verdana Bold" w:hAnsi="Verdana Bold"/>
          <w:b/>
          <w:bCs/>
          <w:sz w:val="18"/>
          <w:szCs w:val="18"/>
          <w:u w:val="single"/>
          <w:lang w:bidi="nl-NL"/>
        </w:rPr>
      </w:pPr>
      <w:r>
        <w:rPr>
          <w:rFonts w:ascii="Verdana Bold" w:hAnsi="Verdana Bold"/>
          <w:sz w:val="18"/>
          <w:szCs w:val="18"/>
        </w:rPr>
        <w:t>12</w:t>
      </w:r>
      <w:r w:rsidRPr="00033FFF" w:rsidR="000F1111">
        <w:rPr>
          <w:rFonts w:ascii="Verdana Bold" w:hAnsi="Verdana Bold"/>
          <w:sz w:val="18"/>
          <w:szCs w:val="18"/>
        </w:rPr>
        <w:t>.</w:t>
      </w:r>
      <w:r w:rsidRPr="00033FFF" w:rsidR="000F1111">
        <w:rPr>
          <w:rFonts w:ascii="Verdana Bold" w:hAnsi="Verdana Bold"/>
          <w:sz w:val="18"/>
          <w:szCs w:val="18"/>
        </w:rPr>
        <w:tab/>
      </w:r>
      <w:r w:rsidRPr="000F1111" w:rsidR="000F1111">
        <w:rPr>
          <w:rFonts w:ascii="Verdana Bold" w:hAnsi="Verdana Bold"/>
          <w:b/>
          <w:sz w:val="18"/>
          <w:szCs w:val="18"/>
          <w:lang w:bidi="nl-NL"/>
        </w:rPr>
        <w:t>Voorstel voor een verordening van het Europees Parlement en de Raad tot wijziging van Verordening (EU) nr. 1215/2012 betreffende de rechterlijke bevoegdheid, de erkenning en de tenuitvoerlegging van beslissingen in burgerlijke en handelszaken</w:t>
      </w:r>
    </w:p>
    <w:p w:rsidR="000F1111" w:rsidP="000F1111" w:rsidRDefault="000F1111" w14:paraId="72C0789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rFonts w:ascii="Verdana Bold" w:hAnsi="Verdana Bold"/>
          <w:sz w:val="18"/>
          <w:szCs w:val="18"/>
          <w:lang w:bidi="nl-NL"/>
        </w:rPr>
      </w:pPr>
      <w:r>
        <w:rPr>
          <w:rFonts w:ascii="Verdana Bold" w:hAnsi="Verdana Bold"/>
          <w:b/>
          <w:sz w:val="18"/>
          <w:szCs w:val="18"/>
          <w:lang w:bidi="nl-NL"/>
        </w:rPr>
        <w:tab/>
        <w:t xml:space="preserve">- </w:t>
      </w:r>
      <w:r w:rsidRPr="000F1111">
        <w:rPr>
          <w:rFonts w:ascii="Verdana Bold" w:hAnsi="Verdana Bold"/>
          <w:b/>
          <w:sz w:val="18"/>
          <w:szCs w:val="18"/>
          <w:lang w:bidi="nl-NL"/>
        </w:rPr>
        <w:t>Algemene oriëntatie</w:t>
      </w:r>
    </w:p>
    <w:p w:rsidR="00D35AB8" w:rsidRDefault="00D35AB8" w14:paraId="5CDF647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00CD3018" w:rsidP="00CD3018" w:rsidRDefault="00CD3018" w14:paraId="09C3BCB3" w14:textId="2B5B1F74">
      <w:pPr>
        <w:pStyle w:val="Standaard1"/>
        <w:rPr>
          <w:sz w:val="18"/>
          <w:szCs w:val="18"/>
          <w:lang w:val="nl-BE"/>
        </w:rPr>
      </w:pPr>
      <w:r>
        <w:rPr>
          <w:sz w:val="18"/>
          <w:szCs w:val="18"/>
          <w:lang w:val="nl-BE"/>
        </w:rPr>
        <w:t>De Commissie stelde dat de behandeling van dit voorstel een goed voorbeeld is van een Raad die snel heeft gewerkt, dit is een recordtijd. De wijziging van de Brussel I Verordening is een voorwaarde voor inwerkingtreding van de overeenkomst inzake het eengemaakt octrooigerecht (UPC- overeenkomst ). De UPC-overeenkomst introduceert het Eengemaakt Octrooigerecht als een aan meerdere lidstaten gemeenschappelijk gerecht voor beslechting van bepaalde geschillen met betrekking tot Europese en unitaire octrooien.</w:t>
      </w:r>
      <w:r>
        <w:rPr>
          <w:rStyle w:val="Verwijzingopmerking"/>
          <w:lang w:eastAsia="en-US"/>
        </w:rPr>
        <w:t> </w:t>
      </w:r>
      <w:r>
        <w:rPr>
          <w:sz w:val="18"/>
          <w:szCs w:val="18"/>
          <w:lang w:val="nl-BE"/>
        </w:rPr>
        <w:t xml:space="preserve">De Commissie steunde ook dat de lidstaten het Benelux Gerechtshof als een aan meerdere lidstaten gemeenschappelijk gerecht in de Brussel I verordening opnemen en gaf aan tevreden te zijn met het resultaat. </w:t>
      </w:r>
    </w:p>
    <w:p w:rsidR="00CD3018" w:rsidP="00CD3018" w:rsidRDefault="00CD3018" w14:paraId="454DC262" w14:textId="77777777">
      <w:pPr>
        <w:pStyle w:val="Standaard1"/>
        <w:rPr>
          <w:sz w:val="18"/>
          <w:szCs w:val="18"/>
          <w:lang w:val="nl-BE"/>
        </w:rPr>
      </w:pPr>
    </w:p>
    <w:p w:rsidRPr="00CD3018" w:rsidR="00CD3018" w:rsidP="00CD3018" w:rsidRDefault="00CD3018" w14:paraId="4AEF14E4" w14:textId="352AC82A">
      <w:pPr>
        <w:pStyle w:val="Standaard1"/>
        <w:rPr>
          <w:rFonts w:eastAsia="Times New Roman"/>
          <w:sz w:val="24"/>
          <w:szCs w:val="24"/>
        </w:rPr>
      </w:pPr>
      <w:r w:rsidRPr="00CD3018">
        <w:rPr>
          <w:sz w:val="18"/>
          <w:szCs w:val="18"/>
          <w:lang w:val="nl-BE"/>
        </w:rPr>
        <w:t>Eén lidstaat stemde tegen dit voorstel. Het Voorzitterschap concludeerde dat het voorstel is aanvaard als een algemene oriëntatie.</w:t>
      </w:r>
      <w:r w:rsidRPr="00CD3018">
        <w:rPr>
          <w:rFonts w:eastAsia="Times New Roman"/>
          <w:sz w:val="24"/>
          <w:szCs w:val="24"/>
        </w:rPr>
        <w:t xml:space="preserve"> </w:t>
      </w:r>
    </w:p>
    <w:p w:rsidRPr="00CD3018" w:rsidR="000F1111" w:rsidRDefault="000F1111" w14:paraId="5846B376"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Pr="00B242F4" w:rsidR="00B242F4" w:rsidP="00B242F4" w:rsidRDefault="00EF25ED" w14:paraId="2B5F99AC" w14:textId="56A2E92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rFonts w:ascii="Verdana Bold" w:hAnsi="Verdana Bold"/>
          <w:b/>
          <w:bCs/>
          <w:sz w:val="18"/>
          <w:szCs w:val="18"/>
          <w:lang w:bidi="nl-NL"/>
        </w:rPr>
      </w:pPr>
      <w:r>
        <w:rPr>
          <w:rFonts w:ascii="Verdana Bold" w:hAnsi="Verdana Bold"/>
          <w:sz w:val="18"/>
          <w:szCs w:val="18"/>
        </w:rPr>
        <w:t>13</w:t>
      </w:r>
      <w:r w:rsidRPr="00033FFF" w:rsidR="00B242F4">
        <w:rPr>
          <w:rFonts w:ascii="Verdana Bold" w:hAnsi="Verdana Bold"/>
          <w:sz w:val="18"/>
          <w:szCs w:val="18"/>
        </w:rPr>
        <w:t>.</w:t>
      </w:r>
      <w:r w:rsidRPr="00033FFF" w:rsidR="00B242F4">
        <w:rPr>
          <w:rFonts w:ascii="Verdana Bold" w:hAnsi="Verdana Bold"/>
          <w:sz w:val="18"/>
          <w:szCs w:val="18"/>
        </w:rPr>
        <w:tab/>
      </w:r>
      <w:r w:rsidRPr="00B242F4" w:rsidR="00B242F4">
        <w:rPr>
          <w:rFonts w:ascii="Verdana Bold" w:hAnsi="Verdana Bold"/>
          <w:b/>
          <w:sz w:val="18"/>
          <w:szCs w:val="18"/>
          <w:lang w:bidi="nl-NL"/>
        </w:rPr>
        <w:t>Voorstel voor een verordening van het Europees Parlement en de Raad betreffende een gemeenschappelijk Europees kooprecht</w:t>
      </w:r>
    </w:p>
    <w:p w:rsidR="00B242F4" w:rsidP="00B242F4" w:rsidRDefault="00B242F4" w14:paraId="0D97333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pPr>
      <w:r>
        <w:rPr>
          <w:rFonts w:ascii="Verdana Bold" w:hAnsi="Verdana Bold"/>
          <w:b/>
          <w:sz w:val="18"/>
          <w:szCs w:val="18"/>
          <w:lang w:bidi="nl-NL"/>
        </w:rPr>
        <w:tab/>
        <w:t xml:space="preserve">- </w:t>
      </w:r>
      <w:r w:rsidRPr="00B242F4">
        <w:rPr>
          <w:rFonts w:ascii="Verdana Bold" w:hAnsi="Verdana Bold"/>
          <w:b/>
          <w:sz w:val="18"/>
          <w:szCs w:val="18"/>
          <w:lang w:bidi="nl-NL"/>
        </w:rPr>
        <w:t>Informatie van het voorzitterschap</w:t>
      </w:r>
    </w:p>
    <w:p w:rsidR="00B242F4" w:rsidRDefault="00B242F4" w14:paraId="7C95067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00B242F4" w:rsidP="00B242F4" w:rsidRDefault="00B242F4" w14:paraId="7C251D1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r>
        <w:rPr>
          <w:sz w:val="18"/>
          <w:szCs w:val="18"/>
          <w:lang w:val="nl-BE"/>
        </w:rPr>
        <w:t>Het Voorzitterschap lichtte toe dat u</w:t>
      </w:r>
      <w:r w:rsidRPr="00B242F4">
        <w:rPr>
          <w:sz w:val="18"/>
          <w:szCs w:val="18"/>
          <w:lang w:val="nl-BE"/>
        </w:rPr>
        <w:t xml:space="preserve">it de discussies </w:t>
      </w:r>
      <w:r>
        <w:rPr>
          <w:sz w:val="18"/>
          <w:szCs w:val="18"/>
          <w:lang w:val="nl-BE"/>
        </w:rPr>
        <w:t xml:space="preserve">van de Raadswerkgroep </w:t>
      </w:r>
      <w:r w:rsidRPr="00B242F4">
        <w:rPr>
          <w:sz w:val="18"/>
          <w:szCs w:val="18"/>
          <w:lang w:val="nl-BE"/>
        </w:rPr>
        <w:t xml:space="preserve">is gebleken dat het nog prematuur is om de Raad </w:t>
      </w:r>
      <w:r>
        <w:rPr>
          <w:sz w:val="18"/>
          <w:szCs w:val="18"/>
          <w:lang w:val="nl-BE"/>
        </w:rPr>
        <w:t xml:space="preserve">nu </w:t>
      </w:r>
      <w:r w:rsidRPr="00B242F4">
        <w:rPr>
          <w:sz w:val="18"/>
          <w:szCs w:val="18"/>
          <w:lang w:val="nl-BE"/>
        </w:rPr>
        <w:t xml:space="preserve">te vragen hierover een debat te voeren. Er zijn te veel onopgeloste problemen. </w:t>
      </w:r>
      <w:r>
        <w:rPr>
          <w:sz w:val="18"/>
          <w:szCs w:val="18"/>
          <w:lang w:val="nl-BE"/>
        </w:rPr>
        <w:t xml:space="preserve">Het Voorzitterschap stelde dat </w:t>
      </w:r>
      <w:r w:rsidRPr="00B242F4">
        <w:rPr>
          <w:sz w:val="18"/>
          <w:szCs w:val="18"/>
          <w:lang w:val="nl-BE"/>
        </w:rPr>
        <w:t xml:space="preserve">er zorgvuldig moet worden gekeken naar de bijlagen bij het voorstel, waarin alle technische regels staan. Het is van cruciaal belang dat hier voldoende tijd voor wordt </w:t>
      </w:r>
      <w:r>
        <w:rPr>
          <w:sz w:val="18"/>
          <w:szCs w:val="18"/>
          <w:lang w:val="nl-BE"/>
        </w:rPr>
        <w:t>uit</w:t>
      </w:r>
      <w:r w:rsidRPr="00B242F4">
        <w:rPr>
          <w:sz w:val="18"/>
          <w:szCs w:val="18"/>
          <w:lang w:val="nl-BE"/>
        </w:rPr>
        <w:t>getrokken. In het EP is de suggestie gedaan om de werkingssfeer te beperken en de Raad zal dit met grote belangstelling volgen.</w:t>
      </w:r>
    </w:p>
    <w:p w:rsidRPr="00B242F4" w:rsidR="00B242F4" w:rsidP="00B242F4" w:rsidRDefault="00B242F4" w14:paraId="36DA589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val="nl-BE"/>
        </w:rPr>
      </w:pPr>
    </w:p>
    <w:p w:rsidRPr="00B242F4" w:rsidR="00B242F4" w:rsidP="00B242F4" w:rsidRDefault="00B242F4" w14:paraId="71868E1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Pr>
          <w:sz w:val="18"/>
          <w:szCs w:val="18"/>
          <w:lang w:val="nl-BE"/>
        </w:rPr>
        <w:t xml:space="preserve">De Commissie </w:t>
      </w:r>
      <w:r w:rsidRPr="00B242F4">
        <w:rPr>
          <w:sz w:val="18"/>
          <w:szCs w:val="18"/>
          <w:lang w:val="nl-BE"/>
        </w:rPr>
        <w:t>dankt</w:t>
      </w:r>
      <w:r>
        <w:rPr>
          <w:sz w:val="18"/>
          <w:szCs w:val="18"/>
          <w:lang w:val="nl-BE"/>
        </w:rPr>
        <w:t>e</w:t>
      </w:r>
      <w:r w:rsidRPr="00B242F4">
        <w:rPr>
          <w:sz w:val="18"/>
          <w:szCs w:val="18"/>
          <w:lang w:val="nl-BE"/>
        </w:rPr>
        <w:t xml:space="preserve"> het V</w:t>
      </w:r>
      <w:r>
        <w:rPr>
          <w:sz w:val="18"/>
          <w:szCs w:val="18"/>
          <w:lang w:val="nl-BE"/>
        </w:rPr>
        <w:t>oorzitter</w:t>
      </w:r>
      <w:r w:rsidRPr="00B242F4">
        <w:rPr>
          <w:sz w:val="18"/>
          <w:szCs w:val="18"/>
          <w:lang w:val="nl-BE"/>
        </w:rPr>
        <w:t xml:space="preserve">schap voor de geboekte voortgang. </w:t>
      </w:r>
      <w:r>
        <w:rPr>
          <w:sz w:val="18"/>
          <w:szCs w:val="18"/>
          <w:lang w:val="nl-BE"/>
        </w:rPr>
        <w:t xml:space="preserve">De Commissie kondigde aan </w:t>
      </w:r>
      <w:r w:rsidRPr="00B242F4">
        <w:rPr>
          <w:sz w:val="18"/>
          <w:szCs w:val="18"/>
          <w:lang w:val="nl-BE"/>
        </w:rPr>
        <w:t>alle</w:t>
      </w:r>
      <w:r>
        <w:rPr>
          <w:sz w:val="18"/>
          <w:szCs w:val="18"/>
          <w:lang w:val="nl-BE"/>
        </w:rPr>
        <w:t xml:space="preserve"> punten </w:t>
      </w:r>
      <w:r w:rsidRPr="00B242F4">
        <w:rPr>
          <w:sz w:val="18"/>
          <w:szCs w:val="18"/>
          <w:lang w:val="nl-BE"/>
        </w:rPr>
        <w:t xml:space="preserve">te zullen bespreken en opheldering te bieden waar dat nodig is. </w:t>
      </w:r>
    </w:p>
    <w:p w:rsidR="000F1111" w:rsidRDefault="000F1111" w14:paraId="52053F3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Pr="00471C1E" w:rsidR="00471C1E" w:rsidP="00471C1E" w:rsidRDefault="00EF25ED" w14:paraId="2E57631F" w14:textId="39D75120">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rPr>
        <w:t>14</w:t>
      </w:r>
      <w:r w:rsidR="00471C1E">
        <w:rPr>
          <w:b/>
          <w:sz w:val="18"/>
          <w:szCs w:val="18"/>
        </w:rPr>
        <w:t>.</w:t>
      </w:r>
      <w:r w:rsidR="00471C1E">
        <w:rPr>
          <w:b/>
          <w:sz w:val="18"/>
          <w:szCs w:val="18"/>
        </w:rPr>
        <w:tab/>
      </w:r>
      <w:r w:rsidRPr="00471C1E" w:rsidR="00471C1E">
        <w:rPr>
          <w:b/>
          <w:sz w:val="18"/>
          <w:szCs w:val="18"/>
          <w:lang w:bidi="nl-NL"/>
        </w:rPr>
        <w:t>Diversen</w:t>
      </w:r>
    </w:p>
    <w:p w:rsidRPr="00471C1E" w:rsidR="001D5B46" w:rsidP="00471C1E" w:rsidRDefault="00471C1E" w14:paraId="698267F0" w14:textId="4338FEA8">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8"/>
        <w:rPr>
          <w:b/>
          <w:sz w:val="18"/>
          <w:szCs w:val="18"/>
        </w:rPr>
      </w:pPr>
      <w:r>
        <w:rPr>
          <w:b/>
          <w:sz w:val="18"/>
          <w:szCs w:val="18"/>
          <w:lang w:bidi="nl-NL"/>
        </w:rPr>
        <w:t xml:space="preserve">- </w:t>
      </w:r>
      <w:r w:rsidRPr="00471C1E">
        <w:rPr>
          <w:b/>
          <w:sz w:val="18"/>
          <w:szCs w:val="18"/>
          <w:lang w:bidi="nl-NL"/>
        </w:rPr>
        <w:t xml:space="preserve">Informatie van het voorzitterschap over </w:t>
      </w:r>
      <w:r w:rsidR="00624F59">
        <w:rPr>
          <w:b/>
          <w:sz w:val="18"/>
          <w:szCs w:val="18"/>
          <w:lang w:bidi="nl-NL"/>
        </w:rPr>
        <w:t>lopende</w:t>
      </w:r>
      <w:r w:rsidRPr="00471C1E">
        <w:rPr>
          <w:b/>
          <w:sz w:val="18"/>
          <w:szCs w:val="18"/>
          <w:lang w:bidi="nl-NL"/>
        </w:rPr>
        <w:t xml:space="preserve"> wetgevingsvoorstellen</w:t>
      </w:r>
    </w:p>
    <w:p w:rsidR="000F1111" w:rsidRDefault="000F1111" w14:paraId="4ADA4D8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00471C1E" w:rsidP="00471C1E" w:rsidRDefault="00471C1E" w14:paraId="33DE4BF4" w14:textId="1D6AC2B0">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sz w:val="18"/>
          <w:szCs w:val="18"/>
          <w:lang w:bidi="nl-NL"/>
        </w:rPr>
        <w:t>Het Voorzittersc</w:t>
      </w:r>
      <w:r w:rsidR="00607B67">
        <w:rPr>
          <w:sz w:val="18"/>
          <w:szCs w:val="18"/>
          <w:lang w:bidi="nl-NL"/>
        </w:rPr>
        <w:t>hap</w:t>
      </w:r>
      <w:r w:rsidRPr="00471C1E">
        <w:rPr>
          <w:sz w:val="18"/>
          <w:szCs w:val="18"/>
          <w:lang w:bidi="nl-NL"/>
        </w:rPr>
        <w:t xml:space="preserve"> noem</w:t>
      </w:r>
      <w:r w:rsidR="00607B67">
        <w:rPr>
          <w:sz w:val="18"/>
          <w:szCs w:val="18"/>
          <w:lang w:bidi="nl-NL"/>
        </w:rPr>
        <w:t xml:space="preserve">de </w:t>
      </w:r>
      <w:r w:rsidRPr="00471C1E">
        <w:rPr>
          <w:sz w:val="18"/>
          <w:szCs w:val="18"/>
          <w:lang w:bidi="nl-NL"/>
        </w:rPr>
        <w:t xml:space="preserve">kort: (i) </w:t>
      </w:r>
      <w:r w:rsidR="00607B67">
        <w:rPr>
          <w:sz w:val="18"/>
          <w:szCs w:val="18"/>
          <w:lang w:bidi="nl-NL"/>
        </w:rPr>
        <w:t xml:space="preserve">het </w:t>
      </w:r>
      <w:r w:rsidRPr="00471C1E">
        <w:rPr>
          <w:sz w:val="18"/>
          <w:szCs w:val="18"/>
          <w:lang w:bidi="nl-NL"/>
        </w:rPr>
        <w:t xml:space="preserve">Europees onderzoeksbevel: na twee jaar is er overeenstemming in de Raad, gisteren was er stemming in de LIBE-commissie; doel is om de richtlijn begin volgend jaar formeel aan te nemen, (ii) </w:t>
      </w:r>
      <w:r w:rsidR="00607B67">
        <w:rPr>
          <w:sz w:val="18"/>
          <w:szCs w:val="18"/>
          <w:lang w:bidi="nl-NL"/>
        </w:rPr>
        <w:t xml:space="preserve">het </w:t>
      </w:r>
      <w:r w:rsidRPr="00471C1E">
        <w:rPr>
          <w:sz w:val="18"/>
          <w:szCs w:val="18"/>
          <w:lang w:bidi="nl-NL"/>
        </w:rPr>
        <w:t>E</w:t>
      </w:r>
      <w:r w:rsidR="00607B67">
        <w:rPr>
          <w:sz w:val="18"/>
          <w:szCs w:val="18"/>
          <w:lang w:bidi="nl-NL"/>
        </w:rPr>
        <w:t xml:space="preserve">uropees </w:t>
      </w:r>
      <w:r w:rsidRPr="00471C1E">
        <w:rPr>
          <w:sz w:val="18"/>
          <w:szCs w:val="18"/>
          <w:lang w:bidi="nl-NL"/>
        </w:rPr>
        <w:t>O</w:t>
      </w:r>
      <w:r w:rsidR="00607B67">
        <w:rPr>
          <w:sz w:val="18"/>
          <w:szCs w:val="18"/>
          <w:lang w:bidi="nl-NL"/>
        </w:rPr>
        <w:t xml:space="preserve">penbaar </w:t>
      </w:r>
      <w:r w:rsidRPr="00471C1E">
        <w:rPr>
          <w:sz w:val="18"/>
          <w:szCs w:val="18"/>
          <w:lang w:bidi="nl-NL"/>
        </w:rPr>
        <w:t>M</w:t>
      </w:r>
      <w:r w:rsidR="00607B67">
        <w:rPr>
          <w:sz w:val="18"/>
          <w:szCs w:val="18"/>
          <w:lang w:bidi="nl-NL"/>
        </w:rPr>
        <w:t>inisterie</w:t>
      </w:r>
      <w:r w:rsidRPr="00471C1E">
        <w:rPr>
          <w:sz w:val="18"/>
          <w:szCs w:val="18"/>
          <w:lang w:bidi="nl-NL"/>
        </w:rPr>
        <w:t>/Eurojust wordt besproken tijdens ministerslunch</w:t>
      </w:r>
      <w:r w:rsidR="00607B67">
        <w:rPr>
          <w:sz w:val="18"/>
          <w:szCs w:val="18"/>
          <w:lang w:bidi="nl-NL"/>
        </w:rPr>
        <w:t xml:space="preserve"> (zie hierna)</w:t>
      </w:r>
      <w:r w:rsidRPr="00471C1E">
        <w:rPr>
          <w:sz w:val="18"/>
          <w:szCs w:val="18"/>
          <w:lang w:bidi="nl-NL"/>
        </w:rPr>
        <w:t xml:space="preserve">, (iii) </w:t>
      </w:r>
      <w:r w:rsidR="00607B67">
        <w:rPr>
          <w:sz w:val="18"/>
          <w:szCs w:val="18"/>
          <w:lang w:bidi="nl-NL"/>
        </w:rPr>
        <w:t xml:space="preserve">het </w:t>
      </w:r>
      <w:r w:rsidRPr="00471C1E">
        <w:rPr>
          <w:sz w:val="18"/>
          <w:szCs w:val="18"/>
          <w:lang w:bidi="nl-NL"/>
        </w:rPr>
        <w:t xml:space="preserve">akkoord met </w:t>
      </w:r>
      <w:r w:rsidR="00607B67">
        <w:rPr>
          <w:sz w:val="18"/>
          <w:szCs w:val="18"/>
          <w:lang w:bidi="nl-NL"/>
        </w:rPr>
        <w:t xml:space="preserve">het </w:t>
      </w:r>
      <w:r w:rsidRPr="00471C1E">
        <w:rPr>
          <w:sz w:val="18"/>
          <w:szCs w:val="18"/>
          <w:lang w:bidi="nl-NL"/>
        </w:rPr>
        <w:t>E</w:t>
      </w:r>
      <w:r w:rsidR="00607B67">
        <w:rPr>
          <w:sz w:val="18"/>
          <w:szCs w:val="18"/>
          <w:lang w:bidi="nl-NL"/>
        </w:rPr>
        <w:t>uropees Parlement</w:t>
      </w:r>
      <w:r w:rsidRPr="00471C1E">
        <w:rPr>
          <w:sz w:val="18"/>
          <w:szCs w:val="18"/>
          <w:lang w:bidi="nl-NL"/>
        </w:rPr>
        <w:t xml:space="preserve"> over </w:t>
      </w:r>
      <w:r w:rsidR="00607B67">
        <w:rPr>
          <w:sz w:val="18"/>
          <w:szCs w:val="18"/>
          <w:lang w:bidi="nl-NL"/>
        </w:rPr>
        <w:t xml:space="preserve">de </w:t>
      </w:r>
      <w:r w:rsidRPr="00471C1E">
        <w:rPr>
          <w:sz w:val="18"/>
          <w:szCs w:val="18"/>
          <w:lang w:bidi="nl-NL"/>
        </w:rPr>
        <w:t>confiscatie</w:t>
      </w:r>
      <w:r w:rsidR="00607B67">
        <w:rPr>
          <w:sz w:val="18"/>
          <w:szCs w:val="18"/>
          <w:lang w:bidi="nl-NL"/>
        </w:rPr>
        <w:t xml:space="preserve"> </w:t>
      </w:r>
      <w:r w:rsidRPr="00471C1E" w:rsidR="00607B67">
        <w:rPr>
          <w:sz w:val="18"/>
          <w:szCs w:val="18"/>
          <w:lang w:bidi="nl-NL"/>
        </w:rPr>
        <w:t>richtlijn</w:t>
      </w:r>
      <w:r w:rsidRPr="00471C1E">
        <w:rPr>
          <w:sz w:val="18"/>
          <w:szCs w:val="18"/>
          <w:lang w:bidi="nl-NL"/>
        </w:rPr>
        <w:t xml:space="preserve">, (iv) </w:t>
      </w:r>
      <w:r w:rsidR="00607B67">
        <w:rPr>
          <w:sz w:val="18"/>
          <w:szCs w:val="18"/>
          <w:lang w:bidi="nl-NL"/>
        </w:rPr>
        <w:t xml:space="preserve">het </w:t>
      </w:r>
      <w:r w:rsidRPr="00471C1E">
        <w:rPr>
          <w:sz w:val="18"/>
          <w:szCs w:val="18"/>
          <w:lang w:bidi="nl-NL"/>
        </w:rPr>
        <w:t>M</w:t>
      </w:r>
      <w:r w:rsidR="00607B67">
        <w:rPr>
          <w:sz w:val="18"/>
          <w:szCs w:val="18"/>
          <w:lang w:bidi="nl-NL"/>
        </w:rPr>
        <w:t xml:space="preserve">eerjarig </w:t>
      </w:r>
      <w:r w:rsidRPr="00471C1E">
        <w:rPr>
          <w:sz w:val="18"/>
          <w:szCs w:val="18"/>
          <w:lang w:bidi="nl-NL"/>
        </w:rPr>
        <w:t>F</w:t>
      </w:r>
      <w:r w:rsidR="00607B67">
        <w:rPr>
          <w:sz w:val="18"/>
          <w:szCs w:val="18"/>
          <w:lang w:bidi="nl-NL"/>
        </w:rPr>
        <w:t xml:space="preserve">inancieel </w:t>
      </w:r>
      <w:r w:rsidRPr="00471C1E">
        <w:rPr>
          <w:sz w:val="18"/>
          <w:szCs w:val="18"/>
          <w:lang w:bidi="nl-NL"/>
        </w:rPr>
        <w:t>K</w:t>
      </w:r>
      <w:r w:rsidR="00607B67">
        <w:rPr>
          <w:sz w:val="18"/>
          <w:szCs w:val="18"/>
          <w:lang w:bidi="nl-NL"/>
        </w:rPr>
        <w:t>ader</w:t>
      </w:r>
      <w:r w:rsidRPr="00471C1E">
        <w:rPr>
          <w:sz w:val="18"/>
          <w:szCs w:val="18"/>
          <w:lang w:bidi="nl-NL"/>
        </w:rPr>
        <w:t xml:space="preserve">/justitie: </w:t>
      </w:r>
      <w:r w:rsidR="00607B67">
        <w:rPr>
          <w:sz w:val="18"/>
          <w:szCs w:val="18"/>
          <w:lang w:bidi="nl-NL"/>
        </w:rPr>
        <w:t xml:space="preserve">op </w:t>
      </w:r>
      <w:r w:rsidRPr="00471C1E">
        <w:rPr>
          <w:sz w:val="18"/>
          <w:szCs w:val="18"/>
          <w:lang w:bidi="nl-NL"/>
        </w:rPr>
        <w:t xml:space="preserve">10 december </w:t>
      </w:r>
      <w:r w:rsidR="00607B67">
        <w:rPr>
          <w:sz w:val="18"/>
          <w:szCs w:val="18"/>
          <w:lang w:bidi="nl-NL"/>
        </w:rPr>
        <w:t xml:space="preserve">vindt de plenaire </w:t>
      </w:r>
      <w:r w:rsidRPr="00471C1E">
        <w:rPr>
          <w:sz w:val="18"/>
          <w:szCs w:val="18"/>
          <w:lang w:bidi="nl-NL"/>
        </w:rPr>
        <w:t xml:space="preserve">stemming </w:t>
      </w:r>
      <w:r w:rsidR="00607B67">
        <w:rPr>
          <w:sz w:val="18"/>
          <w:szCs w:val="18"/>
          <w:lang w:bidi="nl-NL"/>
        </w:rPr>
        <w:t xml:space="preserve">plaats </w:t>
      </w:r>
      <w:r w:rsidR="00624F59">
        <w:rPr>
          <w:sz w:val="18"/>
          <w:szCs w:val="18"/>
          <w:lang w:bidi="nl-NL"/>
        </w:rPr>
        <w:t xml:space="preserve">in </w:t>
      </w:r>
      <w:r w:rsidR="00607B67">
        <w:rPr>
          <w:sz w:val="18"/>
          <w:szCs w:val="18"/>
          <w:lang w:bidi="nl-NL"/>
        </w:rPr>
        <w:t xml:space="preserve">het </w:t>
      </w:r>
      <w:r w:rsidRPr="00471C1E">
        <w:rPr>
          <w:sz w:val="18"/>
          <w:szCs w:val="18"/>
          <w:lang w:bidi="nl-NL"/>
        </w:rPr>
        <w:t>E</w:t>
      </w:r>
      <w:r w:rsidR="00607B67">
        <w:rPr>
          <w:sz w:val="18"/>
          <w:szCs w:val="18"/>
          <w:lang w:bidi="nl-NL"/>
        </w:rPr>
        <w:t>uropees Parlement</w:t>
      </w:r>
      <w:r w:rsidRPr="00471C1E">
        <w:rPr>
          <w:sz w:val="18"/>
          <w:szCs w:val="18"/>
          <w:lang w:bidi="nl-NL"/>
        </w:rPr>
        <w:t xml:space="preserve">, </w:t>
      </w:r>
      <w:r w:rsidR="00607B67">
        <w:rPr>
          <w:sz w:val="18"/>
          <w:szCs w:val="18"/>
          <w:lang w:bidi="nl-NL"/>
        </w:rPr>
        <w:t xml:space="preserve">met als </w:t>
      </w:r>
      <w:r w:rsidRPr="00471C1E">
        <w:rPr>
          <w:sz w:val="18"/>
          <w:szCs w:val="18"/>
          <w:lang w:bidi="nl-NL"/>
        </w:rPr>
        <w:t xml:space="preserve">doel adoptie op </w:t>
      </w:r>
      <w:r w:rsidR="00607B67">
        <w:rPr>
          <w:sz w:val="18"/>
          <w:szCs w:val="18"/>
          <w:lang w:bidi="nl-NL"/>
        </w:rPr>
        <w:t xml:space="preserve">de </w:t>
      </w:r>
      <w:r w:rsidRPr="00471C1E">
        <w:rPr>
          <w:sz w:val="18"/>
          <w:szCs w:val="18"/>
          <w:lang w:bidi="nl-NL"/>
        </w:rPr>
        <w:t xml:space="preserve">LNV-Raad van 16 december, (v) huwelijksvermogensrechtelijke regimes/geregistreerde partnerschappen: </w:t>
      </w:r>
      <w:r w:rsidR="00607B67">
        <w:rPr>
          <w:sz w:val="18"/>
          <w:szCs w:val="18"/>
          <w:lang w:bidi="nl-NL"/>
        </w:rPr>
        <w:t xml:space="preserve">het </w:t>
      </w:r>
      <w:r w:rsidRPr="00471C1E">
        <w:rPr>
          <w:sz w:val="18"/>
          <w:szCs w:val="18"/>
          <w:lang w:bidi="nl-NL"/>
        </w:rPr>
        <w:t xml:space="preserve">werk </w:t>
      </w:r>
      <w:r w:rsidR="00607B67">
        <w:rPr>
          <w:sz w:val="18"/>
          <w:szCs w:val="18"/>
          <w:lang w:bidi="nl-NL"/>
        </w:rPr>
        <w:t xml:space="preserve">is </w:t>
      </w:r>
      <w:r w:rsidRPr="00471C1E">
        <w:rPr>
          <w:sz w:val="18"/>
          <w:szCs w:val="18"/>
          <w:lang w:bidi="nl-NL"/>
        </w:rPr>
        <w:t xml:space="preserve">op technisch niveau afgerond maar </w:t>
      </w:r>
      <w:r w:rsidR="00607B67">
        <w:rPr>
          <w:sz w:val="18"/>
          <w:szCs w:val="18"/>
          <w:lang w:bidi="nl-NL"/>
        </w:rPr>
        <w:t xml:space="preserve">er zijn </w:t>
      </w:r>
      <w:r w:rsidRPr="00471C1E">
        <w:rPr>
          <w:sz w:val="18"/>
          <w:szCs w:val="18"/>
          <w:lang w:bidi="nl-NL"/>
        </w:rPr>
        <w:t>nog pol</w:t>
      </w:r>
      <w:r w:rsidR="00607B67">
        <w:rPr>
          <w:sz w:val="18"/>
          <w:szCs w:val="18"/>
          <w:lang w:bidi="nl-NL"/>
        </w:rPr>
        <w:t>itieke bezwaren in een enkele lidstaat</w:t>
      </w:r>
      <w:r w:rsidRPr="00471C1E">
        <w:rPr>
          <w:sz w:val="18"/>
          <w:szCs w:val="18"/>
          <w:lang w:bidi="nl-NL"/>
        </w:rPr>
        <w:t xml:space="preserve">, (vi) </w:t>
      </w:r>
      <w:r w:rsidR="00865D52">
        <w:rPr>
          <w:sz w:val="18"/>
          <w:szCs w:val="18"/>
          <w:lang w:bidi="nl-NL"/>
        </w:rPr>
        <w:t xml:space="preserve">de </w:t>
      </w:r>
      <w:r w:rsidRPr="00471C1E">
        <w:rPr>
          <w:sz w:val="18"/>
          <w:szCs w:val="18"/>
          <w:lang w:bidi="nl-NL"/>
        </w:rPr>
        <w:t xml:space="preserve">vereenvoudiging </w:t>
      </w:r>
      <w:r w:rsidR="00865D52">
        <w:rPr>
          <w:sz w:val="18"/>
          <w:szCs w:val="18"/>
          <w:lang w:bidi="nl-NL"/>
        </w:rPr>
        <w:t xml:space="preserve">inzake </w:t>
      </w:r>
      <w:r w:rsidR="00EF25ED">
        <w:rPr>
          <w:sz w:val="18"/>
          <w:szCs w:val="18"/>
          <w:lang w:bidi="nl-NL"/>
        </w:rPr>
        <w:t>aanvaarding van bepaalde openbare akten.</w:t>
      </w:r>
      <w:r w:rsidR="00865D52">
        <w:rPr>
          <w:sz w:val="18"/>
          <w:szCs w:val="18"/>
          <w:lang w:bidi="nl-NL"/>
        </w:rPr>
        <w:t xml:space="preserve">Het </w:t>
      </w:r>
      <w:r w:rsidRPr="00471C1E">
        <w:rPr>
          <w:sz w:val="18"/>
          <w:szCs w:val="18"/>
          <w:lang w:bidi="nl-NL"/>
        </w:rPr>
        <w:t xml:space="preserve">werk wordt voortgezet onder </w:t>
      </w:r>
      <w:r w:rsidR="00865D52">
        <w:rPr>
          <w:sz w:val="18"/>
          <w:szCs w:val="18"/>
          <w:lang w:bidi="nl-NL"/>
        </w:rPr>
        <w:t>Grieks Voorzitterschap</w:t>
      </w:r>
      <w:r w:rsidRPr="00471C1E">
        <w:rPr>
          <w:sz w:val="18"/>
          <w:szCs w:val="18"/>
          <w:lang w:bidi="nl-NL"/>
        </w:rPr>
        <w:t xml:space="preserve">. </w:t>
      </w:r>
    </w:p>
    <w:p w:rsidR="00865D52" w:rsidP="00471C1E" w:rsidRDefault="00865D52" w14:paraId="7214A3C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865D52" w:rsidR="00865D52" w:rsidP="00865D52" w:rsidRDefault="00EF25ED" w14:paraId="1CDC2F30" w14:textId="6706FB28">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15</w:t>
      </w:r>
      <w:r w:rsidR="00865D52">
        <w:rPr>
          <w:b/>
          <w:sz w:val="18"/>
          <w:szCs w:val="18"/>
          <w:lang w:bidi="nl-NL"/>
        </w:rPr>
        <w:t>.</w:t>
      </w:r>
      <w:r w:rsidR="00865D52">
        <w:rPr>
          <w:b/>
          <w:sz w:val="18"/>
          <w:szCs w:val="18"/>
          <w:lang w:bidi="nl-NL"/>
        </w:rPr>
        <w:tab/>
      </w:r>
      <w:r w:rsidRPr="00865D52" w:rsidR="00865D52">
        <w:rPr>
          <w:b/>
          <w:sz w:val="18"/>
          <w:szCs w:val="18"/>
          <w:lang w:bidi="nl-NL"/>
        </w:rPr>
        <w:t>Conclusies van de Raad over de bestrijding van haatcriminaliteit</w:t>
      </w:r>
    </w:p>
    <w:p w:rsidRPr="00865D52" w:rsidR="00865D52" w:rsidP="00865D52" w:rsidRDefault="00865D52" w14:paraId="460AFDE8" w14:textId="77777777">
      <w:pPr>
        <w:pStyle w:val="Standaard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sidRPr="00865D52">
        <w:rPr>
          <w:b/>
          <w:sz w:val="18"/>
          <w:szCs w:val="18"/>
          <w:lang w:bidi="nl-NL"/>
        </w:rPr>
        <w:t>Aanneming</w:t>
      </w:r>
    </w:p>
    <w:p w:rsidRPr="00865D52" w:rsidR="00865D52" w:rsidP="00471C1E" w:rsidRDefault="00865D52" w14:paraId="2EBB9356"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00865D52" w:rsidRDefault="00865D52" w14:paraId="6D100CDA" w14:textId="78534DC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sz w:val="18"/>
          <w:szCs w:val="18"/>
          <w:lang w:bidi="nl-NL"/>
        </w:rPr>
        <w:t xml:space="preserve">Het </w:t>
      </w:r>
      <w:r w:rsidRPr="00865D52">
        <w:rPr>
          <w:sz w:val="18"/>
          <w:szCs w:val="18"/>
          <w:lang w:bidi="nl-NL"/>
        </w:rPr>
        <w:t>V</w:t>
      </w:r>
      <w:r>
        <w:rPr>
          <w:sz w:val="18"/>
          <w:szCs w:val="18"/>
          <w:lang w:bidi="nl-NL"/>
        </w:rPr>
        <w:t xml:space="preserve">oorzitterschap </w:t>
      </w:r>
      <w:r w:rsidRPr="00865D52">
        <w:rPr>
          <w:sz w:val="18"/>
          <w:szCs w:val="18"/>
          <w:lang w:bidi="nl-NL"/>
        </w:rPr>
        <w:t>verw</w:t>
      </w:r>
      <w:r>
        <w:rPr>
          <w:sz w:val="18"/>
          <w:szCs w:val="18"/>
          <w:lang w:bidi="nl-NL"/>
        </w:rPr>
        <w:t>ee</w:t>
      </w:r>
      <w:r w:rsidRPr="00865D52">
        <w:rPr>
          <w:sz w:val="18"/>
          <w:szCs w:val="18"/>
          <w:lang w:bidi="nl-NL"/>
        </w:rPr>
        <w:t xml:space="preserve">s naar een conferentie over haatmisdrijven georganiseerd door </w:t>
      </w:r>
      <w:r>
        <w:rPr>
          <w:sz w:val="18"/>
          <w:szCs w:val="18"/>
          <w:lang w:bidi="nl-NL"/>
        </w:rPr>
        <w:t xml:space="preserve">het </w:t>
      </w:r>
      <w:r w:rsidRPr="00865D52">
        <w:rPr>
          <w:sz w:val="18"/>
          <w:szCs w:val="18"/>
          <w:lang w:bidi="nl-NL"/>
        </w:rPr>
        <w:t>V</w:t>
      </w:r>
      <w:r>
        <w:rPr>
          <w:sz w:val="18"/>
          <w:szCs w:val="18"/>
          <w:lang w:bidi="nl-NL"/>
        </w:rPr>
        <w:t>oorzitters</w:t>
      </w:r>
      <w:r w:rsidRPr="00865D52">
        <w:rPr>
          <w:sz w:val="18"/>
          <w:szCs w:val="18"/>
          <w:lang w:bidi="nl-NL"/>
        </w:rPr>
        <w:t xml:space="preserve">chap en </w:t>
      </w:r>
      <w:r>
        <w:rPr>
          <w:sz w:val="18"/>
          <w:szCs w:val="18"/>
          <w:lang w:bidi="nl-NL"/>
        </w:rPr>
        <w:t xml:space="preserve">het </w:t>
      </w:r>
      <w:r w:rsidRPr="00865D52">
        <w:rPr>
          <w:sz w:val="18"/>
          <w:szCs w:val="18"/>
          <w:lang w:bidi="nl-NL"/>
        </w:rPr>
        <w:t>Grondrechtenagentschap (FRA). D</w:t>
      </w:r>
      <w:r>
        <w:rPr>
          <w:sz w:val="18"/>
          <w:szCs w:val="18"/>
          <w:lang w:bidi="nl-NL"/>
        </w:rPr>
        <w:t xml:space="preserve">e directeur van het </w:t>
      </w:r>
      <w:r w:rsidRPr="00865D52">
        <w:rPr>
          <w:sz w:val="18"/>
          <w:szCs w:val="18"/>
          <w:lang w:bidi="nl-NL"/>
        </w:rPr>
        <w:t>FRA</w:t>
      </w:r>
      <w:r>
        <w:rPr>
          <w:sz w:val="18"/>
          <w:szCs w:val="18"/>
          <w:lang w:bidi="nl-NL"/>
        </w:rPr>
        <w:t>, de heer</w:t>
      </w:r>
      <w:r w:rsidRPr="00865D52">
        <w:rPr>
          <w:sz w:val="18"/>
          <w:szCs w:val="18"/>
          <w:lang w:bidi="nl-NL"/>
        </w:rPr>
        <w:t xml:space="preserve"> Kjaerum</w:t>
      </w:r>
      <w:r>
        <w:rPr>
          <w:sz w:val="18"/>
          <w:szCs w:val="18"/>
          <w:lang w:bidi="nl-NL"/>
        </w:rPr>
        <w:t>,</w:t>
      </w:r>
      <w:r w:rsidRPr="00865D52">
        <w:rPr>
          <w:sz w:val="18"/>
          <w:szCs w:val="18"/>
          <w:lang w:bidi="nl-NL"/>
        </w:rPr>
        <w:t xml:space="preserve"> w</w:t>
      </w:r>
      <w:r>
        <w:rPr>
          <w:sz w:val="18"/>
          <w:szCs w:val="18"/>
          <w:lang w:bidi="nl-NL"/>
        </w:rPr>
        <w:t>ees</w:t>
      </w:r>
      <w:r w:rsidRPr="00865D52">
        <w:rPr>
          <w:sz w:val="18"/>
          <w:szCs w:val="18"/>
          <w:lang w:bidi="nl-NL"/>
        </w:rPr>
        <w:t xml:space="preserve"> op </w:t>
      </w:r>
      <w:r>
        <w:rPr>
          <w:sz w:val="18"/>
          <w:szCs w:val="18"/>
          <w:lang w:bidi="nl-NL"/>
        </w:rPr>
        <w:t xml:space="preserve">de </w:t>
      </w:r>
      <w:r w:rsidRPr="00865D52">
        <w:rPr>
          <w:sz w:val="18"/>
          <w:szCs w:val="18"/>
          <w:lang w:bidi="nl-NL"/>
        </w:rPr>
        <w:t xml:space="preserve">onderzoeken van </w:t>
      </w:r>
      <w:r>
        <w:rPr>
          <w:sz w:val="18"/>
          <w:szCs w:val="18"/>
          <w:lang w:bidi="nl-NL"/>
        </w:rPr>
        <w:t xml:space="preserve">het </w:t>
      </w:r>
      <w:r w:rsidRPr="00865D52">
        <w:rPr>
          <w:sz w:val="18"/>
          <w:szCs w:val="18"/>
          <w:lang w:bidi="nl-NL"/>
        </w:rPr>
        <w:t xml:space="preserve">FRA naar (a) bedreigingen van Roma met een racistische intentie en (b) de aanwezigheid </w:t>
      </w:r>
      <w:r>
        <w:rPr>
          <w:sz w:val="18"/>
          <w:szCs w:val="18"/>
          <w:lang w:bidi="nl-NL"/>
        </w:rPr>
        <w:t xml:space="preserve">van </w:t>
      </w:r>
      <w:r w:rsidRPr="00865D52" w:rsidR="00624F59">
        <w:rPr>
          <w:sz w:val="18"/>
          <w:szCs w:val="18"/>
          <w:lang w:bidi="nl-NL"/>
        </w:rPr>
        <w:t>antisemitisme</w:t>
      </w:r>
      <w:r>
        <w:rPr>
          <w:sz w:val="18"/>
          <w:szCs w:val="18"/>
          <w:lang w:bidi="nl-NL"/>
        </w:rPr>
        <w:t xml:space="preserve"> in de lidstaten</w:t>
      </w:r>
      <w:r w:rsidRPr="00865D52">
        <w:rPr>
          <w:sz w:val="18"/>
          <w:szCs w:val="18"/>
          <w:lang w:bidi="nl-NL"/>
        </w:rPr>
        <w:t>. Beide onderzoeken wijzen</w:t>
      </w:r>
      <w:r>
        <w:rPr>
          <w:sz w:val="18"/>
          <w:szCs w:val="18"/>
          <w:lang w:bidi="nl-NL"/>
        </w:rPr>
        <w:t xml:space="preserve"> volgens het FRA</w:t>
      </w:r>
      <w:r w:rsidRPr="00865D52">
        <w:rPr>
          <w:sz w:val="18"/>
          <w:szCs w:val="18"/>
          <w:lang w:bidi="nl-NL"/>
        </w:rPr>
        <w:t xml:space="preserve"> op een zorgwekkende ontwikkeling. </w:t>
      </w:r>
      <w:r w:rsidR="00624F59">
        <w:rPr>
          <w:sz w:val="18"/>
          <w:szCs w:val="18"/>
          <w:lang w:bidi="nl-NL"/>
        </w:rPr>
        <w:t xml:space="preserve">De heer </w:t>
      </w:r>
      <w:r>
        <w:rPr>
          <w:sz w:val="18"/>
          <w:szCs w:val="18"/>
          <w:lang w:bidi="nl-NL"/>
        </w:rPr>
        <w:t>Kjaerum benadrukte dat h</w:t>
      </w:r>
      <w:r w:rsidRPr="00865D52">
        <w:rPr>
          <w:sz w:val="18"/>
          <w:szCs w:val="18"/>
          <w:lang w:bidi="nl-NL"/>
        </w:rPr>
        <w:t xml:space="preserve">et nodig </w:t>
      </w:r>
      <w:r>
        <w:rPr>
          <w:sz w:val="18"/>
          <w:szCs w:val="18"/>
          <w:lang w:bidi="nl-NL"/>
        </w:rPr>
        <w:t xml:space="preserve">is </w:t>
      </w:r>
      <w:r w:rsidRPr="00865D52">
        <w:rPr>
          <w:sz w:val="18"/>
          <w:szCs w:val="18"/>
          <w:lang w:bidi="nl-NL"/>
        </w:rPr>
        <w:t xml:space="preserve">voor </w:t>
      </w:r>
      <w:r>
        <w:rPr>
          <w:sz w:val="18"/>
          <w:szCs w:val="18"/>
          <w:lang w:bidi="nl-NL"/>
        </w:rPr>
        <w:t xml:space="preserve">lidstaten om </w:t>
      </w:r>
      <w:r w:rsidRPr="00865D52">
        <w:rPr>
          <w:sz w:val="18"/>
          <w:szCs w:val="18"/>
          <w:lang w:bidi="nl-NL"/>
        </w:rPr>
        <w:t xml:space="preserve">op het terrein van bestrijding </w:t>
      </w:r>
      <w:r>
        <w:rPr>
          <w:sz w:val="18"/>
          <w:szCs w:val="18"/>
          <w:lang w:bidi="nl-NL"/>
        </w:rPr>
        <w:t xml:space="preserve">van </w:t>
      </w:r>
      <w:r w:rsidRPr="00865D52">
        <w:rPr>
          <w:sz w:val="18"/>
          <w:szCs w:val="18"/>
          <w:lang w:bidi="nl-NL"/>
        </w:rPr>
        <w:t xml:space="preserve">haatcriminaliteit nationale strategieën te ontwikkelen. </w:t>
      </w:r>
      <w:r>
        <w:rPr>
          <w:sz w:val="18"/>
          <w:szCs w:val="18"/>
          <w:lang w:bidi="nl-NL"/>
        </w:rPr>
        <w:t>Het</w:t>
      </w:r>
      <w:r w:rsidRPr="00865D52">
        <w:rPr>
          <w:sz w:val="18"/>
          <w:szCs w:val="18"/>
          <w:lang w:bidi="nl-NL"/>
        </w:rPr>
        <w:t xml:space="preserve"> FRA biedt zijn expertise aan de Raad aan als follow-up op deze Raadsconclusies. </w:t>
      </w:r>
    </w:p>
    <w:p w:rsidR="00865D52" w:rsidRDefault="00865D52" w14:paraId="1BC9F36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471C1E" w:rsidRDefault="00865D52" w14:paraId="2D8B284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sz w:val="18"/>
          <w:szCs w:val="18"/>
          <w:lang w:bidi="nl-NL"/>
        </w:rPr>
        <w:t>De Raadsconclusies we</w:t>
      </w:r>
      <w:r w:rsidRPr="00865D52">
        <w:rPr>
          <w:sz w:val="18"/>
          <w:szCs w:val="18"/>
          <w:lang w:bidi="nl-NL"/>
        </w:rPr>
        <w:t xml:space="preserve">rden aangenomen zonder interventie </w:t>
      </w:r>
      <w:r>
        <w:rPr>
          <w:sz w:val="18"/>
          <w:szCs w:val="18"/>
          <w:lang w:bidi="nl-NL"/>
        </w:rPr>
        <w:t>van de lidstaten</w:t>
      </w:r>
      <w:r w:rsidRPr="00865D52">
        <w:rPr>
          <w:sz w:val="18"/>
          <w:szCs w:val="18"/>
          <w:lang w:bidi="nl-NL"/>
        </w:rPr>
        <w:t>.</w:t>
      </w:r>
    </w:p>
    <w:p w:rsidR="00865D52" w:rsidRDefault="00865D52" w14:paraId="4E94392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865D52" w:rsidRDefault="00865D52" w14:paraId="27616A7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DA0FDE" w:rsidR="00DA0FDE" w:rsidP="00DA0FDE" w:rsidRDefault="00EF25ED" w14:paraId="5F3DC373" w14:textId="07E117B8">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rPr>
        <w:t>16</w:t>
      </w:r>
      <w:r w:rsidR="00DA0FDE">
        <w:rPr>
          <w:b/>
          <w:sz w:val="18"/>
          <w:szCs w:val="18"/>
        </w:rPr>
        <w:t>.</w:t>
      </w:r>
      <w:r w:rsidR="00DA0FDE">
        <w:rPr>
          <w:b/>
          <w:sz w:val="18"/>
          <w:szCs w:val="18"/>
        </w:rPr>
        <w:tab/>
      </w:r>
      <w:r w:rsidRPr="00DA0FDE" w:rsidR="00DA0FDE">
        <w:rPr>
          <w:b/>
          <w:sz w:val="18"/>
          <w:szCs w:val="18"/>
          <w:lang w:bidi="nl-NL"/>
        </w:rPr>
        <w:t>Conclusies van de Raad inzake het Verslag over het EU-burgerschap 2013</w:t>
      </w:r>
    </w:p>
    <w:p w:rsidR="00DA0FDE" w:rsidP="00DA0FDE" w:rsidRDefault="00DA0FDE" w14:paraId="5F7FEE6A" w14:textId="77777777">
      <w:pPr>
        <w:pStyle w:val="Standaard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val="en-GB"/>
        </w:rPr>
      </w:pPr>
      <w:r w:rsidRPr="00DA0FDE">
        <w:rPr>
          <w:b/>
          <w:sz w:val="18"/>
          <w:szCs w:val="18"/>
          <w:lang w:val="en-GB"/>
        </w:rPr>
        <w:t>Aanneming</w:t>
      </w:r>
    </w:p>
    <w:p w:rsidR="00885DBD" w:rsidP="00885DBD" w:rsidRDefault="00885DBD" w14:paraId="49EA37F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val="en-GB"/>
        </w:rPr>
      </w:pPr>
    </w:p>
    <w:p w:rsidRPr="00EF25ED" w:rsidR="00865D52" w:rsidRDefault="00125980" w14:paraId="3971E84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25980">
        <w:rPr>
          <w:rFonts w:eastAsia="Times New Roman"/>
          <w:color w:val="auto"/>
          <w:sz w:val="18"/>
          <w:szCs w:val="18"/>
        </w:rPr>
        <w:t xml:space="preserve">In het burgerschapsverslag noemt de Europese Commissie maatregelen om de rechten van de EU-burgers verder te versterken. Het gaat om een reeks maatregelen om belemmeringen aan te pakken waarmee burgers in hun dagelijks leven te maken hebben. </w:t>
      </w:r>
      <w:r w:rsidRPr="00885DBD" w:rsidR="00885DBD">
        <w:rPr>
          <w:sz w:val="18"/>
          <w:szCs w:val="18"/>
          <w:lang w:bidi="nl-NL"/>
        </w:rPr>
        <w:t xml:space="preserve">Het Voorzitterschap merkte op dat deze conclusies passen in de activiteiten met betrekking tot het Europees Jaar van de Burger 2013. Dit jaar zal op 12 en 13 december worden afgesloten met een slotbijeenkomst in Vilnius. </w:t>
      </w:r>
      <w:r w:rsidRPr="00EF25ED" w:rsidR="00885DBD">
        <w:rPr>
          <w:sz w:val="18"/>
          <w:szCs w:val="18"/>
          <w:lang w:bidi="nl-NL"/>
        </w:rPr>
        <w:t xml:space="preserve">De Raadsconclusies werden aangenomen </w:t>
      </w:r>
      <w:r w:rsidRPr="00EF25ED" w:rsidR="00935052">
        <w:rPr>
          <w:sz w:val="18"/>
          <w:szCs w:val="18"/>
          <w:lang w:bidi="nl-NL"/>
        </w:rPr>
        <w:t xml:space="preserve">zonder </w:t>
      </w:r>
      <w:r w:rsidRPr="00EF25ED" w:rsidR="00885DBD">
        <w:rPr>
          <w:sz w:val="18"/>
          <w:szCs w:val="18"/>
          <w:lang w:bidi="nl-NL"/>
        </w:rPr>
        <w:t xml:space="preserve">interventie van de lidstaten. </w:t>
      </w:r>
    </w:p>
    <w:p w:rsidRPr="00EF25ED" w:rsidR="00125980" w:rsidRDefault="00125980" w14:paraId="61E9CF8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125980" w:rsidR="00125980" w:rsidP="00125980" w:rsidRDefault="00EF25ED" w14:paraId="61CC3E8B" w14:textId="1D48BA7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b/>
          <w:sz w:val="18"/>
          <w:szCs w:val="18"/>
          <w:u w:val="single"/>
          <w:lang w:bidi="nl-NL"/>
        </w:rPr>
      </w:pPr>
      <w:r>
        <w:rPr>
          <w:b/>
          <w:sz w:val="18"/>
          <w:szCs w:val="18"/>
          <w:lang w:bidi="nl-NL"/>
        </w:rPr>
        <w:t>17</w:t>
      </w:r>
      <w:r w:rsidRPr="00125980" w:rsidR="00125980">
        <w:rPr>
          <w:b/>
          <w:sz w:val="18"/>
          <w:szCs w:val="18"/>
          <w:lang w:bidi="nl-NL"/>
        </w:rPr>
        <w:t>.</w:t>
      </w:r>
      <w:r w:rsidRPr="00125980" w:rsidR="00125980">
        <w:rPr>
          <w:b/>
          <w:sz w:val="18"/>
          <w:szCs w:val="18"/>
          <w:lang w:bidi="nl-NL"/>
        </w:rPr>
        <w:tab/>
      </w:r>
      <w:r w:rsidR="00125980">
        <w:rPr>
          <w:b/>
          <w:sz w:val="18"/>
          <w:szCs w:val="18"/>
          <w:lang w:bidi="nl-NL"/>
        </w:rPr>
        <w:tab/>
      </w:r>
      <w:r w:rsidRPr="00125980" w:rsidR="00125980">
        <w:rPr>
          <w:b/>
          <w:sz w:val="18"/>
          <w:szCs w:val="18"/>
          <w:lang w:bidi="nl-NL"/>
        </w:rPr>
        <w:t>Conclusies van de Raad over de evaluatie van het Bureau van de Europese Unie voor de grondrechten</w:t>
      </w:r>
    </w:p>
    <w:p w:rsidR="00125980" w:rsidP="00125980" w:rsidRDefault="00125980" w14:paraId="73885108" w14:textId="77777777">
      <w:pPr>
        <w:pStyle w:val="Standaard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sidRPr="00125980">
        <w:rPr>
          <w:b/>
          <w:sz w:val="18"/>
          <w:szCs w:val="18"/>
          <w:lang w:bidi="nl-NL"/>
        </w:rPr>
        <w:t>Aanneming</w:t>
      </w:r>
    </w:p>
    <w:p w:rsidR="00125980" w:rsidP="00125980" w:rsidRDefault="00125980" w14:paraId="4F998762"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00125980" w:rsidP="00125980" w:rsidRDefault="00125980" w14:paraId="4FEB8E9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125980">
        <w:rPr>
          <w:sz w:val="18"/>
          <w:szCs w:val="18"/>
          <w:lang w:bidi="nl-NL"/>
        </w:rPr>
        <w:t xml:space="preserve">De activiteiten van het Bureau van de Europese Unie voor de grondrechten </w:t>
      </w:r>
      <w:r>
        <w:rPr>
          <w:sz w:val="18"/>
          <w:szCs w:val="18"/>
          <w:lang w:bidi="nl-NL"/>
        </w:rPr>
        <w:t>(</w:t>
      </w:r>
      <w:r w:rsidRPr="00125980">
        <w:rPr>
          <w:sz w:val="18"/>
          <w:szCs w:val="18"/>
          <w:lang w:bidi="nl-NL"/>
        </w:rPr>
        <w:t>FRA</w:t>
      </w:r>
      <w:r>
        <w:rPr>
          <w:sz w:val="18"/>
          <w:szCs w:val="18"/>
          <w:lang w:bidi="nl-NL"/>
        </w:rPr>
        <w:t>)</w:t>
      </w:r>
      <w:r w:rsidRPr="00125980">
        <w:rPr>
          <w:sz w:val="18"/>
          <w:szCs w:val="18"/>
          <w:lang w:bidi="nl-NL"/>
        </w:rPr>
        <w:t xml:space="preserve"> zijn overeenkomstig de bepaling in de oprichtingsverordening extern geëvalueerd. De evaluatie was positief. Het had wel als belangrijk aandachtspunt dat de samenwerking met lidstaten moet worden verbeterd.</w:t>
      </w:r>
      <w:r>
        <w:rPr>
          <w:sz w:val="18"/>
          <w:szCs w:val="18"/>
          <w:lang w:bidi="nl-NL"/>
        </w:rPr>
        <w:t xml:space="preserve"> </w:t>
      </w:r>
      <w:r w:rsidRPr="00125980">
        <w:rPr>
          <w:sz w:val="18"/>
          <w:szCs w:val="18"/>
          <w:lang w:bidi="nl-NL"/>
        </w:rPr>
        <w:t xml:space="preserve">De Raadsconclusies </w:t>
      </w:r>
      <w:r>
        <w:rPr>
          <w:sz w:val="18"/>
          <w:szCs w:val="18"/>
          <w:lang w:bidi="nl-NL"/>
        </w:rPr>
        <w:t xml:space="preserve">over de evaluatie </w:t>
      </w:r>
      <w:r w:rsidRPr="00125980">
        <w:rPr>
          <w:sz w:val="18"/>
          <w:szCs w:val="18"/>
          <w:lang w:bidi="nl-NL"/>
        </w:rPr>
        <w:t>w</w:t>
      </w:r>
      <w:r>
        <w:rPr>
          <w:sz w:val="18"/>
          <w:szCs w:val="18"/>
          <w:lang w:bidi="nl-NL"/>
        </w:rPr>
        <w:t>e</w:t>
      </w:r>
      <w:r w:rsidRPr="00125980">
        <w:rPr>
          <w:sz w:val="18"/>
          <w:szCs w:val="18"/>
          <w:lang w:bidi="nl-NL"/>
        </w:rPr>
        <w:t xml:space="preserve">rden aangenomen zonder interventie </w:t>
      </w:r>
      <w:r>
        <w:rPr>
          <w:sz w:val="18"/>
          <w:szCs w:val="18"/>
          <w:lang w:bidi="nl-NL"/>
        </w:rPr>
        <w:t>van de lidstaten</w:t>
      </w:r>
      <w:r w:rsidRPr="00125980">
        <w:rPr>
          <w:sz w:val="18"/>
          <w:szCs w:val="18"/>
          <w:lang w:bidi="nl-NL"/>
        </w:rPr>
        <w:t>.</w:t>
      </w:r>
    </w:p>
    <w:p w:rsidR="00125980" w:rsidP="00125980" w:rsidRDefault="00125980" w14:paraId="1ACA4ED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125980" w:rsidP="00125980" w:rsidRDefault="00EF25ED" w14:paraId="5E3E4320" w14:textId="17BAEBF0">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b/>
          <w:sz w:val="18"/>
          <w:szCs w:val="18"/>
          <w:lang w:bidi="nl-NL"/>
        </w:rPr>
      </w:pPr>
      <w:r>
        <w:rPr>
          <w:b/>
          <w:sz w:val="18"/>
          <w:szCs w:val="18"/>
          <w:lang w:bidi="nl-NL"/>
        </w:rPr>
        <w:t>18</w:t>
      </w:r>
      <w:r w:rsidR="00125980">
        <w:rPr>
          <w:b/>
          <w:sz w:val="18"/>
          <w:szCs w:val="18"/>
          <w:lang w:bidi="nl-NL"/>
        </w:rPr>
        <w:t>.</w:t>
      </w:r>
      <w:r w:rsidR="00125980">
        <w:rPr>
          <w:b/>
          <w:sz w:val="18"/>
          <w:szCs w:val="18"/>
          <w:lang w:bidi="nl-NL"/>
        </w:rPr>
        <w:tab/>
      </w:r>
      <w:r w:rsidRPr="00125980" w:rsidR="00125980">
        <w:rPr>
          <w:b/>
          <w:sz w:val="18"/>
          <w:szCs w:val="18"/>
          <w:lang w:bidi="nl-NL"/>
        </w:rPr>
        <w:t>Justitiële aspecten van het Europees semester, waaronder het scorebord voor justitie</w:t>
      </w:r>
    </w:p>
    <w:p w:rsidRPr="00125980" w:rsidR="00125980" w:rsidP="00125980" w:rsidRDefault="00125980" w14:paraId="15A1F9FF"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b/>
          <w:sz w:val="18"/>
          <w:szCs w:val="18"/>
          <w:lang w:bidi="nl-NL"/>
        </w:rPr>
      </w:pPr>
      <w:r>
        <w:rPr>
          <w:b/>
          <w:sz w:val="18"/>
          <w:szCs w:val="18"/>
          <w:lang w:bidi="nl-NL"/>
        </w:rPr>
        <w:tab/>
        <w:t xml:space="preserve">- </w:t>
      </w:r>
      <w:r w:rsidRPr="00125980">
        <w:rPr>
          <w:b/>
          <w:sz w:val="18"/>
          <w:szCs w:val="18"/>
          <w:lang w:bidi="nl-NL"/>
        </w:rPr>
        <w:t>Presentatie door de Commissie en gedachtewisseling</w:t>
      </w:r>
    </w:p>
    <w:p w:rsidR="00125980" w:rsidP="00125980" w:rsidRDefault="00125980" w14:paraId="0200572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8845DF" w:rsidR="008845DF" w:rsidP="008845DF" w:rsidRDefault="008845DF" w14:paraId="621CFAEA" w14:textId="0A44812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sidRPr="008845DF">
        <w:rPr>
          <w:sz w:val="18"/>
          <w:szCs w:val="18"/>
          <w:lang w:bidi="nl-NL"/>
        </w:rPr>
        <w:t>D</w:t>
      </w:r>
      <w:r w:rsidR="00624F59">
        <w:rPr>
          <w:sz w:val="18"/>
          <w:szCs w:val="18"/>
          <w:lang w:bidi="nl-NL"/>
        </w:rPr>
        <w:t>irecteur-</w:t>
      </w:r>
      <w:r w:rsidRPr="008845DF">
        <w:rPr>
          <w:sz w:val="18"/>
          <w:szCs w:val="18"/>
          <w:lang w:bidi="nl-NL"/>
        </w:rPr>
        <w:t>G</w:t>
      </w:r>
      <w:r w:rsidR="00624F59">
        <w:rPr>
          <w:sz w:val="18"/>
          <w:szCs w:val="18"/>
          <w:lang w:bidi="nl-NL"/>
        </w:rPr>
        <w:t>eneraal van Justitie mevrouw</w:t>
      </w:r>
      <w:r w:rsidRPr="008845DF">
        <w:rPr>
          <w:sz w:val="18"/>
          <w:szCs w:val="18"/>
          <w:lang w:bidi="nl-NL"/>
        </w:rPr>
        <w:t xml:space="preserve"> Le Bail</w:t>
      </w:r>
      <w:r>
        <w:rPr>
          <w:sz w:val="18"/>
          <w:szCs w:val="18"/>
          <w:lang w:bidi="nl-NL"/>
        </w:rPr>
        <w:t xml:space="preserve"> bracht namens de Commissie </w:t>
      </w:r>
      <w:r w:rsidRPr="008845DF">
        <w:rPr>
          <w:sz w:val="18"/>
          <w:szCs w:val="18"/>
          <w:lang w:bidi="nl-NL"/>
        </w:rPr>
        <w:t xml:space="preserve">drie punten naar voren om de achtergrond te schetsen van het onderbrengen van justitiële aspecten in het Europees semester en </w:t>
      </w:r>
      <w:r>
        <w:rPr>
          <w:sz w:val="18"/>
          <w:szCs w:val="18"/>
          <w:lang w:bidi="nl-NL"/>
        </w:rPr>
        <w:t xml:space="preserve">het </w:t>
      </w:r>
      <w:r w:rsidRPr="008845DF">
        <w:rPr>
          <w:sz w:val="18"/>
          <w:szCs w:val="18"/>
          <w:lang w:bidi="nl-NL"/>
        </w:rPr>
        <w:t xml:space="preserve">uitbrengen van het Justice Scorebord: (1) de </w:t>
      </w:r>
      <w:r>
        <w:rPr>
          <w:sz w:val="18"/>
          <w:szCs w:val="18"/>
          <w:lang w:bidi="nl-NL"/>
        </w:rPr>
        <w:t xml:space="preserve">Commissie </w:t>
      </w:r>
      <w:r w:rsidRPr="008845DF">
        <w:rPr>
          <w:sz w:val="18"/>
          <w:szCs w:val="18"/>
          <w:lang w:bidi="nl-NL"/>
        </w:rPr>
        <w:t xml:space="preserve">heeft programmalanden als </w:t>
      </w:r>
      <w:r>
        <w:rPr>
          <w:sz w:val="18"/>
          <w:szCs w:val="18"/>
          <w:lang w:bidi="nl-NL"/>
        </w:rPr>
        <w:t xml:space="preserve">Portugal en Griekenland </w:t>
      </w:r>
      <w:r w:rsidRPr="008845DF">
        <w:rPr>
          <w:sz w:val="18"/>
          <w:szCs w:val="18"/>
          <w:lang w:bidi="nl-NL"/>
        </w:rPr>
        <w:t xml:space="preserve">gesteund bij het verbeteren van hun justitiële systemen in het kader van hun hervormingsprogramma’s. </w:t>
      </w:r>
      <w:r>
        <w:rPr>
          <w:sz w:val="18"/>
          <w:szCs w:val="18"/>
          <w:lang w:bidi="nl-NL"/>
        </w:rPr>
        <w:t>E</w:t>
      </w:r>
      <w:r w:rsidRPr="008845DF">
        <w:rPr>
          <w:sz w:val="18"/>
          <w:szCs w:val="18"/>
          <w:lang w:bidi="nl-NL"/>
        </w:rPr>
        <w:t xml:space="preserve">en slecht functionerend rechtssysteem </w:t>
      </w:r>
      <w:r>
        <w:rPr>
          <w:sz w:val="18"/>
          <w:szCs w:val="18"/>
          <w:lang w:bidi="nl-NL"/>
        </w:rPr>
        <w:t xml:space="preserve">ondermijnt </w:t>
      </w:r>
      <w:r w:rsidRPr="008845DF">
        <w:rPr>
          <w:sz w:val="18"/>
          <w:szCs w:val="18"/>
          <w:lang w:bidi="nl-NL"/>
        </w:rPr>
        <w:t xml:space="preserve">het vertrouwen van ondernemingen. Justitie is dan ook een structurele component van deze hervormingsprogramma’s. </w:t>
      </w:r>
      <w:r>
        <w:rPr>
          <w:sz w:val="18"/>
          <w:szCs w:val="18"/>
          <w:lang w:bidi="nl-NL"/>
        </w:rPr>
        <w:t xml:space="preserve">Het is belangrijk voor de </w:t>
      </w:r>
      <w:r w:rsidRPr="008845DF">
        <w:rPr>
          <w:sz w:val="18"/>
          <w:szCs w:val="18"/>
          <w:lang w:bidi="nl-NL"/>
        </w:rPr>
        <w:t>economische groei</w:t>
      </w:r>
      <w:r>
        <w:rPr>
          <w:sz w:val="18"/>
          <w:szCs w:val="18"/>
          <w:lang w:bidi="nl-NL"/>
        </w:rPr>
        <w:t xml:space="preserve">, maar ook </w:t>
      </w:r>
      <w:r w:rsidRPr="008845DF">
        <w:rPr>
          <w:sz w:val="18"/>
          <w:szCs w:val="18"/>
          <w:lang w:bidi="nl-NL"/>
        </w:rPr>
        <w:t xml:space="preserve">voor het wederzijds vertrouwen van </w:t>
      </w:r>
      <w:r>
        <w:rPr>
          <w:sz w:val="18"/>
          <w:szCs w:val="18"/>
          <w:lang w:bidi="nl-NL"/>
        </w:rPr>
        <w:t xml:space="preserve">lidstaten </w:t>
      </w:r>
      <w:r w:rsidRPr="008845DF">
        <w:rPr>
          <w:sz w:val="18"/>
          <w:szCs w:val="18"/>
          <w:lang w:bidi="nl-NL"/>
        </w:rPr>
        <w:t xml:space="preserve">in elkaars gerechtelijke uitspraken. De </w:t>
      </w:r>
      <w:r>
        <w:rPr>
          <w:sz w:val="18"/>
          <w:szCs w:val="18"/>
          <w:lang w:bidi="nl-NL"/>
        </w:rPr>
        <w:t xml:space="preserve">Commissie </w:t>
      </w:r>
      <w:r w:rsidRPr="008845DF">
        <w:rPr>
          <w:sz w:val="18"/>
          <w:szCs w:val="18"/>
          <w:lang w:bidi="nl-NL"/>
        </w:rPr>
        <w:t>heeft het Justi</w:t>
      </w:r>
      <w:r w:rsidR="00624F59">
        <w:rPr>
          <w:sz w:val="18"/>
          <w:szCs w:val="18"/>
          <w:lang w:bidi="nl-NL"/>
        </w:rPr>
        <w:t>ti</w:t>
      </w:r>
      <w:r w:rsidRPr="008845DF">
        <w:rPr>
          <w:sz w:val="18"/>
          <w:szCs w:val="18"/>
          <w:lang w:bidi="nl-NL"/>
        </w:rPr>
        <w:t xml:space="preserve">e Scorebord ontwikkeld als input in het Europees semester. (2) Het Scorebord geeft een overzicht in het functioneren van rechtssystemen in </w:t>
      </w:r>
      <w:r>
        <w:rPr>
          <w:sz w:val="18"/>
          <w:szCs w:val="18"/>
          <w:lang w:bidi="nl-NL"/>
        </w:rPr>
        <w:t>lidstaten e</w:t>
      </w:r>
      <w:r w:rsidRPr="008845DF">
        <w:rPr>
          <w:sz w:val="18"/>
          <w:szCs w:val="18"/>
          <w:lang w:bidi="nl-NL"/>
        </w:rPr>
        <w:t xml:space="preserve">n draagt daarmee bij aan een gelijke behandeling van </w:t>
      </w:r>
      <w:r>
        <w:rPr>
          <w:sz w:val="18"/>
          <w:szCs w:val="18"/>
          <w:lang w:bidi="nl-NL"/>
        </w:rPr>
        <w:t>lidstaten</w:t>
      </w:r>
      <w:r w:rsidRPr="008845DF">
        <w:rPr>
          <w:sz w:val="18"/>
          <w:szCs w:val="18"/>
          <w:lang w:bidi="nl-NL"/>
        </w:rPr>
        <w:t xml:space="preserve">. </w:t>
      </w:r>
      <w:r>
        <w:rPr>
          <w:sz w:val="18"/>
          <w:szCs w:val="18"/>
          <w:lang w:bidi="nl-NL"/>
        </w:rPr>
        <w:t xml:space="preserve">De Commissie wil nu de </w:t>
      </w:r>
      <w:r w:rsidRPr="008845DF">
        <w:rPr>
          <w:sz w:val="18"/>
          <w:szCs w:val="18"/>
          <w:lang w:bidi="nl-NL"/>
        </w:rPr>
        <w:t xml:space="preserve">dialoog over </w:t>
      </w:r>
      <w:r>
        <w:rPr>
          <w:sz w:val="18"/>
          <w:szCs w:val="18"/>
          <w:lang w:bidi="nl-NL"/>
        </w:rPr>
        <w:t xml:space="preserve">het </w:t>
      </w:r>
      <w:r w:rsidRPr="008845DF">
        <w:rPr>
          <w:sz w:val="18"/>
          <w:szCs w:val="18"/>
          <w:lang w:bidi="nl-NL"/>
        </w:rPr>
        <w:t xml:space="preserve">Scorebord met </w:t>
      </w:r>
      <w:r>
        <w:rPr>
          <w:sz w:val="18"/>
          <w:szCs w:val="18"/>
          <w:lang w:bidi="nl-NL"/>
        </w:rPr>
        <w:t xml:space="preserve">lidstaten </w:t>
      </w:r>
      <w:r w:rsidRPr="008845DF">
        <w:rPr>
          <w:sz w:val="18"/>
          <w:szCs w:val="18"/>
          <w:lang w:bidi="nl-NL"/>
        </w:rPr>
        <w:t>en andere stakeholders</w:t>
      </w:r>
      <w:r>
        <w:rPr>
          <w:sz w:val="18"/>
          <w:szCs w:val="18"/>
          <w:lang w:bidi="nl-NL"/>
        </w:rPr>
        <w:t xml:space="preserve"> intensiveren</w:t>
      </w:r>
      <w:r w:rsidRPr="008845DF">
        <w:rPr>
          <w:sz w:val="18"/>
          <w:szCs w:val="18"/>
          <w:lang w:bidi="nl-NL"/>
        </w:rPr>
        <w:t>. (3) De C</w:t>
      </w:r>
      <w:r>
        <w:rPr>
          <w:sz w:val="18"/>
          <w:szCs w:val="18"/>
          <w:lang w:bidi="nl-NL"/>
        </w:rPr>
        <w:t>ommissie</w:t>
      </w:r>
      <w:r w:rsidRPr="008845DF">
        <w:rPr>
          <w:sz w:val="18"/>
          <w:szCs w:val="18"/>
          <w:lang w:bidi="nl-NL"/>
        </w:rPr>
        <w:t xml:space="preserve"> gebruikt voor </w:t>
      </w:r>
      <w:r>
        <w:rPr>
          <w:sz w:val="18"/>
          <w:szCs w:val="18"/>
          <w:lang w:bidi="nl-NL"/>
        </w:rPr>
        <w:t xml:space="preserve">het </w:t>
      </w:r>
      <w:r w:rsidRPr="008845DF">
        <w:rPr>
          <w:sz w:val="18"/>
          <w:szCs w:val="18"/>
          <w:lang w:bidi="nl-NL"/>
        </w:rPr>
        <w:t>Scorebord meerdere bronnen. Onafhankelijke informatie is hierbij van groot belang.</w:t>
      </w:r>
    </w:p>
    <w:p w:rsidRPr="008845DF" w:rsidR="008845DF" w:rsidP="008845DF" w:rsidRDefault="008845DF" w14:paraId="0CD2CB3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8845DF" w:rsidR="008845DF" w:rsidP="000659A5" w:rsidRDefault="00B701A5" w14:paraId="0DCBA0AE" w14:textId="136A61B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sz w:val="18"/>
          <w:szCs w:val="18"/>
          <w:lang w:bidi="nl-NL"/>
        </w:rPr>
        <w:t xml:space="preserve">Hoewel er bij sommige lidstaten begrip is voor het </w:t>
      </w:r>
      <w:r w:rsidRPr="008845DF">
        <w:rPr>
          <w:sz w:val="18"/>
          <w:szCs w:val="18"/>
          <w:lang w:bidi="nl-NL"/>
        </w:rPr>
        <w:t xml:space="preserve">idee achter het </w:t>
      </w:r>
      <w:r w:rsidR="00B753E9">
        <w:rPr>
          <w:sz w:val="18"/>
          <w:szCs w:val="18"/>
          <w:lang w:bidi="nl-NL"/>
        </w:rPr>
        <w:t>Scorebord</w:t>
      </w:r>
      <w:r>
        <w:rPr>
          <w:sz w:val="18"/>
          <w:szCs w:val="18"/>
          <w:lang w:bidi="nl-NL"/>
        </w:rPr>
        <w:t xml:space="preserve">, uitten </w:t>
      </w:r>
      <w:r w:rsidR="000659A5">
        <w:rPr>
          <w:sz w:val="18"/>
          <w:szCs w:val="18"/>
          <w:lang w:bidi="nl-NL"/>
        </w:rPr>
        <w:t xml:space="preserve">diverse </w:t>
      </w:r>
      <w:r>
        <w:rPr>
          <w:sz w:val="18"/>
          <w:szCs w:val="18"/>
          <w:lang w:bidi="nl-NL"/>
        </w:rPr>
        <w:t>lidstaten grote zorgen omtrent het</w:t>
      </w:r>
      <w:r w:rsidRPr="008845DF" w:rsidR="008845DF">
        <w:rPr>
          <w:sz w:val="18"/>
          <w:szCs w:val="18"/>
          <w:lang w:bidi="nl-NL"/>
        </w:rPr>
        <w:t xml:space="preserve"> </w:t>
      </w:r>
      <w:r w:rsidR="00B753E9">
        <w:rPr>
          <w:sz w:val="18"/>
          <w:szCs w:val="18"/>
          <w:lang w:bidi="nl-NL"/>
        </w:rPr>
        <w:t>Scorebord</w:t>
      </w:r>
      <w:r w:rsidRPr="008845DF" w:rsidR="008845DF">
        <w:rPr>
          <w:sz w:val="18"/>
          <w:szCs w:val="18"/>
          <w:lang w:bidi="nl-NL"/>
        </w:rPr>
        <w:t xml:space="preserve">. </w:t>
      </w:r>
      <w:r>
        <w:rPr>
          <w:sz w:val="18"/>
          <w:szCs w:val="18"/>
          <w:lang w:bidi="nl-NL"/>
        </w:rPr>
        <w:t xml:space="preserve">Het </w:t>
      </w:r>
      <w:r w:rsidR="00B753E9">
        <w:rPr>
          <w:sz w:val="18"/>
          <w:szCs w:val="18"/>
          <w:lang w:bidi="nl-NL"/>
        </w:rPr>
        <w:t>Scorebord</w:t>
      </w:r>
      <w:r>
        <w:rPr>
          <w:sz w:val="18"/>
          <w:szCs w:val="18"/>
          <w:lang w:bidi="nl-NL"/>
        </w:rPr>
        <w:t xml:space="preserve"> ga</w:t>
      </w:r>
      <w:r w:rsidRPr="008845DF" w:rsidR="008845DF">
        <w:rPr>
          <w:sz w:val="18"/>
          <w:szCs w:val="18"/>
          <w:lang w:bidi="nl-NL"/>
        </w:rPr>
        <w:t xml:space="preserve">at verder dan het terugdringen van administratieve lastendruk en grijpt in op het strafrecht in </w:t>
      </w:r>
      <w:r>
        <w:rPr>
          <w:sz w:val="18"/>
          <w:szCs w:val="18"/>
          <w:lang w:bidi="nl-NL"/>
        </w:rPr>
        <w:t xml:space="preserve">lidstaten en </w:t>
      </w:r>
      <w:r w:rsidRPr="008845DF" w:rsidR="008845DF">
        <w:rPr>
          <w:sz w:val="18"/>
          <w:szCs w:val="18"/>
          <w:lang w:bidi="nl-NL"/>
        </w:rPr>
        <w:t>het functioneren van de rechtsstaat</w:t>
      </w:r>
      <w:r w:rsidR="000659A5">
        <w:rPr>
          <w:sz w:val="18"/>
          <w:szCs w:val="18"/>
          <w:lang w:bidi="nl-NL"/>
        </w:rPr>
        <w:t>, vonden enkelen</w:t>
      </w:r>
      <w:r w:rsidRPr="008845DF" w:rsidR="008845DF">
        <w:rPr>
          <w:sz w:val="18"/>
          <w:szCs w:val="18"/>
          <w:lang w:bidi="nl-NL"/>
        </w:rPr>
        <w:t xml:space="preserve">. </w:t>
      </w:r>
      <w:r>
        <w:rPr>
          <w:sz w:val="18"/>
          <w:szCs w:val="18"/>
          <w:lang w:bidi="nl-NL"/>
        </w:rPr>
        <w:t xml:space="preserve">Lidstaten gaven aan dat het </w:t>
      </w:r>
      <w:r w:rsidRPr="008845DF" w:rsidR="008845DF">
        <w:rPr>
          <w:sz w:val="18"/>
          <w:szCs w:val="18"/>
          <w:lang w:bidi="nl-NL"/>
        </w:rPr>
        <w:t xml:space="preserve">een aantasting </w:t>
      </w:r>
      <w:r>
        <w:rPr>
          <w:sz w:val="18"/>
          <w:szCs w:val="18"/>
          <w:lang w:bidi="nl-NL"/>
        </w:rPr>
        <w:t xml:space="preserve">is </w:t>
      </w:r>
      <w:r w:rsidRPr="008845DF" w:rsidR="008845DF">
        <w:rPr>
          <w:sz w:val="18"/>
          <w:szCs w:val="18"/>
          <w:lang w:bidi="nl-NL"/>
        </w:rPr>
        <w:t xml:space="preserve">van de rechterlijke onafhankelijkheid. </w:t>
      </w:r>
      <w:r>
        <w:rPr>
          <w:sz w:val="18"/>
          <w:szCs w:val="18"/>
          <w:lang w:bidi="nl-NL"/>
        </w:rPr>
        <w:t>Ook dreigt het</w:t>
      </w:r>
      <w:r w:rsidRPr="008845DF" w:rsidR="008845DF">
        <w:rPr>
          <w:sz w:val="18"/>
          <w:szCs w:val="18"/>
          <w:lang w:bidi="nl-NL"/>
        </w:rPr>
        <w:t xml:space="preserve"> </w:t>
      </w:r>
      <w:r w:rsidR="00B753E9">
        <w:rPr>
          <w:sz w:val="18"/>
          <w:szCs w:val="18"/>
          <w:lang w:bidi="nl-NL"/>
        </w:rPr>
        <w:t>Scorebord</w:t>
      </w:r>
      <w:r w:rsidRPr="008845DF" w:rsidR="008845DF">
        <w:rPr>
          <w:sz w:val="18"/>
          <w:szCs w:val="18"/>
          <w:lang w:bidi="nl-NL"/>
        </w:rPr>
        <w:t xml:space="preserve"> werk van andere organisaties </w:t>
      </w:r>
      <w:r>
        <w:rPr>
          <w:sz w:val="18"/>
          <w:szCs w:val="18"/>
          <w:lang w:bidi="nl-NL"/>
        </w:rPr>
        <w:t xml:space="preserve">te dupliceren en </w:t>
      </w:r>
      <w:r w:rsidRPr="008845DF" w:rsidR="008845DF">
        <w:rPr>
          <w:sz w:val="18"/>
          <w:szCs w:val="18"/>
          <w:lang w:bidi="nl-NL"/>
        </w:rPr>
        <w:t xml:space="preserve">zorgt </w:t>
      </w:r>
      <w:r>
        <w:rPr>
          <w:sz w:val="18"/>
          <w:szCs w:val="18"/>
          <w:lang w:bidi="nl-NL"/>
        </w:rPr>
        <w:t xml:space="preserve">het </w:t>
      </w:r>
      <w:r w:rsidRPr="008845DF" w:rsidR="008845DF">
        <w:rPr>
          <w:sz w:val="18"/>
          <w:szCs w:val="18"/>
          <w:lang w:bidi="nl-NL"/>
        </w:rPr>
        <w:t xml:space="preserve">voor extra werklast voor </w:t>
      </w:r>
      <w:r>
        <w:rPr>
          <w:sz w:val="18"/>
          <w:szCs w:val="18"/>
          <w:lang w:bidi="nl-NL"/>
        </w:rPr>
        <w:t>de lidstaten</w:t>
      </w:r>
      <w:r w:rsidRPr="008845DF" w:rsidR="008845DF">
        <w:rPr>
          <w:sz w:val="18"/>
          <w:szCs w:val="18"/>
          <w:lang w:bidi="nl-NL"/>
        </w:rPr>
        <w:t xml:space="preserve">. </w:t>
      </w:r>
      <w:r>
        <w:rPr>
          <w:sz w:val="18"/>
          <w:szCs w:val="18"/>
          <w:lang w:bidi="nl-NL"/>
        </w:rPr>
        <w:t xml:space="preserve">Er werd ook getwijfeld aan het </w:t>
      </w:r>
      <w:r w:rsidRPr="008845DF" w:rsidR="008845DF">
        <w:rPr>
          <w:sz w:val="18"/>
          <w:szCs w:val="18"/>
          <w:lang w:bidi="nl-NL"/>
        </w:rPr>
        <w:t xml:space="preserve">nut </w:t>
      </w:r>
      <w:r>
        <w:rPr>
          <w:sz w:val="18"/>
          <w:szCs w:val="18"/>
          <w:lang w:bidi="nl-NL"/>
        </w:rPr>
        <w:t xml:space="preserve">van het </w:t>
      </w:r>
      <w:r w:rsidR="00B753E9">
        <w:rPr>
          <w:sz w:val="18"/>
          <w:szCs w:val="18"/>
          <w:lang w:bidi="nl-NL"/>
        </w:rPr>
        <w:t>Scorebord</w:t>
      </w:r>
      <w:r>
        <w:rPr>
          <w:sz w:val="18"/>
          <w:szCs w:val="18"/>
          <w:lang w:bidi="nl-NL"/>
        </w:rPr>
        <w:t xml:space="preserve"> </w:t>
      </w:r>
      <w:r w:rsidRPr="008845DF" w:rsidR="008845DF">
        <w:rPr>
          <w:sz w:val="18"/>
          <w:szCs w:val="18"/>
          <w:lang w:bidi="nl-NL"/>
        </w:rPr>
        <w:t xml:space="preserve">voor </w:t>
      </w:r>
      <w:r>
        <w:rPr>
          <w:sz w:val="18"/>
          <w:szCs w:val="18"/>
          <w:lang w:bidi="nl-NL"/>
        </w:rPr>
        <w:t xml:space="preserve">het </w:t>
      </w:r>
      <w:r w:rsidRPr="008845DF" w:rsidR="008845DF">
        <w:rPr>
          <w:sz w:val="18"/>
          <w:szCs w:val="18"/>
          <w:lang w:bidi="nl-NL"/>
        </w:rPr>
        <w:t>wederzijds vertrouwen</w:t>
      </w:r>
      <w:r>
        <w:rPr>
          <w:sz w:val="18"/>
          <w:szCs w:val="18"/>
          <w:lang w:bidi="nl-NL"/>
        </w:rPr>
        <w:t xml:space="preserve"> omdat lidstaten nu eenmaal andere tradities hebben in hun rechtsstaat</w:t>
      </w:r>
      <w:r w:rsidRPr="008845DF" w:rsidR="008845DF">
        <w:rPr>
          <w:sz w:val="18"/>
          <w:szCs w:val="18"/>
          <w:lang w:bidi="nl-NL"/>
        </w:rPr>
        <w:t xml:space="preserve">. </w:t>
      </w:r>
      <w:r>
        <w:rPr>
          <w:sz w:val="18"/>
          <w:szCs w:val="18"/>
          <w:lang w:bidi="nl-NL"/>
        </w:rPr>
        <w:t xml:space="preserve">Voorts werd gesteld dat </w:t>
      </w:r>
      <w:r w:rsidRPr="008845DF" w:rsidR="008845DF">
        <w:rPr>
          <w:sz w:val="18"/>
          <w:szCs w:val="18"/>
          <w:lang w:bidi="nl-NL"/>
        </w:rPr>
        <w:t xml:space="preserve">de informatie in het </w:t>
      </w:r>
      <w:r w:rsidR="00B753E9">
        <w:rPr>
          <w:sz w:val="18"/>
          <w:szCs w:val="18"/>
          <w:lang w:bidi="nl-NL"/>
        </w:rPr>
        <w:t>Scorebord</w:t>
      </w:r>
      <w:r w:rsidRPr="008845DF" w:rsidR="008845DF">
        <w:rPr>
          <w:sz w:val="18"/>
          <w:szCs w:val="18"/>
          <w:lang w:bidi="nl-NL"/>
        </w:rPr>
        <w:t xml:space="preserve"> 2013 niet goed vergelijkbaar is van </w:t>
      </w:r>
      <w:r>
        <w:rPr>
          <w:sz w:val="18"/>
          <w:szCs w:val="18"/>
          <w:lang w:bidi="nl-NL"/>
        </w:rPr>
        <w:t>lidstaat tot lidstaat</w:t>
      </w:r>
      <w:r w:rsidRPr="008845DF" w:rsidR="008845DF">
        <w:rPr>
          <w:sz w:val="18"/>
          <w:szCs w:val="18"/>
          <w:lang w:bidi="nl-NL"/>
        </w:rPr>
        <w:t>.</w:t>
      </w:r>
      <w:r>
        <w:rPr>
          <w:sz w:val="18"/>
          <w:szCs w:val="18"/>
          <w:lang w:bidi="nl-NL"/>
        </w:rPr>
        <w:t xml:space="preserve"> Hoe komt bepaalde informatie tot stand in het </w:t>
      </w:r>
      <w:r w:rsidR="00B753E9">
        <w:rPr>
          <w:sz w:val="18"/>
          <w:szCs w:val="18"/>
          <w:lang w:bidi="nl-NL"/>
        </w:rPr>
        <w:t>Scorebord</w:t>
      </w:r>
      <w:r>
        <w:rPr>
          <w:sz w:val="18"/>
          <w:szCs w:val="18"/>
          <w:lang w:bidi="nl-NL"/>
        </w:rPr>
        <w:t>? Er werden vraagtekens gesteld bij de methodologie.</w:t>
      </w:r>
      <w:r w:rsidRPr="008845DF" w:rsidR="008845DF">
        <w:rPr>
          <w:sz w:val="18"/>
          <w:szCs w:val="18"/>
          <w:lang w:bidi="nl-NL"/>
        </w:rPr>
        <w:t xml:space="preserve"> </w:t>
      </w:r>
      <w:r w:rsidR="000659A5">
        <w:rPr>
          <w:sz w:val="18"/>
          <w:szCs w:val="18"/>
          <w:lang w:bidi="nl-NL"/>
        </w:rPr>
        <w:t xml:space="preserve">Ook werd de rechtsgrondslag ter discussie gesteld; het </w:t>
      </w:r>
      <w:r w:rsidRPr="008845DF" w:rsidR="008845DF">
        <w:rPr>
          <w:sz w:val="18"/>
          <w:szCs w:val="18"/>
          <w:lang w:bidi="nl-NL"/>
        </w:rPr>
        <w:t xml:space="preserve">verbeteren </w:t>
      </w:r>
      <w:r w:rsidR="000659A5">
        <w:rPr>
          <w:sz w:val="18"/>
          <w:szCs w:val="18"/>
          <w:lang w:bidi="nl-NL"/>
        </w:rPr>
        <w:t xml:space="preserve">van </w:t>
      </w:r>
      <w:r w:rsidRPr="008845DF" w:rsidR="008845DF">
        <w:rPr>
          <w:sz w:val="18"/>
          <w:szCs w:val="18"/>
          <w:lang w:bidi="nl-NL"/>
        </w:rPr>
        <w:t>rechtssystemen is geen bestanddeel van macro-economische politiek</w:t>
      </w:r>
      <w:r w:rsidR="000659A5">
        <w:rPr>
          <w:sz w:val="18"/>
          <w:szCs w:val="18"/>
          <w:lang w:bidi="nl-NL"/>
        </w:rPr>
        <w:t>, aldus een lidstaat</w:t>
      </w:r>
      <w:r w:rsidRPr="008845DF" w:rsidR="008845DF">
        <w:rPr>
          <w:sz w:val="18"/>
          <w:szCs w:val="18"/>
          <w:lang w:bidi="nl-NL"/>
        </w:rPr>
        <w:t xml:space="preserve">. </w:t>
      </w:r>
    </w:p>
    <w:p w:rsidRPr="008845DF" w:rsidR="008845DF" w:rsidP="008845DF" w:rsidRDefault="008845DF" w14:paraId="57DFEB8E"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935052" w:rsidRDefault="000659A5" w14:paraId="445C9734" w14:textId="1FAE1400">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sz w:val="18"/>
          <w:szCs w:val="18"/>
          <w:lang w:bidi="nl-NL"/>
        </w:rPr>
        <w:t xml:space="preserve">Het </w:t>
      </w:r>
      <w:r w:rsidRPr="008845DF" w:rsidR="008845DF">
        <w:rPr>
          <w:sz w:val="18"/>
          <w:szCs w:val="18"/>
          <w:lang w:bidi="nl-NL"/>
        </w:rPr>
        <w:t>V</w:t>
      </w:r>
      <w:r>
        <w:rPr>
          <w:sz w:val="18"/>
          <w:szCs w:val="18"/>
          <w:lang w:bidi="nl-NL"/>
        </w:rPr>
        <w:t>oorzitterschap</w:t>
      </w:r>
      <w:r w:rsidRPr="008845DF" w:rsidR="008845DF">
        <w:rPr>
          <w:sz w:val="18"/>
          <w:szCs w:val="18"/>
          <w:lang w:bidi="nl-NL"/>
        </w:rPr>
        <w:t xml:space="preserve"> concludeer</w:t>
      </w:r>
      <w:r>
        <w:rPr>
          <w:sz w:val="18"/>
          <w:szCs w:val="18"/>
          <w:lang w:bidi="nl-NL"/>
        </w:rPr>
        <w:t>de</w:t>
      </w:r>
      <w:r w:rsidRPr="008845DF" w:rsidR="008845DF">
        <w:rPr>
          <w:sz w:val="18"/>
          <w:szCs w:val="18"/>
          <w:lang w:bidi="nl-NL"/>
        </w:rPr>
        <w:t xml:space="preserve"> dat verschillende </w:t>
      </w:r>
      <w:r>
        <w:rPr>
          <w:sz w:val="18"/>
          <w:szCs w:val="18"/>
          <w:lang w:bidi="nl-NL"/>
        </w:rPr>
        <w:t>lidstaten</w:t>
      </w:r>
      <w:r w:rsidRPr="008845DF" w:rsidR="008845DF">
        <w:rPr>
          <w:sz w:val="18"/>
          <w:szCs w:val="18"/>
          <w:lang w:bidi="nl-NL"/>
        </w:rPr>
        <w:t xml:space="preserve"> twijfel</w:t>
      </w:r>
      <w:r>
        <w:rPr>
          <w:sz w:val="18"/>
          <w:szCs w:val="18"/>
          <w:lang w:bidi="nl-NL"/>
        </w:rPr>
        <w:t>s</w:t>
      </w:r>
      <w:r w:rsidRPr="008845DF" w:rsidR="008845DF">
        <w:rPr>
          <w:sz w:val="18"/>
          <w:szCs w:val="18"/>
          <w:lang w:bidi="nl-NL"/>
        </w:rPr>
        <w:t xml:space="preserve"> hebben over </w:t>
      </w:r>
      <w:r>
        <w:rPr>
          <w:sz w:val="18"/>
          <w:szCs w:val="18"/>
          <w:lang w:bidi="nl-NL"/>
        </w:rPr>
        <w:t xml:space="preserve">de </w:t>
      </w:r>
      <w:r w:rsidRPr="008845DF" w:rsidR="008845DF">
        <w:rPr>
          <w:sz w:val="18"/>
          <w:szCs w:val="18"/>
          <w:lang w:bidi="nl-NL"/>
        </w:rPr>
        <w:t xml:space="preserve">redenen die de </w:t>
      </w:r>
      <w:r>
        <w:rPr>
          <w:sz w:val="18"/>
          <w:szCs w:val="18"/>
          <w:lang w:bidi="nl-NL"/>
        </w:rPr>
        <w:t xml:space="preserve">Commissie </w:t>
      </w:r>
      <w:r w:rsidRPr="008845DF" w:rsidR="008845DF">
        <w:rPr>
          <w:sz w:val="18"/>
          <w:szCs w:val="18"/>
          <w:lang w:bidi="nl-NL"/>
        </w:rPr>
        <w:t xml:space="preserve">aanvoert voor het uitbrengen van het </w:t>
      </w:r>
      <w:r w:rsidR="00B753E9">
        <w:rPr>
          <w:sz w:val="18"/>
          <w:szCs w:val="18"/>
          <w:lang w:bidi="nl-NL"/>
        </w:rPr>
        <w:t>Scorebord</w:t>
      </w:r>
      <w:r>
        <w:rPr>
          <w:sz w:val="18"/>
          <w:szCs w:val="18"/>
          <w:lang w:bidi="nl-NL"/>
        </w:rPr>
        <w:t xml:space="preserve">, alsook </w:t>
      </w:r>
      <w:r w:rsidRPr="008845DF" w:rsidR="008845DF">
        <w:rPr>
          <w:sz w:val="18"/>
          <w:szCs w:val="18"/>
          <w:lang w:bidi="nl-NL"/>
        </w:rPr>
        <w:t xml:space="preserve">over de relatie tussen justitie-aspecten en macro-economie. </w:t>
      </w:r>
      <w:r>
        <w:rPr>
          <w:sz w:val="18"/>
          <w:szCs w:val="18"/>
          <w:lang w:bidi="nl-NL"/>
        </w:rPr>
        <w:t>Er</w:t>
      </w:r>
      <w:r w:rsidRPr="008845DF" w:rsidR="008845DF">
        <w:rPr>
          <w:sz w:val="18"/>
          <w:szCs w:val="18"/>
          <w:lang w:bidi="nl-NL"/>
        </w:rPr>
        <w:t xml:space="preserve"> moet </w:t>
      </w:r>
      <w:r>
        <w:rPr>
          <w:sz w:val="18"/>
          <w:szCs w:val="18"/>
          <w:lang w:bidi="nl-NL"/>
        </w:rPr>
        <w:t xml:space="preserve">een </w:t>
      </w:r>
      <w:r w:rsidRPr="008845DF" w:rsidR="008845DF">
        <w:rPr>
          <w:sz w:val="18"/>
          <w:szCs w:val="18"/>
          <w:lang w:bidi="nl-NL"/>
        </w:rPr>
        <w:t xml:space="preserve">dialoog </w:t>
      </w:r>
      <w:r>
        <w:rPr>
          <w:sz w:val="18"/>
          <w:szCs w:val="18"/>
          <w:lang w:bidi="nl-NL"/>
        </w:rPr>
        <w:t xml:space="preserve">komen </w:t>
      </w:r>
      <w:r w:rsidRPr="008845DF" w:rsidR="008845DF">
        <w:rPr>
          <w:sz w:val="18"/>
          <w:szCs w:val="18"/>
          <w:lang w:bidi="nl-NL"/>
        </w:rPr>
        <w:t xml:space="preserve">tussen </w:t>
      </w:r>
      <w:r>
        <w:rPr>
          <w:sz w:val="18"/>
          <w:szCs w:val="18"/>
          <w:lang w:bidi="nl-NL"/>
        </w:rPr>
        <w:t xml:space="preserve">de </w:t>
      </w:r>
      <w:r w:rsidRPr="008845DF" w:rsidR="008845DF">
        <w:rPr>
          <w:sz w:val="18"/>
          <w:szCs w:val="18"/>
          <w:lang w:bidi="nl-NL"/>
        </w:rPr>
        <w:t>C</w:t>
      </w:r>
      <w:r>
        <w:rPr>
          <w:sz w:val="18"/>
          <w:szCs w:val="18"/>
          <w:lang w:bidi="nl-NL"/>
        </w:rPr>
        <w:t xml:space="preserve">ommissie </w:t>
      </w:r>
      <w:r w:rsidRPr="008845DF" w:rsidR="008845DF">
        <w:rPr>
          <w:sz w:val="18"/>
          <w:szCs w:val="18"/>
          <w:lang w:bidi="nl-NL"/>
        </w:rPr>
        <w:t xml:space="preserve">en </w:t>
      </w:r>
      <w:r>
        <w:rPr>
          <w:sz w:val="18"/>
          <w:szCs w:val="18"/>
          <w:lang w:bidi="nl-NL"/>
        </w:rPr>
        <w:t xml:space="preserve">de lidstaten </w:t>
      </w:r>
      <w:r w:rsidRPr="008845DF" w:rsidR="008845DF">
        <w:rPr>
          <w:sz w:val="18"/>
          <w:szCs w:val="18"/>
          <w:lang w:bidi="nl-NL"/>
        </w:rPr>
        <w:t xml:space="preserve">op basis van objectieve en vergelijkbare gegevens. </w:t>
      </w:r>
      <w:r>
        <w:rPr>
          <w:sz w:val="18"/>
          <w:szCs w:val="18"/>
          <w:lang w:bidi="nl-NL"/>
        </w:rPr>
        <w:t xml:space="preserve">Er ligt volgens het Voorzitterschap </w:t>
      </w:r>
      <w:r w:rsidRPr="008845DF" w:rsidR="008845DF">
        <w:rPr>
          <w:sz w:val="18"/>
          <w:szCs w:val="18"/>
          <w:lang w:bidi="nl-NL"/>
        </w:rPr>
        <w:t xml:space="preserve">een duidelijke methodologie </w:t>
      </w:r>
      <w:r>
        <w:rPr>
          <w:sz w:val="18"/>
          <w:szCs w:val="18"/>
          <w:lang w:bidi="nl-NL"/>
        </w:rPr>
        <w:t xml:space="preserve">onder het </w:t>
      </w:r>
      <w:r w:rsidR="00B753E9">
        <w:rPr>
          <w:sz w:val="18"/>
          <w:szCs w:val="18"/>
          <w:lang w:bidi="nl-NL"/>
        </w:rPr>
        <w:t>Scorebord</w:t>
      </w:r>
      <w:r>
        <w:rPr>
          <w:sz w:val="18"/>
          <w:szCs w:val="18"/>
          <w:lang w:bidi="nl-NL"/>
        </w:rPr>
        <w:t xml:space="preserve">. </w:t>
      </w:r>
    </w:p>
    <w:p w:rsidR="00935052" w:rsidRDefault="00935052" w14:paraId="2F217FF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935052" w:rsidRDefault="00935052" w14:paraId="33369A3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935052" w:rsidP="00935052" w:rsidRDefault="00EF25ED" w14:paraId="50C7235F" w14:textId="64D5800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b/>
          <w:sz w:val="18"/>
          <w:szCs w:val="18"/>
          <w:lang w:bidi="nl-NL"/>
        </w:rPr>
      </w:pPr>
      <w:r>
        <w:rPr>
          <w:b/>
          <w:sz w:val="18"/>
          <w:szCs w:val="18"/>
          <w:lang w:bidi="nl-NL"/>
        </w:rPr>
        <w:t>19</w:t>
      </w:r>
      <w:r w:rsidR="00935052">
        <w:rPr>
          <w:b/>
          <w:sz w:val="18"/>
          <w:szCs w:val="18"/>
          <w:lang w:bidi="nl-NL"/>
        </w:rPr>
        <w:t>.</w:t>
      </w:r>
      <w:r w:rsidR="00935052">
        <w:rPr>
          <w:b/>
          <w:sz w:val="18"/>
          <w:szCs w:val="18"/>
          <w:lang w:bidi="nl-NL"/>
        </w:rPr>
        <w:tab/>
      </w:r>
      <w:r w:rsidRPr="00935052" w:rsidR="00935052">
        <w:rPr>
          <w:b/>
          <w:sz w:val="18"/>
          <w:szCs w:val="18"/>
          <w:lang w:bidi="nl-NL"/>
        </w:rPr>
        <w:t>Toekomstige ontwikkeling van het JBZ-gebied/Justitie</w:t>
      </w:r>
    </w:p>
    <w:p w:rsidRPr="00935052" w:rsidR="00935052" w:rsidP="00935052" w:rsidRDefault="00935052" w14:paraId="02A4C2D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5" w:hanging="705"/>
        <w:rPr>
          <w:b/>
          <w:sz w:val="18"/>
          <w:szCs w:val="18"/>
          <w:lang w:bidi="nl-NL"/>
        </w:rPr>
      </w:pPr>
    </w:p>
    <w:p w:rsidRPr="00935052" w:rsidR="00935052" w:rsidP="00935052" w:rsidRDefault="00935052" w14:paraId="05D4597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Pr>
          <w:sz w:val="18"/>
          <w:szCs w:val="18"/>
        </w:rPr>
        <w:t xml:space="preserve">Het </w:t>
      </w:r>
      <w:r w:rsidRPr="00935052">
        <w:rPr>
          <w:sz w:val="18"/>
          <w:szCs w:val="18"/>
        </w:rPr>
        <w:t>V</w:t>
      </w:r>
      <w:r>
        <w:rPr>
          <w:sz w:val="18"/>
          <w:szCs w:val="18"/>
        </w:rPr>
        <w:t>oorzitterschap be</w:t>
      </w:r>
      <w:r w:rsidRPr="00935052">
        <w:rPr>
          <w:sz w:val="18"/>
          <w:szCs w:val="18"/>
        </w:rPr>
        <w:t>dankt</w:t>
      </w:r>
      <w:r>
        <w:rPr>
          <w:sz w:val="18"/>
          <w:szCs w:val="18"/>
        </w:rPr>
        <w:t>e</w:t>
      </w:r>
      <w:r w:rsidRPr="00935052">
        <w:rPr>
          <w:sz w:val="18"/>
          <w:szCs w:val="18"/>
        </w:rPr>
        <w:t xml:space="preserve"> </w:t>
      </w:r>
      <w:r>
        <w:rPr>
          <w:sz w:val="18"/>
          <w:szCs w:val="18"/>
        </w:rPr>
        <w:t xml:space="preserve">de lidstaten </w:t>
      </w:r>
      <w:r w:rsidRPr="00935052">
        <w:rPr>
          <w:sz w:val="18"/>
          <w:szCs w:val="18"/>
        </w:rPr>
        <w:t>voor hun bijdragen</w:t>
      </w:r>
      <w:r w:rsidR="00F27761">
        <w:rPr>
          <w:sz w:val="18"/>
          <w:szCs w:val="18"/>
        </w:rPr>
        <w:t>, welke</w:t>
      </w:r>
      <w:r w:rsidRPr="00935052">
        <w:rPr>
          <w:sz w:val="18"/>
          <w:szCs w:val="18"/>
        </w:rPr>
        <w:t xml:space="preserve"> </w:t>
      </w:r>
      <w:r w:rsidR="00F27761">
        <w:rPr>
          <w:sz w:val="18"/>
          <w:szCs w:val="18"/>
        </w:rPr>
        <w:t xml:space="preserve">worden </w:t>
      </w:r>
      <w:r w:rsidRPr="00935052">
        <w:rPr>
          <w:sz w:val="18"/>
          <w:szCs w:val="18"/>
        </w:rPr>
        <w:t xml:space="preserve">gebundeld en toegezonden aan </w:t>
      </w:r>
      <w:r w:rsidR="00F27761">
        <w:rPr>
          <w:sz w:val="18"/>
          <w:szCs w:val="18"/>
        </w:rPr>
        <w:t>de lidstaten</w:t>
      </w:r>
      <w:r w:rsidRPr="00935052">
        <w:rPr>
          <w:sz w:val="18"/>
          <w:szCs w:val="18"/>
        </w:rPr>
        <w:t xml:space="preserve">. </w:t>
      </w:r>
      <w:r w:rsidR="00F27761">
        <w:rPr>
          <w:sz w:val="18"/>
          <w:szCs w:val="18"/>
        </w:rPr>
        <w:t>De b</w:t>
      </w:r>
      <w:r w:rsidRPr="00935052">
        <w:rPr>
          <w:sz w:val="18"/>
          <w:szCs w:val="18"/>
        </w:rPr>
        <w:t xml:space="preserve">espreking </w:t>
      </w:r>
      <w:r w:rsidR="00F27761">
        <w:rPr>
          <w:sz w:val="18"/>
          <w:szCs w:val="18"/>
        </w:rPr>
        <w:t xml:space="preserve">tijdens deze Raad is </w:t>
      </w:r>
      <w:r w:rsidRPr="00935052">
        <w:rPr>
          <w:sz w:val="18"/>
          <w:szCs w:val="18"/>
        </w:rPr>
        <w:t xml:space="preserve">vooral bedoeld om de voortgang van </w:t>
      </w:r>
      <w:r w:rsidR="00F27761">
        <w:rPr>
          <w:sz w:val="18"/>
          <w:szCs w:val="18"/>
        </w:rPr>
        <w:t xml:space="preserve">het </w:t>
      </w:r>
      <w:r w:rsidR="00773C27">
        <w:rPr>
          <w:sz w:val="18"/>
          <w:szCs w:val="18"/>
        </w:rPr>
        <w:t xml:space="preserve">proces van het Post Stockholmprogramma (PSP) </w:t>
      </w:r>
      <w:r w:rsidRPr="00935052">
        <w:rPr>
          <w:sz w:val="18"/>
          <w:szCs w:val="18"/>
        </w:rPr>
        <w:t xml:space="preserve">te bespreken. </w:t>
      </w:r>
    </w:p>
    <w:p w:rsidR="00773C27" w:rsidP="00773C27" w:rsidRDefault="00773C27" w14:paraId="3E7951D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935052" w:rsidR="00773C27" w:rsidP="00773C27" w:rsidRDefault="00773C27" w14:paraId="4F45C8F7" w14:textId="7441FB8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sz w:val="18"/>
          <w:szCs w:val="18"/>
          <w:lang w:bidi="nl-NL"/>
        </w:rPr>
        <w:t xml:space="preserve">Minister </w:t>
      </w:r>
      <w:r w:rsidR="00B753E9">
        <w:rPr>
          <w:sz w:val="18"/>
          <w:szCs w:val="18"/>
          <w:lang w:bidi="nl-NL"/>
        </w:rPr>
        <w:t xml:space="preserve">Opstelten </w:t>
      </w:r>
      <w:r>
        <w:rPr>
          <w:sz w:val="18"/>
          <w:szCs w:val="18"/>
          <w:lang w:bidi="nl-NL"/>
        </w:rPr>
        <w:t>uitte</w:t>
      </w:r>
      <w:r w:rsidRPr="00935052">
        <w:rPr>
          <w:sz w:val="18"/>
          <w:szCs w:val="18"/>
          <w:lang w:bidi="nl-NL"/>
        </w:rPr>
        <w:t xml:space="preserve"> </w:t>
      </w:r>
      <w:r>
        <w:rPr>
          <w:sz w:val="18"/>
          <w:szCs w:val="18"/>
          <w:lang w:bidi="nl-NL"/>
        </w:rPr>
        <w:t>bijzondere waardering richting Zweden</w:t>
      </w:r>
      <w:r w:rsidRPr="00935052">
        <w:rPr>
          <w:sz w:val="18"/>
          <w:szCs w:val="18"/>
          <w:lang w:bidi="nl-NL"/>
        </w:rPr>
        <w:t xml:space="preserve"> en F</w:t>
      </w:r>
      <w:r>
        <w:rPr>
          <w:sz w:val="18"/>
          <w:szCs w:val="18"/>
          <w:lang w:bidi="nl-NL"/>
        </w:rPr>
        <w:t>inland</w:t>
      </w:r>
      <w:r w:rsidRPr="00935052">
        <w:rPr>
          <w:sz w:val="18"/>
          <w:szCs w:val="18"/>
          <w:lang w:bidi="nl-NL"/>
        </w:rPr>
        <w:t xml:space="preserve"> als mede-initiatiefnemers van de gezamenlijke brief van 8 </w:t>
      </w:r>
      <w:r>
        <w:rPr>
          <w:sz w:val="18"/>
          <w:szCs w:val="18"/>
          <w:lang w:bidi="nl-NL"/>
        </w:rPr>
        <w:t>lidstaten</w:t>
      </w:r>
      <w:r w:rsidRPr="00935052">
        <w:rPr>
          <w:sz w:val="18"/>
          <w:szCs w:val="18"/>
          <w:lang w:bidi="nl-NL"/>
        </w:rPr>
        <w:t xml:space="preserve"> met “guiding principles”. Kernelementen in het PSP moeten </w:t>
      </w:r>
      <w:r>
        <w:rPr>
          <w:sz w:val="18"/>
          <w:szCs w:val="18"/>
          <w:lang w:bidi="nl-NL"/>
        </w:rPr>
        <w:t xml:space="preserve">volgens Nederland </w:t>
      </w:r>
      <w:r w:rsidRPr="00935052">
        <w:rPr>
          <w:sz w:val="18"/>
          <w:szCs w:val="18"/>
          <w:lang w:bidi="nl-NL"/>
        </w:rPr>
        <w:t>zijn</w:t>
      </w:r>
      <w:r>
        <w:rPr>
          <w:sz w:val="18"/>
          <w:szCs w:val="18"/>
          <w:lang w:bidi="nl-NL"/>
        </w:rPr>
        <w:t xml:space="preserve">: </w:t>
      </w:r>
      <w:r w:rsidRPr="00935052">
        <w:rPr>
          <w:sz w:val="18"/>
          <w:szCs w:val="18"/>
          <w:lang w:bidi="nl-NL"/>
        </w:rPr>
        <w:t xml:space="preserve">consolidatie, kostenefficiëntie, subsidiariteit en de focus op praktische zaken en praktische samenwerking. </w:t>
      </w:r>
      <w:r>
        <w:rPr>
          <w:sz w:val="18"/>
          <w:szCs w:val="18"/>
          <w:lang w:bidi="nl-NL"/>
        </w:rPr>
        <w:t>Lidstaten dankten Nederland voor het initiatief voor deze brief.</w:t>
      </w:r>
    </w:p>
    <w:p w:rsidRPr="00935052" w:rsidR="00935052" w:rsidP="00935052" w:rsidRDefault="00935052" w14:paraId="433B7FC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Pr="00935052" w:rsidR="00935052" w:rsidP="00935052" w:rsidRDefault="00773C27" w14:paraId="5CA2ADA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Pr>
          <w:sz w:val="18"/>
          <w:szCs w:val="18"/>
        </w:rPr>
        <w:t xml:space="preserve">Andere lidstaten gaven aan dat </w:t>
      </w:r>
      <w:r w:rsidRPr="00935052" w:rsidR="00935052">
        <w:rPr>
          <w:sz w:val="18"/>
          <w:szCs w:val="18"/>
        </w:rPr>
        <w:t xml:space="preserve">de Raad </w:t>
      </w:r>
      <w:r>
        <w:rPr>
          <w:sz w:val="18"/>
          <w:szCs w:val="18"/>
        </w:rPr>
        <w:t xml:space="preserve">de regie moet hebben bij </w:t>
      </w:r>
      <w:r w:rsidRPr="00935052" w:rsidR="00935052">
        <w:rPr>
          <w:sz w:val="18"/>
          <w:szCs w:val="18"/>
        </w:rPr>
        <w:t xml:space="preserve">het opstellen van de strategische richtsnoeren als opvolger van het PSP. </w:t>
      </w:r>
      <w:r>
        <w:rPr>
          <w:sz w:val="18"/>
          <w:szCs w:val="18"/>
        </w:rPr>
        <w:t>Het is niet de bedoeling dat d</w:t>
      </w:r>
      <w:r w:rsidRPr="00935052" w:rsidR="00935052">
        <w:rPr>
          <w:sz w:val="18"/>
          <w:szCs w:val="18"/>
        </w:rPr>
        <w:t xml:space="preserve">e </w:t>
      </w:r>
      <w:r>
        <w:rPr>
          <w:sz w:val="18"/>
          <w:szCs w:val="18"/>
        </w:rPr>
        <w:t xml:space="preserve">Commissie </w:t>
      </w:r>
      <w:r w:rsidRPr="00935052" w:rsidR="00935052">
        <w:rPr>
          <w:sz w:val="18"/>
          <w:szCs w:val="18"/>
        </w:rPr>
        <w:t xml:space="preserve">in haar </w:t>
      </w:r>
      <w:r>
        <w:rPr>
          <w:sz w:val="18"/>
          <w:szCs w:val="18"/>
        </w:rPr>
        <w:t>“</w:t>
      </w:r>
      <w:r w:rsidRPr="00935052" w:rsidR="00935052">
        <w:rPr>
          <w:sz w:val="18"/>
          <w:szCs w:val="18"/>
        </w:rPr>
        <w:t>Mededeling PSP</w:t>
      </w:r>
      <w:r>
        <w:rPr>
          <w:sz w:val="18"/>
          <w:szCs w:val="18"/>
        </w:rPr>
        <w:t>”</w:t>
      </w:r>
      <w:r w:rsidRPr="00935052" w:rsidR="00935052">
        <w:rPr>
          <w:sz w:val="18"/>
          <w:szCs w:val="18"/>
        </w:rPr>
        <w:t xml:space="preserve"> voorbijgaa</w:t>
      </w:r>
      <w:r>
        <w:rPr>
          <w:sz w:val="18"/>
          <w:szCs w:val="18"/>
        </w:rPr>
        <w:t>t</w:t>
      </w:r>
      <w:r w:rsidRPr="00935052" w:rsidR="00935052">
        <w:rPr>
          <w:sz w:val="18"/>
          <w:szCs w:val="18"/>
        </w:rPr>
        <w:t xml:space="preserve"> aan de inbreng van de Raad. </w:t>
      </w:r>
      <w:r>
        <w:rPr>
          <w:sz w:val="18"/>
          <w:szCs w:val="18"/>
          <w:lang w:bidi="nl-NL"/>
        </w:rPr>
        <w:t>Er werd behoefte geuit voor een PSP</w:t>
      </w:r>
      <w:r w:rsidRPr="00935052" w:rsidR="00935052">
        <w:rPr>
          <w:sz w:val="18"/>
          <w:szCs w:val="18"/>
          <w:lang w:bidi="nl-NL"/>
        </w:rPr>
        <w:t xml:space="preserve"> gericht op kwaliteit </w:t>
      </w:r>
      <w:r>
        <w:rPr>
          <w:sz w:val="18"/>
          <w:szCs w:val="18"/>
          <w:lang w:bidi="nl-NL"/>
        </w:rPr>
        <w:t xml:space="preserve">in plaats van </w:t>
      </w:r>
      <w:r w:rsidRPr="00935052" w:rsidR="00935052">
        <w:rPr>
          <w:sz w:val="18"/>
          <w:szCs w:val="18"/>
          <w:lang w:bidi="nl-NL"/>
        </w:rPr>
        <w:t xml:space="preserve">kwantiteit. </w:t>
      </w:r>
      <w:r>
        <w:rPr>
          <w:sz w:val="18"/>
          <w:szCs w:val="18"/>
          <w:lang w:bidi="nl-NL"/>
        </w:rPr>
        <w:t>Een onderdeel van het PSP zou moeten zijn de v</w:t>
      </w:r>
      <w:r w:rsidRPr="00935052" w:rsidR="00935052">
        <w:rPr>
          <w:sz w:val="18"/>
          <w:szCs w:val="18"/>
          <w:lang w:bidi="nl-NL"/>
        </w:rPr>
        <w:t>ersterk</w:t>
      </w:r>
      <w:r>
        <w:rPr>
          <w:sz w:val="18"/>
          <w:szCs w:val="18"/>
          <w:lang w:bidi="nl-NL"/>
        </w:rPr>
        <w:t xml:space="preserve">ing van </w:t>
      </w:r>
      <w:r w:rsidRPr="00935052" w:rsidR="00935052">
        <w:rPr>
          <w:sz w:val="18"/>
          <w:szCs w:val="18"/>
          <w:lang w:bidi="nl-NL"/>
        </w:rPr>
        <w:t xml:space="preserve">wederzijds vertrouwen tussen </w:t>
      </w:r>
      <w:r>
        <w:rPr>
          <w:sz w:val="18"/>
          <w:szCs w:val="18"/>
          <w:lang w:bidi="nl-NL"/>
        </w:rPr>
        <w:t>lidstaten</w:t>
      </w:r>
      <w:r w:rsidRPr="00935052" w:rsidR="00935052">
        <w:rPr>
          <w:sz w:val="18"/>
          <w:szCs w:val="18"/>
          <w:lang w:bidi="nl-NL"/>
        </w:rPr>
        <w:t xml:space="preserve">. </w:t>
      </w:r>
      <w:r>
        <w:rPr>
          <w:sz w:val="18"/>
          <w:szCs w:val="18"/>
          <w:lang w:bidi="nl-NL"/>
        </w:rPr>
        <w:t xml:space="preserve">Ook </w:t>
      </w:r>
      <w:r w:rsidRPr="00935052" w:rsidR="00935052">
        <w:rPr>
          <w:sz w:val="18"/>
          <w:szCs w:val="18"/>
          <w:lang w:bidi="nl-NL"/>
        </w:rPr>
        <w:t>hoogwaardige bescherming van fundamentele rechten en aandacht voor subsidiariteit</w:t>
      </w:r>
      <w:r>
        <w:rPr>
          <w:sz w:val="18"/>
          <w:szCs w:val="18"/>
          <w:lang w:bidi="nl-NL"/>
        </w:rPr>
        <w:t xml:space="preserve"> werden genoemd</w:t>
      </w:r>
      <w:r w:rsidRPr="00935052" w:rsidR="00935052">
        <w:rPr>
          <w:sz w:val="18"/>
          <w:szCs w:val="18"/>
          <w:lang w:bidi="nl-NL"/>
        </w:rPr>
        <w:t xml:space="preserve">. </w:t>
      </w:r>
    </w:p>
    <w:p w:rsidRPr="00935052" w:rsidR="00935052" w:rsidP="00935052" w:rsidRDefault="00935052" w14:paraId="67ED5CEC"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00277837" w:rsidRDefault="00656118" w14:paraId="1812C7D7"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Pr>
          <w:sz w:val="18"/>
          <w:szCs w:val="18"/>
        </w:rPr>
        <w:t xml:space="preserve">Het </w:t>
      </w:r>
      <w:r w:rsidRPr="00935052" w:rsidR="00935052">
        <w:rPr>
          <w:sz w:val="18"/>
          <w:szCs w:val="18"/>
        </w:rPr>
        <w:t>V</w:t>
      </w:r>
      <w:r>
        <w:rPr>
          <w:sz w:val="18"/>
          <w:szCs w:val="18"/>
        </w:rPr>
        <w:t xml:space="preserve">oorzitterschap </w:t>
      </w:r>
      <w:r w:rsidRPr="00935052" w:rsidR="00935052">
        <w:rPr>
          <w:sz w:val="18"/>
          <w:szCs w:val="18"/>
        </w:rPr>
        <w:t>concludeer</w:t>
      </w:r>
      <w:r>
        <w:rPr>
          <w:sz w:val="18"/>
          <w:szCs w:val="18"/>
        </w:rPr>
        <w:t>de</w:t>
      </w:r>
      <w:r w:rsidRPr="00935052" w:rsidR="00935052">
        <w:rPr>
          <w:sz w:val="18"/>
          <w:szCs w:val="18"/>
        </w:rPr>
        <w:t xml:space="preserve"> </w:t>
      </w:r>
      <w:r>
        <w:rPr>
          <w:sz w:val="18"/>
          <w:szCs w:val="18"/>
        </w:rPr>
        <w:t xml:space="preserve">dat het </w:t>
      </w:r>
      <w:r w:rsidRPr="00935052" w:rsidR="00935052">
        <w:rPr>
          <w:sz w:val="18"/>
          <w:szCs w:val="18"/>
        </w:rPr>
        <w:t xml:space="preserve">PSP geen catalogus van wensen moet worden. </w:t>
      </w:r>
    </w:p>
    <w:p w:rsidR="00277837" w:rsidRDefault="00277837" w14:paraId="2389517C"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p>
    <w:p w:rsidRPr="00277837" w:rsidR="00277837" w:rsidP="00277837" w:rsidRDefault="00EF25ED" w14:paraId="6607B55F" w14:textId="7B26231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bCs/>
          <w:iCs/>
          <w:sz w:val="18"/>
          <w:szCs w:val="18"/>
          <w:lang w:bidi="nl-NL"/>
        </w:rPr>
      </w:pPr>
      <w:r>
        <w:rPr>
          <w:b/>
          <w:sz w:val="18"/>
          <w:szCs w:val="18"/>
        </w:rPr>
        <w:t>20</w:t>
      </w:r>
      <w:r w:rsidR="00277837">
        <w:rPr>
          <w:b/>
          <w:sz w:val="18"/>
          <w:szCs w:val="18"/>
        </w:rPr>
        <w:t>.</w:t>
      </w:r>
      <w:r w:rsidR="00277837">
        <w:rPr>
          <w:b/>
          <w:sz w:val="18"/>
          <w:szCs w:val="18"/>
        </w:rPr>
        <w:tab/>
      </w:r>
      <w:r w:rsidRPr="00277837" w:rsidR="00277837">
        <w:rPr>
          <w:b/>
          <w:sz w:val="18"/>
          <w:szCs w:val="18"/>
          <w:lang w:bidi="nl-NL"/>
        </w:rPr>
        <w:t>Toetreding van de Europese Unie tot het EVRM</w:t>
      </w:r>
    </w:p>
    <w:p w:rsidR="00277837" w:rsidP="00277837" w:rsidRDefault="00277837" w14:paraId="50C5E79C"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ab/>
        <w:t xml:space="preserve">- </w:t>
      </w:r>
      <w:r w:rsidRPr="00277837">
        <w:rPr>
          <w:b/>
          <w:sz w:val="18"/>
          <w:szCs w:val="18"/>
          <w:lang w:bidi="nl-NL"/>
        </w:rPr>
        <w:t>Stand van zaken</w:t>
      </w:r>
    </w:p>
    <w:p w:rsidR="00277837" w:rsidP="00277837" w:rsidRDefault="00277837" w14:paraId="53532D4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00277837" w:rsidP="00277837" w:rsidRDefault="00277837" w14:paraId="38FDD6D0" w14:textId="57099A4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sz w:val="18"/>
          <w:szCs w:val="18"/>
          <w:lang w:bidi="nl-NL"/>
        </w:rPr>
        <w:t xml:space="preserve">Het </w:t>
      </w:r>
      <w:r w:rsidRPr="00277837">
        <w:rPr>
          <w:sz w:val="18"/>
          <w:szCs w:val="18"/>
          <w:lang w:bidi="nl-NL"/>
        </w:rPr>
        <w:t>V</w:t>
      </w:r>
      <w:r>
        <w:rPr>
          <w:sz w:val="18"/>
          <w:szCs w:val="18"/>
          <w:lang w:bidi="nl-NL"/>
        </w:rPr>
        <w:t xml:space="preserve">oorzitterschap lichtte toe dat de </w:t>
      </w:r>
      <w:r w:rsidRPr="00277837">
        <w:rPr>
          <w:sz w:val="18"/>
          <w:szCs w:val="18"/>
          <w:lang w:bidi="nl-NL"/>
        </w:rPr>
        <w:t>C</w:t>
      </w:r>
      <w:r>
        <w:rPr>
          <w:sz w:val="18"/>
          <w:szCs w:val="18"/>
          <w:lang w:bidi="nl-NL"/>
        </w:rPr>
        <w:t>ommissie</w:t>
      </w:r>
      <w:r w:rsidRPr="00277837">
        <w:rPr>
          <w:sz w:val="18"/>
          <w:szCs w:val="18"/>
          <w:lang w:bidi="nl-NL"/>
        </w:rPr>
        <w:t xml:space="preserve"> een verzoek </w:t>
      </w:r>
      <w:r>
        <w:rPr>
          <w:sz w:val="18"/>
          <w:szCs w:val="18"/>
          <w:lang w:bidi="nl-NL"/>
        </w:rPr>
        <w:t xml:space="preserve">heeft </w:t>
      </w:r>
      <w:r w:rsidRPr="00277837">
        <w:rPr>
          <w:sz w:val="18"/>
          <w:szCs w:val="18"/>
          <w:lang w:bidi="nl-NL"/>
        </w:rPr>
        <w:t>ingediend voor een advies bij het H</w:t>
      </w:r>
      <w:r>
        <w:rPr>
          <w:sz w:val="18"/>
          <w:szCs w:val="18"/>
          <w:lang w:bidi="nl-NL"/>
        </w:rPr>
        <w:t>of van Justitie</w:t>
      </w:r>
      <w:r w:rsidRPr="00277837">
        <w:rPr>
          <w:sz w:val="18"/>
          <w:szCs w:val="18"/>
          <w:lang w:bidi="nl-NL"/>
        </w:rPr>
        <w:t xml:space="preserve">. Op verzoek van veel </w:t>
      </w:r>
      <w:r>
        <w:rPr>
          <w:sz w:val="18"/>
          <w:szCs w:val="18"/>
          <w:lang w:bidi="nl-NL"/>
        </w:rPr>
        <w:t xml:space="preserve">lidstaten </w:t>
      </w:r>
      <w:r w:rsidRPr="00277837">
        <w:rPr>
          <w:sz w:val="18"/>
          <w:szCs w:val="18"/>
          <w:lang w:bidi="nl-NL"/>
        </w:rPr>
        <w:t xml:space="preserve">heeft het </w:t>
      </w:r>
      <w:r>
        <w:rPr>
          <w:sz w:val="18"/>
          <w:szCs w:val="18"/>
          <w:lang w:bidi="nl-NL"/>
        </w:rPr>
        <w:t xml:space="preserve">Voorzitterschap </w:t>
      </w:r>
      <w:r w:rsidRPr="00277837">
        <w:rPr>
          <w:sz w:val="18"/>
          <w:szCs w:val="18"/>
          <w:lang w:bidi="nl-NL"/>
        </w:rPr>
        <w:t xml:space="preserve">vervolgens het verzoek gedaan aan de </w:t>
      </w:r>
      <w:r>
        <w:rPr>
          <w:sz w:val="18"/>
          <w:szCs w:val="18"/>
          <w:lang w:bidi="nl-NL"/>
        </w:rPr>
        <w:t xml:space="preserve">Commissie </w:t>
      </w:r>
      <w:r w:rsidRPr="00277837">
        <w:rPr>
          <w:sz w:val="18"/>
          <w:szCs w:val="18"/>
          <w:lang w:bidi="nl-NL"/>
        </w:rPr>
        <w:t xml:space="preserve">voor een geconsolideerde tekst van de bijbehorende interne regels. De </w:t>
      </w:r>
      <w:r>
        <w:rPr>
          <w:sz w:val="18"/>
          <w:szCs w:val="18"/>
          <w:lang w:bidi="nl-NL"/>
        </w:rPr>
        <w:t xml:space="preserve">Commissie gaf aan </w:t>
      </w:r>
      <w:r w:rsidRPr="00277837">
        <w:rPr>
          <w:sz w:val="18"/>
          <w:szCs w:val="18"/>
          <w:lang w:bidi="nl-NL"/>
        </w:rPr>
        <w:t xml:space="preserve">met een geconsolideerde tekst </w:t>
      </w:r>
      <w:r w:rsidR="00B753E9">
        <w:rPr>
          <w:sz w:val="18"/>
          <w:szCs w:val="18"/>
          <w:lang w:bidi="nl-NL"/>
        </w:rPr>
        <w:t xml:space="preserve">te </w:t>
      </w:r>
      <w:r w:rsidRPr="00277837">
        <w:rPr>
          <w:sz w:val="18"/>
          <w:szCs w:val="18"/>
          <w:lang w:bidi="nl-NL"/>
        </w:rPr>
        <w:t>komen nadat het Hof uitspraak heeft gedaan</w:t>
      </w:r>
      <w:r>
        <w:rPr>
          <w:sz w:val="18"/>
          <w:szCs w:val="18"/>
          <w:lang w:bidi="nl-NL"/>
        </w:rPr>
        <w:t xml:space="preserve"> en merkte op de</w:t>
      </w:r>
      <w:r w:rsidRPr="00277837">
        <w:rPr>
          <w:sz w:val="18"/>
          <w:szCs w:val="18"/>
          <w:lang w:bidi="nl-NL"/>
        </w:rPr>
        <w:t xml:space="preserve">zelfde doelstelling te hebben als de Raad, te weten een zo spoedig mogelijk afronding van de toetreding. </w:t>
      </w:r>
      <w:r>
        <w:rPr>
          <w:sz w:val="18"/>
          <w:szCs w:val="18"/>
          <w:lang w:bidi="nl-NL"/>
        </w:rPr>
        <w:t>Er waren g</w:t>
      </w:r>
      <w:r w:rsidRPr="00277837">
        <w:rPr>
          <w:sz w:val="18"/>
          <w:szCs w:val="18"/>
          <w:lang w:bidi="nl-NL"/>
        </w:rPr>
        <w:t xml:space="preserve">een interventies </w:t>
      </w:r>
      <w:r>
        <w:rPr>
          <w:sz w:val="18"/>
          <w:szCs w:val="18"/>
          <w:lang w:bidi="nl-NL"/>
        </w:rPr>
        <w:t>van lidstaten</w:t>
      </w:r>
      <w:r w:rsidRPr="00277837">
        <w:rPr>
          <w:sz w:val="18"/>
          <w:szCs w:val="18"/>
          <w:lang w:bidi="nl-NL"/>
        </w:rPr>
        <w:t>.</w:t>
      </w:r>
    </w:p>
    <w:p w:rsidR="00277837" w:rsidP="00277837" w:rsidRDefault="00277837" w14:paraId="7D26BC5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Pr="00EF25ED" w:rsidR="00277837" w:rsidP="00277837" w:rsidRDefault="00EF25ED" w14:paraId="5214E43F" w14:textId="25E6181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21</w:t>
      </w:r>
      <w:r w:rsidRPr="00EF25ED" w:rsidR="00277837">
        <w:rPr>
          <w:b/>
          <w:sz w:val="18"/>
          <w:szCs w:val="18"/>
          <w:lang w:bidi="nl-NL"/>
        </w:rPr>
        <w:t>.</w:t>
      </w:r>
      <w:r w:rsidRPr="00EF25ED" w:rsidR="00277837">
        <w:rPr>
          <w:b/>
          <w:sz w:val="18"/>
          <w:szCs w:val="18"/>
          <w:lang w:bidi="nl-NL"/>
        </w:rPr>
        <w:tab/>
        <w:t>e-</w:t>
      </w:r>
      <w:r w:rsidRPr="00EF25ED" w:rsidR="00B753E9">
        <w:rPr>
          <w:b/>
          <w:sz w:val="18"/>
          <w:szCs w:val="18"/>
          <w:lang w:bidi="nl-NL"/>
        </w:rPr>
        <w:t>J</w:t>
      </w:r>
      <w:r w:rsidRPr="00EF25ED" w:rsidR="00277837">
        <w:rPr>
          <w:b/>
          <w:sz w:val="18"/>
          <w:szCs w:val="18"/>
          <w:lang w:bidi="nl-NL"/>
        </w:rPr>
        <w:t>ustitie</w:t>
      </w:r>
    </w:p>
    <w:p w:rsidRPr="00EF25ED" w:rsidR="00277837" w:rsidP="00277837" w:rsidRDefault="00277837" w14:paraId="06852207" w14:textId="1A3543C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sidRPr="00EF25ED">
        <w:rPr>
          <w:b/>
          <w:sz w:val="18"/>
          <w:szCs w:val="18"/>
          <w:lang w:bidi="nl-NL"/>
        </w:rPr>
        <w:tab/>
        <w:t>a) Strategie inzake Europese e-</w:t>
      </w:r>
      <w:r w:rsidRPr="00EF25ED" w:rsidR="00B753E9">
        <w:rPr>
          <w:b/>
          <w:sz w:val="18"/>
          <w:szCs w:val="18"/>
          <w:lang w:bidi="nl-NL"/>
        </w:rPr>
        <w:t>J</w:t>
      </w:r>
      <w:r w:rsidRPr="00EF25ED">
        <w:rPr>
          <w:b/>
          <w:sz w:val="18"/>
          <w:szCs w:val="18"/>
          <w:lang w:bidi="nl-NL"/>
        </w:rPr>
        <w:t>ustitie 2014-2018</w:t>
      </w:r>
    </w:p>
    <w:p w:rsidR="00277837" w:rsidP="00277837" w:rsidRDefault="00277837" w14:paraId="3C77118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ab/>
      </w:r>
      <w:r w:rsidRPr="00277837">
        <w:rPr>
          <w:b/>
          <w:sz w:val="18"/>
          <w:szCs w:val="18"/>
          <w:lang w:bidi="nl-NL"/>
        </w:rPr>
        <w:t>- Aanneming</w:t>
      </w:r>
    </w:p>
    <w:p w:rsidRPr="00277837" w:rsidR="00277837" w:rsidP="00277837" w:rsidRDefault="00277837" w14:paraId="3EE9321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ab/>
        <w:t xml:space="preserve">b) </w:t>
      </w:r>
      <w:r w:rsidRPr="00277837">
        <w:rPr>
          <w:b/>
          <w:sz w:val="18"/>
          <w:szCs w:val="18"/>
          <w:lang w:bidi="nl-NL"/>
        </w:rPr>
        <w:t>Tijdens het tweede halfjaar van 2013 verrichte werkzaamheden</w:t>
      </w:r>
    </w:p>
    <w:p w:rsidRPr="00277837" w:rsidR="00277837" w:rsidP="00277837" w:rsidRDefault="00277837" w14:paraId="1333EE28"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ab/>
      </w:r>
      <w:r w:rsidRPr="00277837">
        <w:rPr>
          <w:b/>
          <w:sz w:val="18"/>
          <w:szCs w:val="18"/>
          <w:lang w:bidi="nl-NL"/>
        </w:rPr>
        <w:t>- Informatie van het voorzitterschap</w:t>
      </w:r>
    </w:p>
    <w:p w:rsidRPr="00277837" w:rsidR="00277837" w:rsidP="00277837" w:rsidRDefault="00277837" w14:paraId="4A443EC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rPr>
      </w:pPr>
    </w:p>
    <w:p w:rsidR="00277837" w:rsidP="00277837" w:rsidRDefault="00277837" w14:paraId="37297F16"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sz w:val="18"/>
          <w:szCs w:val="18"/>
          <w:lang w:bidi="nl-NL"/>
        </w:rPr>
        <w:t xml:space="preserve">Het </w:t>
      </w:r>
      <w:r w:rsidRPr="00277837">
        <w:rPr>
          <w:sz w:val="18"/>
          <w:szCs w:val="18"/>
          <w:lang w:bidi="nl-NL"/>
        </w:rPr>
        <w:t>V</w:t>
      </w:r>
      <w:r>
        <w:rPr>
          <w:sz w:val="18"/>
          <w:szCs w:val="18"/>
          <w:lang w:bidi="nl-NL"/>
        </w:rPr>
        <w:t xml:space="preserve">oorzitterschap </w:t>
      </w:r>
      <w:r w:rsidRPr="00277837">
        <w:rPr>
          <w:sz w:val="18"/>
          <w:szCs w:val="18"/>
          <w:lang w:bidi="nl-NL"/>
        </w:rPr>
        <w:t>merkt</w:t>
      </w:r>
      <w:r>
        <w:rPr>
          <w:sz w:val="18"/>
          <w:szCs w:val="18"/>
          <w:lang w:bidi="nl-NL"/>
        </w:rPr>
        <w:t>e</w:t>
      </w:r>
      <w:r w:rsidRPr="00277837">
        <w:rPr>
          <w:sz w:val="18"/>
          <w:szCs w:val="18"/>
          <w:lang w:bidi="nl-NL"/>
        </w:rPr>
        <w:t xml:space="preserve"> op dat de strategie de basis moet zijn van een actieplan dat in 2014 komt. </w:t>
      </w:r>
      <w:r>
        <w:rPr>
          <w:sz w:val="18"/>
          <w:szCs w:val="18"/>
          <w:lang w:bidi="nl-NL"/>
        </w:rPr>
        <w:t xml:space="preserve">De </w:t>
      </w:r>
      <w:r w:rsidRPr="00277837">
        <w:rPr>
          <w:sz w:val="18"/>
          <w:szCs w:val="18"/>
          <w:lang w:bidi="nl-NL"/>
        </w:rPr>
        <w:t>Raad n</w:t>
      </w:r>
      <w:r>
        <w:rPr>
          <w:sz w:val="18"/>
          <w:szCs w:val="18"/>
          <w:lang w:bidi="nl-NL"/>
        </w:rPr>
        <w:t xml:space="preserve">am de strategie </w:t>
      </w:r>
      <w:r w:rsidRPr="00277837">
        <w:rPr>
          <w:sz w:val="18"/>
          <w:szCs w:val="18"/>
          <w:lang w:bidi="nl-NL"/>
        </w:rPr>
        <w:t xml:space="preserve">aan zonder interventies </w:t>
      </w:r>
      <w:r>
        <w:rPr>
          <w:sz w:val="18"/>
          <w:szCs w:val="18"/>
          <w:lang w:bidi="nl-NL"/>
        </w:rPr>
        <w:t>van lidstaten.</w:t>
      </w:r>
    </w:p>
    <w:p w:rsidR="00277837" w:rsidP="00277837" w:rsidRDefault="00277837" w14:paraId="4DFD2F3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277837" w:rsidP="00277837" w:rsidRDefault="00EF25ED" w14:paraId="0508D149" w14:textId="3517208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22</w:t>
      </w:r>
      <w:r w:rsidR="00277837">
        <w:rPr>
          <w:b/>
          <w:sz w:val="18"/>
          <w:szCs w:val="18"/>
          <w:lang w:bidi="nl-NL"/>
        </w:rPr>
        <w:t>.</w:t>
      </w:r>
      <w:r w:rsidR="00277837">
        <w:rPr>
          <w:b/>
          <w:sz w:val="18"/>
          <w:szCs w:val="18"/>
          <w:lang w:bidi="nl-NL"/>
        </w:rPr>
        <w:tab/>
        <w:t>Diversen</w:t>
      </w:r>
    </w:p>
    <w:p w:rsidR="00277837" w:rsidP="00277837" w:rsidRDefault="00277837" w14:paraId="3E51868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277837" w:rsidR="00277837" w:rsidP="00277837" w:rsidRDefault="00277837" w14:paraId="58A1EA6A"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8"/>
        <w:rPr>
          <w:b/>
          <w:sz w:val="18"/>
          <w:szCs w:val="18"/>
          <w:lang w:bidi="nl-NL"/>
        </w:rPr>
      </w:pPr>
      <w:r w:rsidRPr="00277837">
        <w:rPr>
          <w:b/>
          <w:sz w:val="18"/>
          <w:szCs w:val="18"/>
          <w:lang w:bidi="nl-NL"/>
        </w:rPr>
        <w:t xml:space="preserve"> i) Resultaten van de ministeriële bijeenkomst EU-VS inzake JBZ </w:t>
      </w:r>
    </w:p>
    <w:p w:rsidRPr="00277837" w:rsidR="00277837" w:rsidP="00277837" w:rsidRDefault="00277837" w14:paraId="56AABF6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ab/>
      </w:r>
      <w:r w:rsidRPr="00277837">
        <w:rPr>
          <w:b/>
          <w:sz w:val="18"/>
          <w:szCs w:val="18"/>
          <w:lang w:bidi="nl-NL"/>
        </w:rPr>
        <w:t>- Informatie van het voorzitterschap</w:t>
      </w:r>
    </w:p>
    <w:p w:rsidR="00471C1E" w:rsidRDefault="00471C1E" w14:paraId="6F7D6C3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Pr="00E25737" w:rsidR="00E25737" w:rsidRDefault="00E25737" w14:paraId="39AC803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Pr>
          <w:sz w:val="18"/>
          <w:szCs w:val="18"/>
          <w:lang w:bidi="nl-NL"/>
        </w:rPr>
        <w:t>Het Voorzitterschap gaf</w:t>
      </w:r>
      <w:r w:rsidRPr="00E25737">
        <w:rPr>
          <w:sz w:val="18"/>
          <w:szCs w:val="18"/>
          <w:lang w:bidi="nl-NL"/>
        </w:rPr>
        <w:t xml:space="preserve"> een zelfde overzicht als </w:t>
      </w:r>
      <w:r>
        <w:rPr>
          <w:sz w:val="18"/>
          <w:szCs w:val="18"/>
          <w:lang w:bidi="nl-NL"/>
        </w:rPr>
        <w:t>op 5 december</w:t>
      </w:r>
      <w:r w:rsidRPr="00E25737">
        <w:rPr>
          <w:sz w:val="18"/>
          <w:szCs w:val="18"/>
          <w:lang w:bidi="nl-NL"/>
        </w:rPr>
        <w:t xml:space="preserve">. </w:t>
      </w:r>
    </w:p>
    <w:p w:rsidR="00277837" w:rsidRDefault="00277837" w14:paraId="29BFDE4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pPr>
    </w:p>
    <w:p w:rsidRPr="00E25737" w:rsidR="00E25737" w:rsidP="00E25737" w:rsidRDefault="00E25737" w14:paraId="40BE2B65"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ind w:left="708"/>
        <w:rPr>
          <w:b/>
          <w:sz w:val="18"/>
          <w:szCs w:val="18"/>
        </w:rPr>
      </w:pPr>
      <w:r w:rsidRPr="00E25737">
        <w:rPr>
          <w:b/>
          <w:sz w:val="18"/>
          <w:szCs w:val="18"/>
          <w:lang w:bidi="nl-NL"/>
        </w:rPr>
        <w:t>ii) Presentatie door Griekenland van het programma van het aantredende voorzitterschap (januari-juni 2014)</w:t>
      </w:r>
    </w:p>
    <w:p w:rsidR="00E25737" w:rsidRDefault="00E25737" w14:paraId="5A939BFB"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lang w:bidi="nl-NL"/>
        </w:rPr>
      </w:pPr>
    </w:p>
    <w:p w:rsidR="00CA5278" w:rsidRDefault="00E25737" w14:paraId="6BD3C14D" w14:textId="64A9C5E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r>
        <w:rPr>
          <w:sz w:val="18"/>
          <w:szCs w:val="18"/>
          <w:lang w:bidi="nl-NL"/>
        </w:rPr>
        <w:t xml:space="preserve">De Griekse minister gaf aan dat het Griekse Voorzitterschap </w:t>
      </w:r>
      <w:r w:rsidRPr="00E25737">
        <w:rPr>
          <w:sz w:val="18"/>
          <w:szCs w:val="18"/>
          <w:lang w:bidi="nl-NL"/>
        </w:rPr>
        <w:t xml:space="preserve">nadruk </w:t>
      </w:r>
      <w:r>
        <w:rPr>
          <w:sz w:val="18"/>
          <w:szCs w:val="18"/>
          <w:lang w:bidi="nl-NL"/>
        </w:rPr>
        <w:t xml:space="preserve">zal </w:t>
      </w:r>
      <w:r w:rsidRPr="00E25737">
        <w:rPr>
          <w:sz w:val="18"/>
          <w:szCs w:val="18"/>
          <w:lang w:bidi="nl-NL"/>
        </w:rPr>
        <w:t xml:space="preserve">leggen op </w:t>
      </w:r>
      <w:r>
        <w:rPr>
          <w:sz w:val="18"/>
          <w:szCs w:val="18"/>
          <w:lang w:bidi="nl-NL"/>
        </w:rPr>
        <w:t xml:space="preserve">de </w:t>
      </w:r>
      <w:r w:rsidRPr="00E25737">
        <w:rPr>
          <w:sz w:val="18"/>
          <w:szCs w:val="18"/>
          <w:lang w:bidi="nl-NL"/>
        </w:rPr>
        <w:t xml:space="preserve">voorbereiding </w:t>
      </w:r>
      <w:r>
        <w:rPr>
          <w:sz w:val="18"/>
          <w:szCs w:val="18"/>
          <w:lang w:bidi="nl-NL"/>
        </w:rPr>
        <w:t>van het Post Stockholprogramma</w:t>
      </w:r>
      <w:r w:rsidRPr="00E25737">
        <w:rPr>
          <w:sz w:val="18"/>
          <w:szCs w:val="18"/>
          <w:lang w:bidi="nl-NL"/>
        </w:rPr>
        <w:t xml:space="preserve">. Verder </w:t>
      </w:r>
      <w:r>
        <w:rPr>
          <w:sz w:val="18"/>
          <w:szCs w:val="18"/>
          <w:lang w:bidi="nl-NL"/>
        </w:rPr>
        <w:t>zal worden ingezet op</w:t>
      </w:r>
      <w:r w:rsidRPr="00E25737">
        <w:rPr>
          <w:sz w:val="18"/>
          <w:szCs w:val="18"/>
          <w:lang w:bidi="nl-NL"/>
        </w:rPr>
        <w:t xml:space="preserve"> een algemene oriëntatie </w:t>
      </w:r>
      <w:r w:rsidR="00B753E9">
        <w:rPr>
          <w:sz w:val="18"/>
          <w:szCs w:val="18"/>
          <w:lang w:bidi="nl-NL"/>
        </w:rPr>
        <w:t>over</w:t>
      </w:r>
      <w:r w:rsidRPr="00E25737" w:rsidR="00B753E9">
        <w:rPr>
          <w:sz w:val="18"/>
          <w:szCs w:val="18"/>
          <w:lang w:bidi="nl-NL"/>
        </w:rPr>
        <w:t xml:space="preserve"> </w:t>
      </w:r>
      <w:r w:rsidRPr="00E25737">
        <w:rPr>
          <w:sz w:val="18"/>
          <w:szCs w:val="18"/>
          <w:lang w:bidi="nl-NL"/>
        </w:rPr>
        <w:t xml:space="preserve">het </w:t>
      </w:r>
      <w:r w:rsidR="00B753E9">
        <w:rPr>
          <w:sz w:val="18"/>
          <w:szCs w:val="18"/>
          <w:lang w:bidi="nl-NL"/>
        </w:rPr>
        <w:t>gegevensbeschermings</w:t>
      </w:r>
      <w:r w:rsidRPr="00E25737" w:rsidR="00B753E9">
        <w:rPr>
          <w:sz w:val="18"/>
          <w:szCs w:val="18"/>
          <w:lang w:bidi="nl-NL"/>
        </w:rPr>
        <w:t>pakket</w:t>
      </w:r>
      <w:r w:rsidRPr="00E25737">
        <w:rPr>
          <w:sz w:val="18"/>
          <w:szCs w:val="18"/>
          <w:lang w:bidi="nl-NL"/>
        </w:rPr>
        <w:t>. Ook het bereiken van een akkoord in de Raad over insolventie is belangrijk. Verder</w:t>
      </w:r>
      <w:r>
        <w:rPr>
          <w:sz w:val="18"/>
          <w:szCs w:val="18"/>
          <w:lang w:bidi="nl-NL"/>
        </w:rPr>
        <w:t xml:space="preserve"> zal ingezet worden op het </w:t>
      </w:r>
      <w:r w:rsidRPr="00E25737">
        <w:rPr>
          <w:sz w:val="18"/>
          <w:szCs w:val="18"/>
          <w:lang w:bidi="nl-NL"/>
        </w:rPr>
        <w:t xml:space="preserve">afronden </w:t>
      </w:r>
      <w:r>
        <w:rPr>
          <w:sz w:val="18"/>
          <w:szCs w:val="18"/>
          <w:lang w:bidi="nl-NL"/>
        </w:rPr>
        <w:t xml:space="preserve">van het </w:t>
      </w:r>
      <w:r w:rsidRPr="00E25737">
        <w:rPr>
          <w:sz w:val="18"/>
          <w:szCs w:val="18"/>
          <w:lang w:bidi="nl-NL"/>
        </w:rPr>
        <w:t xml:space="preserve">Europees bankbeslag, </w:t>
      </w:r>
      <w:r>
        <w:rPr>
          <w:sz w:val="18"/>
          <w:szCs w:val="18"/>
          <w:lang w:bidi="nl-NL"/>
        </w:rPr>
        <w:t xml:space="preserve">de </w:t>
      </w:r>
      <w:r w:rsidRPr="00E25737">
        <w:rPr>
          <w:sz w:val="18"/>
          <w:szCs w:val="18"/>
          <w:lang w:bidi="nl-NL"/>
        </w:rPr>
        <w:t>PiF-richtlijn</w:t>
      </w:r>
      <w:r>
        <w:rPr>
          <w:sz w:val="18"/>
          <w:szCs w:val="18"/>
          <w:lang w:bidi="nl-NL"/>
        </w:rPr>
        <w:t xml:space="preserve"> (bestrijding EU fraude)</w:t>
      </w:r>
      <w:r w:rsidRPr="00E25737">
        <w:rPr>
          <w:sz w:val="18"/>
          <w:szCs w:val="18"/>
          <w:lang w:bidi="nl-NL"/>
        </w:rPr>
        <w:t xml:space="preserve">, </w:t>
      </w:r>
      <w:r>
        <w:rPr>
          <w:sz w:val="18"/>
          <w:szCs w:val="18"/>
          <w:lang w:bidi="nl-NL"/>
        </w:rPr>
        <w:t xml:space="preserve">de </w:t>
      </w:r>
      <w:r w:rsidRPr="00E25737">
        <w:rPr>
          <w:sz w:val="18"/>
          <w:szCs w:val="18"/>
          <w:lang w:bidi="nl-NL"/>
        </w:rPr>
        <w:t xml:space="preserve">richtlijn marktmisbruik en </w:t>
      </w:r>
      <w:r>
        <w:rPr>
          <w:sz w:val="18"/>
          <w:szCs w:val="18"/>
          <w:lang w:bidi="nl-NL"/>
        </w:rPr>
        <w:t xml:space="preserve">de </w:t>
      </w:r>
      <w:r w:rsidRPr="00E25737">
        <w:rPr>
          <w:sz w:val="18"/>
          <w:szCs w:val="18"/>
          <w:lang w:bidi="nl-NL"/>
        </w:rPr>
        <w:t xml:space="preserve">richtlijn euro-valsemunterij. </w:t>
      </w:r>
      <w:r>
        <w:rPr>
          <w:sz w:val="18"/>
          <w:szCs w:val="18"/>
          <w:lang w:bidi="nl-NL"/>
        </w:rPr>
        <w:t xml:space="preserve">Op civiel gebied is het </w:t>
      </w:r>
      <w:r w:rsidRPr="00E25737">
        <w:rPr>
          <w:sz w:val="18"/>
          <w:szCs w:val="18"/>
          <w:lang w:bidi="nl-NL"/>
        </w:rPr>
        <w:t>Europees kooprecht van belang.</w:t>
      </w:r>
    </w:p>
    <w:p w:rsidR="00E25737" w:rsidRDefault="00E25737" w14:paraId="35AB8E00"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lang w:bidi="nl-NL"/>
        </w:rPr>
      </w:pPr>
    </w:p>
    <w:p w:rsidR="00E25737" w:rsidRDefault="00EF25ED" w14:paraId="1173668D" w14:textId="093BDCB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r>
        <w:rPr>
          <w:b/>
          <w:sz w:val="18"/>
          <w:szCs w:val="18"/>
          <w:lang w:bidi="nl-NL"/>
        </w:rPr>
        <w:t>23</w:t>
      </w:r>
      <w:r w:rsidR="00E25737">
        <w:rPr>
          <w:b/>
          <w:sz w:val="18"/>
          <w:szCs w:val="18"/>
          <w:lang w:bidi="nl-NL"/>
        </w:rPr>
        <w:t>.</w:t>
      </w:r>
      <w:r w:rsidR="00E25737">
        <w:rPr>
          <w:b/>
          <w:sz w:val="18"/>
          <w:szCs w:val="18"/>
          <w:lang w:bidi="nl-NL"/>
        </w:rPr>
        <w:tab/>
        <w:t>Werklunch – Europees Openbaar Ministerie</w:t>
      </w:r>
    </w:p>
    <w:p w:rsidR="00E25737" w:rsidRDefault="00E25737" w14:paraId="1331ECD1"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b/>
          <w:sz w:val="18"/>
          <w:szCs w:val="18"/>
          <w:lang w:bidi="nl-NL"/>
        </w:rPr>
      </w:pPr>
    </w:p>
    <w:p w:rsidRPr="00E25737" w:rsidR="00E25737" w:rsidRDefault="00E25737" w14:paraId="7D56CD3D"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rPr>
          <w:sz w:val="18"/>
          <w:szCs w:val="18"/>
        </w:rPr>
      </w:pPr>
      <w:r>
        <w:rPr>
          <w:sz w:val="18"/>
          <w:szCs w:val="18"/>
        </w:rPr>
        <w:t xml:space="preserve">Tijdens de lunch is gesproken over het proces rond de gele kaart in relatie tot het Europees Openbaar Ministerie. Hier zij verwezen naar de afzonderlijke brief </w:t>
      </w:r>
      <w:r w:rsidR="00B5280A">
        <w:rPr>
          <w:sz w:val="18"/>
          <w:szCs w:val="18"/>
        </w:rPr>
        <w:t xml:space="preserve">van 12 december 2013 van de Minister van Veiligheid en Justitie, </w:t>
      </w:r>
      <w:r w:rsidR="006D1BB4">
        <w:rPr>
          <w:sz w:val="18"/>
          <w:szCs w:val="18"/>
        </w:rPr>
        <w:t xml:space="preserve">aan de Tweede Kamer </w:t>
      </w:r>
      <w:r>
        <w:rPr>
          <w:sz w:val="18"/>
          <w:szCs w:val="18"/>
        </w:rPr>
        <w:t>over deze lunch</w:t>
      </w:r>
      <w:r w:rsidR="006D1BB4">
        <w:rPr>
          <w:sz w:val="18"/>
          <w:szCs w:val="18"/>
        </w:rPr>
        <w:t>.</w:t>
      </w:r>
    </w:p>
    <w:p w:rsidRPr="00033FFF" w:rsidR="00033FFF" w:rsidP="00033FFF" w:rsidRDefault="00033FFF" w14:paraId="060C89A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tLeast"/>
        <w:rPr>
          <w:sz w:val="18"/>
          <w:szCs w:val="18"/>
        </w:rPr>
      </w:pPr>
    </w:p>
    <w:sectPr w:rsidRPr="00033FFF" w:rsidR="00033FFF">
      <w:headerReference w:type="even" r:id="rId8"/>
      <w:headerReference w:type="default" r:id="rId9"/>
      <w:footerReference w:type="even" r:id="rId10"/>
      <w:footerReference w:type="default" r:id="rId11"/>
      <w:pgSz w:w="11900" w:h="16840"/>
      <w:pgMar w:top="1440" w:right="1797" w:bottom="1440" w:left="1797" w:header="709" w:footer="709" w:gutter="0"/>
      <w:cols w:space="708"/>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5FAA6" w15:done="0"/>
  <w15:commentEx w15:paraId="7B9D9116" w15:done="0"/>
  <w15:commentEx w15:paraId="33BFCB30" w15:done="0"/>
  <w15:commentEx w15:paraId="3AA3CF08" w15:done="0"/>
  <w15:commentEx w15:paraId="0294E4D7" w15:done="0"/>
  <w15:commentEx w15:paraId="16909C53" w15:done="0"/>
  <w15:commentEx w15:paraId="5E61318E" w15:done="0"/>
  <w15:commentEx w15:paraId="7E37F1BA" w15:done="0"/>
  <w15:commentEx w15:paraId="5A7CFBEE" w15:done="0"/>
  <w15:commentEx w15:paraId="71871B0D" w15:done="0"/>
  <w15:commentEx w15:paraId="76FD25EA" w15:done="0"/>
  <w15:commentEx w15:paraId="7F0BEC08" w15:done="0"/>
  <w15:commentEx w15:paraId="57A775CE" w15:done="0"/>
  <w15:commentEx w15:paraId="432C34E2" w15:done="0"/>
  <w15:commentEx w15:paraId="51447F71" w15:done="0"/>
  <w15:commentEx w15:paraId="3D3F08D6" w15:done="0"/>
  <w15:commentEx w15:paraId="4D5D82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0A82A" w14:textId="77777777" w:rsidR="00EF25ED" w:rsidRDefault="00EF25ED">
      <w:r>
        <w:separator/>
      </w:r>
    </w:p>
  </w:endnote>
  <w:endnote w:type="continuationSeparator" w:id="0">
    <w:p w14:paraId="4D821017" w14:textId="77777777" w:rsidR="00EF25ED" w:rsidRDefault="00EF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Verdana">
    <w:panose1 w:val="020B0604030504040204"/>
    <w:charset w:val="00"/>
    <w:family w:val="swiss"/>
    <w:pitch w:val="variable"/>
    <w:sig w:usb0="20000287" w:usb1="00000000" w:usb2="00000000" w:usb3="00000000" w:csb0="0000019F" w:csb1="00000000"/>
  </w:font>
  <w:font w:name="Arial Bold">
    <w:altName w:val="Arial"/>
    <w:charset w:val="00"/>
    <w:family w:val="auto"/>
    <w:pitch w:val="variable"/>
    <w:sig w:usb0="00000000"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Bold">
    <w:altName w:val="Tahoma"/>
    <w:charset w:val="00"/>
    <w:family w:val="roman"/>
    <w:pitch w:val="default"/>
  </w:font>
  <w:font w:name="Verdana Italic">
    <w:altName w:val="Times New Roman"/>
    <w:charset w:val="00"/>
    <w:family w:val="roman"/>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50655" w14:textId="77777777" w:rsidR="00EF25ED" w:rsidRDefault="00EF25ED">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20A6F" w14:textId="77777777" w:rsidR="00EF25ED" w:rsidRDefault="00EF25ED">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5A857" w14:textId="77777777" w:rsidR="00EF25ED" w:rsidRDefault="00EF25ED">
      <w:r>
        <w:separator/>
      </w:r>
    </w:p>
  </w:footnote>
  <w:footnote w:type="continuationSeparator" w:id="0">
    <w:p w14:paraId="5DBDB0EE" w14:textId="77777777" w:rsidR="00EF25ED" w:rsidRDefault="00EF2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D9AA3" w14:textId="77777777" w:rsidR="00EF25ED" w:rsidRDefault="00EF25ED">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E9E9C" w14:textId="77777777" w:rsidR="00EF25ED" w:rsidRDefault="00EF25ED">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lang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6"/>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1">
    <w:nsid w:val="00000002"/>
    <w:multiLevelType w:val="multilevel"/>
    <w:tmpl w:val="894EE874"/>
    <w:lvl w:ilvl="0">
      <w:start w:val="3"/>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2">
    <w:nsid w:val="00000003"/>
    <w:multiLevelType w:val="multilevel"/>
    <w:tmpl w:val="894EE875"/>
    <w:lvl w:ilvl="0">
      <w:start w:val="1"/>
      <w:numFmt w:val="bullet"/>
      <w:lvlText w:val="-"/>
      <w:lvlJc w:val="left"/>
      <w:pPr>
        <w:tabs>
          <w:tab w:val="num" w:pos="164"/>
        </w:tabs>
        <w:ind w:left="164" w:firstLine="0"/>
      </w:pPr>
      <w:rPr>
        <w:rFonts w:hint="default"/>
        <w:position w:val="0"/>
      </w:rPr>
    </w:lvl>
    <w:lvl w:ilvl="1">
      <w:start w:val="1"/>
      <w:numFmt w:val="bullet"/>
      <w:lvlText w:val="-"/>
      <w:lvlJc w:val="left"/>
      <w:pPr>
        <w:tabs>
          <w:tab w:val="num" w:pos="164"/>
        </w:tabs>
        <w:ind w:left="164" w:firstLine="720"/>
      </w:pPr>
      <w:rPr>
        <w:rFonts w:hint="default"/>
        <w:position w:val="0"/>
      </w:rPr>
    </w:lvl>
    <w:lvl w:ilvl="2">
      <w:start w:val="1"/>
      <w:numFmt w:val="bullet"/>
      <w:lvlText w:val="-"/>
      <w:lvlJc w:val="left"/>
      <w:pPr>
        <w:tabs>
          <w:tab w:val="num" w:pos="164"/>
        </w:tabs>
        <w:ind w:left="164" w:firstLine="1440"/>
      </w:pPr>
      <w:rPr>
        <w:rFonts w:hint="default"/>
        <w:position w:val="0"/>
      </w:rPr>
    </w:lvl>
    <w:lvl w:ilvl="3">
      <w:start w:val="1"/>
      <w:numFmt w:val="bullet"/>
      <w:lvlText w:val="-"/>
      <w:lvlJc w:val="left"/>
      <w:pPr>
        <w:tabs>
          <w:tab w:val="num" w:pos="164"/>
        </w:tabs>
        <w:ind w:left="164" w:firstLine="2160"/>
      </w:pPr>
      <w:rPr>
        <w:rFonts w:hint="default"/>
        <w:position w:val="0"/>
      </w:rPr>
    </w:lvl>
    <w:lvl w:ilvl="4">
      <w:start w:val="1"/>
      <w:numFmt w:val="bullet"/>
      <w:lvlText w:val="-"/>
      <w:lvlJc w:val="left"/>
      <w:pPr>
        <w:tabs>
          <w:tab w:val="num" w:pos="164"/>
        </w:tabs>
        <w:ind w:left="164" w:firstLine="2880"/>
      </w:pPr>
      <w:rPr>
        <w:rFonts w:hint="default"/>
        <w:position w:val="0"/>
      </w:rPr>
    </w:lvl>
    <w:lvl w:ilvl="5">
      <w:start w:val="1"/>
      <w:numFmt w:val="bullet"/>
      <w:lvlText w:val="-"/>
      <w:lvlJc w:val="left"/>
      <w:pPr>
        <w:tabs>
          <w:tab w:val="num" w:pos="164"/>
        </w:tabs>
        <w:ind w:left="164" w:firstLine="3600"/>
      </w:pPr>
      <w:rPr>
        <w:rFonts w:hint="default"/>
        <w:position w:val="0"/>
      </w:rPr>
    </w:lvl>
    <w:lvl w:ilvl="6">
      <w:start w:val="1"/>
      <w:numFmt w:val="bullet"/>
      <w:lvlText w:val="-"/>
      <w:lvlJc w:val="left"/>
      <w:pPr>
        <w:tabs>
          <w:tab w:val="num" w:pos="164"/>
        </w:tabs>
        <w:ind w:left="164" w:firstLine="4320"/>
      </w:pPr>
      <w:rPr>
        <w:rFonts w:hint="default"/>
        <w:position w:val="0"/>
      </w:rPr>
    </w:lvl>
    <w:lvl w:ilvl="7">
      <w:start w:val="1"/>
      <w:numFmt w:val="bullet"/>
      <w:lvlText w:val="-"/>
      <w:lvlJc w:val="left"/>
      <w:pPr>
        <w:tabs>
          <w:tab w:val="num" w:pos="164"/>
        </w:tabs>
        <w:ind w:left="164" w:firstLine="5040"/>
      </w:pPr>
      <w:rPr>
        <w:rFonts w:hint="default"/>
        <w:position w:val="0"/>
      </w:rPr>
    </w:lvl>
    <w:lvl w:ilvl="8">
      <w:start w:val="1"/>
      <w:numFmt w:val="bullet"/>
      <w:lvlText w:val="-"/>
      <w:lvlJc w:val="left"/>
      <w:pPr>
        <w:tabs>
          <w:tab w:val="num" w:pos="164"/>
        </w:tabs>
        <w:ind w:left="164" w:firstLine="5760"/>
      </w:pPr>
      <w:rPr>
        <w:rFonts w:hint="default"/>
        <w:position w:val="0"/>
      </w:rPr>
    </w:lvl>
  </w:abstractNum>
  <w:abstractNum w:abstractNumId="3">
    <w:nsid w:val="05286F7E"/>
    <w:multiLevelType w:val="hybridMultilevel"/>
    <w:tmpl w:val="FDDA2F12"/>
    <w:lvl w:ilvl="0" w:tplc="650856D8">
      <w:start w:val="10"/>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287D33"/>
    <w:multiLevelType w:val="hybridMultilevel"/>
    <w:tmpl w:val="5A585E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10C466A1"/>
    <w:multiLevelType w:val="hybridMultilevel"/>
    <w:tmpl w:val="64B4B4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3BF07DB"/>
    <w:multiLevelType w:val="hybridMultilevel"/>
    <w:tmpl w:val="749056D8"/>
    <w:lvl w:ilvl="0" w:tplc="8A16173A">
      <w:start w:val="7"/>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nsid w:val="27E129DC"/>
    <w:multiLevelType w:val="hybridMultilevel"/>
    <w:tmpl w:val="2528B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7F20840"/>
    <w:multiLevelType w:val="hybridMultilevel"/>
    <w:tmpl w:val="BBEE50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F517438"/>
    <w:multiLevelType w:val="hybridMultilevel"/>
    <w:tmpl w:val="2D7E9A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F5F1C0A"/>
    <w:multiLevelType w:val="hybridMultilevel"/>
    <w:tmpl w:val="A1DAC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4085B89"/>
    <w:multiLevelType w:val="hybridMultilevel"/>
    <w:tmpl w:val="0D562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91C0666"/>
    <w:multiLevelType w:val="hybridMultilevel"/>
    <w:tmpl w:val="95F8ED8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7"/>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9"/>
  </w:num>
  <w:num w:numId="11">
    <w:abstractNumId w:val="5"/>
  </w:num>
  <w:num w:numId="12">
    <w:abstractNumId w:val="3"/>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25"/>
    <w:rsid w:val="000227BB"/>
    <w:rsid w:val="00032E55"/>
    <w:rsid w:val="00033FFF"/>
    <w:rsid w:val="000659A5"/>
    <w:rsid w:val="000F1111"/>
    <w:rsid w:val="00107A4D"/>
    <w:rsid w:val="001100F0"/>
    <w:rsid w:val="0011021B"/>
    <w:rsid w:val="00120EBA"/>
    <w:rsid w:val="00125980"/>
    <w:rsid w:val="00131018"/>
    <w:rsid w:val="0014024F"/>
    <w:rsid w:val="00146BB3"/>
    <w:rsid w:val="00151212"/>
    <w:rsid w:val="001779F5"/>
    <w:rsid w:val="001953CB"/>
    <w:rsid w:val="001D5B46"/>
    <w:rsid w:val="001E1923"/>
    <w:rsid w:val="00200A72"/>
    <w:rsid w:val="00207D6B"/>
    <w:rsid w:val="00210658"/>
    <w:rsid w:val="0021387A"/>
    <w:rsid w:val="00256184"/>
    <w:rsid w:val="0027672C"/>
    <w:rsid w:val="002775AC"/>
    <w:rsid w:val="00277837"/>
    <w:rsid w:val="00297E87"/>
    <w:rsid w:val="002A5167"/>
    <w:rsid w:val="002B44ED"/>
    <w:rsid w:val="002C4E06"/>
    <w:rsid w:val="002D7EFD"/>
    <w:rsid w:val="002F66A2"/>
    <w:rsid w:val="00302485"/>
    <w:rsid w:val="00327D48"/>
    <w:rsid w:val="003A09E4"/>
    <w:rsid w:val="003A23B1"/>
    <w:rsid w:val="003A5DA5"/>
    <w:rsid w:val="003C1866"/>
    <w:rsid w:val="003C43E6"/>
    <w:rsid w:val="0040441B"/>
    <w:rsid w:val="004669CE"/>
    <w:rsid w:val="00471C1E"/>
    <w:rsid w:val="00473365"/>
    <w:rsid w:val="00475A97"/>
    <w:rsid w:val="00495370"/>
    <w:rsid w:val="004A443E"/>
    <w:rsid w:val="004A5077"/>
    <w:rsid w:val="004B0925"/>
    <w:rsid w:val="005127FD"/>
    <w:rsid w:val="00517684"/>
    <w:rsid w:val="0052575F"/>
    <w:rsid w:val="00531442"/>
    <w:rsid w:val="005A51EC"/>
    <w:rsid w:val="005D3AF6"/>
    <w:rsid w:val="005D478B"/>
    <w:rsid w:val="005E3593"/>
    <w:rsid w:val="005E5A70"/>
    <w:rsid w:val="00607B67"/>
    <w:rsid w:val="00617899"/>
    <w:rsid w:val="00624F59"/>
    <w:rsid w:val="006413AA"/>
    <w:rsid w:val="00656118"/>
    <w:rsid w:val="006B3FC8"/>
    <w:rsid w:val="006C7502"/>
    <w:rsid w:val="006D1BB4"/>
    <w:rsid w:val="006D2A6C"/>
    <w:rsid w:val="0076147B"/>
    <w:rsid w:val="00773C27"/>
    <w:rsid w:val="00777377"/>
    <w:rsid w:val="007A4F2A"/>
    <w:rsid w:val="007B3ECD"/>
    <w:rsid w:val="007B6846"/>
    <w:rsid w:val="007E7264"/>
    <w:rsid w:val="0080319D"/>
    <w:rsid w:val="00805D47"/>
    <w:rsid w:val="00825B47"/>
    <w:rsid w:val="00865D52"/>
    <w:rsid w:val="008845DF"/>
    <w:rsid w:val="00885DBD"/>
    <w:rsid w:val="00897FD8"/>
    <w:rsid w:val="008C2851"/>
    <w:rsid w:val="008E5BF7"/>
    <w:rsid w:val="008F4DA6"/>
    <w:rsid w:val="00902DA1"/>
    <w:rsid w:val="009054F8"/>
    <w:rsid w:val="0091717C"/>
    <w:rsid w:val="00935052"/>
    <w:rsid w:val="00961E6E"/>
    <w:rsid w:val="009B075F"/>
    <w:rsid w:val="009B1534"/>
    <w:rsid w:val="00A011F3"/>
    <w:rsid w:val="00A01E8B"/>
    <w:rsid w:val="00A21C65"/>
    <w:rsid w:val="00A26962"/>
    <w:rsid w:val="00A65158"/>
    <w:rsid w:val="00A970D3"/>
    <w:rsid w:val="00AB3CE3"/>
    <w:rsid w:val="00AB6503"/>
    <w:rsid w:val="00AC34A5"/>
    <w:rsid w:val="00AD3A5E"/>
    <w:rsid w:val="00AF4747"/>
    <w:rsid w:val="00B05607"/>
    <w:rsid w:val="00B13114"/>
    <w:rsid w:val="00B20B54"/>
    <w:rsid w:val="00B21BC4"/>
    <w:rsid w:val="00B242F4"/>
    <w:rsid w:val="00B30887"/>
    <w:rsid w:val="00B451E2"/>
    <w:rsid w:val="00B4630B"/>
    <w:rsid w:val="00B47493"/>
    <w:rsid w:val="00B5280A"/>
    <w:rsid w:val="00B701A5"/>
    <w:rsid w:val="00B7210C"/>
    <w:rsid w:val="00B753E9"/>
    <w:rsid w:val="00B83A65"/>
    <w:rsid w:val="00B965C6"/>
    <w:rsid w:val="00BC290B"/>
    <w:rsid w:val="00BC6681"/>
    <w:rsid w:val="00BD33AB"/>
    <w:rsid w:val="00BD34F3"/>
    <w:rsid w:val="00BD4216"/>
    <w:rsid w:val="00C0602A"/>
    <w:rsid w:val="00C235A3"/>
    <w:rsid w:val="00C23EDE"/>
    <w:rsid w:val="00C26F10"/>
    <w:rsid w:val="00C3139D"/>
    <w:rsid w:val="00C444E9"/>
    <w:rsid w:val="00C65957"/>
    <w:rsid w:val="00CA5278"/>
    <w:rsid w:val="00CA6C4D"/>
    <w:rsid w:val="00CD3018"/>
    <w:rsid w:val="00CD589B"/>
    <w:rsid w:val="00D325C3"/>
    <w:rsid w:val="00D35AB8"/>
    <w:rsid w:val="00D52F2F"/>
    <w:rsid w:val="00D60673"/>
    <w:rsid w:val="00D74526"/>
    <w:rsid w:val="00D813AD"/>
    <w:rsid w:val="00D8599C"/>
    <w:rsid w:val="00DA0FDE"/>
    <w:rsid w:val="00DB11F5"/>
    <w:rsid w:val="00DC72DD"/>
    <w:rsid w:val="00E072E5"/>
    <w:rsid w:val="00E1629A"/>
    <w:rsid w:val="00E17E57"/>
    <w:rsid w:val="00E25737"/>
    <w:rsid w:val="00E362DB"/>
    <w:rsid w:val="00E43E40"/>
    <w:rsid w:val="00E47244"/>
    <w:rsid w:val="00E50AF4"/>
    <w:rsid w:val="00E70FF9"/>
    <w:rsid w:val="00EA102C"/>
    <w:rsid w:val="00EF25ED"/>
    <w:rsid w:val="00F13E9A"/>
    <w:rsid w:val="00F27761"/>
    <w:rsid w:val="00F44C0F"/>
    <w:rsid w:val="00F52B01"/>
    <w:rsid w:val="00F70D80"/>
    <w:rsid w:val="00F72741"/>
    <w:rsid w:val="00F775D9"/>
    <w:rsid w:val="00F80719"/>
    <w:rsid w:val="00F87886"/>
    <w:rsid w:val="00F94213"/>
    <w:rsid w:val="00FA2468"/>
    <w:rsid w:val="00FD4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0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Pr>
      <w:rFonts w:eastAsia="ヒラギノ角ゴ Pro W3"/>
      <w:color w:val="000000"/>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Pr>
      <w:rFonts w:eastAsia="ヒラギノ角ゴ Pro W3"/>
      <w:color w:val="000000"/>
    </w:rPr>
  </w:style>
  <w:style w:type="paragraph" w:customStyle="1" w:styleId="Standaard1">
    <w:name w:val="Standaard1"/>
    <w:rPr>
      <w:rFonts w:ascii="Verdana" w:eastAsia="ヒラギノ角ゴ Pro W3" w:hAnsi="Verdana"/>
      <w:color w:val="000000"/>
    </w:rPr>
  </w:style>
  <w:style w:type="paragraph" w:customStyle="1" w:styleId="Kop11">
    <w:name w:val="Kop 11"/>
    <w:next w:val="Standaard1"/>
    <w:pPr>
      <w:keepNext/>
      <w:spacing w:before="240" w:after="60"/>
      <w:outlineLvl w:val="0"/>
    </w:pPr>
    <w:rPr>
      <w:rFonts w:ascii="Arial Bold" w:eastAsia="ヒラギノ角ゴ Pro W3" w:hAnsi="Arial Bold"/>
      <w:color w:val="000000"/>
      <w:kern w:val="32"/>
      <w:sz w:val="32"/>
    </w:rPr>
  </w:style>
  <w:style w:type="paragraph" w:customStyle="1" w:styleId="PointManual1">
    <w:name w:val="Point Manual (1)"/>
    <w:pPr>
      <w:ind w:left="1134" w:hanging="567"/>
      <w:outlineLvl w:val="0"/>
    </w:pPr>
    <w:rPr>
      <w:rFonts w:eastAsia="ヒラギノ角ゴ Pro W3"/>
      <w:color w:val="000000"/>
      <w:sz w:val="24"/>
    </w:rPr>
  </w:style>
  <w:style w:type="paragraph" w:customStyle="1" w:styleId="PointManual">
    <w:name w:val="Point Manual"/>
    <w:pPr>
      <w:spacing w:before="200"/>
      <w:ind w:left="567" w:hanging="567"/>
    </w:pPr>
    <w:rPr>
      <w:rFonts w:eastAsia="ヒラギノ角ゴ Pro W3"/>
      <w:color w:val="000000"/>
      <w:sz w:val="24"/>
    </w:rPr>
  </w:style>
  <w:style w:type="paragraph" w:styleId="Geenafstand">
    <w:name w:val="No Spacing"/>
    <w:uiPriority w:val="1"/>
    <w:qFormat/>
    <w:rsid w:val="008C2851"/>
    <w:rPr>
      <w:rFonts w:ascii="Verdana" w:eastAsia="Calibri" w:hAnsi="Verdana"/>
      <w:sz w:val="18"/>
      <w:szCs w:val="22"/>
      <w:lang w:val="en-US" w:eastAsia="en-US"/>
    </w:rPr>
  </w:style>
  <w:style w:type="character" w:styleId="Verwijzingopmerking">
    <w:name w:val="annotation reference"/>
    <w:uiPriority w:val="99"/>
    <w:locked/>
    <w:rsid w:val="005E3593"/>
    <w:rPr>
      <w:sz w:val="16"/>
      <w:szCs w:val="16"/>
    </w:rPr>
  </w:style>
  <w:style w:type="paragraph" w:styleId="Tekstopmerking">
    <w:name w:val="annotation text"/>
    <w:basedOn w:val="Standaard"/>
    <w:link w:val="TekstopmerkingChar"/>
    <w:uiPriority w:val="99"/>
    <w:locked/>
    <w:rsid w:val="005E3593"/>
    <w:rPr>
      <w:sz w:val="20"/>
      <w:szCs w:val="20"/>
    </w:rPr>
  </w:style>
  <w:style w:type="character" w:customStyle="1" w:styleId="TekstopmerkingChar">
    <w:name w:val="Tekst opmerking Char"/>
    <w:link w:val="Tekstopmerking"/>
    <w:uiPriority w:val="99"/>
    <w:rsid w:val="005E3593"/>
    <w:rPr>
      <w:rFonts w:eastAsia="ヒラギノ角ゴ Pro W3"/>
      <w:color w:val="000000"/>
      <w:lang w:eastAsia="en-US"/>
    </w:rPr>
  </w:style>
  <w:style w:type="paragraph" w:styleId="Onderwerpvanopmerking">
    <w:name w:val="annotation subject"/>
    <w:basedOn w:val="Tekstopmerking"/>
    <w:next w:val="Tekstopmerking"/>
    <w:link w:val="OnderwerpvanopmerkingChar"/>
    <w:locked/>
    <w:rsid w:val="005E3593"/>
    <w:rPr>
      <w:b/>
      <w:bCs/>
    </w:rPr>
  </w:style>
  <w:style w:type="character" w:customStyle="1" w:styleId="OnderwerpvanopmerkingChar">
    <w:name w:val="Onderwerp van opmerking Char"/>
    <w:link w:val="Onderwerpvanopmerking"/>
    <w:rsid w:val="005E3593"/>
    <w:rPr>
      <w:rFonts w:eastAsia="ヒラギノ角ゴ Pro W3"/>
      <w:b/>
      <w:bCs/>
      <w:color w:val="000000"/>
      <w:lang w:eastAsia="en-US"/>
    </w:rPr>
  </w:style>
  <w:style w:type="paragraph" w:styleId="Ballontekst">
    <w:name w:val="Balloon Text"/>
    <w:basedOn w:val="Standaard"/>
    <w:link w:val="BallontekstChar"/>
    <w:locked/>
    <w:rsid w:val="005E3593"/>
    <w:rPr>
      <w:rFonts w:ascii="Tahoma" w:hAnsi="Tahoma" w:cs="Tahoma"/>
      <w:sz w:val="16"/>
      <w:szCs w:val="16"/>
    </w:rPr>
  </w:style>
  <w:style w:type="character" w:customStyle="1" w:styleId="BallontekstChar">
    <w:name w:val="Ballontekst Char"/>
    <w:link w:val="Ballontekst"/>
    <w:rsid w:val="005E3593"/>
    <w:rPr>
      <w:rFonts w:ascii="Tahoma" w:eastAsia="ヒラギノ角ゴ Pro W3" w:hAnsi="Tahoma" w:cs="Tahoma"/>
      <w:color w:val="000000"/>
      <w:sz w:val="16"/>
      <w:szCs w:val="16"/>
      <w:lang w:eastAsia="en-US"/>
    </w:rPr>
  </w:style>
  <w:style w:type="paragraph" w:styleId="Voettekst">
    <w:name w:val="footer"/>
    <w:basedOn w:val="Standaard"/>
    <w:link w:val="VoettekstChar"/>
    <w:locked/>
    <w:rsid w:val="00B965C6"/>
    <w:pPr>
      <w:tabs>
        <w:tab w:val="center" w:pos="4513"/>
        <w:tab w:val="right" w:pos="9026"/>
      </w:tabs>
    </w:pPr>
  </w:style>
  <w:style w:type="character" w:customStyle="1" w:styleId="VoettekstChar">
    <w:name w:val="Voettekst Char"/>
    <w:link w:val="Voettekst"/>
    <w:rsid w:val="00B965C6"/>
    <w:rPr>
      <w:rFonts w:eastAsia="ヒラギノ角ゴ Pro W3"/>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Pr>
      <w:rFonts w:eastAsia="ヒラギノ角ゴ Pro W3"/>
      <w:color w:val="000000"/>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Pr>
      <w:rFonts w:eastAsia="ヒラギノ角ゴ Pro W3"/>
      <w:color w:val="000000"/>
    </w:rPr>
  </w:style>
  <w:style w:type="paragraph" w:customStyle="1" w:styleId="Standaard1">
    <w:name w:val="Standaard1"/>
    <w:rPr>
      <w:rFonts w:ascii="Verdana" w:eastAsia="ヒラギノ角ゴ Pro W3" w:hAnsi="Verdana"/>
      <w:color w:val="000000"/>
    </w:rPr>
  </w:style>
  <w:style w:type="paragraph" w:customStyle="1" w:styleId="Kop11">
    <w:name w:val="Kop 11"/>
    <w:next w:val="Standaard1"/>
    <w:pPr>
      <w:keepNext/>
      <w:spacing w:before="240" w:after="60"/>
      <w:outlineLvl w:val="0"/>
    </w:pPr>
    <w:rPr>
      <w:rFonts w:ascii="Arial Bold" w:eastAsia="ヒラギノ角ゴ Pro W3" w:hAnsi="Arial Bold"/>
      <w:color w:val="000000"/>
      <w:kern w:val="32"/>
      <w:sz w:val="32"/>
    </w:rPr>
  </w:style>
  <w:style w:type="paragraph" w:customStyle="1" w:styleId="PointManual1">
    <w:name w:val="Point Manual (1)"/>
    <w:pPr>
      <w:ind w:left="1134" w:hanging="567"/>
      <w:outlineLvl w:val="0"/>
    </w:pPr>
    <w:rPr>
      <w:rFonts w:eastAsia="ヒラギノ角ゴ Pro W3"/>
      <w:color w:val="000000"/>
      <w:sz w:val="24"/>
    </w:rPr>
  </w:style>
  <w:style w:type="paragraph" w:customStyle="1" w:styleId="PointManual">
    <w:name w:val="Point Manual"/>
    <w:pPr>
      <w:spacing w:before="200"/>
      <w:ind w:left="567" w:hanging="567"/>
    </w:pPr>
    <w:rPr>
      <w:rFonts w:eastAsia="ヒラギノ角ゴ Pro W3"/>
      <w:color w:val="000000"/>
      <w:sz w:val="24"/>
    </w:rPr>
  </w:style>
  <w:style w:type="paragraph" w:styleId="Geenafstand">
    <w:name w:val="No Spacing"/>
    <w:uiPriority w:val="1"/>
    <w:qFormat/>
    <w:rsid w:val="008C2851"/>
    <w:rPr>
      <w:rFonts w:ascii="Verdana" w:eastAsia="Calibri" w:hAnsi="Verdana"/>
      <w:sz w:val="18"/>
      <w:szCs w:val="22"/>
      <w:lang w:val="en-US" w:eastAsia="en-US"/>
    </w:rPr>
  </w:style>
  <w:style w:type="character" w:styleId="Verwijzingopmerking">
    <w:name w:val="annotation reference"/>
    <w:uiPriority w:val="99"/>
    <w:locked/>
    <w:rsid w:val="005E3593"/>
    <w:rPr>
      <w:sz w:val="16"/>
      <w:szCs w:val="16"/>
    </w:rPr>
  </w:style>
  <w:style w:type="paragraph" w:styleId="Tekstopmerking">
    <w:name w:val="annotation text"/>
    <w:basedOn w:val="Standaard"/>
    <w:link w:val="TekstopmerkingChar"/>
    <w:uiPriority w:val="99"/>
    <w:locked/>
    <w:rsid w:val="005E3593"/>
    <w:rPr>
      <w:sz w:val="20"/>
      <w:szCs w:val="20"/>
    </w:rPr>
  </w:style>
  <w:style w:type="character" w:customStyle="1" w:styleId="TekstopmerkingChar">
    <w:name w:val="Tekst opmerking Char"/>
    <w:link w:val="Tekstopmerking"/>
    <w:uiPriority w:val="99"/>
    <w:rsid w:val="005E3593"/>
    <w:rPr>
      <w:rFonts w:eastAsia="ヒラギノ角ゴ Pro W3"/>
      <w:color w:val="000000"/>
      <w:lang w:eastAsia="en-US"/>
    </w:rPr>
  </w:style>
  <w:style w:type="paragraph" w:styleId="Onderwerpvanopmerking">
    <w:name w:val="annotation subject"/>
    <w:basedOn w:val="Tekstopmerking"/>
    <w:next w:val="Tekstopmerking"/>
    <w:link w:val="OnderwerpvanopmerkingChar"/>
    <w:locked/>
    <w:rsid w:val="005E3593"/>
    <w:rPr>
      <w:b/>
      <w:bCs/>
    </w:rPr>
  </w:style>
  <w:style w:type="character" w:customStyle="1" w:styleId="OnderwerpvanopmerkingChar">
    <w:name w:val="Onderwerp van opmerking Char"/>
    <w:link w:val="Onderwerpvanopmerking"/>
    <w:rsid w:val="005E3593"/>
    <w:rPr>
      <w:rFonts w:eastAsia="ヒラギノ角ゴ Pro W3"/>
      <w:b/>
      <w:bCs/>
      <w:color w:val="000000"/>
      <w:lang w:eastAsia="en-US"/>
    </w:rPr>
  </w:style>
  <w:style w:type="paragraph" w:styleId="Ballontekst">
    <w:name w:val="Balloon Text"/>
    <w:basedOn w:val="Standaard"/>
    <w:link w:val="BallontekstChar"/>
    <w:locked/>
    <w:rsid w:val="005E3593"/>
    <w:rPr>
      <w:rFonts w:ascii="Tahoma" w:hAnsi="Tahoma" w:cs="Tahoma"/>
      <w:sz w:val="16"/>
      <w:szCs w:val="16"/>
    </w:rPr>
  </w:style>
  <w:style w:type="character" w:customStyle="1" w:styleId="BallontekstChar">
    <w:name w:val="Ballontekst Char"/>
    <w:link w:val="Ballontekst"/>
    <w:rsid w:val="005E3593"/>
    <w:rPr>
      <w:rFonts w:ascii="Tahoma" w:eastAsia="ヒラギノ角ゴ Pro W3" w:hAnsi="Tahoma" w:cs="Tahoma"/>
      <w:color w:val="000000"/>
      <w:sz w:val="16"/>
      <w:szCs w:val="16"/>
      <w:lang w:eastAsia="en-US"/>
    </w:rPr>
  </w:style>
  <w:style w:type="paragraph" w:styleId="Voettekst">
    <w:name w:val="footer"/>
    <w:basedOn w:val="Standaard"/>
    <w:link w:val="VoettekstChar"/>
    <w:locked/>
    <w:rsid w:val="00B965C6"/>
    <w:pPr>
      <w:tabs>
        <w:tab w:val="center" w:pos="4513"/>
        <w:tab w:val="right" w:pos="9026"/>
      </w:tabs>
    </w:pPr>
  </w:style>
  <w:style w:type="character" w:customStyle="1" w:styleId="VoettekstChar">
    <w:name w:val="Voettekst Char"/>
    <w:link w:val="Voettekst"/>
    <w:rsid w:val="00B965C6"/>
    <w:rPr>
      <w:rFonts w:eastAsia="ヒラギノ角ゴ Pro W3"/>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66568">
      <w:bodyDiv w:val="1"/>
      <w:marLeft w:val="0"/>
      <w:marRight w:val="0"/>
      <w:marTop w:val="0"/>
      <w:marBottom w:val="0"/>
      <w:divBdr>
        <w:top w:val="none" w:sz="0" w:space="0" w:color="auto"/>
        <w:left w:val="none" w:sz="0" w:space="0" w:color="auto"/>
        <w:bottom w:val="none" w:sz="0" w:space="0" w:color="auto"/>
        <w:right w:val="none" w:sz="0" w:space="0" w:color="auto"/>
      </w:divBdr>
    </w:div>
    <w:div w:id="945041567">
      <w:bodyDiv w:val="1"/>
      <w:marLeft w:val="0"/>
      <w:marRight w:val="0"/>
      <w:marTop w:val="0"/>
      <w:marBottom w:val="0"/>
      <w:divBdr>
        <w:top w:val="none" w:sz="0" w:space="0" w:color="auto"/>
        <w:left w:val="none" w:sz="0" w:space="0" w:color="auto"/>
        <w:bottom w:val="none" w:sz="0" w:space="0" w:color="auto"/>
        <w:right w:val="none" w:sz="0" w:space="0" w:color="auto"/>
      </w:divBdr>
    </w:div>
    <w:div w:id="1890334149">
      <w:bodyDiv w:val="1"/>
      <w:marLeft w:val="0"/>
      <w:marRight w:val="0"/>
      <w:marTop w:val="0"/>
      <w:marBottom w:val="0"/>
      <w:divBdr>
        <w:top w:val="none" w:sz="0" w:space="0" w:color="auto"/>
        <w:left w:val="none" w:sz="0" w:space="0" w:color="auto"/>
        <w:bottom w:val="none" w:sz="0" w:space="0" w:color="auto"/>
        <w:right w:val="none" w:sz="0" w:space="0" w:color="auto"/>
      </w:divBdr>
    </w:div>
    <w:div w:id="199610463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commentsExtended" Target="commentsExtended.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8942</ap:Words>
  <ap:Characters>49186</ap:Characters>
  <ap:DocSecurity>0</ap:DocSecurity>
  <ap:Lines>409</ap:Lines>
  <ap:Paragraphs>116</ap:Paragraphs>
  <ap:ScaleCrop>false</ap:ScaleCrop>
  <ap:HeadingPairs>
    <vt:vector baseType="variant" size="2">
      <vt:variant>
        <vt:lpstr>Titel</vt:lpstr>
      </vt:variant>
      <vt:variant>
        <vt:i4>1</vt:i4>
      </vt:variant>
    </vt:vector>
  </ap:HeadingPairs>
  <ap:TitlesOfParts>
    <vt:vector baseType="lpstr" size="1">
      <vt:lpstr>Verslag van de bijeenkomst van het</vt:lpstr>
    </vt:vector>
  </ap:TitlesOfParts>
  <ap:LinksUpToDate>false</ap:LinksUpToDate>
  <ap:CharactersWithSpaces>58012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2013-12-20T14:24:00.0000000Z</dcterms:created>
  <dcterms:modified xsi:type="dcterms:W3CDTF">2013-12-20T14:24:00.0000000Z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0x01010067AC01666927C0408CBD3BB57DDBD9AF</vt:lpwstr>
  </property>
</Properties>
</file>