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A8" w:rsidP="00047766" w:rsidRDefault="00CF2CEC">
      <w:pPr>
        <w:pStyle w:val="NoSpacing"/>
        <w:rPr>
          <w:rFonts w:ascii="Verdana" w:hAnsi="Verdana" w:cs="Times New Roman"/>
          <w:b/>
          <w:sz w:val="18"/>
          <w:szCs w:val="18"/>
          <w:lang w:val="nl-NL"/>
        </w:rPr>
      </w:pPr>
      <w:bookmarkStart w:name="_GoBack" w:id="0"/>
      <w:bookmarkEnd w:id="0"/>
      <w:r w:rsidRPr="009146A3">
        <w:rPr>
          <w:rFonts w:ascii="Verdana" w:hAnsi="Verdana" w:cs="Times New Roman"/>
          <w:b/>
          <w:sz w:val="18"/>
          <w:szCs w:val="18"/>
          <w:lang w:val="nl-NL"/>
        </w:rPr>
        <w:t>Protocol tot wijziging van de Overeenkomst inzake overheidsopdrachten;</w:t>
      </w:r>
      <w:r w:rsidRPr="009146A3" w:rsidR="00D25C4D">
        <w:rPr>
          <w:rFonts w:ascii="Verdana" w:hAnsi="Verdana" w:cs="Times New Roman"/>
          <w:b/>
          <w:sz w:val="18"/>
          <w:szCs w:val="18"/>
          <w:lang w:val="nl-NL"/>
        </w:rPr>
        <w:t xml:space="preserve"> </w:t>
      </w:r>
    </w:p>
    <w:p w:rsidRPr="009146A3" w:rsidR="00C62EBF" w:rsidP="00047766" w:rsidRDefault="00CF2CEC">
      <w:pPr>
        <w:pStyle w:val="NoSpacing"/>
        <w:rPr>
          <w:rFonts w:ascii="Verdana" w:hAnsi="Verdana" w:cs="Times New Roman"/>
          <w:b/>
          <w:sz w:val="18"/>
          <w:szCs w:val="18"/>
          <w:lang w:val="nl-NL"/>
        </w:rPr>
      </w:pPr>
      <w:r w:rsidRPr="009146A3">
        <w:rPr>
          <w:rFonts w:ascii="Verdana" w:hAnsi="Verdana" w:cs="Times New Roman"/>
          <w:b/>
          <w:sz w:val="18"/>
          <w:szCs w:val="18"/>
          <w:lang w:val="nl-NL"/>
        </w:rPr>
        <w:t>Geneve, 30 maart 2012</w:t>
      </w:r>
      <w:r w:rsidRPr="009146A3" w:rsidR="00614ED4">
        <w:rPr>
          <w:rFonts w:ascii="Verdana" w:hAnsi="Verdana" w:cs="Times New Roman"/>
          <w:b/>
          <w:sz w:val="18"/>
          <w:szCs w:val="18"/>
          <w:lang w:val="nl-NL"/>
        </w:rPr>
        <w:t xml:space="preserve"> </w:t>
      </w:r>
      <w:r w:rsidRPr="009146A3" w:rsidR="00D25C4D">
        <w:rPr>
          <w:rFonts w:ascii="Verdana" w:hAnsi="Verdana" w:cs="Times New Roman"/>
          <w:b/>
          <w:sz w:val="18"/>
          <w:szCs w:val="18"/>
          <w:lang w:val="nl-NL"/>
        </w:rPr>
        <w:t>(Trb.</w:t>
      </w:r>
      <w:r w:rsidRPr="009146A3" w:rsidR="00614ED4">
        <w:rPr>
          <w:rFonts w:ascii="Verdana" w:hAnsi="Verdana" w:cs="Times New Roman"/>
          <w:b/>
          <w:sz w:val="18"/>
          <w:szCs w:val="18"/>
          <w:lang w:val="nl-NL"/>
        </w:rPr>
        <w:t xml:space="preserve"> 2013, 76)</w:t>
      </w:r>
    </w:p>
    <w:p w:rsidRPr="009146A3" w:rsidR="00047766" w:rsidP="00047766" w:rsidRDefault="00047766">
      <w:pPr>
        <w:pStyle w:val="NoSpacing"/>
        <w:rPr>
          <w:rFonts w:ascii="Verdana" w:hAnsi="Verdana" w:cs="Times New Roman"/>
          <w:b/>
          <w:sz w:val="18"/>
          <w:szCs w:val="18"/>
          <w:lang w:val="nl-NL"/>
        </w:rPr>
      </w:pPr>
    </w:p>
    <w:p w:rsidR="00E71E26" w:rsidP="00047766" w:rsidRDefault="00E71E26">
      <w:pPr>
        <w:pStyle w:val="NoSpacing"/>
        <w:rPr>
          <w:rFonts w:ascii="Verdana" w:hAnsi="Verdana" w:eastAsia="PMingLiU" w:cs="Times New Roman"/>
          <w:b/>
          <w:sz w:val="18"/>
          <w:szCs w:val="18"/>
          <w:lang w:val="nl-NL" w:eastAsia="zh-TW"/>
        </w:rPr>
      </w:pPr>
    </w:p>
    <w:p w:rsidRPr="009146A3" w:rsidR="00D25C4D" w:rsidP="00047766" w:rsidRDefault="00D25C4D">
      <w:pPr>
        <w:pStyle w:val="NoSpacing"/>
        <w:rPr>
          <w:rFonts w:ascii="Verdana" w:hAnsi="Verdana" w:eastAsia="PMingLiU" w:cs="Times New Roman"/>
          <w:b/>
          <w:sz w:val="18"/>
          <w:szCs w:val="18"/>
          <w:lang w:val="nl-NL" w:eastAsia="zh-TW"/>
        </w:rPr>
      </w:pPr>
      <w:r w:rsidRPr="009146A3">
        <w:rPr>
          <w:rFonts w:ascii="Verdana" w:hAnsi="Verdana" w:eastAsia="PMingLiU" w:cs="Times New Roman"/>
          <w:b/>
          <w:sz w:val="18"/>
          <w:szCs w:val="18"/>
          <w:lang w:val="nl-NL" w:eastAsia="zh-TW"/>
        </w:rPr>
        <w:t xml:space="preserve">Toelichtende nota </w:t>
      </w:r>
    </w:p>
    <w:p w:rsidRPr="009146A3" w:rsidR="00D25C4D" w:rsidP="00047766" w:rsidRDefault="00D25C4D">
      <w:pPr>
        <w:pStyle w:val="NoSpacing"/>
        <w:rPr>
          <w:rFonts w:ascii="Verdana" w:hAnsi="Verdana" w:eastAsia="PMingLiU" w:cs="Times New Roman"/>
          <w:sz w:val="18"/>
          <w:szCs w:val="18"/>
          <w:lang w:val="nl-NL" w:eastAsia="zh-TW"/>
        </w:rPr>
      </w:pPr>
    </w:p>
    <w:p w:rsidR="00E71E26" w:rsidP="00047766" w:rsidRDefault="00E71E26">
      <w:pPr>
        <w:pStyle w:val="NoSpacing"/>
        <w:rPr>
          <w:rFonts w:ascii="Verdana" w:hAnsi="Verdana" w:eastAsia="PMingLiU" w:cs="Times New Roman"/>
          <w:b/>
          <w:sz w:val="18"/>
          <w:szCs w:val="18"/>
          <w:lang w:val="nl-NL" w:eastAsia="zh-TW"/>
        </w:rPr>
      </w:pPr>
    </w:p>
    <w:p w:rsidRPr="009146A3" w:rsidR="00D25C4D" w:rsidP="00047766" w:rsidRDefault="00617315">
      <w:pPr>
        <w:pStyle w:val="NoSpacing"/>
        <w:rPr>
          <w:rFonts w:ascii="Verdana" w:hAnsi="Verdana" w:eastAsia="PMingLiU" w:cs="Times New Roman"/>
          <w:b/>
          <w:sz w:val="18"/>
          <w:szCs w:val="18"/>
          <w:lang w:val="nl-NL" w:eastAsia="zh-TW"/>
        </w:rPr>
      </w:pPr>
      <w:r w:rsidRPr="009146A3">
        <w:rPr>
          <w:rFonts w:ascii="Verdana" w:hAnsi="Verdana" w:eastAsia="PMingLiU" w:cs="Times New Roman"/>
          <w:b/>
          <w:sz w:val="18"/>
          <w:szCs w:val="18"/>
          <w:lang w:val="nl-NL" w:eastAsia="zh-TW"/>
        </w:rPr>
        <w:t xml:space="preserve">I. </w:t>
      </w:r>
      <w:r w:rsidRPr="009146A3" w:rsidR="00D25C4D">
        <w:rPr>
          <w:rFonts w:ascii="Verdana" w:hAnsi="Verdana" w:eastAsia="PMingLiU" w:cs="Times New Roman"/>
          <w:b/>
          <w:sz w:val="18"/>
          <w:szCs w:val="18"/>
          <w:lang w:val="nl-NL" w:eastAsia="zh-TW"/>
        </w:rPr>
        <w:t>Inleiding</w:t>
      </w:r>
    </w:p>
    <w:p w:rsidRPr="009146A3" w:rsidR="00D6598B" w:rsidP="00D6598B" w:rsidRDefault="00F92E68">
      <w:pPr>
        <w:rPr>
          <w:rFonts w:ascii="Verdana" w:hAnsi="Verdana"/>
          <w:sz w:val="18"/>
          <w:szCs w:val="18"/>
          <w:lang w:val="nl-NL"/>
        </w:rPr>
      </w:pPr>
      <w:r w:rsidRPr="009146A3">
        <w:rPr>
          <w:rFonts w:ascii="Verdana" w:hAnsi="Verdana" w:eastAsia="PMingLiU" w:cs="Times New Roman"/>
          <w:sz w:val="18"/>
          <w:szCs w:val="18"/>
          <w:lang w:val="nl-NL" w:eastAsia="zh-TW"/>
        </w:rPr>
        <w:t xml:space="preserve">De </w:t>
      </w:r>
      <w:r w:rsidRPr="009146A3" w:rsidR="00614ED4">
        <w:rPr>
          <w:rFonts w:ascii="Verdana" w:hAnsi="Verdana" w:eastAsia="PMingLiU" w:cs="Times New Roman"/>
          <w:sz w:val="18"/>
          <w:szCs w:val="18"/>
          <w:lang w:val="nl-NL" w:eastAsia="zh-TW"/>
        </w:rPr>
        <w:t xml:space="preserve">op 15 april 1994 tot stand gekomen </w:t>
      </w:r>
      <w:r w:rsidRPr="009146A3">
        <w:rPr>
          <w:rFonts w:ascii="Verdana" w:hAnsi="Verdana" w:eastAsia="PMingLiU" w:cs="Times New Roman"/>
          <w:sz w:val="18"/>
          <w:szCs w:val="18"/>
          <w:lang w:val="nl-NL" w:eastAsia="zh-TW"/>
        </w:rPr>
        <w:t xml:space="preserve">Overeenkomst inzake overheidsopdrachten </w:t>
      </w:r>
      <w:r w:rsidRPr="009146A3" w:rsidR="00614ED4">
        <w:rPr>
          <w:rFonts w:ascii="Verdana" w:hAnsi="Verdana" w:eastAsia="PMingLiU" w:cs="Times New Roman"/>
          <w:sz w:val="18"/>
          <w:szCs w:val="18"/>
          <w:lang w:val="nl-NL" w:eastAsia="zh-TW"/>
        </w:rPr>
        <w:t xml:space="preserve">(Trb. 1994, 235) </w:t>
      </w:r>
      <w:r w:rsidRPr="009146A3">
        <w:rPr>
          <w:rFonts w:ascii="Verdana" w:hAnsi="Verdana" w:eastAsia="PMingLiU" w:cs="Times New Roman"/>
          <w:sz w:val="18"/>
          <w:szCs w:val="18"/>
          <w:lang w:val="nl-NL" w:eastAsia="zh-TW"/>
        </w:rPr>
        <w:t>(</w:t>
      </w:r>
      <w:r w:rsidRPr="009146A3" w:rsidR="00614ED4">
        <w:rPr>
          <w:rFonts w:ascii="Verdana" w:hAnsi="Verdana" w:eastAsia="PMingLiU" w:cs="Times New Roman"/>
          <w:sz w:val="18"/>
          <w:szCs w:val="18"/>
          <w:lang w:val="nl-NL" w:eastAsia="zh-TW"/>
        </w:rPr>
        <w:t xml:space="preserve">de Government Procurement Agreement; hierna </w:t>
      </w:r>
      <w:r w:rsidRPr="009146A3">
        <w:rPr>
          <w:rFonts w:ascii="Verdana" w:hAnsi="Verdana" w:eastAsia="PMingLiU" w:cs="Times New Roman"/>
          <w:sz w:val="18"/>
          <w:szCs w:val="18"/>
          <w:lang w:val="nl-NL" w:eastAsia="zh-TW"/>
        </w:rPr>
        <w:t>GPA) is tot op heden de enige wettelijk bindende overeenkomst binnen de WTO op het gebied van overheidsopdrachten.</w:t>
      </w:r>
      <w:r w:rsidRPr="009146A3" w:rsidR="00D6598B">
        <w:rPr>
          <w:rFonts w:ascii="Verdana" w:hAnsi="Verdana"/>
          <w:sz w:val="18"/>
          <w:szCs w:val="18"/>
          <w:lang w:val="nl-NL"/>
        </w:rPr>
        <w:t xml:space="preserve"> Het verdrag </w:t>
      </w:r>
      <w:r w:rsidR="000D5395">
        <w:rPr>
          <w:rFonts w:ascii="Verdana" w:hAnsi="Verdana"/>
          <w:sz w:val="18"/>
          <w:szCs w:val="18"/>
          <w:lang w:val="nl-NL"/>
        </w:rPr>
        <w:t xml:space="preserve">bevat gedetailleerde regels met betrekking tot </w:t>
      </w:r>
      <w:r w:rsidRPr="009146A3" w:rsidR="00D6598B">
        <w:rPr>
          <w:rFonts w:ascii="Verdana" w:hAnsi="Verdana"/>
          <w:sz w:val="18"/>
          <w:szCs w:val="18"/>
          <w:lang w:val="nl-NL"/>
        </w:rPr>
        <w:t xml:space="preserve">de </w:t>
      </w:r>
      <w:r w:rsidR="000D5395">
        <w:rPr>
          <w:rFonts w:ascii="Verdana" w:hAnsi="Verdana"/>
          <w:sz w:val="18"/>
          <w:szCs w:val="18"/>
          <w:lang w:val="nl-NL"/>
        </w:rPr>
        <w:t xml:space="preserve">bekendmaking van </w:t>
      </w:r>
      <w:r w:rsidRPr="009146A3" w:rsidR="00D6598B">
        <w:rPr>
          <w:rFonts w:ascii="Verdana" w:hAnsi="Verdana"/>
          <w:sz w:val="18"/>
          <w:szCs w:val="18"/>
          <w:lang w:val="nl-NL"/>
        </w:rPr>
        <w:t>aankoop</w:t>
      </w:r>
      <w:r w:rsidR="0020088B">
        <w:rPr>
          <w:rFonts w:ascii="Verdana" w:hAnsi="Verdana"/>
          <w:sz w:val="18"/>
          <w:szCs w:val="18"/>
          <w:lang w:val="nl-NL"/>
        </w:rPr>
        <w:t>voornemens</w:t>
      </w:r>
      <w:r w:rsidRPr="009146A3" w:rsidR="00D6598B">
        <w:rPr>
          <w:rFonts w:ascii="Verdana" w:hAnsi="Verdana"/>
          <w:sz w:val="18"/>
          <w:szCs w:val="18"/>
          <w:lang w:val="nl-NL"/>
        </w:rPr>
        <w:t xml:space="preserve"> </w:t>
      </w:r>
      <w:r w:rsidR="000D5395">
        <w:rPr>
          <w:rFonts w:ascii="Verdana" w:hAnsi="Verdana"/>
          <w:sz w:val="18"/>
          <w:szCs w:val="18"/>
          <w:lang w:val="nl-NL"/>
        </w:rPr>
        <w:t xml:space="preserve">en aanbestedingsprocedures </w:t>
      </w:r>
      <w:r w:rsidR="0020088B">
        <w:rPr>
          <w:rFonts w:ascii="Verdana" w:hAnsi="Verdana"/>
          <w:sz w:val="18"/>
          <w:szCs w:val="18"/>
          <w:lang w:val="nl-NL"/>
        </w:rPr>
        <w:t>van</w:t>
      </w:r>
      <w:r w:rsidRPr="009146A3" w:rsidR="00D6598B">
        <w:rPr>
          <w:rFonts w:ascii="Verdana" w:hAnsi="Verdana"/>
          <w:sz w:val="18"/>
          <w:szCs w:val="18"/>
          <w:lang w:val="nl-NL"/>
        </w:rPr>
        <w:t xml:space="preserve"> overhe</w:t>
      </w:r>
      <w:r w:rsidR="0020088B">
        <w:rPr>
          <w:rFonts w:ascii="Verdana" w:hAnsi="Verdana"/>
          <w:sz w:val="18"/>
          <w:szCs w:val="18"/>
          <w:lang w:val="nl-NL"/>
        </w:rPr>
        <w:t>idsinstellingen</w:t>
      </w:r>
      <w:r w:rsidRPr="009146A3" w:rsidR="00D6598B">
        <w:rPr>
          <w:rFonts w:ascii="Verdana" w:hAnsi="Verdana"/>
          <w:sz w:val="18"/>
          <w:szCs w:val="18"/>
          <w:lang w:val="nl-NL"/>
        </w:rPr>
        <w:t xml:space="preserve"> en biedt </w:t>
      </w:r>
      <w:r w:rsidR="000D5395">
        <w:rPr>
          <w:rFonts w:ascii="Verdana" w:hAnsi="Verdana"/>
          <w:sz w:val="18"/>
          <w:szCs w:val="18"/>
          <w:lang w:val="nl-NL"/>
        </w:rPr>
        <w:t xml:space="preserve">markttoegang aan </w:t>
      </w:r>
      <w:r w:rsidRPr="009146A3" w:rsidR="00D6598B">
        <w:rPr>
          <w:rFonts w:ascii="Verdana" w:hAnsi="Verdana"/>
          <w:sz w:val="18"/>
          <w:szCs w:val="18"/>
          <w:lang w:val="nl-NL"/>
        </w:rPr>
        <w:t xml:space="preserve">aanbieders uit </w:t>
      </w:r>
      <w:r w:rsidR="000D5395">
        <w:rPr>
          <w:rFonts w:ascii="Verdana" w:hAnsi="Verdana"/>
          <w:sz w:val="18"/>
          <w:szCs w:val="18"/>
          <w:lang w:val="nl-NL"/>
        </w:rPr>
        <w:t>de landen</w:t>
      </w:r>
      <w:r w:rsidRPr="009146A3" w:rsidR="00D6598B">
        <w:rPr>
          <w:rFonts w:ascii="Verdana" w:hAnsi="Verdana"/>
          <w:sz w:val="18"/>
          <w:szCs w:val="18"/>
          <w:lang w:val="nl-NL"/>
        </w:rPr>
        <w:t xml:space="preserve"> die partij zijn bij het verdrag.</w:t>
      </w:r>
    </w:p>
    <w:p w:rsidRPr="009146A3" w:rsidR="00F92E68" w:rsidP="00F92E68" w:rsidRDefault="00F92E68">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De huidige versie ervan, die het resultaat is van onderhandelingen die werden gevoerd parallel aan de Uruguay-ronde in 1994</w:t>
      </w:r>
      <w:r w:rsidR="0020088B">
        <w:rPr>
          <w:rStyle w:val="FootnoteReference"/>
          <w:rFonts w:ascii="Verdana" w:hAnsi="Verdana" w:eastAsia="PMingLiU" w:cs="Times New Roman"/>
          <w:sz w:val="18"/>
          <w:szCs w:val="18"/>
          <w:lang w:val="nl-NL" w:eastAsia="zh-TW"/>
        </w:rPr>
        <w:footnoteReference w:id="1"/>
      </w:r>
      <w:r w:rsidRPr="009146A3">
        <w:rPr>
          <w:rFonts w:ascii="Verdana" w:hAnsi="Verdana" w:eastAsia="PMingLiU" w:cs="Times New Roman"/>
          <w:sz w:val="18"/>
          <w:szCs w:val="18"/>
          <w:lang w:val="nl-NL" w:eastAsia="zh-TW"/>
        </w:rPr>
        <w:t>, is op 1 januari 1996 in werking getreden.</w:t>
      </w:r>
      <w:r w:rsidR="00EE0892">
        <w:rPr>
          <w:rFonts w:ascii="Verdana" w:hAnsi="Verdana" w:eastAsia="PMingLiU" w:cs="Times New Roman"/>
          <w:sz w:val="18"/>
          <w:szCs w:val="18"/>
          <w:lang w:val="nl-NL" w:eastAsia="zh-TW"/>
        </w:rPr>
        <w:t xml:space="preserve"> </w:t>
      </w:r>
      <w:r w:rsidRPr="009146A3">
        <w:rPr>
          <w:rFonts w:ascii="Verdana" w:hAnsi="Verdana" w:eastAsia="PMingLiU" w:cs="Times New Roman"/>
          <w:sz w:val="18"/>
          <w:szCs w:val="18"/>
          <w:lang w:val="nl-NL" w:eastAsia="zh-TW"/>
        </w:rPr>
        <w:t xml:space="preserve">De partijen bij de GPA </w:t>
      </w:r>
      <w:r w:rsidR="00EE0892">
        <w:rPr>
          <w:rFonts w:ascii="Verdana" w:hAnsi="Verdana" w:eastAsia="PMingLiU" w:cs="Times New Roman"/>
          <w:sz w:val="18"/>
          <w:szCs w:val="18"/>
          <w:lang w:val="nl-NL" w:eastAsia="zh-TW"/>
        </w:rPr>
        <w:t>zijn</w:t>
      </w:r>
      <w:r w:rsidRPr="009146A3">
        <w:rPr>
          <w:rFonts w:ascii="Verdana" w:hAnsi="Verdana" w:eastAsia="PMingLiU" w:cs="Times New Roman"/>
          <w:sz w:val="18"/>
          <w:szCs w:val="18"/>
          <w:lang w:val="nl-NL" w:eastAsia="zh-TW"/>
        </w:rPr>
        <w:t xml:space="preserve"> Armenië, Canada, de Europese Unie</w:t>
      </w:r>
      <w:r w:rsidR="000446D1">
        <w:rPr>
          <w:rFonts w:ascii="Verdana" w:hAnsi="Verdana" w:eastAsia="PMingLiU" w:cs="Times New Roman"/>
          <w:sz w:val="18"/>
          <w:szCs w:val="18"/>
          <w:lang w:val="nl-NL" w:eastAsia="zh-TW"/>
        </w:rPr>
        <w:t xml:space="preserve"> voor de</w:t>
      </w:r>
      <w:r w:rsidRPr="009146A3">
        <w:rPr>
          <w:rFonts w:ascii="Verdana" w:hAnsi="Verdana" w:eastAsia="PMingLiU" w:cs="Times New Roman"/>
          <w:sz w:val="18"/>
          <w:szCs w:val="18"/>
          <w:lang w:val="nl-NL" w:eastAsia="zh-TW"/>
        </w:rPr>
        <w:t xml:space="preserve"> 2</w:t>
      </w:r>
      <w:r w:rsidRPr="009146A3" w:rsidR="00614ED4">
        <w:rPr>
          <w:rFonts w:ascii="Verdana" w:hAnsi="Verdana" w:eastAsia="PMingLiU" w:cs="Times New Roman"/>
          <w:sz w:val="18"/>
          <w:szCs w:val="18"/>
          <w:lang w:val="nl-NL" w:eastAsia="zh-TW"/>
        </w:rPr>
        <w:t>8</w:t>
      </w:r>
      <w:r w:rsidRPr="009146A3">
        <w:rPr>
          <w:rFonts w:ascii="Verdana" w:hAnsi="Verdana" w:eastAsia="PMingLiU" w:cs="Times New Roman"/>
          <w:sz w:val="18"/>
          <w:szCs w:val="18"/>
          <w:lang w:val="nl-NL" w:eastAsia="zh-TW"/>
        </w:rPr>
        <w:t xml:space="preserve"> lidstaten, Hongkong, IJsland, Israël, Japan,</w:t>
      </w:r>
      <w:r w:rsidRPr="009146A3" w:rsidR="00614ED4">
        <w:rPr>
          <w:rFonts w:ascii="Verdana" w:hAnsi="Verdana" w:eastAsia="PMingLiU" w:cs="Times New Roman"/>
          <w:sz w:val="18"/>
          <w:szCs w:val="18"/>
          <w:lang w:val="nl-NL" w:eastAsia="zh-TW"/>
        </w:rPr>
        <w:t xml:space="preserve"> Zuid-</w:t>
      </w:r>
      <w:r w:rsidRPr="009146A3">
        <w:rPr>
          <w:rFonts w:ascii="Verdana" w:hAnsi="Verdana" w:eastAsia="PMingLiU" w:cs="Times New Roman"/>
          <w:sz w:val="18"/>
          <w:szCs w:val="18"/>
          <w:lang w:val="nl-NL" w:eastAsia="zh-TW"/>
        </w:rPr>
        <w:t xml:space="preserve">Korea, Liechtenstein, </w:t>
      </w:r>
      <w:r w:rsidRPr="009146A3" w:rsidR="007F595D">
        <w:rPr>
          <w:rFonts w:ascii="Verdana" w:hAnsi="Verdana" w:eastAsia="PMingLiU" w:cs="Times New Roman"/>
          <w:sz w:val="18"/>
          <w:szCs w:val="18"/>
          <w:lang w:val="nl-NL" w:eastAsia="zh-TW"/>
        </w:rPr>
        <w:t xml:space="preserve">het Koninkrijk der </w:t>
      </w:r>
      <w:r w:rsidRPr="009146A3">
        <w:rPr>
          <w:rFonts w:ascii="Verdana" w:hAnsi="Verdana" w:eastAsia="PMingLiU" w:cs="Times New Roman"/>
          <w:sz w:val="18"/>
          <w:szCs w:val="18"/>
          <w:lang w:val="nl-NL" w:eastAsia="zh-TW"/>
        </w:rPr>
        <w:t>Nederland</w:t>
      </w:r>
      <w:r w:rsidRPr="009146A3" w:rsidR="007F595D">
        <w:rPr>
          <w:rFonts w:ascii="Verdana" w:hAnsi="Verdana" w:eastAsia="PMingLiU" w:cs="Times New Roman"/>
          <w:sz w:val="18"/>
          <w:szCs w:val="18"/>
          <w:lang w:val="nl-NL" w:eastAsia="zh-TW"/>
        </w:rPr>
        <w:t>en</w:t>
      </w:r>
      <w:r w:rsidRPr="009146A3">
        <w:rPr>
          <w:rFonts w:ascii="Verdana" w:hAnsi="Verdana" w:eastAsia="PMingLiU" w:cs="Times New Roman"/>
          <w:sz w:val="18"/>
          <w:szCs w:val="18"/>
          <w:lang w:val="nl-NL" w:eastAsia="zh-TW"/>
        </w:rPr>
        <w:t xml:space="preserve"> wat Aruba betreft, Noorwegen, Singapore, Zwitserland, Tai</w:t>
      </w:r>
      <w:r w:rsidRPr="009146A3" w:rsidR="00614ED4">
        <w:rPr>
          <w:rFonts w:ascii="Verdana" w:hAnsi="Verdana" w:eastAsia="PMingLiU" w:cs="Times New Roman"/>
          <w:sz w:val="18"/>
          <w:szCs w:val="18"/>
          <w:lang w:val="nl-NL" w:eastAsia="zh-TW"/>
        </w:rPr>
        <w:t>wan</w:t>
      </w:r>
      <w:r w:rsidRPr="009146A3">
        <w:rPr>
          <w:rFonts w:ascii="Verdana" w:hAnsi="Verdana" w:eastAsia="PMingLiU" w:cs="Times New Roman"/>
          <w:sz w:val="18"/>
          <w:szCs w:val="18"/>
          <w:lang w:val="nl-NL" w:eastAsia="zh-TW"/>
        </w:rPr>
        <w:t xml:space="preserve"> en de Verenigde Staten. </w:t>
      </w:r>
      <w:r w:rsidRPr="009146A3" w:rsidR="008F2F52">
        <w:rPr>
          <w:rFonts w:ascii="Verdana" w:hAnsi="Verdana" w:eastAsia="PMingLiU" w:cs="Times New Roman"/>
          <w:sz w:val="18"/>
          <w:szCs w:val="18"/>
          <w:lang w:val="nl-NL" w:eastAsia="zh-TW"/>
        </w:rPr>
        <w:t>De</w:t>
      </w:r>
      <w:r w:rsidR="008F2F52">
        <w:rPr>
          <w:rFonts w:ascii="Verdana" w:hAnsi="Verdana" w:eastAsia="PMingLiU" w:cs="Times New Roman"/>
          <w:sz w:val="18"/>
          <w:szCs w:val="18"/>
          <w:lang w:val="nl-NL" w:eastAsia="zh-TW"/>
        </w:rPr>
        <w:t xml:space="preserve"> GPA</w:t>
      </w:r>
      <w:r w:rsidRPr="009146A3">
        <w:rPr>
          <w:rFonts w:ascii="Verdana" w:hAnsi="Verdana" w:eastAsia="PMingLiU" w:cs="Times New Roman"/>
          <w:sz w:val="18"/>
          <w:szCs w:val="18"/>
          <w:lang w:val="nl-NL" w:eastAsia="zh-TW"/>
        </w:rPr>
        <w:t xml:space="preserve"> wordt beheerd door het Comité voor overheidsopdrachten.</w:t>
      </w:r>
    </w:p>
    <w:p w:rsidRPr="009146A3" w:rsidR="009A7E18" w:rsidP="00F92E68" w:rsidRDefault="009A7E18">
      <w:pPr>
        <w:pStyle w:val="NoSpacing"/>
        <w:rPr>
          <w:rFonts w:ascii="Verdana" w:hAnsi="Verdana" w:eastAsia="PMingLiU" w:cs="Times New Roman"/>
          <w:sz w:val="18"/>
          <w:szCs w:val="18"/>
          <w:lang w:val="nl-NL" w:eastAsia="zh-TW"/>
        </w:rPr>
      </w:pPr>
    </w:p>
    <w:p w:rsidRPr="009146A3" w:rsidR="00F92E68" w:rsidP="00F92E68" w:rsidRDefault="000446D1">
      <w:pPr>
        <w:pStyle w:val="NoSpacing"/>
        <w:rPr>
          <w:rFonts w:ascii="Verdana" w:hAnsi="Verdana" w:eastAsia="PMingLiU" w:cs="Times New Roman"/>
          <w:sz w:val="18"/>
          <w:szCs w:val="18"/>
          <w:lang w:val="nl-NL" w:eastAsia="zh-TW"/>
        </w:rPr>
      </w:pPr>
      <w:r>
        <w:rPr>
          <w:rFonts w:ascii="Verdana" w:hAnsi="Verdana" w:eastAsia="PMingLiU" w:cs="Times New Roman"/>
          <w:sz w:val="18"/>
          <w:szCs w:val="18"/>
          <w:lang w:val="nl-NL" w:eastAsia="zh-TW"/>
        </w:rPr>
        <w:t>I</w:t>
      </w:r>
      <w:r w:rsidRPr="009146A3" w:rsidR="00F92E68">
        <w:rPr>
          <w:rFonts w:ascii="Verdana" w:hAnsi="Verdana" w:eastAsia="PMingLiU" w:cs="Times New Roman"/>
          <w:sz w:val="18"/>
          <w:szCs w:val="18"/>
          <w:lang w:val="nl-NL" w:eastAsia="zh-TW"/>
        </w:rPr>
        <w:t xml:space="preserve">n de GPA </w:t>
      </w:r>
      <w:r>
        <w:rPr>
          <w:rFonts w:ascii="Verdana" w:hAnsi="Verdana" w:eastAsia="PMingLiU" w:cs="Times New Roman"/>
          <w:sz w:val="18"/>
          <w:szCs w:val="18"/>
          <w:lang w:val="nl-NL" w:eastAsia="zh-TW"/>
        </w:rPr>
        <w:t xml:space="preserve">was </w:t>
      </w:r>
      <w:r w:rsidRPr="009146A3" w:rsidR="00F92E68">
        <w:rPr>
          <w:rFonts w:ascii="Verdana" w:hAnsi="Verdana" w:eastAsia="PMingLiU" w:cs="Times New Roman"/>
          <w:sz w:val="18"/>
          <w:szCs w:val="18"/>
          <w:lang w:val="nl-NL" w:eastAsia="zh-TW"/>
        </w:rPr>
        <w:t>een verbintenis vervat tot het voeren van onderhandelingen</w:t>
      </w:r>
      <w:r w:rsidRPr="009146A3" w:rsidR="00614ED4">
        <w:rPr>
          <w:rFonts w:ascii="Verdana" w:hAnsi="Verdana" w:eastAsia="PMingLiU" w:cs="Times New Roman"/>
          <w:sz w:val="18"/>
          <w:szCs w:val="18"/>
          <w:lang w:val="nl-NL" w:eastAsia="zh-TW"/>
        </w:rPr>
        <w:t xml:space="preserve"> ter verbetering van</w:t>
      </w:r>
      <w:r w:rsidRPr="009146A3" w:rsidR="00F92E68">
        <w:rPr>
          <w:rFonts w:ascii="Verdana" w:hAnsi="Verdana" w:eastAsia="PMingLiU" w:cs="Times New Roman"/>
          <w:sz w:val="18"/>
          <w:szCs w:val="18"/>
          <w:lang w:val="nl-NL" w:eastAsia="zh-TW"/>
        </w:rPr>
        <w:t xml:space="preserve"> zowel de tekst als het toepassingsgebied van de overeenkomst (artikel XXIV, lid 7, onder b). In 1999 gingen onderhandelingen met het oog daarop van start.</w:t>
      </w:r>
      <w:r w:rsidR="00842094">
        <w:rPr>
          <w:rFonts w:ascii="Verdana" w:hAnsi="Verdana" w:eastAsia="PMingLiU" w:cs="Times New Roman"/>
          <w:sz w:val="18"/>
          <w:szCs w:val="18"/>
          <w:lang w:val="nl-NL" w:eastAsia="zh-TW"/>
        </w:rPr>
        <w:t xml:space="preserve"> </w:t>
      </w:r>
      <w:r w:rsidRPr="009146A3" w:rsidR="00F92E68">
        <w:rPr>
          <w:rFonts w:ascii="Verdana" w:hAnsi="Verdana" w:eastAsia="PMingLiU" w:cs="Times New Roman"/>
          <w:sz w:val="18"/>
          <w:szCs w:val="18"/>
          <w:lang w:val="nl-NL" w:eastAsia="zh-TW"/>
        </w:rPr>
        <w:t>Deze onderhandelingen hadden een drieledig doel: (i) het verbeteren en actualiseren van de GPA</w:t>
      </w:r>
      <w:r w:rsidRPr="009146A3" w:rsidR="003D1E82">
        <w:rPr>
          <w:rFonts w:ascii="Verdana" w:hAnsi="Verdana" w:eastAsia="PMingLiU" w:cs="Times New Roman"/>
          <w:sz w:val="18"/>
          <w:szCs w:val="18"/>
          <w:lang w:val="nl-NL" w:eastAsia="zh-TW"/>
        </w:rPr>
        <w:t xml:space="preserve"> </w:t>
      </w:r>
      <w:r w:rsidRPr="009146A3" w:rsidR="00F92E68">
        <w:rPr>
          <w:rFonts w:ascii="Verdana" w:hAnsi="Verdana" w:eastAsia="PMingLiU" w:cs="Times New Roman"/>
          <w:sz w:val="18"/>
          <w:szCs w:val="18"/>
          <w:lang w:val="nl-NL" w:eastAsia="zh-TW"/>
        </w:rPr>
        <w:t>in het licht van ontwikkelingen in de informatietechnologie en</w:t>
      </w:r>
      <w:r w:rsidRPr="009146A3" w:rsidR="007F595D">
        <w:rPr>
          <w:rFonts w:ascii="Verdana" w:hAnsi="Verdana" w:eastAsia="PMingLiU" w:cs="Times New Roman"/>
          <w:sz w:val="18"/>
          <w:szCs w:val="18"/>
          <w:lang w:val="nl-NL" w:eastAsia="zh-TW"/>
        </w:rPr>
        <w:t xml:space="preserve"> </w:t>
      </w:r>
      <w:r w:rsidRPr="009146A3" w:rsidR="00F92E68">
        <w:rPr>
          <w:rFonts w:ascii="Verdana" w:hAnsi="Verdana" w:eastAsia="PMingLiU" w:cs="Times New Roman"/>
          <w:sz w:val="18"/>
          <w:szCs w:val="18"/>
          <w:lang w:val="nl-NL" w:eastAsia="zh-TW"/>
        </w:rPr>
        <w:t>aanbestedingsprocedures; (ii) het uitbreiden van het toepassingsgebied van de GPA; en (iii) het verwijderen van resterende discriminatoire maatregelen.</w:t>
      </w:r>
    </w:p>
    <w:p w:rsidRPr="009146A3" w:rsidR="00E25F34" w:rsidP="00F92E68" w:rsidRDefault="00E25F34">
      <w:pPr>
        <w:pStyle w:val="NoSpacing"/>
        <w:rPr>
          <w:rFonts w:ascii="Verdana" w:hAnsi="Verdana" w:eastAsia="PMingLiU" w:cs="Times New Roman"/>
          <w:sz w:val="18"/>
          <w:szCs w:val="18"/>
          <w:lang w:val="nl-NL" w:eastAsia="zh-TW"/>
        </w:rPr>
      </w:pPr>
    </w:p>
    <w:p w:rsidRPr="009146A3" w:rsidR="001F3429" w:rsidP="00F92E68" w:rsidRDefault="00F92E68">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In december 2006 kwamen de partijen bij de GPA tot overeenstemming over de herziening van de tekst van de GPA. Het akkoord van de onderhandelaars was echter in die zin voorlopig dat het afhankelijk was van een bevredigende uitkomst van de onderhandelingen over de uitbreiding van het </w:t>
      </w:r>
      <w:r w:rsidRPr="009146A3" w:rsidR="00E25F34">
        <w:rPr>
          <w:rFonts w:ascii="Verdana" w:hAnsi="Verdana" w:eastAsia="PMingLiU" w:cs="Times New Roman"/>
          <w:sz w:val="18"/>
          <w:szCs w:val="18"/>
          <w:lang w:val="nl-NL" w:eastAsia="zh-TW"/>
        </w:rPr>
        <w:t>toepassingsgebied</w:t>
      </w:r>
      <w:r w:rsidRPr="009146A3" w:rsidR="00CD1C29">
        <w:rPr>
          <w:rFonts w:ascii="Verdana" w:hAnsi="Verdana" w:eastAsia="PMingLiU" w:cs="Times New Roman"/>
          <w:sz w:val="18"/>
          <w:szCs w:val="18"/>
          <w:lang w:val="nl-NL" w:eastAsia="zh-TW"/>
        </w:rPr>
        <w:t>. Aangezien</w:t>
      </w:r>
      <w:r w:rsidRPr="009146A3">
        <w:rPr>
          <w:rFonts w:ascii="Verdana" w:hAnsi="Verdana" w:eastAsia="PMingLiU" w:cs="Times New Roman"/>
          <w:sz w:val="18"/>
          <w:szCs w:val="18"/>
          <w:lang w:val="nl-NL" w:eastAsia="zh-TW"/>
        </w:rPr>
        <w:t xml:space="preserve"> het toepassingsgebied van de </w:t>
      </w:r>
      <w:r w:rsidRPr="009146A3" w:rsidR="003D1E82">
        <w:rPr>
          <w:rFonts w:ascii="Verdana" w:hAnsi="Verdana" w:eastAsia="PMingLiU" w:cs="Times New Roman"/>
          <w:sz w:val="18"/>
          <w:szCs w:val="18"/>
          <w:lang w:val="nl-NL" w:eastAsia="zh-TW"/>
        </w:rPr>
        <w:t>GPA</w:t>
      </w:r>
      <w:r w:rsidRPr="009146A3">
        <w:rPr>
          <w:rFonts w:ascii="Verdana" w:hAnsi="Verdana" w:eastAsia="PMingLiU" w:cs="Times New Roman"/>
          <w:sz w:val="18"/>
          <w:szCs w:val="18"/>
          <w:lang w:val="nl-NL" w:eastAsia="zh-TW"/>
        </w:rPr>
        <w:t xml:space="preserve"> met betrekking tot elke partij vastgesteld </w:t>
      </w:r>
      <w:r w:rsidRPr="009146A3" w:rsidR="00CD1C29">
        <w:rPr>
          <w:rFonts w:ascii="Verdana" w:hAnsi="Verdana" w:eastAsia="PMingLiU" w:cs="Times New Roman"/>
          <w:sz w:val="18"/>
          <w:szCs w:val="18"/>
          <w:lang w:val="nl-NL" w:eastAsia="zh-TW"/>
        </w:rPr>
        <w:t xml:space="preserve">dient te worden middels onderhandelingen van het </w:t>
      </w:r>
      <w:r w:rsidR="0051543A">
        <w:rPr>
          <w:rFonts w:ascii="Verdana" w:hAnsi="Verdana" w:eastAsia="PMingLiU" w:cs="Times New Roman"/>
          <w:sz w:val="18"/>
          <w:szCs w:val="18"/>
          <w:lang w:val="nl-NL" w:eastAsia="zh-TW"/>
        </w:rPr>
        <w:t xml:space="preserve">aanbod </w:t>
      </w:r>
      <w:r w:rsidRPr="009146A3" w:rsidR="00CD1C29">
        <w:rPr>
          <w:rFonts w:ascii="Verdana" w:hAnsi="Verdana" w:eastAsia="PMingLiU" w:cs="Times New Roman"/>
          <w:sz w:val="18"/>
          <w:szCs w:val="18"/>
          <w:lang w:val="nl-NL" w:eastAsia="zh-TW"/>
        </w:rPr>
        <w:t xml:space="preserve">van elke afzonderlijk partij duurde het tot 30 </w:t>
      </w:r>
      <w:r w:rsidRPr="009146A3" w:rsidR="001F3429">
        <w:rPr>
          <w:rFonts w:ascii="Verdana" w:hAnsi="Verdana" w:eastAsia="PMingLiU" w:cs="Times New Roman"/>
          <w:sz w:val="18"/>
          <w:szCs w:val="18"/>
          <w:lang w:val="nl-NL" w:eastAsia="zh-TW"/>
        </w:rPr>
        <w:t xml:space="preserve">maart 2012 alvorens </w:t>
      </w:r>
      <w:r w:rsidRPr="009146A3">
        <w:rPr>
          <w:rFonts w:ascii="Verdana" w:hAnsi="Verdana" w:eastAsia="PMingLiU" w:cs="Times New Roman"/>
          <w:sz w:val="18"/>
          <w:szCs w:val="18"/>
          <w:lang w:val="nl-NL" w:eastAsia="zh-TW"/>
        </w:rPr>
        <w:t xml:space="preserve">de partijen bij de GPA politieke overeenstemming </w:t>
      </w:r>
      <w:r w:rsidRPr="009146A3" w:rsidR="001F3429">
        <w:rPr>
          <w:rFonts w:ascii="Verdana" w:hAnsi="Verdana" w:eastAsia="PMingLiU" w:cs="Times New Roman"/>
          <w:sz w:val="18"/>
          <w:szCs w:val="18"/>
          <w:lang w:val="nl-NL" w:eastAsia="zh-TW"/>
        </w:rPr>
        <w:t xml:space="preserve">bereikten </w:t>
      </w:r>
      <w:r w:rsidRPr="009146A3">
        <w:rPr>
          <w:rFonts w:ascii="Verdana" w:hAnsi="Verdana" w:eastAsia="PMingLiU" w:cs="Times New Roman"/>
          <w:sz w:val="18"/>
          <w:szCs w:val="18"/>
          <w:lang w:val="nl-NL" w:eastAsia="zh-TW"/>
        </w:rPr>
        <w:t xml:space="preserve">en een besluit </w:t>
      </w:r>
      <w:r w:rsidRPr="009146A3" w:rsidR="001F3429">
        <w:rPr>
          <w:rFonts w:ascii="Verdana" w:hAnsi="Verdana" w:eastAsia="PMingLiU" w:cs="Times New Roman"/>
          <w:sz w:val="18"/>
          <w:szCs w:val="18"/>
          <w:lang w:val="nl-NL" w:eastAsia="zh-TW"/>
        </w:rPr>
        <w:t>namen</w:t>
      </w:r>
      <w:r w:rsidRPr="009146A3">
        <w:rPr>
          <w:rFonts w:ascii="Verdana" w:hAnsi="Verdana" w:eastAsia="PMingLiU" w:cs="Times New Roman"/>
          <w:sz w:val="18"/>
          <w:szCs w:val="18"/>
          <w:lang w:val="nl-NL" w:eastAsia="zh-TW"/>
        </w:rPr>
        <w:t xml:space="preserve"> houdende goedkeuring van de volgende elementen van de onderhandelingsresultaten ("Besluit betreffende de resultaten van de onderhandelingen"): </w:t>
      </w:r>
    </w:p>
    <w:p w:rsidRPr="009146A3" w:rsidR="001F3429" w:rsidP="00F92E68" w:rsidRDefault="00F92E68">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i) het Protocol tot wijziging van de Overeenkomst inzake overheidsopdrachten ("het </w:t>
      </w:r>
      <w:r w:rsidR="000446D1">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rotocol") en ii) zeven besluiten van het Comité</w:t>
      </w:r>
      <w:r w:rsidRPr="009146A3" w:rsidR="00E22DFB">
        <w:rPr>
          <w:rFonts w:ascii="Verdana" w:hAnsi="Verdana" w:eastAsia="PMingLiU" w:cs="Times New Roman"/>
          <w:sz w:val="18"/>
          <w:szCs w:val="18"/>
          <w:lang w:val="nl-NL" w:eastAsia="zh-TW"/>
        </w:rPr>
        <w:t xml:space="preserve"> (Annex A t/m G)</w:t>
      </w:r>
      <w:r w:rsidRPr="009146A3">
        <w:rPr>
          <w:rFonts w:ascii="Verdana" w:hAnsi="Verdana" w:eastAsia="PMingLiU" w:cs="Times New Roman"/>
          <w:sz w:val="18"/>
          <w:szCs w:val="18"/>
          <w:lang w:val="nl-NL" w:eastAsia="zh-TW"/>
        </w:rPr>
        <w:t xml:space="preserve">. </w:t>
      </w:r>
    </w:p>
    <w:p w:rsidRPr="009146A3" w:rsidR="001F3429" w:rsidP="00F92E68" w:rsidRDefault="001F3429">
      <w:pPr>
        <w:pStyle w:val="NoSpacing"/>
        <w:rPr>
          <w:rFonts w:ascii="Verdana" w:hAnsi="Verdana" w:eastAsia="PMingLiU" w:cs="Times New Roman"/>
          <w:sz w:val="18"/>
          <w:szCs w:val="18"/>
          <w:lang w:val="nl-NL" w:eastAsia="zh-TW"/>
        </w:rPr>
      </w:pPr>
    </w:p>
    <w:p w:rsidR="00F92E68" w:rsidP="00F92E68" w:rsidRDefault="00F92E68">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Door middel van het Besluit betreffende de resultaten van de onderhandelingen namen de partijen bij de GPA de tekst van het </w:t>
      </w:r>
      <w:r w:rsidRPr="009146A3" w:rsidR="00810EEC">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 xml:space="preserve">rotocol aan en stelden zij het open voor aanvaarding door de partijen bij de GPA. Het </w:t>
      </w:r>
      <w:r w:rsidRPr="009146A3" w:rsidR="003D1E82">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rotocol treedt voor die partijen bij de GPA van 1994</w:t>
      </w:r>
      <w:r w:rsidRPr="009146A3" w:rsidR="003D1E82">
        <w:rPr>
          <w:rFonts w:ascii="Verdana" w:hAnsi="Verdana" w:eastAsia="PMingLiU" w:cs="Times New Roman"/>
          <w:sz w:val="18"/>
          <w:szCs w:val="18"/>
          <w:lang w:val="nl-NL" w:eastAsia="zh-TW"/>
        </w:rPr>
        <w:t>,</w:t>
      </w:r>
      <w:r w:rsidRPr="009146A3">
        <w:rPr>
          <w:rFonts w:ascii="Verdana" w:hAnsi="Verdana" w:eastAsia="PMingLiU" w:cs="Times New Roman"/>
          <w:sz w:val="18"/>
          <w:szCs w:val="18"/>
          <w:lang w:val="nl-NL" w:eastAsia="zh-TW"/>
        </w:rPr>
        <w:t xml:space="preserve"> die hun akte van aanvaarding van dit </w:t>
      </w:r>
      <w:r w:rsidRPr="009146A3" w:rsidR="003D1E82">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rotocol hebben nedergelegd</w:t>
      </w:r>
      <w:r w:rsidRPr="009146A3" w:rsidR="003D1E82">
        <w:rPr>
          <w:rFonts w:ascii="Verdana" w:hAnsi="Verdana" w:eastAsia="PMingLiU" w:cs="Times New Roman"/>
          <w:sz w:val="18"/>
          <w:szCs w:val="18"/>
          <w:lang w:val="nl-NL" w:eastAsia="zh-TW"/>
        </w:rPr>
        <w:t>,</w:t>
      </w:r>
      <w:r w:rsidRPr="009146A3">
        <w:rPr>
          <w:rFonts w:ascii="Verdana" w:hAnsi="Verdana" w:eastAsia="PMingLiU" w:cs="Times New Roman"/>
          <w:sz w:val="18"/>
          <w:szCs w:val="18"/>
          <w:lang w:val="nl-NL" w:eastAsia="zh-TW"/>
        </w:rPr>
        <w:t xml:space="preserve"> in werking op de 30e dag na nederlegging van die akte door twee derde van</w:t>
      </w:r>
      <w:r w:rsidR="0051543A">
        <w:rPr>
          <w:rFonts w:ascii="Verdana" w:hAnsi="Verdana" w:eastAsia="PMingLiU" w:cs="Times New Roman"/>
          <w:sz w:val="18"/>
          <w:szCs w:val="18"/>
          <w:lang w:val="nl-NL" w:eastAsia="zh-TW"/>
        </w:rPr>
        <w:t xml:space="preserve"> de partijen bij de GPA</w:t>
      </w:r>
      <w:r w:rsidRPr="009146A3">
        <w:rPr>
          <w:rFonts w:ascii="Verdana" w:hAnsi="Verdana" w:eastAsia="PMingLiU" w:cs="Times New Roman"/>
          <w:sz w:val="18"/>
          <w:szCs w:val="18"/>
          <w:lang w:val="nl-NL" w:eastAsia="zh-TW"/>
        </w:rPr>
        <w:t xml:space="preserve">. Daarna treedt dit </w:t>
      </w:r>
      <w:r w:rsidRPr="009146A3" w:rsidR="003D1E82">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rotocol voor</w:t>
      </w:r>
      <w:r w:rsidR="0051543A">
        <w:rPr>
          <w:rFonts w:ascii="Verdana" w:hAnsi="Verdana" w:eastAsia="PMingLiU" w:cs="Times New Roman"/>
          <w:sz w:val="18"/>
          <w:szCs w:val="18"/>
          <w:lang w:val="nl-NL" w:eastAsia="zh-TW"/>
        </w:rPr>
        <w:t xml:space="preserve"> elke partij bij de GPA</w:t>
      </w:r>
      <w:r w:rsidRPr="009146A3">
        <w:rPr>
          <w:rFonts w:ascii="Verdana" w:hAnsi="Verdana" w:eastAsia="PMingLiU" w:cs="Times New Roman"/>
          <w:sz w:val="18"/>
          <w:szCs w:val="18"/>
          <w:lang w:val="nl-NL" w:eastAsia="zh-TW"/>
        </w:rPr>
        <w:t xml:space="preserve"> die haar akte van aanvaarding van dit </w:t>
      </w:r>
      <w:r w:rsidRPr="009146A3" w:rsidR="003D1E82">
        <w:rPr>
          <w:rFonts w:ascii="Verdana" w:hAnsi="Verdana" w:eastAsia="PMingLiU" w:cs="Times New Roman"/>
          <w:sz w:val="18"/>
          <w:szCs w:val="18"/>
          <w:lang w:val="nl-NL" w:eastAsia="zh-TW"/>
        </w:rPr>
        <w:t>P</w:t>
      </w:r>
      <w:r w:rsidRPr="009146A3">
        <w:rPr>
          <w:rFonts w:ascii="Verdana" w:hAnsi="Verdana" w:eastAsia="PMingLiU" w:cs="Times New Roman"/>
          <w:sz w:val="18"/>
          <w:szCs w:val="18"/>
          <w:lang w:val="nl-NL" w:eastAsia="zh-TW"/>
        </w:rPr>
        <w:t>rotocol heeft nedergelegd</w:t>
      </w:r>
      <w:r w:rsidR="0051543A">
        <w:rPr>
          <w:rFonts w:ascii="Verdana" w:hAnsi="Verdana" w:eastAsia="PMingLiU" w:cs="Times New Roman"/>
          <w:sz w:val="18"/>
          <w:szCs w:val="18"/>
          <w:lang w:val="nl-NL" w:eastAsia="zh-TW"/>
        </w:rPr>
        <w:t>,</w:t>
      </w:r>
      <w:r w:rsidRPr="009146A3">
        <w:rPr>
          <w:rFonts w:ascii="Verdana" w:hAnsi="Verdana" w:eastAsia="PMingLiU" w:cs="Times New Roman"/>
          <w:sz w:val="18"/>
          <w:szCs w:val="18"/>
          <w:lang w:val="nl-NL" w:eastAsia="zh-TW"/>
        </w:rPr>
        <w:t xml:space="preserve"> in werking op de 30e dag na </w:t>
      </w:r>
      <w:r w:rsidRPr="009146A3" w:rsidR="003D1E82">
        <w:rPr>
          <w:rFonts w:ascii="Verdana" w:hAnsi="Verdana" w:eastAsia="PMingLiU" w:cs="Times New Roman"/>
          <w:sz w:val="18"/>
          <w:szCs w:val="18"/>
          <w:lang w:val="nl-NL" w:eastAsia="zh-TW"/>
        </w:rPr>
        <w:t xml:space="preserve">de </w:t>
      </w:r>
      <w:r w:rsidRPr="009146A3">
        <w:rPr>
          <w:rFonts w:ascii="Verdana" w:hAnsi="Verdana" w:eastAsia="PMingLiU" w:cs="Times New Roman"/>
          <w:sz w:val="18"/>
          <w:szCs w:val="18"/>
          <w:lang w:val="nl-NL" w:eastAsia="zh-TW"/>
        </w:rPr>
        <w:t xml:space="preserve">nederlegging van </w:t>
      </w:r>
      <w:r w:rsidRPr="009146A3" w:rsidR="003D1E82">
        <w:rPr>
          <w:rFonts w:ascii="Verdana" w:hAnsi="Verdana" w:eastAsia="PMingLiU" w:cs="Times New Roman"/>
          <w:sz w:val="18"/>
          <w:szCs w:val="18"/>
          <w:lang w:val="nl-NL" w:eastAsia="zh-TW"/>
        </w:rPr>
        <w:t xml:space="preserve">de </w:t>
      </w:r>
      <w:r w:rsidRPr="009146A3">
        <w:rPr>
          <w:rFonts w:ascii="Verdana" w:hAnsi="Verdana" w:eastAsia="PMingLiU" w:cs="Times New Roman"/>
          <w:sz w:val="18"/>
          <w:szCs w:val="18"/>
          <w:lang w:val="nl-NL" w:eastAsia="zh-TW"/>
        </w:rPr>
        <w:t>akte.</w:t>
      </w:r>
      <w:r w:rsidR="000446D1">
        <w:rPr>
          <w:rFonts w:ascii="Verdana" w:hAnsi="Verdana" w:eastAsia="PMingLiU" w:cs="Times New Roman"/>
          <w:sz w:val="18"/>
          <w:szCs w:val="18"/>
          <w:lang w:val="nl-NL" w:eastAsia="zh-TW"/>
        </w:rPr>
        <w:t xml:space="preserve"> </w:t>
      </w:r>
      <w:r w:rsidRPr="009146A3">
        <w:rPr>
          <w:rFonts w:ascii="Verdana" w:hAnsi="Verdana" w:eastAsia="PMingLiU" w:cs="Times New Roman"/>
          <w:sz w:val="18"/>
          <w:szCs w:val="18"/>
          <w:lang w:val="nl-NL" w:eastAsia="zh-TW"/>
        </w:rPr>
        <w:t xml:space="preserve">WTO-leden die wensen toe te treden tot de GPA </w:t>
      </w:r>
      <w:r w:rsidR="000446D1">
        <w:rPr>
          <w:rFonts w:ascii="Verdana" w:hAnsi="Verdana" w:eastAsia="PMingLiU" w:cs="Times New Roman"/>
          <w:sz w:val="18"/>
          <w:szCs w:val="18"/>
          <w:lang w:val="nl-NL" w:eastAsia="zh-TW"/>
        </w:rPr>
        <w:t>nadat het Protocol in werking is getreden, kunnen alleen toetreden tot de GPA zoals herzien door het Protocol.</w:t>
      </w:r>
    </w:p>
    <w:p w:rsidRPr="009146A3" w:rsidR="0051543A" w:rsidP="00F92E68" w:rsidRDefault="0051543A">
      <w:pPr>
        <w:pStyle w:val="NoSpacing"/>
        <w:rPr>
          <w:rFonts w:ascii="Verdana" w:hAnsi="Verdana" w:eastAsia="PMingLiU" w:cs="Times New Roman"/>
          <w:sz w:val="18"/>
          <w:szCs w:val="18"/>
          <w:lang w:val="nl-NL" w:eastAsia="zh-TW"/>
        </w:rPr>
      </w:pPr>
    </w:p>
    <w:p w:rsidRPr="009146A3" w:rsidR="00F92E68" w:rsidP="00F92E68" w:rsidRDefault="003D1E82">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I</w:t>
      </w:r>
      <w:r w:rsidRPr="009146A3" w:rsidR="00F92E68">
        <w:rPr>
          <w:rFonts w:ascii="Verdana" w:hAnsi="Verdana" w:eastAsia="PMingLiU" w:cs="Times New Roman"/>
          <w:sz w:val="18"/>
          <w:szCs w:val="18"/>
          <w:lang w:val="nl-NL" w:eastAsia="zh-TW"/>
        </w:rPr>
        <w:t xml:space="preserve">n aanhangsel 2 bij het Besluit betreffende de resultaten van de onderhandelingen </w:t>
      </w:r>
      <w:r w:rsidRPr="009146A3">
        <w:rPr>
          <w:rFonts w:ascii="Verdana" w:hAnsi="Verdana" w:eastAsia="PMingLiU" w:cs="Times New Roman"/>
          <w:sz w:val="18"/>
          <w:szCs w:val="18"/>
          <w:lang w:val="nl-NL" w:eastAsia="zh-TW"/>
        </w:rPr>
        <w:t xml:space="preserve">worden </w:t>
      </w:r>
      <w:r w:rsidRPr="009146A3" w:rsidR="00F92E68">
        <w:rPr>
          <w:rFonts w:ascii="Verdana" w:hAnsi="Verdana" w:eastAsia="PMingLiU" w:cs="Times New Roman"/>
          <w:sz w:val="18"/>
          <w:szCs w:val="18"/>
          <w:lang w:val="nl-NL" w:eastAsia="zh-TW"/>
        </w:rPr>
        <w:t>zeven besluiten van het Comité voor ov</w:t>
      </w:r>
      <w:r w:rsidRPr="009146A3" w:rsidR="0014658D">
        <w:rPr>
          <w:rFonts w:ascii="Verdana" w:hAnsi="Verdana" w:eastAsia="PMingLiU" w:cs="Times New Roman"/>
          <w:sz w:val="18"/>
          <w:szCs w:val="18"/>
          <w:lang w:val="nl-NL" w:eastAsia="zh-TW"/>
        </w:rPr>
        <w:t>erheidsopdrachten geformuleerd w</w:t>
      </w:r>
      <w:r w:rsidRPr="009146A3" w:rsidR="00F92E68">
        <w:rPr>
          <w:rFonts w:ascii="Verdana" w:hAnsi="Verdana" w:eastAsia="PMingLiU" w:cs="Times New Roman"/>
          <w:sz w:val="18"/>
          <w:szCs w:val="18"/>
          <w:lang w:val="nl-NL" w:eastAsia="zh-TW"/>
        </w:rPr>
        <w:t xml:space="preserve">aarin toekomstige werkprogramma’s van het Comité </w:t>
      </w:r>
      <w:r w:rsidRPr="009146A3" w:rsidR="0014658D">
        <w:rPr>
          <w:rFonts w:ascii="Verdana" w:hAnsi="Verdana" w:eastAsia="PMingLiU" w:cs="Times New Roman"/>
          <w:sz w:val="18"/>
          <w:szCs w:val="18"/>
          <w:lang w:val="nl-NL" w:eastAsia="zh-TW"/>
        </w:rPr>
        <w:t xml:space="preserve">worden </w:t>
      </w:r>
      <w:r w:rsidRPr="009146A3" w:rsidR="00F92E68">
        <w:rPr>
          <w:rFonts w:ascii="Verdana" w:hAnsi="Verdana" w:eastAsia="PMingLiU" w:cs="Times New Roman"/>
          <w:sz w:val="18"/>
          <w:szCs w:val="18"/>
          <w:lang w:val="nl-NL" w:eastAsia="zh-TW"/>
        </w:rPr>
        <w:t xml:space="preserve">vastgesteld en een uitvoerige beschrijving </w:t>
      </w:r>
      <w:r w:rsidRPr="009146A3" w:rsidR="0014658D">
        <w:rPr>
          <w:rFonts w:ascii="Verdana" w:hAnsi="Verdana" w:eastAsia="PMingLiU" w:cs="Times New Roman"/>
          <w:sz w:val="18"/>
          <w:szCs w:val="18"/>
          <w:lang w:val="nl-NL" w:eastAsia="zh-TW"/>
        </w:rPr>
        <w:t xml:space="preserve">wordt </w:t>
      </w:r>
      <w:r w:rsidRPr="009146A3" w:rsidR="00F92E68">
        <w:rPr>
          <w:rFonts w:ascii="Verdana" w:hAnsi="Verdana" w:eastAsia="PMingLiU" w:cs="Times New Roman"/>
          <w:sz w:val="18"/>
          <w:szCs w:val="18"/>
          <w:lang w:val="nl-NL" w:eastAsia="zh-TW"/>
        </w:rPr>
        <w:t xml:space="preserve">gegeven van de kennisgevingsverplichtingen uit hoofde van de artikelen XIX en XXII van </w:t>
      </w:r>
      <w:r w:rsidR="00E71E26">
        <w:rPr>
          <w:rFonts w:ascii="Verdana" w:hAnsi="Verdana" w:eastAsia="PMingLiU" w:cs="Times New Roman"/>
          <w:sz w:val="18"/>
          <w:szCs w:val="18"/>
          <w:lang w:val="nl-NL" w:eastAsia="zh-TW"/>
        </w:rPr>
        <w:t>onderhavig Protocol</w:t>
      </w:r>
      <w:r w:rsidRPr="009146A3" w:rsidR="00F92E68">
        <w:rPr>
          <w:rFonts w:ascii="Verdana" w:hAnsi="Verdana" w:eastAsia="PMingLiU" w:cs="Times New Roman"/>
          <w:sz w:val="18"/>
          <w:szCs w:val="18"/>
          <w:lang w:val="nl-NL" w:eastAsia="zh-TW"/>
        </w:rPr>
        <w:t xml:space="preserve">. </w:t>
      </w:r>
    </w:p>
    <w:p w:rsidR="00E71E26" w:rsidP="00F92E68" w:rsidRDefault="00E71E26">
      <w:pPr>
        <w:pStyle w:val="NoSpacing"/>
        <w:rPr>
          <w:rFonts w:ascii="Verdana" w:hAnsi="Verdana" w:eastAsia="PMingLiU" w:cs="Times New Roman"/>
          <w:b/>
          <w:sz w:val="18"/>
          <w:szCs w:val="18"/>
          <w:lang w:val="nl-NL" w:eastAsia="zh-TW"/>
        </w:rPr>
      </w:pPr>
    </w:p>
    <w:p w:rsidRPr="009146A3" w:rsidR="00D6598B" w:rsidP="00F92E68" w:rsidRDefault="00870EA8">
      <w:pPr>
        <w:pStyle w:val="NoSpacing"/>
        <w:rPr>
          <w:rFonts w:ascii="Verdana" w:hAnsi="Verdana" w:eastAsia="PMingLiU" w:cs="Times New Roman"/>
          <w:b/>
          <w:sz w:val="18"/>
          <w:szCs w:val="18"/>
          <w:lang w:val="nl-NL" w:eastAsia="zh-TW"/>
        </w:rPr>
      </w:pPr>
      <w:r>
        <w:rPr>
          <w:rFonts w:ascii="Verdana" w:hAnsi="Verdana" w:eastAsia="PMingLiU" w:cs="Times New Roman"/>
          <w:b/>
          <w:sz w:val="18"/>
          <w:szCs w:val="18"/>
          <w:lang w:val="nl-NL" w:eastAsia="zh-TW"/>
        </w:rPr>
        <w:lastRenderedPageBreak/>
        <w:t xml:space="preserve">Dienstenaanbod </w:t>
      </w:r>
      <w:r w:rsidRPr="009146A3" w:rsidR="009A7E18">
        <w:rPr>
          <w:rFonts w:ascii="Verdana" w:hAnsi="Verdana" w:eastAsia="PMingLiU" w:cs="Times New Roman"/>
          <w:b/>
          <w:sz w:val="18"/>
          <w:szCs w:val="18"/>
          <w:lang w:val="nl-NL" w:eastAsia="zh-TW"/>
        </w:rPr>
        <w:t>Aruba</w:t>
      </w:r>
    </w:p>
    <w:p w:rsidR="00261B16" w:rsidP="009146A3" w:rsidRDefault="00670759">
      <w:pPr>
        <w:pStyle w:val="NoSpacing"/>
        <w:rPr>
          <w:rFonts w:ascii="Verdana" w:hAnsi="Verdana"/>
          <w:sz w:val="18"/>
          <w:szCs w:val="18"/>
          <w:lang w:val="nl-NL"/>
        </w:rPr>
      </w:pPr>
      <w:r>
        <w:rPr>
          <w:rFonts w:ascii="Verdana" w:hAnsi="Verdana"/>
          <w:sz w:val="18"/>
          <w:szCs w:val="18"/>
          <w:lang w:val="nl-NL"/>
        </w:rPr>
        <w:t>Bij</w:t>
      </w:r>
      <w:r w:rsidRPr="009146A3" w:rsidR="00BB7CF1">
        <w:rPr>
          <w:rFonts w:ascii="Verdana" w:hAnsi="Verdana"/>
          <w:sz w:val="18"/>
          <w:szCs w:val="18"/>
          <w:lang w:val="nl-NL"/>
        </w:rPr>
        <w:t xml:space="preserve"> de toetreding van Aruba tot de GPA lag </w:t>
      </w:r>
      <w:r>
        <w:rPr>
          <w:rFonts w:ascii="Verdana" w:hAnsi="Verdana"/>
          <w:sz w:val="18"/>
          <w:szCs w:val="18"/>
          <w:lang w:val="nl-NL"/>
        </w:rPr>
        <w:t>aan het Arubaanse dienstenaanbod (</w:t>
      </w:r>
      <w:r w:rsidR="00842094">
        <w:rPr>
          <w:rFonts w:ascii="Verdana" w:hAnsi="Verdana"/>
          <w:sz w:val="18"/>
          <w:szCs w:val="18"/>
          <w:lang w:val="nl-NL"/>
        </w:rPr>
        <w:t xml:space="preserve">de opening </w:t>
      </w:r>
      <w:r>
        <w:rPr>
          <w:rFonts w:ascii="Verdana" w:hAnsi="Verdana"/>
          <w:sz w:val="18"/>
          <w:szCs w:val="18"/>
          <w:lang w:val="nl-NL"/>
        </w:rPr>
        <w:t xml:space="preserve">van </w:t>
      </w:r>
      <w:r w:rsidR="00842094">
        <w:rPr>
          <w:rFonts w:ascii="Verdana" w:hAnsi="Verdana"/>
          <w:sz w:val="18"/>
          <w:szCs w:val="18"/>
          <w:lang w:val="nl-NL"/>
        </w:rPr>
        <w:t xml:space="preserve">enkele dienstsectoren </w:t>
      </w:r>
      <w:r>
        <w:rPr>
          <w:rFonts w:ascii="Verdana" w:hAnsi="Verdana"/>
          <w:sz w:val="18"/>
          <w:szCs w:val="18"/>
          <w:lang w:val="nl-NL"/>
        </w:rPr>
        <w:t xml:space="preserve">voor buitenlandse bedrijven) </w:t>
      </w:r>
      <w:r w:rsidRPr="009146A3" w:rsidR="00BB7CF1">
        <w:rPr>
          <w:rFonts w:ascii="Verdana" w:hAnsi="Verdana"/>
          <w:sz w:val="18"/>
          <w:szCs w:val="18"/>
          <w:lang w:val="nl-NL"/>
        </w:rPr>
        <w:t>onder andere ten grondslag de Vestigingsverordening Bedrijven, die de vestiging van bedrijven op Aruba reguleert en de verordeningen van de Centrale Bank van Aruba</w:t>
      </w:r>
      <w:r w:rsidR="009146A3">
        <w:rPr>
          <w:rFonts w:ascii="Verdana" w:hAnsi="Verdana"/>
          <w:sz w:val="18"/>
          <w:szCs w:val="18"/>
          <w:lang w:val="nl-NL"/>
        </w:rPr>
        <w:t>,</w:t>
      </w:r>
      <w:r w:rsidRPr="009146A3" w:rsidR="00BB7CF1">
        <w:rPr>
          <w:rFonts w:ascii="Verdana" w:hAnsi="Verdana"/>
          <w:sz w:val="18"/>
          <w:szCs w:val="18"/>
          <w:lang w:val="nl-NL"/>
        </w:rPr>
        <w:t xml:space="preserve"> regelende de toelating en supervisie van krediet- en verzekeringsinstellingen. Voorts heeft toen meegewogen dat</w:t>
      </w:r>
      <w:r w:rsidRPr="009146A3" w:rsidR="00261B16">
        <w:rPr>
          <w:rFonts w:ascii="Verdana" w:hAnsi="Verdana"/>
          <w:sz w:val="18"/>
          <w:szCs w:val="18"/>
          <w:lang w:val="nl-NL"/>
        </w:rPr>
        <w:t xml:space="preserve"> Aruba een kleine eilandeconomie is met </w:t>
      </w:r>
      <w:r w:rsidR="009146A3">
        <w:rPr>
          <w:rFonts w:ascii="Verdana" w:hAnsi="Verdana"/>
          <w:sz w:val="18"/>
          <w:szCs w:val="18"/>
          <w:lang w:val="nl-NL"/>
        </w:rPr>
        <w:t xml:space="preserve">een </w:t>
      </w:r>
      <w:r w:rsidRPr="009146A3" w:rsidR="00261B16">
        <w:rPr>
          <w:rFonts w:ascii="Verdana" w:hAnsi="Verdana"/>
          <w:sz w:val="18"/>
          <w:szCs w:val="18"/>
          <w:lang w:val="nl-NL"/>
        </w:rPr>
        <w:t xml:space="preserve">relatief </w:t>
      </w:r>
      <w:r w:rsidR="009146A3">
        <w:rPr>
          <w:rFonts w:ascii="Verdana" w:hAnsi="Verdana"/>
          <w:sz w:val="18"/>
          <w:szCs w:val="18"/>
          <w:lang w:val="nl-NL"/>
        </w:rPr>
        <w:t>gering aantal</w:t>
      </w:r>
      <w:r w:rsidRPr="009146A3" w:rsidR="00A34A11">
        <w:rPr>
          <w:rFonts w:ascii="Verdana" w:hAnsi="Verdana"/>
          <w:sz w:val="18"/>
          <w:szCs w:val="18"/>
          <w:lang w:val="nl-NL"/>
        </w:rPr>
        <w:t xml:space="preserve"> midden- en kleinbedrij</w:t>
      </w:r>
      <w:r w:rsidR="009146A3">
        <w:rPr>
          <w:rFonts w:ascii="Verdana" w:hAnsi="Verdana"/>
          <w:sz w:val="18"/>
          <w:szCs w:val="18"/>
          <w:lang w:val="nl-NL"/>
        </w:rPr>
        <w:t>ven</w:t>
      </w:r>
      <w:r w:rsidRPr="009146A3" w:rsidR="00A34A11">
        <w:rPr>
          <w:rFonts w:ascii="Verdana" w:hAnsi="Verdana"/>
          <w:sz w:val="18"/>
          <w:szCs w:val="18"/>
          <w:lang w:val="nl-NL"/>
        </w:rPr>
        <w:t xml:space="preserve"> in vergelijking met de andere</w:t>
      </w:r>
      <w:r w:rsidRPr="009146A3" w:rsidR="00261B16">
        <w:rPr>
          <w:rFonts w:ascii="Verdana" w:hAnsi="Verdana"/>
          <w:sz w:val="18"/>
          <w:szCs w:val="18"/>
          <w:lang w:val="nl-NL"/>
        </w:rPr>
        <w:t xml:space="preserve"> GPA-leden. Aruba wil voorkomen dat er een vertekend beeld </w:t>
      </w:r>
      <w:r w:rsidRPr="009146A3" w:rsidR="00A34A11">
        <w:rPr>
          <w:rFonts w:ascii="Verdana" w:hAnsi="Verdana"/>
          <w:sz w:val="18"/>
          <w:szCs w:val="18"/>
          <w:lang w:val="nl-NL"/>
        </w:rPr>
        <w:t xml:space="preserve">ontstaat ten aanzien van de reikwijdte van het </w:t>
      </w:r>
      <w:r w:rsidRPr="009146A3" w:rsidR="00261B16">
        <w:rPr>
          <w:rFonts w:ascii="Verdana" w:hAnsi="Verdana"/>
          <w:sz w:val="18"/>
          <w:szCs w:val="18"/>
          <w:lang w:val="nl-NL"/>
        </w:rPr>
        <w:t>Arubaanse aanbestedingspotentieel.</w:t>
      </w:r>
    </w:p>
    <w:p w:rsidRPr="009146A3" w:rsidR="009146A3" w:rsidP="009146A3" w:rsidRDefault="009146A3">
      <w:pPr>
        <w:pStyle w:val="NoSpacing"/>
        <w:rPr>
          <w:rFonts w:ascii="Verdana" w:hAnsi="Verdana"/>
          <w:sz w:val="18"/>
          <w:szCs w:val="18"/>
          <w:lang w:val="nl-NL"/>
        </w:rPr>
      </w:pPr>
    </w:p>
    <w:p w:rsidRPr="009146A3" w:rsidR="00261B16" w:rsidP="00605E6F" w:rsidRDefault="00A34A11">
      <w:pPr>
        <w:spacing w:line="240" w:lineRule="auto"/>
        <w:jc w:val="both"/>
        <w:rPr>
          <w:rFonts w:ascii="Verdana" w:hAnsi="Verdana"/>
          <w:sz w:val="18"/>
          <w:szCs w:val="18"/>
          <w:lang w:val="nl-NL"/>
        </w:rPr>
      </w:pPr>
      <w:r w:rsidRPr="009146A3">
        <w:rPr>
          <w:rFonts w:ascii="Verdana" w:hAnsi="Verdana"/>
          <w:sz w:val="18"/>
          <w:szCs w:val="18"/>
          <w:lang w:val="nl-NL"/>
        </w:rPr>
        <w:t xml:space="preserve">Het </w:t>
      </w:r>
      <w:r w:rsidR="00842094">
        <w:rPr>
          <w:rFonts w:ascii="Verdana" w:hAnsi="Verdana"/>
          <w:sz w:val="18"/>
          <w:szCs w:val="18"/>
          <w:lang w:val="nl-NL"/>
        </w:rPr>
        <w:t>diensten</w:t>
      </w:r>
      <w:r w:rsidRPr="009146A3">
        <w:rPr>
          <w:rFonts w:ascii="Verdana" w:hAnsi="Verdana"/>
          <w:sz w:val="18"/>
          <w:szCs w:val="18"/>
          <w:lang w:val="nl-NL"/>
        </w:rPr>
        <w:t>aanbod van Aruba (2</w:t>
      </w:r>
      <w:r w:rsidRPr="009146A3" w:rsidR="00261B16">
        <w:rPr>
          <w:rFonts w:ascii="Verdana" w:hAnsi="Verdana"/>
          <w:sz w:val="18"/>
          <w:szCs w:val="18"/>
          <w:lang w:val="nl-NL"/>
        </w:rPr>
        <w:t>008</w:t>
      </w:r>
      <w:r w:rsidRPr="009146A3">
        <w:rPr>
          <w:rFonts w:ascii="Verdana" w:hAnsi="Verdana"/>
          <w:sz w:val="18"/>
          <w:szCs w:val="18"/>
          <w:lang w:val="nl-NL"/>
        </w:rPr>
        <w:t>)</w:t>
      </w:r>
      <w:r w:rsidRPr="009146A3" w:rsidR="00261B16">
        <w:rPr>
          <w:rFonts w:ascii="Verdana" w:hAnsi="Verdana"/>
          <w:sz w:val="18"/>
          <w:szCs w:val="18"/>
          <w:lang w:val="nl-NL"/>
        </w:rPr>
        <w:t xml:space="preserve"> </w:t>
      </w:r>
      <w:r w:rsidRPr="009146A3">
        <w:rPr>
          <w:rFonts w:ascii="Verdana" w:hAnsi="Verdana"/>
          <w:sz w:val="18"/>
          <w:szCs w:val="18"/>
          <w:lang w:val="nl-NL"/>
        </w:rPr>
        <w:t>bevat in</w:t>
      </w:r>
      <w:r w:rsidRPr="009146A3" w:rsidR="00261B16">
        <w:rPr>
          <w:rFonts w:ascii="Verdana" w:hAnsi="Verdana"/>
          <w:sz w:val="18"/>
          <w:szCs w:val="18"/>
          <w:lang w:val="nl-NL"/>
        </w:rPr>
        <w:t xml:space="preserve"> </w:t>
      </w:r>
      <w:r w:rsidRPr="009146A3">
        <w:rPr>
          <w:rFonts w:ascii="Verdana" w:hAnsi="Verdana"/>
          <w:sz w:val="18"/>
          <w:szCs w:val="18"/>
          <w:lang w:val="nl-NL"/>
        </w:rPr>
        <w:t>A</w:t>
      </w:r>
      <w:r w:rsidRPr="009146A3" w:rsidR="00261B16">
        <w:rPr>
          <w:rFonts w:ascii="Verdana" w:hAnsi="Verdana"/>
          <w:sz w:val="18"/>
          <w:szCs w:val="18"/>
          <w:lang w:val="nl-NL"/>
        </w:rPr>
        <w:t xml:space="preserve">nnex 1 </w:t>
      </w:r>
      <w:r w:rsidR="0051543A">
        <w:rPr>
          <w:rFonts w:ascii="Verdana" w:hAnsi="Verdana"/>
          <w:sz w:val="18"/>
          <w:szCs w:val="18"/>
          <w:lang w:val="nl-NL"/>
        </w:rPr>
        <w:t xml:space="preserve">ten opzichte van een eerder dienstenaanbod </w:t>
      </w:r>
      <w:r w:rsidRPr="009146A3" w:rsidR="00261B16">
        <w:rPr>
          <w:rFonts w:ascii="Verdana" w:hAnsi="Verdana"/>
          <w:sz w:val="18"/>
          <w:szCs w:val="18"/>
          <w:lang w:val="nl-NL"/>
        </w:rPr>
        <w:t xml:space="preserve">een verlaging van de drempelwaarden </w:t>
      </w:r>
      <w:r w:rsidRPr="009146A3">
        <w:rPr>
          <w:rFonts w:ascii="Verdana" w:hAnsi="Verdana"/>
          <w:sz w:val="18"/>
          <w:szCs w:val="18"/>
          <w:lang w:val="nl-NL"/>
        </w:rPr>
        <w:t xml:space="preserve">voor de overheid </w:t>
      </w:r>
      <w:r w:rsidRPr="009146A3" w:rsidR="00261B16">
        <w:rPr>
          <w:rFonts w:ascii="Verdana" w:hAnsi="Verdana"/>
          <w:sz w:val="18"/>
          <w:szCs w:val="18"/>
          <w:lang w:val="nl-NL"/>
        </w:rPr>
        <w:t xml:space="preserve">en een uitbreiding van de entiteiten. </w:t>
      </w:r>
      <w:r w:rsidRPr="009146A3" w:rsidR="0002739C">
        <w:rPr>
          <w:rFonts w:ascii="Verdana" w:hAnsi="Verdana"/>
          <w:sz w:val="18"/>
          <w:szCs w:val="18"/>
          <w:lang w:val="nl-NL"/>
        </w:rPr>
        <w:t>In Annex 3 zijn de overheidsnv’s verwijderd met het</w:t>
      </w:r>
      <w:r w:rsidRPr="009146A3" w:rsidR="00261B16">
        <w:rPr>
          <w:rFonts w:ascii="Verdana" w:hAnsi="Verdana"/>
          <w:sz w:val="18"/>
          <w:szCs w:val="18"/>
          <w:lang w:val="nl-NL"/>
        </w:rPr>
        <w:t xml:space="preserve"> argument van privatisering c.q. verzelfstandiging. Ten</w:t>
      </w:r>
      <w:r w:rsidR="009146A3">
        <w:rPr>
          <w:rFonts w:ascii="Verdana" w:hAnsi="Verdana"/>
          <w:sz w:val="18"/>
          <w:szCs w:val="18"/>
          <w:lang w:val="nl-NL"/>
        </w:rPr>
        <w:t xml:space="preserve"> </w:t>
      </w:r>
      <w:r w:rsidRPr="009146A3" w:rsidR="00261B16">
        <w:rPr>
          <w:rFonts w:ascii="Verdana" w:hAnsi="Verdana"/>
          <w:sz w:val="18"/>
          <w:szCs w:val="18"/>
          <w:lang w:val="nl-NL"/>
        </w:rPr>
        <w:t xml:space="preserve">slotte is in </w:t>
      </w:r>
      <w:r w:rsidRPr="009146A3" w:rsidR="0002739C">
        <w:rPr>
          <w:rFonts w:ascii="Verdana" w:hAnsi="Verdana"/>
          <w:sz w:val="18"/>
          <w:szCs w:val="18"/>
          <w:lang w:val="nl-NL"/>
        </w:rPr>
        <w:t>A</w:t>
      </w:r>
      <w:r w:rsidRPr="009146A3" w:rsidR="00261B16">
        <w:rPr>
          <w:rFonts w:ascii="Verdana" w:hAnsi="Verdana"/>
          <w:sz w:val="18"/>
          <w:szCs w:val="18"/>
          <w:lang w:val="nl-NL"/>
        </w:rPr>
        <w:t xml:space="preserve">nnex 4 een verdere opening van de markt aangegeven. In 2010 </w:t>
      </w:r>
      <w:r w:rsidRPr="009146A3" w:rsidR="00605E6F">
        <w:rPr>
          <w:rFonts w:ascii="Verdana" w:hAnsi="Verdana"/>
          <w:sz w:val="18"/>
          <w:szCs w:val="18"/>
          <w:lang w:val="nl-NL"/>
        </w:rPr>
        <w:t xml:space="preserve">zijn er vragen over de reden van de verwijdering van de entiteiten onder </w:t>
      </w:r>
      <w:r w:rsidRPr="009146A3" w:rsidR="0002739C">
        <w:rPr>
          <w:rFonts w:ascii="Verdana" w:hAnsi="Verdana"/>
          <w:sz w:val="18"/>
          <w:szCs w:val="18"/>
          <w:lang w:val="nl-NL"/>
        </w:rPr>
        <w:t>A</w:t>
      </w:r>
      <w:r w:rsidRPr="009146A3" w:rsidR="00605E6F">
        <w:rPr>
          <w:rFonts w:ascii="Verdana" w:hAnsi="Verdana"/>
          <w:sz w:val="18"/>
          <w:szCs w:val="18"/>
          <w:lang w:val="nl-NL"/>
        </w:rPr>
        <w:t>nnex 3</w:t>
      </w:r>
      <w:r w:rsidRPr="009146A3" w:rsidR="00A81018">
        <w:rPr>
          <w:rFonts w:ascii="Verdana" w:hAnsi="Verdana"/>
          <w:sz w:val="18"/>
          <w:szCs w:val="18"/>
          <w:lang w:val="nl-NL"/>
        </w:rPr>
        <w:t xml:space="preserve"> gesteld en </w:t>
      </w:r>
      <w:r w:rsidRPr="009146A3" w:rsidR="00261B16">
        <w:rPr>
          <w:rFonts w:ascii="Verdana" w:hAnsi="Verdana"/>
          <w:sz w:val="18"/>
          <w:szCs w:val="18"/>
          <w:lang w:val="nl-NL"/>
        </w:rPr>
        <w:t xml:space="preserve">is Aruba door de Verenigde Staten verzocht om meer markttoegang te verlenen met betrekking tot telecommunicatiediensten in het algemeen. Verder heeft Canada verzocht om </w:t>
      </w:r>
      <w:r w:rsidRPr="009146A3" w:rsidR="0002739C">
        <w:rPr>
          <w:rFonts w:ascii="Verdana" w:hAnsi="Verdana"/>
          <w:sz w:val="18"/>
          <w:szCs w:val="18"/>
          <w:lang w:val="nl-NL"/>
        </w:rPr>
        <w:t>op basis</w:t>
      </w:r>
      <w:r w:rsidRPr="009146A3" w:rsidR="00261B16">
        <w:rPr>
          <w:rFonts w:ascii="Verdana" w:hAnsi="Verdana"/>
          <w:sz w:val="18"/>
          <w:szCs w:val="18"/>
          <w:lang w:val="nl-NL"/>
        </w:rPr>
        <w:t xml:space="preserve"> van wederkerigheid de opening van de markt voor buitenlandse aanbieders bij overheidsaanbestedingen in Aruba overeen te laten komen met de opening van de markt in Canada. </w:t>
      </w:r>
    </w:p>
    <w:p w:rsidRPr="00715854" w:rsidR="00261B16" w:rsidP="00605E6F" w:rsidRDefault="00261B16">
      <w:pPr>
        <w:spacing w:line="240" w:lineRule="auto"/>
        <w:jc w:val="both"/>
        <w:rPr>
          <w:rFonts w:ascii="Verdana" w:hAnsi="Verdana"/>
          <w:sz w:val="18"/>
          <w:szCs w:val="18"/>
          <w:lang w:val="nl-NL"/>
        </w:rPr>
      </w:pPr>
      <w:r w:rsidRPr="009146A3">
        <w:rPr>
          <w:rFonts w:ascii="Verdana" w:hAnsi="Verdana"/>
          <w:sz w:val="18"/>
          <w:szCs w:val="18"/>
          <w:lang w:val="nl-NL"/>
        </w:rPr>
        <w:t xml:space="preserve">Aruba erkent het belang van een uitgebreide markttoegang in </w:t>
      </w:r>
      <w:r w:rsidR="000446D1">
        <w:rPr>
          <w:rFonts w:ascii="Verdana" w:hAnsi="Verdana"/>
          <w:sz w:val="18"/>
          <w:szCs w:val="18"/>
          <w:lang w:val="nl-NL"/>
        </w:rPr>
        <w:t>de</w:t>
      </w:r>
      <w:r w:rsidR="00842094">
        <w:rPr>
          <w:rFonts w:ascii="Verdana" w:hAnsi="Verdana"/>
          <w:sz w:val="18"/>
          <w:szCs w:val="18"/>
          <w:lang w:val="nl-NL"/>
        </w:rPr>
        <w:t xml:space="preserve"> </w:t>
      </w:r>
      <w:r w:rsidRPr="009146A3">
        <w:rPr>
          <w:rFonts w:ascii="Verdana" w:hAnsi="Verdana"/>
          <w:sz w:val="18"/>
          <w:szCs w:val="18"/>
          <w:lang w:val="nl-NL"/>
        </w:rPr>
        <w:t xml:space="preserve">GPA. Aruba heeft namelijk een open economie en heeft diverse buitenlandse investeringen in de dienstensector. In de praktijk gunt de overheid al het merendeel van de aanschaf van telecommunicatiediensten boven de drempelwaarde van </w:t>
      </w:r>
      <w:r w:rsidR="000446D1">
        <w:rPr>
          <w:rFonts w:ascii="Verdana" w:hAnsi="Verdana"/>
          <w:sz w:val="18"/>
          <w:szCs w:val="18"/>
          <w:lang w:val="nl-NL"/>
        </w:rPr>
        <w:t xml:space="preserve">de </w:t>
      </w:r>
      <w:r w:rsidRPr="009146A3">
        <w:rPr>
          <w:rFonts w:ascii="Verdana" w:hAnsi="Verdana"/>
          <w:sz w:val="18"/>
          <w:szCs w:val="18"/>
          <w:lang w:val="nl-NL"/>
        </w:rPr>
        <w:t>GPA, namelijk 365.400</w:t>
      </w:r>
      <w:r w:rsidR="009D6E13">
        <w:rPr>
          <w:rFonts w:ascii="Verdana" w:hAnsi="Verdana"/>
          <w:sz w:val="18"/>
          <w:szCs w:val="18"/>
          <w:lang w:val="nl-NL"/>
        </w:rPr>
        <w:t xml:space="preserve"> Arubaanse Florin</w:t>
      </w:r>
      <w:r w:rsidRPr="009146A3">
        <w:rPr>
          <w:rFonts w:ascii="Verdana" w:hAnsi="Verdana"/>
          <w:sz w:val="18"/>
          <w:szCs w:val="18"/>
          <w:lang w:val="nl-NL"/>
        </w:rPr>
        <w:t xml:space="preserve">, aan buitenlandse aanbieders gezien de beperking van de lokale markt. In de geest van een nog bredere uitbreiding van de markttoegang in </w:t>
      </w:r>
      <w:r w:rsidR="000446D1">
        <w:rPr>
          <w:rFonts w:ascii="Verdana" w:hAnsi="Verdana"/>
          <w:sz w:val="18"/>
          <w:szCs w:val="18"/>
          <w:lang w:val="nl-NL"/>
        </w:rPr>
        <w:t xml:space="preserve">de </w:t>
      </w:r>
      <w:r w:rsidRPr="009146A3">
        <w:rPr>
          <w:rFonts w:ascii="Verdana" w:hAnsi="Verdana"/>
          <w:sz w:val="18"/>
          <w:szCs w:val="18"/>
          <w:lang w:val="nl-NL"/>
        </w:rPr>
        <w:t>GPA, zal de opname van telecommunicatiediensten</w:t>
      </w:r>
      <w:r w:rsidRPr="00715854">
        <w:rPr>
          <w:rFonts w:ascii="Verdana" w:hAnsi="Verdana"/>
          <w:sz w:val="18"/>
          <w:szCs w:val="18"/>
          <w:lang w:val="nl-NL"/>
        </w:rPr>
        <w:t xml:space="preserve"> geen probleem vormen. </w:t>
      </w:r>
    </w:p>
    <w:p w:rsidR="003B64F9" w:rsidP="00F92E68" w:rsidRDefault="00605E6F">
      <w:pPr>
        <w:pStyle w:val="NoSpacing"/>
        <w:rPr>
          <w:rFonts w:ascii="Verdana" w:hAnsi="Verdana"/>
          <w:sz w:val="18"/>
          <w:szCs w:val="18"/>
          <w:lang w:val="nl-NL"/>
        </w:rPr>
      </w:pPr>
      <w:r w:rsidRPr="008B78D3">
        <w:rPr>
          <w:rFonts w:ascii="Verdana" w:hAnsi="Verdana"/>
          <w:sz w:val="18"/>
          <w:szCs w:val="18"/>
          <w:lang w:val="nl-NL"/>
        </w:rPr>
        <w:t xml:space="preserve">In 2011 heeft de Permanente Vertegenwoordiger van het </w:t>
      </w:r>
      <w:r w:rsidR="009146A3">
        <w:rPr>
          <w:rFonts w:ascii="Verdana" w:hAnsi="Verdana"/>
          <w:sz w:val="18"/>
          <w:szCs w:val="18"/>
          <w:lang w:val="nl-NL"/>
        </w:rPr>
        <w:t>K</w:t>
      </w:r>
      <w:r w:rsidRPr="009146A3">
        <w:rPr>
          <w:rFonts w:ascii="Verdana" w:hAnsi="Verdana"/>
          <w:sz w:val="18"/>
          <w:szCs w:val="18"/>
          <w:lang w:val="nl-NL"/>
        </w:rPr>
        <w:t xml:space="preserve">oninkrijk </w:t>
      </w:r>
      <w:r w:rsidR="009146A3">
        <w:rPr>
          <w:rFonts w:ascii="Verdana" w:hAnsi="Verdana"/>
          <w:sz w:val="18"/>
          <w:szCs w:val="18"/>
          <w:lang w:val="nl-NL"/>
        </w:rPr>
        <w:t xml:space="preserve">bij de VN </w:t>
      </w:r>
      <w:r w:rsidRPr="009146A3">
        <w:rPr>
          <w:rFonts w:ascii="Verdana" w:hAnsi="Verdana"/>
          <w:sz w:val="18"/>
          <w:szCs w:val="18"/>
          <w:lang w:val="nl-NL"/>
        </w:rPr>
        <w:t>in Gen</w:t>
      </w:r>
      <w:r w:rsidR="00715854">
        <w:rPr>
          <w:rFonts w:ascii="Verdana" w:hAnsi="Verdana"/>
          <w:sz w:val="18"/>
          <w:szCs w:val="18"/>
          <w:lang w:val="nl-NL"/>
        </w:rPr>
        <w:t>è</w:t>
      </w:r>
      <w:r w:rsidRPr="009146A3">
        <w:rPr>
          <w:rFonts w:ascii="Verdana" w:hAnsi="Verdana"/>
          <w:sz w:val="18"/>
          <w:szCs w:val="18"/>
          <w:lang w:val="nl-NL"/>
        </w:rPr>
        <w:t xml:space="preserve">ve het onderhandelingsproces namens Aruba afgerond waarbij het finale </w:t>
      </w:r>
      <w:r w:rsidR="0051543A">
        <w:rPr>
          <w:rFonts w:ascii="Verdana" w:hAnsi="Verdana"/>
          <w:sz w:val="18"/>
          <w:szCs w:val="18"/>
          <w:lang w:val="nl-NL"/>
        </w:rPr>
        <w:t>diensten</w:t>
      </w:r>
      <w:r w:rsidRPr="009146A3">
        <w:rPr>
          <w:rFonts w:ascii="Verdana" w:hAnsi="Verdana"/>
          <w:sz w:val="18"/>
          <w:szCs w:val="18"/>
          <w:lang w:val="nl-NL"/>
        </w:rPr>
        <w:t>aanbod zoals hierboven voorgesteld w</w:t>
      </w:r>
      <w:r w:rsidRPr="00715854" w:rsidR="0002739C">
        <w:rPr>
          <w:rFonts w:ascii="Verdana" w:hAnsi="Verdana"/>
          <w:sz w:val="18"/>
          <w:szCs w:val="18"/>
          <w:lang w:val="nl-NL"/>
        </w:rPr>
        <w:t>erd</w:t>
      </w:r>
      <w:r w:rsidRPr="00715854">
        <w:rPr>
          <w:rFonts w:ascii="Verdana" w:hAnsi="Verdana"/>
          <w:sz w:val="18"/>
          <w:szCs w:val="18"/>
          <w:lang w:val="nl-NL"/>
        </w:rPr>
        <w:t xml:space="preserve"> aangenomen</w:t>
      </w:r>
      <w:r w:rsidRPr="00715854" w:rsidR="0002739C">
        <w:rPr>
          <w:rFonts w:ascii="Verdana" w:hAnsi="Verdana"/>
          <w:sz w:val="18"/>
          <w:szCs w:val="18"/>
          <w:lang w:val="nl-NL"/>
        </w:rPr>
        <w:t xml:space="preserve"> op 30 maart 2012</w:t>
      </w:r>
      <w:r w:rsidRPr="00715854">
        <w:rPr>
          <w:rFonts w:ascii="Verdana" w:hAnsi="Verdana"/>
          <w:sz w:val="18"/>
          <w:szCs w:val="18"/>
          <w:lang w:val="nl-NL"/>
        </w:rPr>
        <w:t xml:space="preserve">. </w:t>
      </w:r>
    </w:p>
    <w:p w:rsidRPr="00715854" w:rsidR="00E71E26" w:rsidP="00F92E68" w:rsidRDefault="00E71E26">
      <w:pPr>
        <w:pStyle w:val="NoSpacing"/>
        <w:rPr>
          <w:rFonts w:ascii="Verdana" w:hAnsi="Verdana" w:eastAsia="PMingLiU" w:cs="Times New Roman"/>
          <w:sz w:val="18"/>
          <w:szCs w:val="18"/>
          <w:lang w:val="nl-NL" w:eastAsia="zh-TW"/>
        </w:rPr>
      </w:pPr>
    </w:p>
    <w:p w:rsidRPr="00715854" w:rsidR="0014658D" w:rsidP="00F92E68" w:rsidRDefault="00617315">
      <w:pPr>
        <w:pStyle w:val="NoSpacing"/>
        <w:rPr>
          <w:rFonts w:ascii="Verdana" w:hAnsi="Verdana" w:eastAsia="PMingLiU" w:cs="Times New Roman"/>
          <w:b/>
          <w:sz w:val="18"/>
          <w:szCs w:val="18"/>
          <w:lang w:val="nl-NL" w:eastAsia="zh-TW"/>
        </w:rPr>
      </w:pPr>
      <w:r w:rsidRPr="00715854">
        <w:rPr>
          <w:rFonts w:ascii="Verdana" w:hAnsi="Verdana" w:eastAsia="PMingLiU" w:cs="Times New Roman"/>
          <w:b/>
          <w:sz w:val="18"/>
          <w:szCs w:val="18"/>
          <w:lang w:val="nl-NL" w:eastAsia="zh-TW"/>
        </w:rPr>
        <w:t xml:space="preserve">II. </w:t>
      </w:r>
      <w:r w:rsidRPr="00715854" w:rsidR="0014658D">
        <w:rPr>
          <w:rFonts w:ascii="Verdana" w:hAnsi="Verdana" w:eastAsia="PMingLiU" w:cs="Times New Roman"/>
          <w:b/>
          <w:sz w:val="18"/>
          <w:szCs w:val="18"/>
          <w:lang w:val="nl-NL" w:eastAsia="zh-TW"/>
        </w:rPr>
        <w:t>De herziene GPA</w:t>
      </w:r>
    </w:p>
    <w:p w:rsidRPr="009146A3" w:rsidR="00B75C2B" w:rsidP="00B75C2B" w:rsidRDefault="00B75C2B">
      <w:pPr>
        <w:pStyle w:val="NoSpacing"/>
        <w:rPr>
          <w:rFonts w:ascii="Verdana" w:hAnsi="Verdana" w:eastAsia="PMingLiU" w:cs="Times New Roman"/>
          <w:sz w:val="18"/>
          <w:szCs w:val="18"/>
          <w:lang w:val="nl-NL" w:eastAsia="zh-TW"/>
        </w:rPr>
      </w:pPr>
      <w:r w:rsidRPr="008B78D3">
        <w:rPr>
          <w:rFonts w:ascii="Verdana" w:hAnsi="Verdana" w:eastAsia="PMingLiU" w:cs="Times New Roman"/>
          <w:sz w:val="18"/>
          <w:szCs w:val="18"/>
          <w:lang w:val="nl-NL" w:eastAsia="zh-TW"/>
        </w:rPr>
        <w:t xml:space="preserve">Het Protocol wijzigt de tekst van de GPA van 1994 alsook de aanhangsels daarbij. </w:t>
      </w:r>
      <w:r w:rsidR="000446D1">
        <w:rPr>
          <w:rFonts w:ascii="Verdana" w:hAnsi="Verdana" w:eastAsia="PMingLiU" w:cs="Times New Roman"/>
          <w:sz w:val="18"/>
          <w:szCs w:val="18"/>
          <w:lang w:val="nl-NL" w:eastAsia="zh-TW"/>
        </w:rPr>
        <w:t>D</w:t>
      </w:r>
      <w:r w:rsidRPr="008B78D3">
        <w:rPr>
          <w:rFonts w:ascii="Verdana" w:hAnsi="Verdana" w:eastAsia="PMingLiU" w:cs="Times New Roman"/>
          <w:sz w:val="18"/>
          <w:szCs w:val="18"/>
          <w:lang w:val="nl-NL" w:eastAsia="zh-TW"/>
        </w:rPr>
        <w:t>e gewijzigde tekst van de GPA en vier aanhangsels</w:t>
      </w:r>
      <w:r w:rsidR="000446D1">
        <w:rPr>
          <w:rFonts w:ascii="Verdana" w:hAnsi="Verdana" w:eastAsia="PMingLiU" w:cs="Times New Roman"/>
          <w:sz w:val="18"/>
          <w:szCs w:val="18"/>
          <w:lang w:val="nl-NL" w:eastAsia="zh-TW"/>
        </w:rPr>
        <w:t xml:space="preserve"> zijn opgenomen als bijlage bij het Protocol</w:t>
      </w:r>
      <w:r w:rsidRPr="008B78D3">
        <w:rPr>
          <w:rFonts w:ascii="Verdana" w:hAnsi="Verdana" w:eastAsia="PMingLiU" w:cs="Times New Roman"/>
          <w:sz w:val="18"/>
          <w:szCs w:val="18"/>
          <w:lang w:val="nl-NL" w:eastAsia="zh-TW"/>
        </w:rPr>
        <w:t>.</w:t>
      </w:r>
    </w:p>
    <w:p w:rsidRPr="009146A3" w:rsidR="00B75C2B" w:rsidP="00B75C2B" w:rsidRDefault="00B75C2B">
      <w:pPr>
        <w:pStyle w:val="NoSpacing"/>
        <w:rPr>
          <w:rFonts w:ascii="Verdana" w:hAnsi="Verdana" w:eastAsia="PMingLiU" w:cs="Times New Roman"/>
          <w:sz w:val="18"/>
          <w:szCs w:val="18"/>
          <w:lang w:val="nl-NL" w:eastAsia="zh-TW"/>
        </w:rPr>
      </w:pPr>
    </w:p>
    <w:p w:rsidR="00B75C2B" w:rsidP="00B75C2B" w:rsidRDefault="00B75C2B">
      <w:pPr>
        <w:pStyle w:val="NoSpacing"/>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De tekst van de herziene GPA zorgt voor meer duidelijkheid en transparantie en waarborgt dat bij aanbestedingsprocedures gelijke voorwaarden gelden voor leveranciers, benodigdheden en diensten die afkomstig zijn uit de landen die partij zijn bij de GPA.</w:t>
      </w:r>
      <w:r w:rsidR="0051543A">
        <w:rPr>
          <w:rFonts w:ascii="Verdana" w:hAnsi="Verdana" w:eastAsia="PMingLiU" w:cs="Times New Roman"/>
          <w:sz w:val="18"/>
          <w:szCs w:val="18"/>
          <w:lang w:val="nl-NL" w:eastAsia="zh-TW"/>
        </w:rPr>
        <w:t xml:space="preserve"> </w:t>
      </w:r>
      <w:r w:rsidRPr="009146A3">
        <w:rPr>
          <w:rFonts w:ascii="Verdana" w:hAnsi="Verdana" w:eastAsia="PMingLiU" w:cs="Times New Roman"/>
          <w:sz w:val="18"/>
          <w:szCs w:val="18"/>
          <w:lang w:val="nl-NL" w:eastAsia="zh-TW"/>
        </w:rPr>
        <w:t xml:space="preserve">De </w:t>
      </w:r>
      <w:r w:rsidRPr="00715854">
        <w:rPr>
          <w:rFonts w:ascii="Verdana" w:hAnsi="Verdana" w:eastAsia="PMingLiU" w:cs="Times New Roman"/>
          <w:sz w:val="18"/>
          <w:szCs w:val="18"/>
          <w:lang w:val="nl-NL" w:eastAsia="zh-TW"/>
        </w:rPr>
        <w:t xml:space="preserve">herziene tekst is een aanmerkelijke verbetering voor wat betreft de leesbaarheid en duidelijkheid van de </w:t>
      </w:r>
      <w:r w:rsidRPr="008B78D3" w:rsidR="00194E03">
        <w:rPr>
          <w:rFonts w:ascii="Verdana" w:hAnsi="Verdana" w:eastAsia="PMingLiU" w:cs="Times New Roman"/>
          <w:sz w:val="18"/>
          <w:szCs w:val="18"/>
          <w:lang w:val="nl-NL" w:eastAsia="zh-TW"/>
        </w:rPr>
        <w:t>bepalingen,</w:t>
      </w:r>
      <w:r w:rsidRPr="008B78D3" w:rsidR="002F6EAB">
        <w:rPr>
          <w:rFonts w:ascii="Verdana" w:hAnsi="Verdana" w:eastAsia="PMingLiU" w:cs="Times New Roman"/>
          <w:sz w:val="18"/>
          <w:szCs w:val="18"/>
          <w:lang w:val="nl-NL" w:eastAsia="zh-TW"/>
        </w:rPr>
        <w:t xml:space="preserve"> die</w:t>
      </w:r>
      <w:r w:rsidRPr="008B78D3">
        <w:rPr>
          <w:rFonts w:ascii="Verdana" w:hAnsi="Verdana" w:eastAsia="PMingLiU" w:cs="Times New Roman"/>
          <w:sz w:val="18"/>
          <w:szCs w:val="18"/>
          <w:lang w:val="nl-NL" w:eastAsia="zh-TW"/>
        </w:rPr>
        <w:t xml:space="preserve"> de gebruiksvriendelijkheid ervan ten goede komt.</w:t>
      </w:r>
      <w:r w:rsidR="0051543A">
        <w:rPr>
          <w:rFonts w:ascii="Verdana" w:hAnsi="Verdana" w:eastAsia="PMingLiU" w:cs="Times New Roman"/>
          <w:sz w:val="18"/>
          <w:szCs w:val="18"/>
          <w:lang w:val="nl-NL" w:eastAsia="zh-TW"/>
        </w:rPr>
        <w:t xml:space="preserve"> </w:t>
      </w:r>
      <w:r w:rsidRPr="009146A3">
        <w:rPr>
          <w:rFonts w:ascii="Verdana" w:hAnsi="Verdana" w:eastAsia="PMingLiU" w:cs="Times New Roman"/>
          <w:sz w:val="18"/>
          <w:szCs w:val="18"/>
          <w:lang w:val="nl-NL" w:eastAsia="zh-TW"/>
        </w:rPr>
        <w:t>Bovendien bevat de herziene tekst, om daadwerkelijke opening van de aanbestedingsmarkten van de andere GPA-partijen mogelijk te maken, volledig nieuwe bepalingen die d</w:t>
      </w:r>
      <w:r w:rsidRPr="009146A3" w:rsidR="002F6EAB">
        <w:rPr>
          <w:rFonts w:ascii="Verdana" w:hAnsi="Verdana" w:eastAsia="PMingLiU" w:cs="Times New Roman"/>
          <w:sz w:val="18"/>
          <w:szCs w:val="18"/>
          <w:lang w:val="nl-NL" w:eastAsia="zh-TW"/>
        </w:rPr>
        <w:t>e voorwaarden voor deelname van</w:t>
      </w:r>
      <w:r w:rsidRPr="009146A3">
        <w:rPr>
          <w:rFonts w:ascii="Verdana" w:hAnsi="Verdana" w:eastAsia="PMingLiU" w:cs="Times New Roman"/>
          <w:sz w:val="18"/>
          <w:szCs w:val="18"/>
          <w:lang w:val="nl-NL" w:eastAsia="zh-TW"/>
        </w:rPr>
        <w:t xml:space="preserve"> </w:t>
      </w:r>
      <w:r w:rsidRPr="009146A3" w:rsidR="000148DD">
        <w:rPr>
          <w:rFonts w:ascii="Verdana" w:hAnsi="Verdana" w:eastAsia="PMingLiU" w:cs="Times New Roman"/>
          <w:sz w:val="18"/>
          <w:szCs w:val="18"/>
          <w:lang w:val="nl-NL" w:eastAsia="zh-TW"/>
        </w:rPr>
        <w:t xml:space="preserve">leveranciers uit het </w:t>
      </w:r>
      <w:r w:rsidRPr="009146A3">
        <w:rPr>
          <w:rFonts w:ascii="Verdana" w:hAnsi="Verdana" w:eastAsia="PMingLiU" w:cs="Times New Roman"/>
          <w:sz w:val="18"/>
          <w:szCs w:val="18"/>
          <w:lang w:val="nl-NL" w:eastAsia="zh-TW"/>
        </w:rPr>
        <w:t>buitenland aanzienlijk verbeteren. Deze nieuwe elementen omvatten onder meer het volgende:</w:t>
      </w:r>
    </w:p>
    <w:p w:rsidRPr="009146A3" w:rsidR="0051543A" w:rsidP="00B75C2B" w:rsidRDefault="0051543A">
      <w:pPr>
        <w:pStyle w:val="NoSpacing"/>
        <w:rPr>
          <w:rFonts w:ascii="Verdana" w:hAnsi="Verdana" w:eastAsia="PMingLiU" w:cs="Times New Roman"/>
          <w:sz w:val="18"/>
          <w:szCs w:val="18"/>
          <w:lang w:val="nl-NL" w:eastAsia="zh-TW"/>
        </w:rPr>
      </w:pPr>
    </w:p>
    <w:p w:rsidRPr="009146A3" w:rsidR="002130CA"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Er wordt van de GPA-partijen verlangd dat zij een kosteloos toegankelijke en gecentraliseerde elektronische database opzetten met daarin berichten van aanbestedingen die worden gepubliceerd door ministeries en andere centrale aanbestedende entiteiten. </w:t>
      </w:r>
    </w:p>
    <w:p w:rsidRPr="009146A3" w:rsidR="00B75C2B"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De herziene GPA bevat duidelijker regels betreffende de selectie van leveranciers, waardoor meer concurrentie mogelijk wordt: de selectieprocedure </w:t>
      </w:r>
      <w:r w:rsidRPr="009146A3" w:rsidR="002130CA">
        <w:rPr>
          <w:rFonts w:ascii="Verdana" w:hAnsi="Verdana" w:eastAsia="PMingLiU" w:cs="Times New Roman"/>
          <w:sz w:val="18"/>
          <w:szCs w:val="18"/>
          <w:lang w:val="nl-NL" w:eastAsia="zh-TW"/>
        </w:rPr>
        <w:t xml:space="preserve">zal </w:t>
      </w:r>
      <w:r w:rsidRPr="009146A3">
        <w:rPr>
          <w:rFonts w:ascii="Verdana" w:hAnsi="Verdana" w:eastAsia="PMingLiU" w:cs="Times New Roman"/>
          <w:sz w:val="18"/>
          <w:szCs w:val="18"/>
          <w:lang w:val="nl-NL" w:eastAsia="zh-TW"/>
        </w:rPr>
        <w:t>waarborgen dat ondernemingen die aan een aanbestedingsprocedure willen deelnemen zich niet schuldig hebben gemaakt aan omkoping of corruptie. Ook zullen permanente lijsten van leveranciers die door aanbestedende diensten worden bijgehouden, worden opengesteld voor leveranciers die niet in de lijsten zijn opgenomen, waardoor meer concurrentie op de markten mogelijk wordt.</w:t>
      </w:r>
    </w:p>
    <w:p w:rsidR="00B75C2B"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De herziening van de GPA leidt tevens tot de invoering van elektronische aanbestedingen: op initiatief van de EU is een reeks bepalingen opgenomen over het gebruik van elektronische aanbestedingen. Zo wordt onder andere ingegaan op de mogelijkheid van elektronische veilingen. Door het gebruik van elektronische middelen zijn ook flexibelere procedures mogelijk, waarbij bijvoorbeeld kan worden gedacht aan kortere proceduretermijnen.</w:t>
      </w:r>
    </w:p>
    <w:p w:rsidRPr="009146A3" w:rsidR="0051543A" w:rsidP="0051543A" w:rsidRDefault="0051543A">
      <w:pPr>
        <w:pStyle w:val="NoSpacing"/>
        <w:ind w:left="360"/>
        <w:rPr>
          <w:rFonts w:ascii="Verdana" w:hAnsi="Verdana" w:eastAsia="PMingLiU" w:cs="Times New Roman"/>
          <w:sz w:val="18"/>
          <w:szCs w:val="18"/>
          <w:lang w:val="nl-NL" w:eastAsia="zh-TW"/>
        </w:rPr>
      </w:pPr>
    </w:p>
    <w:p w:rsidRPr="008B78D3" w:rsidR="00B75C2B"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lastRenderedPageBreak/>
        <w:t xml:space="preserve">De tekst van de herziene GPA bevat nieuwe bepalingen voor ontwikkelingslanden die tot de </w:t>
      </w:r>
      <w:r w:rsidR="000446D1">
        <w:rPr>
          <w:rFonts w:ascii="Verdana" w:hAnsi="Verdana" w:eastAsia="PMingLiU" w:cs="Times New Roman"/>
          <w:sz w:val="18"/>
          <w:szCs w:val="18"/>
          <w:lang w:val="nl-NL" w:eastAsia="zh-TW"/>
        </w:rPr>
        <w:t xml:space="preserve">GPA </w:t>
      </w:r>
      <w:r w:rsidRPr="009146A3">
        <w:rPr>
          <w:rFonts w:ascii="Verdana" w:hAnsi="Verdana" w:eastAsia="PMingLiU" w:cs="Times New Roman"/>
          <w:sz w:val="18"/>
          <w:szCs w:val="18"/>
          <w:lang w:val="nl-NL" w:eastAsia="zh-TW"/>
        </w:rPr>
        <w:t xml:space="preserve">willen toetreden. Dat is met name van belang omdat de GPA van 1994 een beperkt aantal leden heeft, meestal met ontwikkelde economieën. Om ontwikkelingslanden aan te moedigen tot de overeenkomst toe te treden, </w:t>
      </w:r>
      <w:r w:rsidR="00715854">
        <w:rPr>
          <w:rFonts w:ascii="Verdana" w:hAnsi="Verdana" w:eastAsia="PMingLiU" w:cs="Times New Roman"/>
          <w:sz w:val="18"/>
          <w:szCs w:val="18"/>
          <w:lang w:val="nl-NL" w:eastAsia="zh-TW"/>
        </w:rPr>
        <w:t>is</w:t>
      </w:r>
      <w:r w:rsidRPr="00715854">
        <w:rPr>
          <w:rFonts w:ascii="Verdana" w:hAnsi="Verdana" w:eastAsia="PMingLiU" w:cs="Times New Roman"/>
          <w:sz w:val="18"/>
          <w:szCs w:val="18"/>
          <w:lang w:val="nl-NL" w:eastAsia="zh-TW"/>
        </w:rPr>
        <w:t xml:space="preserve"> in de herziene tekst een aantal voor hen gunstige overgangsmaatregelen opgenomen, zoals hogere </w:t>
      </w:r>
      <w:r w:rsidRPr="00715854" w:rsidR="00077739">
        <w:rPr>
          <w:rFonts w:ascii="Verdana" w:hAnsi="Verdana" w:eastAsia="PMingLiU" w:cs="Times New Roman"/>
          <w:sz w:val="18"/>
          <w:szCs w:val="18"/>
          <w:lang w:val="nl-NL" w:eastAsia="zh-TW"/>
        </w:rPr>
        <w:t>drempel</w:t>
      </w:r>
      <w:r w:rsidR="00077739">
        <w:rPr>
          <w:rFonts w:ascii="Verdana" w:hAnsi="Verdana" w:eastAsia="PMingLiU" w:cs="Times New Roman"/>
          <w:sz w:val="18"/>
          <w:szCs w:val="18"/>
          <w:lang w:val="nl-NL" w:eastAsia="zh-TW"/>
        </w:rPr>
        <w:t>waarden</w:t>
      </w:r>
      <w:r w:rsidRPr="00715854" w:rsidR="00077739">
        <w:rPr>
          <w:rFonts w:ascii="Verdana" w:hAnsi="Verdana" w:eastAsia="PMingLiU" w:cs="Times New Roman"/>
          <w:sz w:val="18"/>
          <w:szCs w:val="18"/>
          <w:lang w:val="nl-NL" w:eastAsia="zh-TW"/>
        </w:rPr>
        <w:t xml:space="preserve"> </w:t>
      </w:r>
      <w:r w:rsidRPr="00715854">
        <w:rPr>
          <w:rFonts w:ascii="Verdana" w:hAnsi="Verdana" w:eastAsia="PMingLiU" w:cs="Times New Roman"/>
          <w:sz w:val="18"/>
          <w:szCs w:val="18"/>
          <w:lang w:val="nl-NL" w:eastAsia="zh-TW"/>
        </w:rPr>
        <w:t>en een geleidelijke toevoeging van entiteiten en sectoren. Doel hiervan is de overgang te vergemakkelijken naar een open economie</w:t>
      </w:r>
      <w:r w:rsidRPr="008B78D3">
        <w:rPr>
          <w:rFonts w:ascii="Verdana" w:hAnsi="Verdana" w:eastAsia="PMingLiU" w:cs="Times New Roman"/>
          <w:sz w:val="18"/>
          <w:szCs w:val="18"/>
          <w:lang w:val="nl-NL" w:eastAsia="zh-TW"/>
        </w:rPr>
        <w:t xml:space="preserve"> die aan buitenlandse concurrentie wordt blootgesteld.</w:t>
      </w:r>
    </w:p>
    <w:p w:rsidRPr="009146A3" w:rsidR="00B75C2B"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 xml:space="preserve">Een ander belangrijk element heeft betrekking op de voorwaarden waaronder een aanbestedende </w:t>
      </w:r>
      <w:r w:rsidR="00BA6EC1">
        <w:rPr>
          <w:rFonts w:ascii="Verdana" w:hAnsi="Verdana" w:eastAsia="PMingLiU" w:cs="Times New Roman"/>
          <w:sz w:val="18"/>
          <w:szCs w:val="18"/>
          <w:lang w:val="nl-NL" w:eastAsia="zh-TW"/>
        </w:rPr>
        <w:t>dienst</w:t>
      </w:r>
      <w:r w:rsidRPr="009146A3">
        <w:rPr>
          <w:rFonts w:ascii="Verdana" w:hAnsi="Verdana" w:eastAsia="PMingLiU" w:cs="Times New Roman"/>
          <w:sz w:val="18"/>
          <w:szCs w:val="18"/>
          <w:lang w:val="nl-NL" w:eastAsia="zh-TW"/>
        </w:rPr>
        <w:t xml:space="preserve"> die in de verbintenissen van een partij is opgenomen, uit het toepassingsgebied van de GPA kan worden gesloten. De overgang van het eerdere, omslachtige systeem voor het aanpassen van het toepassingsgebied naar een duidelijker systeem was een van de moeilijkste onderhandelingskwesties, en vormt een van de belangrijkste wijzigingen in de nieuwe tekst</w:t>
      </w:r>
      <w:r w:rsidRPr="009146A3" w:rsidR="002130CA">
        <w:rPr>
          <w:rFonts w:ascii="Verdana" w:hAnsi="Verdana" w:eastAsia="PMingLiU" w:cs="Times New Roman"/>
          <w:sz w:val="18"/>
          <w:szCs w:val="18"/>
          <w:lang w:val="nl-NL" w:eastAsia="zh-TW"/>
        </w:rPr>
        <w:t>.</w:t>
      </w:r>
    </w:p>
    <w:p w:rsidRPr="009146A3" w:rsidR="00B75C2B" w:rsidP="002130CA" w:rsidRDefault="002130CA">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Voorts worden</w:t>
      </w:r>
      <w:r w:rsidRPr="009146A3" w:rsidR="00B75C2B">
        <w:rPr>
          <w:rFonts w:ascii="Verdana" w:hAnsi="Verdana" w:eastAsia="PMingLiU" w:cs="Times New Roman"/>
          <w:sz w:val="18"/>
          <w:szCs w:val="18"/>
          <w:lang w:val="nl-NL" w:eastAsia="zh-TW"/>
        </w:rPr>
        <w:t xml:space="preserve"> de huidige verplichtingen in verband m</w:t>
      </w:r>
      <w:r w:rsidR="0051543A">
        <w:rPr>
          <w:rFonts w:ascii="Verdana" w:hAnsi="Verdana" w:eastAsia="PMingLiU" w:cs="Times New Roman"/>
          <w:sz w:val="18"/>
          <w:szCs w:val="18"/>
          <w:lang w:val="nl-NL" w:eastAsia="zh-TW"/>
        </w:rPr>
        <w:t xml:space="preserve">et statistische verslaglegging </w:t>
      </w:r>
      <w:r w:rsidRPr="009146A3" w:rsidR="00B75C2B">
        <w:rPr>
          <w:rFonts w:ascii="Verdana" w:hAnsi="Verdana" w:eastAsia="PMingLiU" w:cs="Times New Roman"/>
          <w:sz w:val="18"/>
          <w:szCs w:val="18"/>
          <w:lang w:val="nl-NL" w:eastAsia="zh-TW"/>
        </w:rPr>
        <w:t>vereenvoudigd en flexibeler gemaakt. Zo hoeven er minder gegevens te worden verstrekt, is het mogelijk ramingen te verstrekken en worden partijen die een gecentraliseerde database bijhouden, vrijgesteld van de betrokken verplichtingen.</w:t>
      </w:r>
    </w:p>
    <w:p w:rsidRPr="00715854" w:rsidR="0014658D" w:rsidP="002130CA" w:rsidRDefault="00B75C2B">
      <w:pPr>
        <w:pStyle w:val="NoSpacing"/>
        <w:numPr>
          <w:ilvl w:val="0"/>
          <w:numId w:val="3"/>
        </w:numPr>
        <w:rPr>
          <w:rFonts w:ascii="Verdana" w:hAnsi="Verdana" w:eastAsia="PMingLiU" w:cs="Times New Roman"/>
          <w:sz w:val="18"/>
          <w:szCs w:val="18"/>
          <w:lang w:val="nl-NL" w:eastAsia="zh-TW"/>
        </w:rPr>
      </w:pPr>
      <w:r w:rsidRPr="009146A3">
        <w:rPr>
          <w:rFonts w:ascii="Verdana" w:hAnsi="Verdana" w:eastAsia="PMingLiU" w:cs="Times New Roman"/>
          <w:sz w:val="18"/>
          <w:szCs w:val="18"/>
          <w:lang w:val="nl-NL" w:eastAsia="zh-TW"/>
        </w:rPr>
        <w:t>T</w:t>
      </w:r>
      <w:r w:rsidRPr="009146A3" w:rsidR="002130CA">
        <w:rPr>
          <w:rFonts w:ascii="Verdana" w:hAnsi="Verdana" w:eastAsia="PMingLiU" w:cs="Times New Roman"/>
          <w:sz w:val="18"/>
          <w:szCs w:val="18"/>
          <w:lang w:val="nl-NL" w:eastAsia="zh-TW"/>
        </w:rPr>
        <w:t>en</w:t>
      </w:r>
      <w:r w:rsidR="00E71E26">
        <w:rPr>
          <w:rFonts w:ascii="Verdana" w:hAnsi="Verdana" w:eastAsia="PMingLiU" w:cs="Times New Roman"/>
          <w:sz w:val="18"/>
          <w:szCs w:val="18"/>
          <w:lang w:val="nl-NL" w:eastAsia="zh-TW"/>
        </w:rPr>
        <w:t xml:space="preserve"> </w:t>
      </w:r>
      <w:r w:rsidRPr="009146A3" w:rsidR="002130CA">
        <w:rPr>
          <w:rFonts w:ascii="Verdana" w:hAnsi="Verdana" w:eastAsia="PMingLiU" w:cs="Times New Roman"/>
          <w:sz w:val="18"/>
          <w:szCs w:val="18"/>
          <w:lang w:val="nl-NL" w:eastAsia="zh-TW"/>
        </w:rPr>
        <w:t>slotte voorziet</w:t>
      </w:r>
      <w:r w:rsidRPr="009146A3">
        <w:rPr>
          <w:rFonts w:ascii="Verdana" w:hAnsi="Verdana" w:eastAsia="PMingLiU" w:cs="Times New Roman"/>
          <w:sz w:val="18"/>
          <w:szCs w:val="18"/>
          <w:lang w:val="nl-NL" w:eastAsia="zh-TW"/>
        </w:rPr>
        <w:t xml:space="preserve"> </w:t>
      </w:r>
      <w:r w:rsidR="000446D1">
        <w:rPr>
          <w:rFonts w:ascii="Verdana" w:hAnsi="Verdana" w:eastAsia="PMingLiU" w:cs="Times New Roman"/>
          <w:sz w:val="18"/>
          <w:szCs w:val="18"/>
          <w:lang w:val="nl-NL" w:eastAsia="zh-TW"/>
        </w:rPr>
        <w:t xml:space="preserve">de herziene GPA </w:t>
      </w:r>
      <w:r w:rsidRPr="009146A3">
        <w:rPr>
          <w:rFonts w:ascii="Verdana" w:hAnsi="Verdana" w:eastAsia="PMingLiU" w:cs="Times New Roman"/>
          <w:sz w:val="18"/>
          <w:szCs w:val="18"/>
          <w:lang w:val="nl-NL" w:eastAsia="zh-TW"/>
        </w:rPr>
        <w:t xml:space="preserve">in een vereenvoudigde procedure (artikel XIX) voor een partij </w:t>
      </w:r>
      <w:r w:rsidR="00DF34AF">
        <w:rPr>
          <w:rFonts w:ascii="Verdana" w:hAnsi="Verdana" w:eastAsia="PMingLiU" w:cs="Times New Roman"/>
          <w:sz w:val="18"/>
          <w:szCs w:val="18"/>
          <w:lang w:val="nl-NL" w:eastAsia="zh-TW"/>
        </w:rPr>
        <w:t xml:space="preserve">in geval </w:t>
      </w:r>
      <w:r w:rsidRPr="009146A3">
        <w:rPr>
          <w:rFonts w:ascii="Verdana" w:hAnsi="Verdana" w:eastAsia="PMingLiU" w:cs="Times New Roman"/>
          <w:sz w:val="18"/>
          <w:szCs w:val="18"/>
          <w:lang w:val="nl-NL" w:eastAsia="zh-TW"/>
        </w:rPr>
        <w:t xml:space="preserve">van wijzigingen en rectificaties </w:t>
      </w:r>
      <w:r w:rsidR="00870EA8">
        <w:rPr>
          <w:rFonts w:ascii="Verdana" w:hAnsi="Verdana" w:eastAsia="PMingLiU" w:cs="Times New Roman"/>
          <w:sz w:val="18"/>
          <w:szCs w:val="18"/>
          <w:lang w:val="nl-NL" w:eastAsia="zh-TW"/>
        </w:rPr>
        <w:t>in Bijlage 1, waarin per partij wordt aangegeven waarop de GPA in hun land ziet</w:t>
      </w:r>
      <w:r w:rsidRPr="00715854">
        <w:rPr>
          <w:rFonts w:ascii="Verdana" w:hAnsi="Verdana" w:eastAsia="PMingLiU" w:cs="Times New Roman"/>
          <w:sz w:val="18"/>
          <w:szCs w:val="18"/>
          <w:lang w:val="nl-NL" w:eastAsia="zh-TW"/>
        </w:rPr>
        <w:t xml:space="preserve">. </w:t>
      </w:r>
      <w:r w:rsidRPr="00715854" w:rsidR="008A59B8">
        <w:rPr>
          <w:rFonts w:ascii="Verdana" w:hAnsi="Verdana" w:eastAsia="PMingLiU" w:cs="Times New Roman"/>
          <w:sz w:val="18"/>
          <w:szCs w:val="18"/>
          <w:lang w:val="nl-NL" w:eastAsia="zh-TW"/>
        </w:rPr>
        <w:t xml:space="preserve"> </w:t>
      </w:r>
    </w:p>
    <w:p w:rsidR="0014658D" w:rsidP="00F92E68" w:rsidRDefault="0014658D">
      <w:pPr>
        <w:pStyle w:val="NoSpacing"/>
        <w:rPr>
          <w:rFonts w:ascii="Verdana" w:hAnsi="Verdana" w:eastAsia="PMingLiU" w:cs="Times New Roman"/>
          <w:sz w:val="18"/>
          <w:szCs w:val="18"/>
          <w:lang w:val="nl-NL" w:eastAsia="zh-TW"/>
        </w:rPr>
      </w:pPr>
    </w:p>
    <w:p w:rsidRPr="008B78D3" w:rsidR="00870EA8" w:rsidP="00F92E68" w:rsidRDefault="00870EA8">
      <w:pPr>
        <w:pStyle w:val="NoSpacing"/>
        <w:rPr>
          <w:rFonts w:ascii="Verdana" w:hAnsi="Verdana" w:eastAsia="PMingLiU" w:cs="Times New Roman"/>
          <w:sz w:val="18"/>
          <w:szCs w:val="18"/>
          <w:lang w:val="nl-NL" w:eastAsia="zh-TW"/>
        </w:rPr>
      </w:pPr>
    </w:p>
    <w:p w:rsidRPr="009146A3" w:rsidR="000473CE" w:rsidP="00047766" w:rsidRDefault="00617315">
      <w:pPr>
        <w:pStyle w:val="NoSpacing"/>
        <w:rPr>
          <w:rFonts w:ascii="Verdana" w:hAnsi="Verdana" w:cs="Times New Roman"/>
          <w:b/>
          <w:sz w:val="18"/>
          <w:szCs w:val="18"/>
          <w:lang w:val="nl-NL"/>
        </w:rPr>
      </w:pPr>
      <w:r w:rsidRPr="009146A3">
        <w:rPr>
          <w:rFonts w:ascii="Verdana" w:hAnsi="Verdana" w:cs="Times New Roman"/>
          <w:b/>
          <w:sz w:val="18"/>
          <w:szCs w:val="18"/>
          <w:lang w:val="nl-NL"/>
        </w:rPr>
        <w:t xml:space="preserve">III. </w:t>
      </w:r>
      <w:r w:rsidRPr="009146A3" w:rsidR="00972DE4">
        <w:rPr>
          <w:rFonts w:ascii="Verdana" w:hAnsi="Verdana" w:cs="Times New Roman"/>
          <w:b/>
          <w:sz w:val="18"/>
          <w:szCs w:val="18"/>
          <w:lang w:val="nl-NL"/>
        </w:rPr>
        <w:t>Artikelsgewijze toelichting</w:t>
      </w:r>
    </w:p>
    <w:p w:rsidRPr="009146A3" w:rsidR="00DA2102" w:rsidP="00047766" w:rsidRDefault="00DA2102">
      <w:pPr>
        <w:pStyle w:val="NoSpacing"/>
        <w:rPr>
          <w:rFonts w:ascii="Verdana" w:hAnsi="Verdana" w:cs="Times New Roman"/>
          <w:b/>
          <w:sz w:val="18"/>
          <w:szCs w:val="18"/>
          <w:lang w:val="nl-NL"/>
        </w:rPr>
      </w:pPr>
    </w:p>
    <w:p w:rsidRPr="009146A3" w:rsidR="00047766" w:rsidP="00047766" w:rsidRDefault="00194E03">
      <w:pPr>
        <w:pStyle w:val="NoSpacing"/>
        <w:rPr>
          <w:rFonts w:ascii="Verdana" w:hAnsi="Verdana" w:cs="Times New Roman"/>
          <w:sz w:val="18"/>
          <w:szCs w:val="18"/>
          <w:lang w:val="nl-NL"/>
        </w:rPr>
      </w:pPr>
      <w:r w:rsidRPr="009146A3">
        <w:rPr>
          <w:rFonts w:ascii="Verdana" w:hAnsi="Verdana" w:cs="Times New Roman"/>
          <w:b/>
          <w:sz w:val="18"/>
          <w:szCs w:val="18"/>
          <w:lang w:val="nl-NL"/>
        </w:rPr>
        <w:t>Artikel I</w:t>
      </w:r>
      <w:r w:rsidRPr="009146A3" w:rsidR="00DA2102">
        <w:rPr>
          <w:rFonts w:ascii="Verdana" w:hAnsi="Verdana" w:cs="Times New Roman"/>
          <w:b/>
          <w:sz w:val="18"/>
          <w:szCs w:val="18"/>
          <w:lang w:val="nl-NL"/>
        </w:rPr>
        <w:t xml:space="preserve"> </w:t>
      </w:r>
      <w:r w:rsidRPr="009146A3" w:rsidR="00DA2102">
        <w:rPr>
          <w:rFonts w:ascii="Verdana" w:hAnsi="Verdana" w:cs="Times New Roman"/>
          <w:sz w:val="18"/>
          <w:szCs w:val="18"/>
          <w:lang w:val="nl-NL"/>
        </w:rPr>
        <w:t>Begripsomschrijvingen</w:t>
      </w:r>
    </w:p>
    <w:p w:rsidRPr="009146A3" w:rsidR="00194E03" w:rsidP="00047766" w:rsidRDefault="005E0D2C">
      <w:pPr>
        <w:pStyle w:val="NoSpacing"/>
        <w:rPr>
          <w:rFonts w:ascii="Verdana" w:hAnsi="Verdana" w:cs="Times New Roman"/>
          <w:sz w:val="18"/>
          <w:szCs w:val="18"/>
          <w:lang w:val="nl-NL"/>
        </w:rPr>
      </w:pPr>
      <w:r w:rsidRPr="009146A3">
        <w:rPr>
          <w:rFonts w:ascii="Verdana" w:hAnsi="Verdana" w:cs="Times New Roman"/>
          <w:sz w:val="18"/>
          <w:szCs w:val="18"/>
          <w:lang w:val="nl-NL"/>
        </w:rPr>
        <w:t>V</w:t>
      </w:r>
      <w:r w:rsidRPr="009146A3" w:rsidR="00DA2102">
        <w:rPr>
          <w:rFonts w:ascii="Verdana" w:hAnsi="Verdana" w:cs="Times New Roman"/>
          <w:sz w:val="18"/>
          <w:szCs w:val="18"/>
          <w:lang w:val="nl-NL"/>
        </w:rPr>
        <w:t xml:space="preserve">oor de duidelijkheid </w:t>
      </w:r>
      <w:r w:rsidRPr="009146A3">
        <w:rPr>
          <w:rFonts w:ascii="Verdana" w:hAnsi="Verdana" w:cs="Times New Roman"/>
          <w:sz w:val="18"/>
          <w:szCs w:val="18"/>
          <w:lang w:val="nl-NL"/>
        </w:rPr>
        <w:t>is er</w:t>
      </w:r>
      <w:r w:rsidRPr="009146A3" w:rsidR="00DA2102">
        <w:rPr>
          <w:rFonts w:ascii="Verdana" w:hAnsi="Verdana" w:cs="Times New Roman"/>
          <w:sz w:val="18"/>
          <w:szCs w:val="18"/>
          <w:lang w:val="nl-NL"/>
        </w:rPr>
        <w:t>voor gekozen om de gebruikte begrippen in één artikel te definiëren. Het betreffen de voor openbare aanbesteding gebruikelijke definities.</w:t>
      </w:r>
    </w:p>
    <w:p w:rsidRPr="009146A3" w:rsidR="00DA2102" w:rsidP="00047766" w:rsidRDefault="00DA2102">
      <w:pPr>
        <w:pStyle w:val="NoSpacing"/>
        <w:rPr>
          <w:rFonts w:ascii="Verdana" w:hAnsi="Verdana" w:cs="Times New Roman"/>
          <w:sz w:val="18"/>
          <w:szCs w:val="18"/>
          <w:lang w:val="nl-NL"/>
        </w:rPr>
      </w:pPr>
    </w:p>
    <w:p w:rsidRPr="009146A3" w:rsidR="00EA652E" w:rsidP="00047766" w:rsidRDefault="00DA2102">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II </w:t>
      </w:r>
      <w:r w:rsidRPr="009146A3">
        <w:rPr>
          <w:rFonts w:ascii="Verdana" w:hAnsi="Verdana" w:cs="Times New Roman"/>
          <w:sz w:val="18"/>
          <w:szCs w:val="18"/>
          <w:lang w:val="nl-NL"/>
        </w:rPr>
        <w:t>Reikwijdte en toepassingsgebied</w:t>
      </w:r>
    </w:p>
    <w:p w:rsidRPr="00787B77" w:rsidR="006A1000" w:rsidP="00047766" w:rsidRDefault="00951A1D">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Het vierde lid van dit artikel </w:t>
      </w:r>
      <w:r w:rsidR="00DF34AF">
        <w:rPr>
          <w:rFonts w:ascii="Verdana" w:hAnsi="Verdana" w:cs="Times New Roman"/>
          <w:sz w:val="18"/>
          <w:szCs w:val="18"/>
          <w:lang w:val="nl-NL"/>
        </w:rPr>
        <w:t>(overeenkomend met het hu</w:t>
      </w:r>
      <w:r w:rsidR="00E038A7">
        <w:rPr>
          <w:rFonts w:ascii="Verdana" w:hAnsi="Verdana" w:cs="Times New Roman"/>
          <w:sz w:val="18"/>
          <w:szCs w:val="18"/>
          <w:lang w:val="nl-NL"/>
        </w:rPr>
        <w:t>i</w:t>
      </w:r>
      <w:r w:rsidR="00DF34AF">
        <w:rPr>
          <w:rFonts w:ascii="Verdana" w:hAnsi="Verdana" w:cs="Times New Roman"/>
          <w:sz w:val="18"/>
          <w:szCs w:val="18"/>
          <w:lang w:val="nl-NL"/>
        </w:rPr>
        <w:t xml:space="preserve">dige artikel 1 van de GPA) </w:t>
      </w:r>
      <w:r w:rsidRPr="009146A3">
        <w:rPr>
          <w:rFonts w:ascii="Verdana" w:hAnsi="Verdana" w:cs="Times New Roman"/>
          <w:sz w:val="18"/>
          <w:szCs w:val="18"/>
          <w:lang w:val="nl-NL"/>
        </w:rPr>
        <w:t xml:space="preserve">bepaalt dat elke </w:t>
      </w:r>
      <w:r w:rsidRPr="009146A3" w:rsidR="005E0D2C">
        <w:rPr>
          <w:rFonts w:ascii="Verdana" w:hAnsi="Verdana" w:cs="Times New Roman"/>
          <w:sz w:val="18"/>
          <w:szCs w:val="18"/>
          <w:lang w:val="nl-NL"/>
        </w:rPr>
        <w:t xml:space="preserve">partij in Bijlage 1 </w:t>
      </w:r>
      <w:r w:rsidRPr="009146A3" w:rsidR="008102A0">
        <w:rPr>
          <w:rFonts w:ascii="Verdana" w:hAnsi="Verdana" w:cs="Times New Roman"/>
          <w:sz w:val="18"/>
          <w:szCs w:val="18"/>
          <w:lang w:val="nl-NL"/>
        </w:rPr>
        <w:t>van de GPA</w:t>
      </w:r>
      <w:r w:rsidRPr="009146A3" w:rsidR="005E0D2C">
        <w:rPr>
          <w:rFonts w:ascii="Verdana" w:hAnsi="Verdana" w:cs="Times New Roman"/>
          <w:sz w:val="18"/>
          <w:szCs w:val="18"/>
          <w:lang w:val="nl-NL"/>
        </w:rPr>
        <w:t xml:space="preserve"> vermeldt op welke overheidsinstelling</w:t>
      </w:r>
      <w:r w:rsidR="00DE161C">
        <w:rPr>
          <w:rFonts w:ascii="Verdana" w:hAnsi="Verdana" w:cs="Times New Roman"/>
          <w:sz w:val="18"/>
          <w:szCs w:val="18"/>
          <w:lang w:val="nl-NL"/>
        </w:rPr>
        <w:t>en</w:t>
      </w:r>
      <w:r w:rsidR="000446D1">
        <w:rPr>
          <w:rFonts w:ascii="Verdana" w:hAnsi="Verdana" w:cs="Times New Roman"/>
          <w:sz w:val="18"/>
          <w:szCs w:val="18"/>
          <w:lang w:val="nl-NL"/>
        </w:rPr>
        <w:t xml:space="preserve"> de</w:t>
      </w:r>
      <w:r w:rsidRPr="009146A3" w:rsidR="005E0D2C">
        <w:rPr>
          <w:rFonts w:ascii="Verdana" w:hAnsi="Verdana" w:cs="Times New Roman"/>
          <w:sz w:val="18"/>
          <w:szCs w:val="18"/>
          <w:lang w:val="nl-NL"/>
        </w:rPr>
        <w:t xml:space="preserve"> GPA </w:t>
      </w:r>
      <w:r w:rsidR="00715854">
        <w:rPr>
          <w:rFonts w:ascii="Verdana" w:hAnsi="Verdana" w:cs="Times New Roman"/>
          <w:sz w:val="18"/>
          <w:szCs w:val="18"/>
          <w:lang w:val="nl-NL"/>
        </w:rPr>
        <w:t xml:space="preserve">wat hun land betreft </w:t>
      </w:r>
      <w:r w:rsidRPr="00715854" w:rsidR="005E0D2C">
        <w:rPr>
          <w:rFonts w:ascii="Verdana" w:hAnsi="Verdana" w:cs="Times New Roman"/>
          <w:sz w:val="18"/>
          <w:szCs w:val="18"/>
          <w:lang w:val="nl-NL"/>
        </w:rPr>
        <w:t xml:space="preserve">van toepassing is </w:t>
      </w:r>
      <w:r w:rsidRPr="00715854" w:rsidR="00047178">
        <w:rPr>
          <w:rFonts w:ascii="Verdana" w:hAnsi="Verdana" w:cs="Times New Roman"/>
          <w:sz w:val="18"/>
          <w:szCs w:val="18"/>
          <w:lang w:val="nl-NL"/>
        </w:rPr>
        <w:t xml:space="preserve">(van centrale overheid tot lagere overheidsinstellingen) </w:t>
      </w:r>
      <w:r w:rsidRPr="00715854" w:rsidR="005E0D2C">
        <w:rPr>
          <w:rFonts w:ascii="Verdana" w:hAnsi="Verdana" w:cs="Times New Roman"/>
          <w:sz w:val="18"/>
          <w:szCs w:val="18"/>
          <w:lang w:val="nl-NL"/>
        </w:rPr>
        <w:t>en op welke aanbestedingen.</w:t>
      </w:r>
      <w:r w:rsidRPr="00787B77" w:rsidR="005E0D2C">
        <w:rPr>
          <w:rFonts w:ascii="Verdana" w:hAnsi="Verdana" w:cs="Times New Roman"/>
          <w:sz w:val="18"/>
          <w:szCs w:val="18"/>
          <w:lang w:val="nl-NL"/>
        </w:rPr>
        <w:t xml:space="preserve"> </w:t>
      </w:r>
      <w:r w:rsidR="000446D1">
        <w:rPr>
          <w:rFonts w:ascii="Verdana" w:hAnsi="Verdana" w:cs="Times New Roman"/>
          <w:sz w:val="18"/>
          <w:szCs w:val="18"/>
          <w:lang w:val="nl-NL"/>
        </w:rPr>
        <w:t>Deze vermelding is per partij</w:t>
      </w:r>
      <w:r w:rsidRPr="00787B77" w:rsidR="008102A0">
        <w:rPr>
          <w:rFonts w:ascii="Verdana" w:hAnsi="Verdana" w:cs="Times New Roman"/>
          <w:sz w:val="18"/>
          <w:szCs w:val="18"/>
          <w:lang w:val="nl-NL"/>
        </w:rPr>
        <w:t xml:space="preserve"> verdeeld over</w:t>
      </w:r>
      <w:r w:rsidR="00787B77">
        <w:rPr>
          <w:rFonts w:ascii="Verdana" w:hAnsi="Verdana" w:cs="Times New Roman"/>
          <w:sz w:val="18"/>
          <w:szCs w:val="18"/>
          <w:lang w:val="nl-NL"/>
        </w:rPr>
        <w:t xml:space="preserve"> diverse</w:t>
      </w:r>
      <w:r w:rsidRPr="00787B77" w:rsidR="008102A0">
        <w:rPr>
          <w:rFonts w:ascii="Verdana" w:hAnsi="Verdana" w:cs="Times New Roman"/>
          <w:sz w:val="18"/>
          <w:szCs w:val="18"/>
          <w:lang w:val="nl-NL"/>
        </w:rPr>
        <w:t xml:space="preserve"> </w:t>
      </w:r>
      <w:r w:rsidRPr="008B78D3" w:rsidR="008102A0">
        <w:rPr>
          <w:rFonts w:ascii="Verdana" w:hAnsi="Verdana" w:cs="Times New Roman"/>
          <w:sz w:val="18"/>
          <w:szCs w:val="18"/>
          <w:lang w:val="nl-NL"/>
        </w:rPr>
        <w:t>onderdelen (‘annexen’)</w:t>
      </w:r>
      <w:r w:rsidRPr="00715854" w:rsidR="008102A0">
        <w:rPr>
          <w:rStyle w:val="FootnoteReference"/>
          <w:rFonts w:ascii="Verdana" w:hAnsi="Verdana" w:cs="Times New Roman"/>
          <w:sz w:val="18"/>
          <w:szCs w:val="18"/>
          <w:lang w:val="nl-NL"/>
        </w:rPr>
        <w:footnoteReference w:id="2"/>
      </w:r>
      <w:r w:rsidRPr="00715854" w:rsidR="008102A0">
        <w:rPr>
          <w:rFonts w:ascii="Verdana" w:hAnsi="Verdana" w:cs="Times New Roman"/>
          <w:sz w:val="18"/>
          <w:szCs w:val="18"/>
          <w:lang w:val="nl-NL"/>
        </w:rPr>
        <w:t>.</w:t>
      </w:r>
      <w:r w:rsidR="00787B77">
        <w:rPr>
          <w:rFonts w:ascii="Verdana" w:hAnsi="Verdana" w:cs="Times New Roman"/>
          <w:sz w:val="18"/>
          <w:szCs w:val="18"/>
          <w:lang w:val="nl-NL"/>
        </w:rPr>
        <w:t xml:space="preserve"> Er gelden drempelwaarden voor contracten, waarboven ondernemingen</w:t>
      </w:r>
      <w:r w:rsidR="00E038A7">
        <w:rPr>
          <w:rFonts w:ascii="Verdana" w:hAnsi="Verdana" w:cs="Times New Roman"/>
          <w:sz w:val="18"/>
          <w:szCs w:val="18"/>
          <w:lang w:val="nl-NL"/>
        </w:rPr>
        <w:t>,</w:t>
      </w:r>
      <w:r w:rsidR="00787B77">
        <w:rPr>
          <w:rFonts w:ascii="Verdana" w:hAnsi="Verdana" w:cs="Times New Roman"/>
          <w:sz w:val="18"/>
          <w:szCs w:val="18"/>
          <w:lang w:val="nl-NL"/>
        </w:rPr>
        <w:t xml:space="preserve"> afkomstig uit alle verdragspartijen, moeten kunnen meedingen. </w:t>
      </w:r>
      <w:r w:rsidRPr="00787B77" w:rsidR="00570AEC">
        <w:rPr>
          <w:rFonts w:ascii="Verdana" w:hAnsi="Verdana" w:cs="Times New Roman"/>
          <w:sz w:val="18"/>
          <w:szCs w:val="18"/>
          <w:lang w:val="nl-NL"/>
        </w:rPr>
        <w:t xml:space="preserve">Voor centrale overheidsdiensten geldt een </w:t>
      </w:r>
      <w:r w:rsidR="00787B77">
        <w:rPr>
          <w:rFonts w:ascii="Verdana" w:hAnsi="Verdana" w:cs="Times New Roman"/>
          <w:sz w:val="18"/>
          <w:szCs w:val="18"/>
          <w:lang w:val="nl-NL"/>
        </w:rPr>
        <w:t>drempelwaarde</w:t>
      </w:r>
      <w:r w:rsidR="00731A06">
        <w:rPr>
          <w:rFonts w:ascii="Verdana" w:hAnsi="Verdana" w:cs="Times New Roman"/>
          <w:sz w:val="18"/>
          <w:szCs w:val="18"/>
          <w:lang w:val="nl-NL"/>
        </w:rPr>
        <w:t xml:space="preserve"> </w:t>
      </w:r>
      <w:r w:rsidRPr="00787B77" w:rsidR="00570AEC">
        <w:rPr>
          <w:rFonts w:ascii="Verdana" w:hAnsi="Verdana" w:cs="Times New Roman"/>
          <w:sz w:val="18"/>
          <w:szCs w:val="18"/>
          <w:lang w:val="nl-NL"/>
        </w:rPr>
        <w:t>van 100.000 SDR</w:t>
      </w:r>
      <w:r w:rsidRPr="00787B77" w:rsidR="0069166E">
        <w:rPr>
          <w:rFonts w:ascii="Verdana" w:hAnsi="Verdana" w:cs="Times New Roman"/>
          <w:sz w:val="18"/>
          <w:szCs w:val="18"/>
          <w:lang w:val="nl-NL"/>
        </w:rPr>
        <w:t xml:space="preserve"> </w:t>
      </w:r>
      <w:r w:rsidRPr="00787B77" w:rsidR="00570AEC">
        <w:rPr>
          <w:rFonts w:ascii="Verdana" w:hAnsi="Verdana" w:cs="Times New Roman"/>
          <w:sz w:val="18"/>
          <w:szCs w:val="18"/>
          <w:lang w:val="nl-NL"/>
        </w:rPr>
        <w:t xml:space="preserve">voor goederen en diensten </w:t>
      </w:r>
      <w:r w:rsidRPr="00787B77" w:rsidR="00047178">
        <w:rPr>
          <w:rFonts w:ascii="Verdana" w:hAnsi="Verdana" w:cs="Times New Roman"/>
          <w:sz w:val="18"/>
          <w:szCs w:val="18"/>
          <w:lang w:val="nl-NL"/>
        </w:rPr>
        <w:t xml:space="preserve">(was 130.000 SDR) </w:t>
      </w:r>
      <w:r w:rsidRPr="00787B77" w:rsidR="00570AEC">
        <w:rPr>
          <w:rFonts w:ascii="Verdana" w:hAnsi="Verdana" w:cs="Times New Roman"/>
          <w:sz w:val="18"/>
          <w:szCs w:val="18"/>
          <w:lang w:val="nl-NL"/>
        </w:rPr>
        <w:t>en voor constructiediensten 4.000.000 SDR</w:t>
      </w:r>
      <w:r w:rsidRPr="00787B77" w:rsidR="0069166E">
        <w:rPr>
          <w:rFonts w:ascii="Verdana" w:hAnsi="Verdana" w:cs="Times New Roman"/>
          <w:sz w:val="18"/>
          <w:szCs w:val="18"/>
          <w:lang w:val="nl-NL"/>
        </w:rPr>
        <w:t xml:space="preserve"> (was 5.000.000 SDR</w:t>
      </w:r>
      <w:r w:rsidRPr="00787B77" w:rsidR="008102A0">
        <w:rPr>
          <w:rFonts w:ascii="Verdana" w:hAnsi="Verdana" w:cs="Times New Roman"/>
          <w:sz w:val="18"/>
          <w:szCs w:val="18"/>
          <w:lang w:val="nl-NL"/>
        </w:rPr>
        <w:t>)</w:t>
      </w:r>
      <w:r w:rsidR="005454D8">
        <w:rPr>
          <w:rFonts w:ascii="Verdana" w:hAnsi="Verdana" w:cs="Times New Roman"/>
          <w:sz w:val="18"/>
          <w:szCs w:val="18"/>
          <w:lang w:val="nl-NL"/>
        </w:rPr>
        <w:t xml:space="preserve">. </w:t>
      </w:r>
      <w:r w:rsidRPr="00787B77" w:rsidR="006A1000">
        <w:rPr>
          <w:rFonts w:ascii="Verdana" w:hAnsi="Verdana" w:cs="Times New Roman"/>
          <w:sz w:val="18"/>
          <w:szCs w:val="18"/>
          <w:lang w:val="nl-NL"/>
        </w:rPr>
        <w:t xml:space="preserve">SDR </w:t>
      </w:r>
      <w:r w:rsidRPr="00787B77" w:rsidR="00047178">
        <w:rPr>
          <w:rFonts w:ascii="Verdana" w:hAnsi="Verdana" w:cs="Times New Roman"/>
          <w:sz w:val="18"/>
          <w:szCs w:val="18"/>
          <w:lang w:val="nl-NL"/>
        </w:rPr>
        <w:t>staat voor</w:t>
      </w:r>
      <w:r w:rsidRPr="00787B77" w:rsidR="006A1000">
        <w:rPr>
          <w:rFonts w:ascii="Verdana" w:hAnsi="Verdana" w:cs="Times New Roman"/>
          <w:sz w:val="18"/>
          <w:szCs w:val="18"/>
          <w:lang w:val="nl-NL"/>
        </w:rPr>
        <w:t xml:space="preserve"> </w:t>
      </w:r>
      <w:r w:rsidRPr="00787B77" w:rsidR="00570AEC">
        <w:rPr>
          <w:rFonts w:ascii="Verdana" w:hAnsi="Verdana" w:cs="Times New Roman"/>
          <w:sz w:val="18"/>
          <w:szCs w:val="18"/>
          <w:lang w:val="nl-NL"/>
        </w:rPr>
        <w:t>Special Drawing Right</w:t>
      </w:r>
      <w:r w:rsidRPr="00787B77" w:rsidR="00D6598B">
        <w:rPr>
          <w:rFonts w:ascii="Verdana" w:hAnsi="Verdana" w:cs="Times New Roman"/>
          <w:sz w:val="18"/>
          <w:szCs w:val="18"/>
          <w:lang w:val="nl-NL"/>
        </w:rPr>
        <w:t xml:space="preserve">. Dit is de monetaire rekeneenheid van het IMF, waarvan de waarde </w:t>
      </w:r>
      <w:r w:rsidRPr="00787B77" w:rsidR="00570AEC">
        <w:rPr>
          <w:rFonts w:ascii="Verdana" w:hAnsi="Verdana" w:cs="Times New Roman"/>
          <w:sz w:val="18"/>
          <w:szCs w:val="18"/>
          <w:lang w:val="nl-NL"/>
        </w:rPr>
        <w:t>per augustus 2013 ongeveer 1,14 Euro en 2,72 Arubaanse Florin</w:t>
      </w:r>
      <w:r w:rsidRPr="00787B77" w:rsidR="00D6598B">
        <w:rPr>
          <w:rFonts w:ascii="Verdana" w:hAnsi="Verdana" w:cs="Times New Roman"/>
          <w:sz w:val="18"/>
          <w:szCs w:val="18"/>
          <w:lang w:val="nl-NL"/>
        </w:rPr>
        <w:t xml:space="preserve"> is</w:t>
      </w:r>
      <w:r w:rsidRPr="00787B77" w:rsidR="006A1000">
        <w:rPr>
          <w:rFonts w:ascii="Verdana" w:hAnsi="Verdana" w:cs="Times New Roman"/>
          <w:sz w:val="18"/>
          <w:szCs w:val="18"/>
          <w:lang w:val="nl-NL"/>
        </w:rPr>
        <w:t>.</w:t>
      </w:r>
      <w:r w:rsidR="00787B77">
        <w:rPr>
          <w:rFonts w:ascii="Verdana" w:hAnsi="Verdana" w:cs="Times New Roman"/>
          <w:sz w:val="18"/>
          <w:szCs w:val="18"/>
          <w:lang w:val="nl-NL"/>
        </w:rPr>
        <w:t xml:space="preserve"> </w:t>
      </w:r>
    </w:p>
    <w:p w:rsidRPr="00715854" w:rsidR="006A1000" w:rsidP="00047766" w:rsidRDefault="006A1000">
      <w:pPr>
        <w:pStyle w:val="NoSpacing"/>
        <w:rPr>
          <w:rFonts w:ascii="Verdana" w:hAnsi="Verdana" w:cs="Times New Roman"/>
          <w:sz w:val="18"/>
          <w:szCs w:val="18"/>
          <w:lang w:val="nl-NL"/>
        </w:rPr>
      </w:pPr>
      <w:r w:rsidRPr="008B78D3">
        <w:rPr>
          <w:rFonts w:ascii="Verdana" w:hAnsi="Verdana" w:cs="Times New Roman"/>
          <w:sz w:val="18"/>
          <w:szCs w:val="18"/>
          <w:lang w:val="nl-NL"/>
        </w:rPr>
        <w:t>Het derde lid geeft een aantal uitzonderingen</w:t>
      </w:r>
      <w:r w:rsidR="00715854">
        <w:rPr>
          <w:rFonts w:ascii="Verdana" w:hAnsi="Verdana" w:cs="Times New Roman"/>
          <w:sz w:val="18"/>
          <w:szCs w:val="18"/>
          <w:lang w:val="nl-NL"/>
        </w:rPr>
        <w:t xml:space="preserve"> </w:t>
      </w:r>
      <w:r w:rsidR="00E038A7">
        <w:rPr>
          <w:rFonts w:ascii="Verdana" w:hAnsi="Verdana" w:cs="Times New Roman"/>
          <w:sz w:val="18"/>
          <w:szCs w:val="18"/>
          <w:lang w:val="nl-NL"/>
        </w:rPr>
        <w:t>op aankoopvoornemens waar het verd</w:t>
      </w:r>
      <w:r w:rsidR="00715854">
        <w:rPr>
          <w:rFonts w:ascii="Verdana" w:hAnsi="Verdana" w:cs="Times New Roman"/>
          <w:sz w:val="18"/>
          <w:szCs w:val="18"/>
          <w:lang w:val="nl-NL"/>
        </w:rPr>
        <w:t xml:space="preserve">rag </w:t>
      </w:r>
      <w:r w:rsidR="00E038A7">
        <w:rPr>
          <w:rFonts w:ascii="Verdana" w:hAnsi="Verdana" w:cs="Times New Roman"/>
          <w:sz w:val="18"/>
          <w:szCs w:val="18"/>
          <w:lang w:val="nl-NL"/>
        </w:rPr>
        <w:t xml:space="preserve">niet op ziet </w:t>
      </w:r>
      <w:r w:rsidRPr="00715854">
        <w:rPr>
          <w:rFonts w:ascii="Verdana" w:hAnsi="Verdana" w:cs="Times New Roman"/>
          <w:sz w:val="18"/>
          <w:szCs w:val="18"/>
          <w:lang w:val="nl-NL"/>
        </w:rPr>
        <w:t>zoals de verwerving van gronden</w:t>
      </w:r>
      <w:r w:rsidRPr="00715854" w:rsidR="00716906">
        <w:rPr>
          <w:rFonts w:ascii="Verdana" w:hAnsi="Verdana" w:cs="Times New Roman"/>
          <w:sz w:val="18"/>
          <w:szCs w:val="18"/>
          <w:lang w:val="nl-NL"/>
        </w:rPr>
        <w:t xml:space="preserve"> en</w:t>
      </w:r>
      <w:r w:rsidRPr="00715854">
        <w:rPr>
          <w:rFonts w:ascii="Verdana" w:hAnsi="Verdana" w:cs="Times New Roman"/>
          <w:sz w:val="18"/>
          <w:szCs w:val="18"/>
          <w:lang w:val="nl-NL"/>
        </w:rPr>
        <w:t xml:space="preserve"> bestaande gebouwen</w:t>
      </w:r>
      <w:r w:rsidRPr="00715854" w:rsidR="00716906">
        <w:rPr>
          <w:rFonts w:ascii="Verdana" w:hAnsi="Verdana" w:cs="Times New Roman"/>
          <w:sz w:val="18"/>
          <w:szCs w:val="18"/>
          <w:lang w:val="nl-NL"/>
        </w:rPr>
        <w:t>,</w:t>
      </w:r>
      <w:r w:rsidRPr="00715854">
        <w:rPr>
          <w:rFonts w:ascii="Verdana" w:hAnsi="Verdana" w:cs="Times New Roman"/>
          <w:sz w:val="18"/>
          <w:szCs w:val="18"/>
          <w:lang w:val="nl-NL"/>
        </w:rPr>
        <w:t xml:space="preserve"> en diensten die betrekking hebben op overheidsschulden.</w:t>
      </w:r>
    </w:p>
    <w:p w:rsidRPr="009146A3" w:rsidR="006A1000" w:rsidP="00047766" w:rsidRDefault="006A1000">
      <w:pPr>
        <w:pStyle w:val="NoSpacing"/>
        <w:rPr>
          <w:rFonts w:ascii="Verdana" w:hAnsi="Verdana" w:cs="Times New Roman"/>
          <w:sz w:val="18"/>
          <w:szCs w:val="18"/>
          <w:lang w:val="nl-NL"/>
        </w:rPr>
      </w:pPr>
      <w:r w:rsidRPr="008B78D3">
        <w:rPr>
          <w:rFonts w:ascii="Verdana" w:hAnsi="Verdana" w:cs="Times New Roman"/>
          <w:sz w:val="18"/>
          <w:szCs w:val="18"/>
          <w:lang w:val="nl-NL"/>
        </w:rPr>
        <w:t>In het zesde, zevende en achtste lid wordt beschreven hoe de waarde van een overheidsopdracht berekend moet worden.</w:t>
      </w:r>
    </w:p>
    <w:p w:rsidRPr="009146A3" w:rsidR="008E480F" w:rsidP="00047766" w:rsidRDefault="008E480F">
      <w:pPr>
        <w:pStyle w:val="NoSpacing"/>
        <w:rPr>
          <w:rFonts w:ascii="Verdana" w:hAnsi="Verdana" w:cs="Times New Roman"/>
          <w:sz w:val="18"/>
          <w:szCs w:val="18"/>
          <w:lang w:val="nl-NL"/>
        </w:rPr>
      </w:pPr>
    </w:p>
    <w:p w:rsidRPr="009146A3" w:rsidR="008E480F" w:rsidP="008E480F" w:rsidRDefault="008E480F">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III </w:t>
      </w:r>
      <w:r w:rsidRPr="009146A3">
        <w:rPr>
          <w:rFonts w:ascii="Verdana" w:hAnsi="Verdana" w:cs="Times New Roman"/>
          <w:sz w:val="18"/>
          <w:szCs w:val="18"/>
          <w:lang w:val="nl-NL"/>
        </w:rPr>
        <w:t>Veiligheid en algemene uitzonderingen</w:t>
      </w:r>
    </w:p>
    <w:p w:rsidRPr="009146A3" w:rsidR="008E480F" w:rsidP="008E480F" w:rsidRDefault="008E480F">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Dit artikel biedt uitzonderingen in het kader van de nationale veiligheid en de bescherming van de openbare orde. Dit mag evenwel niet leiden tot willekeurige of ongerechtvaardigde discriminatie tussen </w:t>
      </w:r>
      <w:r w:rsidR="000446D1">
        <w:rPr>
          <w:rFonts w:ascii="Verdana" w:hAnsi="Verdana" w:cs="Times New Roman"/>
          <w:sz w:val="18"/>
          <w:szCs w:val="18"/>
          <w:lang w:val="nl-NL"/>
        </w:rPr>
        <w:t>p</w:t>
      </w:r>
      <w:r w:rsidRPr="009146A3">
        <w:rPr>
          <w:rFonts w:ascii="Verdana" w:hAnsi="Verdana" w:cs="Times New Roman"/>
          <w:sz w:val="18"/>
          <w:szCs w:val="18"/>
          <w:lang w:val="nl-NL"/>
        </w:rPr>
        <w:t>artijen.</w:t>
      </w:r>
    </w:p>
    <w:p w:rsidRPr="009146A3" w:rsidR="008E480F" w:rsidP="008E480F" w:rsidRDefault="008E480F">
      <w:pPr>
        <w:pStyle w:val="NoSpacing"/>
        <w:rPr>
          <w:rFonts w:ascii="Verdana" w:hAnsi="Verdana" w:cs="Times New Roman"/>
          <w:sz w:val="18"/>
          <w:szCs w:val="18"/>
          <w:lang w:val="nl-NL"/>
        </w:rPr>
      </w:pPr>
    </w:p>
    <w:p w:rsidRPr="009146A3" w:rsidR="008E480F" w:rsidP="008E480F" w:rsidRDefault="008E480F">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IV </w:t>
      </w:r>
      <w:r w:rsidRPr="009146A3" w:rsidR="00964BE1">
        <w:rPr>
          <w:rFonts w:ascii="Verdana" w:hAnsi="Verdana" w:cs="Times New Roman"/>
          <w:sz w:val="18"/>
          <w:szCs w:val="18"/>
          <w:lang w:val="nl-NL"/>
        </w:rPr>
        <w:t>Algemene beginselen</w:t>
      </w:r>
    </w:p>
    <w:p w:rsidRPr="009146A3" w:rsidR="00964BE1" w:rsidP="008E480F" w:rsidRDefault="00964BE1">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Hier worden </w:t>
      </w:r>
      <w:r w:rsidRPr="009146A3" w:rsidR="00A74AF1">
        <w:rPr>
          <w:rFonts w:ascii="Verdana" w:hAnsi="Verdana" w:cs="Times New Roman"/>
          <w:sz w:val="18"/>
          <w:szCs w:val="18"/>
          <w:lang w:val="nl-NL"/>
        </w:rPr>
        <w:t>enkele</w:t>
      </w:r>
      <w:r w:rsidRPr="009146A3" w:rsidR="002D31ED">
        <w:rPr>
          <w:rFonts w:ascii="Verdana" w:hAnsi="Verdana" w:cs="Times New Roman"/>
          <w:sz w:val="18"/>
          <w:szCs w:val="18"/>
          <w:lang w:val="nl-NL"/>
        </w:rPr>
        <w:t xml:space="preserve"> </w:t>
      </w:r>
      <w:r w:rsidRPr="009146A3">
        <w:rPr>
          <w:rFonts w:ascii="Verdana" w:hAnsi="Verdana" w:cs="Times New Roman"/>
          <w:sz w:val="18"/>
          <w:szCs w:val="18"/>
          <w:lang w:val="nl-NL"/>
        </w:rPr>
        <w:t xml:space="preserve">uitgangspunten van </w:t>
      </w:r>
      <w:r w:rsidR="00E71E26">
        <w:rPr>
          <w:rFonts w:ascii="Verdana" w:hAnsi="Verdana" w:cs="Times New Roman"/>
          <w:sz w:val="18"/>
          <w:szCs w:val="18"/>
          <w:lang w:val="nl-NL"/>
        </w:rPr>
        <w:t>de GPA</w:t>
      </w:r>
      <w:r w:rsidRPr="009146A3">
        <w:rPr>
          <w:rFonts w:ascii="Verdana" w:hAnsi="Verdana" w:cs="Times New Roman"/>
          <w:sz w:val="18"/>
          <w:szCs w:val="18"/>
          <w:lang w:val="nl-NL"/>
        </w:rPr>
        <w:t xml:space="preserve"> beschreven:</w:t>
      </w:r>
    </w:p>
    <w:p w:rsidRPr="009146A3" w:rsidR="00964BE1" w:rsidP="00964BE1" w:rsidRDefault="00047178">
      <w:pPr>
        <w:pStyle w:val="NoSpacing"/>
        <w:numPr>
          <w:ilvl w:val="0"/>
          <w:numId w:val="3"/>
        </w:numPr>
        <w:rPr>
          <w:rFonts w:ascii="Verdana" w:hAnsi="Verdana" w:cs="Times New Roman"/>
          <w:sz w:val="18"/>
          <w:szCs w:val="18"/>
          <w:lang w:val="nl-NL"/>
        </w:rPr>
      </w:pPr>
      <w:r w:rsidRPr="009146A3">
        <w:rPr>
          <w:rFonts w:ascii="Verdana" w:hAnsi="Verdana" w:cs="Times New Roman"/>
          <w:sz w:val="18"/>
          <w:szCs w:val="18"/>
          <w:lang w:val="nl-NL"/>
        </w:rPr>
        <w:t>n</w:t>
      </w:r>
      <w:r w:rsidRPr="009146A3" w:rsidR="00964BE1">
        <w:rPr>
          <w:rFonts w:ascii="Verdana" w:hAnsi="Verdana" w:cs="Times New Roman"/>
          <w:sz w:val="18"/>
          <w:szCs w:val="18"/>
          <w:lang w:val="nl-NL"/>
        </w:rPr>
        <w:t xml:space="preserve">on-discriminatie van en door </w:t>
      </w:r>
      <w:r w:rsidR="000446D1">
        <w:rPr>
          <w:rFonts w:ascii="Verdana" w:hAnsi="Verdana" w:cs="Times New Roman"/>
          <w:sz w:val="18"/>
          <w:szCs w:val="18"/>
          <w:lang w:val="nl-NL"/>
        </w:rPr>
        <w:t>p</w:t>
      </w:r>
      <w:r w:rsidRPr="009146A3" w:rsidR="00964BE1">
        <w:rPr>
          <w:rFonts w:ascii="Verdana" w:hAnsi="Verdana" w:cs="Times New Roman"/>
          <w:sz w:val="18"/>
          <w:szCs w:val="18"/>
          <w:lang w:val="nl-NL"/>
        </w:rPr>
        <w:t>artijen</w:t>
      </w:r>
      <w:r w:rsidRPr="009146A3">
        <w:rPr>
          <w:rFonts w:ascii="Verdana" w:hAnsi="Verdana" w:cs="Times New Roman"/>
          <w:sz w:val="18"/>
          <w:szCs w:val="18"/>
          <w:lang w:val="nl-NL"/>
        </w:rPr>
        <w:t>, inclusief hun aanbestedende overheidsorganen,</w:t>
      </w:r>
      <w:r w:rsidRPr="009146A3" w:rsidR="00964BE1">
        <w:rPr>
          <w:rFonts w:ascii="Verdana" w:hAnsi="Verdana" w:cs="Times New Roman"/>
          <w:sz w:val="18"/>
          <w:szCs w:val="18"/>
          <w:lang w:val="nl-NL"/>
        </w:rPr>
        <w:t xml:space="preserve"> op basis van het meestbegunstigingsprincipe</w:t>
      </w:r>
    </w:p>
    <w:p w:rsidRPr="009146A3" w:rsidR="002E1C0B" w:rsidP="00870EA8" w:rsidRDefault="00047178">
      <w:pPr>
        <w:pStyle w:val="NoSpacing"/>
        <w:numPr>
          <w:ilvl w:val="0"/>
          <w:numId w:val="3"/>
        </w:numPr>
        <w:rPr>
          <w:rFonts w:ascii="Verdana" w:hAnsi="Verdana" w:cs="Times New Roman"/>
          <w:sz w:val="18"/>
          <w:szCs w:val="18"/>
          <w:lang w:val="nl-NL"/>
        </w:rPr>
      </w:pPr>
      <w:r w:rsidRPr="009146A3">
        <w:rPr>
          <w:rFonts w:ascii="Verdana" w:hAnsi="Verdana" w:cs="Times New Roman"/>
          <w:sz w:val="18"/>
          <w:szCs w:val="18"/>
          <w:lang w:val="nl-NL"/>
        </w:rPr>
        <w:t>t</w:t>
      </w:r>
      <w:r w:rsidRPr="009146A3" w:rsidR="00A74AF1">
        <w:rPr>
          <w:rFonts w:ascii="Verdana" w:hAnsi="Verdana" w:cs="Times New Roman"/>
          <w:sz w:val="18"/>
          <w:szCs w:val="18"/>
          <w:lang w:val="nl-NL"/>
        </w:rPr>
        <w:t>ransparantie en toegankelijkheid</w:t>
      </w:r>
      <w:r w:rsidR="000446D1">
        <w:rPr>
          <w:rFonts w:ascii="Verdana" w:hAnsi="Verdana" w:cs="Times New Roman"/>
          <w:sz w:val="18"/>
          <w:szCs w:val="18"/>
          <w:lang w:val="nl-NL"/>
        </w:rPr>
        <w:t>,</w:t>
      </w:r>
      <w:r w:rsidRPr="009146A3" w:rsidR="00A74AF1">
        <w:rPr>
          <w:rFonts w:ascii="Verdana" w:hAnsi="Verdana" w:cs="Times New Roman"/>
          <w:sz w:val="18"/>
          <w:szCs w:val="18"/>
          <w:lang w:val="nl-NL"/>
        </w:rPr>
        <w:t xml:space="preserve"> mede met moderne communicatiemiddelen</w:t>
      </w:r>
      <w:r w:rsidR="000446D1">
        <w:rPr>
          <w:rFonts w:ascii="Verdana" w:hAnsi="Verdana" w:cs="Times New Roman"/>
          <w:sz w:val="18"/>
          <w:szCs w:val="18"/>
          <w:lang w:val="nl-NL"/>
        </w:rPr>
        <w:t>.</w:t>
      </w:r>
      <w:r w:rsidRPr="009146A3" w:rsidR="00870EA8">
        <w:rPr>
          <w:rFonts w:ascii="Verdana" w:hAnsi="Verdana" w:cs="Times New Roman"/>
          <w:sz w:val="18"/>
          <w:szCs w:val="18"/>
          <w:lang w:val="nl-NL"/>
        </w:rPr>
        <w:t xml:space="preserve"> </w:t>
      </w:r>
    </w:p>
    <w:p w:rsidRPr="009146A3" w:rsidR="002D31ED" w:rsidP="002D31ED" w:rsidRDefault="002D31ED">
      <w:pPr>
        <w:pStyle w:val="NoSpacing"/>
        <w:rPr>
          <w:rFonts w:ascii="Verdana" w:hAnsi="Verdana" w:cs="Times New Roman"/>
          <w:sz w:val="18"/>
          <w:szCs w:val="18"/>
          <w:lang w:val="nl-NL"/>
        </w:rPr>
      </w:pPr>
      <w:r w:rsidRPr="009146A3">
        <w:rPr>
          <w:rFonts w:ascii="Verdana" w:hAnsi="Verdana" w:cs="Times New Roman"/>
          <w:b/>
          <w:sz w:val="18"/>
          <w:szCs w:val="18"/>
          <w:lang w:val="nl-NL"/>
        </w:rPr>
        <w:lastRenderedPageBreak/>
        <w:t xml:space="preserve">Artikel V </w:t>
      </w:r>
      <w:r w:rsidRPr="009146A3">
        <w:rPr>
          <w:rFonts w:ascii="Verdana" w:hAnsi="Verdana" w:cs="Times New Roman"/>
          <w:sz w:val="18"/>
          <w:szCs w:val="18"/>
          <w:lang w:val="nl-NL"/>
        </w:rPr>
        <w:t>Ontwikkelingslanden</w:t>
      </w:r>
    </w:p>
    <w:p w:rsidRPr="009146A3" w:rsidR="002D31ED" w:rsidP="002D31ED" w:rsidRDefault="002D31ED">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Dit artikel regelt de bijzondere positie van ontwikkelingslanden bij toetreding en geeft de mogelijkheid voor een gefaseerde uitvoeringsperiode (maximaal vijf jaar voor de minst ontwikkelde landen en drie jaar voor de overige ontwikkelingslanden na datum van toetreding tot de </w:t>
      </w:r>
      <w:r w:rsidRPr="009146A3" w:rsidR="00047178">
        <w:rPr>
          <w:rFonts w:ascii="Verdana" w:hAnsi="Verdana" w:cs="Times New Roman"/>
          <w:sz w:val="18"/>
          <w:szCs w:val="18"/>
          <w:lang w:val="nl-NL"/>
        </w:rPr>
        <w:t>GPA</w:t>
      </w:r>
      <w:r w:rsidRPr="009146A3">
        <w:rPr>
          <w:rFonts w:ascii="Verdana" w:hAnsi="Verdana" w:cs="Times New Roman"/>
          <w:sz w:val="18"/>
          <w:szCs w:val="18"/>
          <w:lang w:val="nl-NL"/>
        </w:rPr>
        <w:t>).</w:t>
      </w:r>
    </w:p>
    <w:p w:rsidRPr="009146A3" w:rsidR="002D31ED" w:rsidP="002D31ED" w:rsidRDefault="002D31ED">
      <w:pPr>
        <w:pStyle w:val="NoSpacing"/>
        <w:rPr>
          <w:rFonts w:ascii="Verdana" w:hAnsi="Verdana" w:cs="Times New Roman"/>
          <w:sz w:val="18"/>
          <w:szCs w:val="18"/>
          <w:lang w:val="nl-NL"/>
        </w:rPr>
      </w:pPr>
    </w:p>
    <w:p w:rsidRPr="00A351B1" w:rsidR="002D31ED" w:rsidP="002D31ED" w:rsidRDefault="002D31ED">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VI </w:t>
      </w:r>
      <w:r w:rsidRPr="009146A3" w:rsidR="00CD4851">
        <w:rPr>
          <w:rFonts w:ascii="Verdana" w:hAnsi="Verdana" w:cs="Times New Roman"/>
          <w:sz w:val="18"/>
          <w:szCs w:val="18"/>
          <w:lang w:val="nl-NL"/>
        </w:rPr>
        <w:t xml:space="preserve">Informatie </w:t>
      </w:r>
      <w:r w:rsidR="00BA6EC1">
        <w:rPr>
          <w:rFonts w:ascii="Verdana" w:hAnsi="Verdana" w:cs="Times New Roman"/>
          <w:sz w:val="18"/>
          <w:szCs w:val="18"/>
          <w:lang w:val="nl-NL"/>
        </w:rPr>
        <w:t xml:space="preserve">over </w:t>
      </w:r>
      <w:r w:rsidRPr="009146A3" w:rsidR="00CD4851">
        <w:rPr>
          <w:rFonts w:ascii="Verdana" w:hAnsi="Verdana" w:cs="Times New Roman"/>
          <w:sz w:val="18"/>
          <w:szCs w:val="18"/>
          <w:lang w:val="nl-NL"/>
        </w:rPr>
        <w:t xml:space="preserve">procedures </w:t>
      </w:r>
      <w:r w:rsidR="00BA6EC1">
        <w:rPr>
          <w:rFonts w:ascii="Verdana" w:hAnsi="Verdana" w:cs="Times New Roman"/>
          <w:sz w:val="18"/>
          <w:szCs w:val="18"/>
          <w:lang w:val="nl-NL"/>
        </w:rPr>
        <w:t xml:space="preserve">voor overheidsopdrachten </w:t>
      </w:r>
      <w:r w:rsidRPr="009146A3" w:rsidR="00CD4851">
        <w:rPr>
          <w:rFonts w:ascii="Verdana" w:hAnsi="Verdana" w:cs="Times New Roman"/>
          <w:sz w:val="18"/>
          <w:szCs w:val="18"/>
          <w:lang w:val="nl-NL"/>
        </w:rPr>
        <w:t xml:space="preserve">en </w:t>
      </w:r>
      <w:r w:rsidRPr="009146A3" w:rsidR="00CD4851">
        <w:rPr>
          <w:rFonts w:ascii="Verdana" w:hAnsi="Verdana" w:cs="Times New Roman"/>
          <w:b/>
          <w:sz w:val="18"/>
          <w:szCs w:val="18"/>
          <w:lang w:val="nl-NL"/>
        </w:rPr>
        <w:t xml:space="preserve">Artikel VII </w:t>
      </w:r>
      <w:r w:rsidRPr="009146A3" w:rsidR="00CD4851">
        <w:rPr>
          <w:rFonts w:ascii="Verdana" w:hAnsi="Verdana" w:cs="Times New Roman"/>
          <w:sz w:val="18"/>
          <w:szCs w:val="18"/>
          <w:lang w:val="nl-NL"/>
        </w:rPr>
        <w:t>Berichten</w:t>
      </w:r>
    </w:p>
    <w:p w:rsidRPr="009146A3" w:rsidR="00FB5563" w:rsidP="002D31ED" w:rsidRDefault="00CD4851">
      <w:pPr>
        <w:pStyle w:val="NoSpacing"/>
        <w:rPr>
          <w:rFonts w:ascii="Verdana" w:hAnsi="Verdana" w:cs="Times New Roman"/>
          <w:sz w:val="18"/>
          <w:szCs w:val="18"/>
          <w:lang w:val="nl-NL"/>
        </w:rPr>
      </w:pPr>
      <w:r w:rsidRPr="008765F6">
        <w:rPr>
          <w:rFonts w:ascii="Verdana" w:hAnsi="Verdana" w:cs="Times New Roman"/>
          <w:sz w:val="18"/>
          <w:szCs w:val="18"/>
          <w:lang w:val="nl-NL"/>
        </w:rPr>
        <w:t xml:space="preserve">Deze artikelen behandelen de informatievoorziening en publicatie </w:t>
      </w:r>
      <w:r w:rsidRPr="008B78D3" w:rsidR="00215DEE">
        <w:rPr>
          <w:rFonts w:ascii="Verdana" w:hAnsi="Verdana" w:cs="Times New Roman"/>
          <w:sz w:val="18"/>
          <w:szCs w:val="18"/>
          <w:lang w:val="nl-NL"/>
        </w:rPr>
        <w:t>rondom</w:t>
      </w:r>
      <w:r w:rsidRPr="008B78D3">
        <w:rPr>
          <w:rFonts w:ascii="Verdana" w:hAnsi="Verdana" w:cs="Times New Roman"/>
          <w:sz w:val="18"/>
          <w:szCs w:val="18"/>
          <w:lang w:val="nl-NL"/>
        </w:rPr>
        <w:t xml:space="preserve"> de aanbestedingen. In de aanhangsels </w:t>
      </w:r>
      <w:r w:rsidRPr="009146A3" w:rsidR="00215DEE">
        <w:rPr>
          <w:rFonts w:ascii="Verdana" w:hAnsi="Verdana" w:cs="Times New Roman"/>
          <w:sz w:val="18"/>
          <w:szCs w:val="18"/>
          <w:lang w:val="nl-NL"/>
        </w:rPr>
        <w:t xml:space="preserve">bij Bijlage 1 </w:t>
      </w:r>
      <w:r w:rsidR="000446D1">
        <w:rPr>
          <w:rFonts w:ascii="Verdana" w:hAnsi="Verdana" w:cs="Times New Roman"/>
          <w:sz w:val="18"/>
          <w:szCs w:val="18"/>
          <w:lang w:val="nl-NL"/>
        </w:rPr>
        <w:t xml:space="preserve">bij de GPA </w:t>
      </w:r>
      <w:r w:rsidRPr="009146A3">
        <w:rPr>
          <w:rFonts w:ascii="Verdana" w:hAnsi="Verdana" w:cs="Times New Roman"/>
          <w:sz w:val="18"/>
          <w:szCs w:val="18"/>
          <w:lang w:val="nl-NL"/>
        </w:rPr>
        <w:t xml:space="preserve">vermeldt elke </w:t>
      </w:r>
      <w:r w:rsidR="000446D1">
        <w:rPr>
          <w:rFonts w:ascii="Verdana" w:hAnsi="Verdana" w:cs="Times New Roman"/>
          <w:sz w:val="18"/>
          <w:szCs w:val="18"/>
          <w:lang w:val="nl-NL"/>
        </w:rPr>
        <w:t>p</w:t>
      </w:r>
      <w:r w:rsidRPr="009146A3">
        <w:rPr>
          <w:rFonts w:ascii="Verdana" w:hAnsi="Verdana" w:cs="Times New Roman"/>
          <w:sz w:val="18"/>
          <w:szCs w:val="18"/>
          <w:lang w:val="nl-NL"/>
        </w:rPr>
        <w:t>artij waar de desbetreffende berichten worden gepubliceerd</w:t>
      </w:r>
      <w:r w:rsidRPr="009146A3" w:rsidR="00FB5563">
        <w:rPr>
          <w:rFonts w:ascii="Verdana" w:hAnsi="Verdana" w:cs="Times New Roman"/>
          <w:sz w:val="18"/>
          <w:szCs w:val="18"/>
          <w:lang w:val="nl-NL"/>
        </w:rPr>
        <w:t xml:space="preserve">. Deze </w:t>
      </w:r>
      <w:r w:rsidRPr="009146A3" w:rsidR="00215DEE">
        <w:rPr>
          <w:rFonts w:ascii="Verdana" w:hAnsi="Verdana" w:cs="Times New Roman"/>
          <w:sz w:val="18"/>
          <w:szCs w:val="18"/>
          <w:lang w:val="nl-NL"/>
        </w:rPr>
        <w:t>informatievoorziening en de publicaties</w:t>
      </w:r>
      <w:r w:rsidRPr="009146A3" w:rsidR="00FB5563">
        <w:rPr>
          <w:rFonts w:ascii="Verdana" w:hAnsi="Verdana" w:cs="Times New Roman"/>
          <w:sz w:val="18"/>
          <w:szCs w:val="18"/>
          <w:lang w:val="nl-NL"/>
        </w:rPr>
        <w:t xml:space="preserve"> dienen goed toegankelijk te zijn en te blijven tot ten</w:t>
      </w:r>
      <w:r w:rsidRPr="009146A3" w:rsidR="00215DEE">
        <w:rPr>
          <w:rFonts w:ascii="Verdana" w:hAnsi="Verdana" w:cs="Times New Roman"/>
          <w:sz w:val="18"/>
          <w:szCs w:val="18"/>
          <w:lang w:val="nl-NL"/>
        </w:rPr>
        <w:t xml:space="preserve"> </w:t>
      </w:r>
      <w:r w:rsidRPr="009146A3" w:rsidR="00FB5563">
        <w:rPr>
          <w:rFonts w:ascii="Verdana" w:hAnsi="Verdana" w:cs="Times New Roman"/>
          <w:sz w:val="18"/>
          <w:szCs w:val="18"/>
          <w:lang w:val="nl-NL"/>
        </w:rPr>
        <w:t>minste de aanbestedingstermijn.</w:t>
      </w:r>
      <w:r w:rsidRPr="009146A3" w:rsidDel="00215DEE" w:rsidR="00215DEE">
        <w:rPr>
          <w:rFonts w:ascii="Verdana" w:hAnsi="Verdana" w:cs="Times New Roman"/>
          <w:sz w:val="18"/>
          <w:szCs w:val="18"/>
          <w:lang w:val="nl-NL"/>
        </w:rPr>
        <w:t xml:space="preserve"> </w:t>
      </w:r>
      <w:r w:rsidRPr="009146A3" w:rsidR="00FB5563">
        <w:rPr>
          <w:rFonts w:ascii="Verdana" w:hAnsi="Verdana" w:cs="Times New Roman"/>
          <w:sz w:val="18"/>
          <w:szCs w:val="18"/>
          <w:lang w:val="nl-NL"/>
        </w:rPr>
        <w:t xml:space="preserve">Tevens wordt beschreven welke informatie een bericht van </w:t>
      </w:r>
      <w:r w:rsidR="00BA6EC1">
        <w:rPr>
          <w:rFonts w:ascii="Verdana" w:hAnsi="Verdana" w:cs="Times New Roman"/>
          <w:sz w:val="18"/>
          <w:szCs w:val="18"/>
          <w:lang w:val="nl-NL"/>
        </w:rPr>
        <w:t xml:space="preserve">voorgenomen </w:t>
      </w:r>
      <w:r w:rsidRPr="009146A3" w:rsidR="00FB5563">
        <w:rPr>
          <w:rFonts w:ascii="Verdana" w:hAnsi="Verdana" w:cs="Times New Roman"/>
          <w:sz w:val="18"/>
          <w:szCs w:val="18"/>
          <w:lang w:val="nl-NL"/>
        </w:rPr>
        <w:t>aanbes</w:t>
      </w:r>
      <w:r w:rsidRPr="009146A3" w:rsidR="004F2CBD">
        <w:rPr>
          <w:rFonts w:ascii="Verdana" w:hAnsi="Verdana" w:cs="Times New Roman"/>
          <w:sz w:val="18"/>
          <w:szCs w:val="18"/>
          <w:lang w:val="nl-NL"/>
        </w:rPr>
        <w:t>teding dient te bevatten, met een samenvatting in één van de talen van de WTO.</w:t>
      </w:r>
    </w:p>
    <w:p w:rsidRPr="009146A3" w:rsidR="008E480F" w:rsidP="008E480F" w:rsidRDefault="008E480F">
      <w:pPr>
        <w:pStyle w:val="NoSpacing"/>
        <w:rPr>
          <w:rFonts w:ascii="Verdana" w:hAnsi="Verdana" w:cs="Times New Roman"/>
          <w:sz w:val="18"/>
          <w:szCs w:val="18"/>
          <w:lang w:val="nl-NL"/>
        </w:rPr>
      </w:pPr>
    </w:p>
    <w:p w:rsidR="004F2CBD" w:rsidP="004F2CBD" w:rsidRDefault="004F2CBD">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VIII </w:t>
      </w:r>
      <w:r w:rsidRPr="009146A3">
        <w:rPr>
          <w:rFonts w:ascii="Verdana" w:hAnsi="Verdana" w:cs="Times New Roman"/>
          <w:sz w:val="18"/>
          <w:szCs w:val="18"/>
          <w:lang w:val="nl-NL"/>
        </w:rPr>
        <w:t>Voorwaarden voor deelname</w:t>
      </w:r>
    </w:p>
    <w:p w:rsidR="00B85A79" w:rsidP="006358A9" w:rsidRDefault="00B85A79">
      <w:pPr>
        <w:pStyle w:val="NoSpacing"/>
        <w:rPr>
          <w:rFonts w:ascii="Verdana" w:hAnsi="Verdana" w:cs="Times New Roman"/>
          <w:sz w:val="18"/>
          <w:szCs w:val="18"/>
          <w:lang w:val="nl-NL"/>
        </w:rPr>
      </w:pPr>
      <w:r>
        <w:rPr>
          <w:rFonts w:ascii="Verdana" w:hAnsi="Verdana" w:cs="Times New Roman"/>
          <w:sz w:val="18"/>
          <w:szCs w:val="18"/>
          <w:lang w:val="nl-NL"/>
        </w:rPr>
        <w:t xml:space="preserve">In dit artikel </w:t>
      </w:r>
      <w:r w:rsidR="00DD19CF">
        <w:rPr>
          <w:rFonts w:ascii="Verdana" w:hAnsi="Verdana" w:cs="Times New Roman"/>
          <w:sz w:val="18"/>
          <w:szCs w:val="18"/>
          <w:lang w:val="nl-NL"/>
        </w:rPr>
        <w:t>(en ook in de artikelen</w:t>
      </w:r>
      <w:r>
        <w:rPr>
          <w:rFonts w:ascii="Verdana" w:hAnsi="Verdana" w:cs="Times New Roman"/>
          <w:sz w:val="18"/>
          <w:szCs w:val="18"/>
          <w:lang w:val="nl-NL"/>
        </w:rPr>
        <w:t xml:space="preserve"> tot en met XVIII) wordt ingegaan op het stellen van voorwaarden door partijen in aanbestedingsprocedures. In het algemeen komt het erop neer dat de te stellen voorwaarden geen verkapte belemmeringen mogen inhouden. </w:t>
      </w:r>
    </w:p>
    <w:p w:rsidR="00B85A79" w:rsidP="006358A9" w:rsidRDefault="00B85A79">
      <w:pPr>
        <w:pStyle w:val="NoSpacing"/>
        <w:rPr>
          <w:rFonts w:ascii="Verdana" w:hAnsi="Verdana" w:cs="Times New Roman"/>
          <w:sz w:val="18"/>
          <w:szCs w:val="18"/>
          <w:lang w:val="nl-NL"/>
        </w:rPr>
      </w:pPr>
    </w:p>
    <w:p w:rsidR="006358A9" w:rsidP="006358A9" w:rsidRDefault="006358A9">
      <w:pPr>
        <w:pStyle w:val="NoSpacing"/>
        <w:rPr>
          <w:rFonts w:ascii="Verdana" w:hAnsi="Verdana" w:cs="Times New Roman"/>
          <w:sz w:val="18"/>
          <w:szCs w:val="18"/>
          <w:lang w:val="nl-NL"/>
        </w:rPr>
      </w:pPr>
      <w:r>
        <w:rPr>
          <w:rFonts w:ascii="Verdana" w:hAnsi="Verdana" w:cs="Times New Roman"/>
          <w:sz w:val="18"/>
          <w:szCs w:val="18"/>
          <w:lang w:val="nl-NL"/>
        </w:rPr>
        <w:t xml:space="preserve">In het eerste lid </w:t>
      </w:r>
      <w:r w:rsidR="00B85A79">
        <w:rPr>
          <w:rFonts w:ascii="Verdana" w:hAnsi="Verdana" w:cs="Times New Roman"/>
          <w:sz w:val="18"/>
          <w:szCs w:val="18"/>
          <w:lang w:val="nl-NL"/>
        </w:rPr>
        <w:t xml:space="preserve">van artikel VIII </w:t>
      </w:r>
      <w:r>
        <w:rPr>
          <w:rFonts w:ascii="Verdana" w:hAnsi="Verdana" w:cs="Times New Roman"/>
          <w:sz w:val="18"/>
          <w:szCs w:val="18"/>
          <w:lang w:val="nl-NL"/>
        </w:rPr>
        <w:t>wordt bepaald dat aanbestedende diensten de voorwaarden voor deelname aan de aanbesteding moeten beperken tot essentiële elementen, dat wil zeggen ze mogen voorwaarden stellen op het gebied van juridische en financiële capaciteit</w:t>
      </w:r>
      <w:r w:rsidR="00603BDE">
        <w:rPr>
          <w:rFonts w:ascii="Verdana" w:hAnsi="Verdana" w:cs="Times New Roman"/>
          <w:sz w:val="18"/>
          <w:szCs w:val="18"/>
          <w:lang w:val="nl-NL"/>
        </w:rPr>
        <w:t>en</w:t>
      </w:r>
      <w:r>
        <w:rPr>
          <w:rFonts w:ascii="Verdana" w:hAnsi="Verdana" w:cs="Times New Roman"/>
          <w:sz w:val="18"/>
          <w:szCs w:val="18"/>
          <w:lang w:val="nl-NL"/>
        </w:rPr>
        <w:t xml:space="preserve"> en commerciële en technische vaardigheden van leveranciers. </w:t>
      </w:r>
    </w:p>
    <w:p w:rsidR="006358A9" w:rsidP="006358A9" w:rsidRDefault="006358A9">
      <w:pPr>
        <w:pStyle w:val="NoSpacing"/>
        <w:rPr>
          <w:rFonts w:ascii="Verdana" w:hAnsi="Verdana" w:cs="Times New Roman"/>
          <w:sz w:val="18"/>
          <w:szCs w:val="18"/>
          <w:lang w:val="nl-NL"/>
        </w:rPr>
      </w:pPr>
      <w:r>
        <w:rPr>
          <w:rFonts w:ascii="Verdana" w:hAnsi="Verdana" w:cs="Times New Roman"/>
          <w:sz w:val="18"/>
          <w:szCs w:val="18"/>
          <w:lang w:val="nl-NL"/>
        </w:rPr>
        <w:t>Het tweede lid bepaalt dat de aanbeste</w:t>
      </w:r>
      <w:r w:rsidR="00603BDE">
        <w:rPr>
          <w:rFonts w:ascii="Verdana" w:hAnsi="Verdana" w:cs="Times New Roman"/>
          <w:sz w:val="18"/>
          <w:szCs w:val="18"/>
          <w:lang w:val="nl-NL"/>
        </w:rPr>
        <w:t>de</w:t>
      </w:r>
      <w:r>
        <w:rPr>
          <w:rFonts w:ascii="Verdana" w:hAnsi="Verdana" w:cs="Times New Roman"/>
          <w:sz w:val="18"/>
          <w:szCs w:val="18"/>
          <w:lang w:val="nl-NL"/>
        </w:rPr>
        <w:t xml:space="preserve">nde dienst niet als voorwaarde mag stellen dat een leverancier eerder een opdracht heeft binnengehaald bij een andere partij. </w:t>
      </w:r>
      <w:r w:rsidR="00603BDE">
        <w:rPr>
          <w:rFonts w:ascii="Verdana" w:hAnsi="Verdana" w:cs="Times New Roman"/>
          <w:sz w:val="18"/>
          <w:szCs w:val="18"/>
          <w:lang w:val="nl-NL"/>
        </w:rPr>
        <w:t>De aanbestedende dienst mag wel essentiële ervaring als voorwaarde stellen.</w:t>
      </w:r>
    </w:p>
    <w:p w:rsidR="00603BDE" w:rsidP="006358A9" w:rsidRDefault="00603BDE">
      <w:pPr>
        <w:pStyle w:val="NoSpacing"/>
        <w:rPr>
          <w:rFonts w:ascii="Verdana" w:hAnsi="Verdana" w:cs="Times New Roman"/>
          <w:sz w:val="18"/>
          <w:szCs w:val="18"/>
          <w:lang w:val="nl-NL"/>
        </w:rPr>
      </w:pPr>
      <w:r>
        <w:rPr>
          <w:rFonts w:ascii="Verdana" w:hAnsi="Verdana" w:cs="Times New Roman"/>
          <w:sz w:val="18"/>
          <w:szCs w:val="18"/>
          <w:lang w:val="nl-NL"/>
        </w:rPr>
        <w:t xml:space="preserve">In het derde lid wordt vastgelegd dat de aanbestedende dienst bij de beoordeling of de leverancier aan de gestelde voorwaarden voldoet, moet kijken naar de zakelijke diensten van die leverancier in zowel binnen- als buitenland. </w:t>
      </w:r>
      <w:r w:rsidR="000471BD">
        <w:rPr>
          <w:rFonts w:ascii="Verdana" w:hAnsi="Verdana" w:cs="Times New Roman"/>
          <w:sz w:val="18"/>
          <w:szCs w:val="18"/>
          <w:lang w:val="nl-NL"/>
        </w:rPr>
        <w:t>Bovendien mag</w:t>
      </w:r>
      <w:r>
        <w:rPr>
          <w:rFonts w:ascii="Verdana" w:hAnsi="Verdana" w:cs="Times New Roman"/>
          <w:sz w:val="18"/>
          <w:szCs w:val="18"/>
          <w:lang w:val="nl-NL"/>
        </w:rPr>
        <w:t xml:space="preserve"> de beoordeling </w:t>
      </w:r>
      <w:r w:rsidR="000471BD">
        <w:rPr>
          <w:rFonts w:ascii="Verdana" w:hAnsi="Verdana" w:cs="Times New Roman"/>
          <w:sz w:val="18"/>
          <w:szCs w:val="18"/>
          <w:lang w:val="nl-NL"/>
        </w:rPr>
        <w:t xml:space="preserve">enkel </w:t>
      </w:r>
      <w:r>
        <w:rPr>
          <w:rFonts w:ascii="Verdana" w:hAnsi="Verdana" w:cs="Times New Roman"/>
          <w:sz w:val="18"/>
          <w:szCs w:val="18"/>
          <w:lang w:val="nl-NL"/>
        </w:rPr>
        <w:t>gebaseerd worden op de voorwaarden</w:t>
      </w:r>
      <w:r w:rsidR="000471BD">
        <w:rPr>
          <w:rFonts w:ascii="Verdana" w:hAnsi="Verdana" w:cs="Times New Roman"/>
          <w:sz w:val="18"/>
          <w:szCs w:val="18"/>
          <w:lang w:val="nl-NL"/>
        </w:rPr>
        <w:t xml:space="preserve"> </w:t>
      </w:r>
      <w:r>
        <w:rPr>
          <w:rFonts w:ascii="Verdana" w:hAnsi="Verdana" w:cs="Times New Roman"/>
          <w:sz w:val="18"/>
          <w:szCs w:val="18"/>
          <w:lang w:val="nl-NL"/>
        </w:rPr>
        <w:t>die de aanbeste</w:t>
      </w:r>
      <w:r w:rsidR="000471BD">
        <w:rPr>
          <w:rFonts w:ascii="Verdana" w:hAnsi="Verdana" w:cs="Times New Roman"/>
          <w:sz w:val="18"/>
          <w:szCs w:val="18"/>
          <w:lang w:val="nl-NL"/>
        </w:rPr>
        <w:t>de</w:t>
      </w:r>
      <w:r>
        <w:rPr>
          <w:rFonts w:ascii="Verdana" w:hAnsi="Verdana" w:cs="Times New Roman"/>
          <w:sz w:val="18"/>
          <w:szCs w:val="18"/>
          <w:lang w:val="nl-NL"/>
        </w:rPr>
        <w:t xml:space="preserve">nde dienst van tevoren heeft gepubliceerd </w:t>
      </w:r>
      <w:r w:rsidR="000471BD">
        <w:rPr>
          <w:rFonts w:ascii="Verdana" w:hAnsi="Verdana" w:cs="Times New Roman"/>
          <w:sz w:val="18"/>
          <w:szCs w:val="18"/>
          <w:lang w:val="nl-NL"/>
        </w:rPr>
        <w:t>of zoals vermeld in de a</w:t>
      </w:r>
      <w:r>
        <w:rPr>
          <w:rFonts w:ascii="Verdana" w:hAnsi="Verdana" w:cs="Times New Roman"/>
          <w:sz w:val="18"/>
          <w:szCs w:val="18"/>
          <w:lang w:val="nl-NL"/>
        </w:rPr>
        <w:t>a</w:t>
      </w:r>
      <w:r w:rsidR="000471BD">
        <w:rPr>
          <w:rFonts w:ascii="Verdana" w:hAnsi="Verdana" w:cs="Times New Roman"/>
          <w:sz w:val="18"/>
          <w:szCs w:val="18"/>
          <w:lang w:val="nl-NL"/>
        </w:rPr>
        <w:t>n</w:t>
      </w:r>
      <w:r>
        <w:rPr>
          <w:rFonts w:ascii="Verdana" w:hAnsi="Verdana" w:cs="Times New Roman"/>
          <w:sz w:val="18"/>
          <w:szCs w:val="18"/>
          <w:lang w:val="nl-NL"/>
        </w:rPr>
        <w:t>beste</w:t>
      </w:r>
      <w:r w:rsidR="000471BD">
        <w:rPr>
          <w:rFonts w:ascii="Verdana" w:hAnsi="Verdana" w:cs="Times New Roman"/>
          <w:sz w:val="18"/>
          <w:szCs w:val="18"/>
          <w:lang w:val="nl-NL"/>
        </w:rPr>
        <w:t>dingsstukken zelf</w:t>
      </w:r>
      <w:r>
        <w:rPr>
          <w:rFonts w:ascii="Verdana" w:hAnsi="Verdana" w:cs="Times New Roman"/>
          <w:sz w:val="18"/>
          <w:szCs w:val="18"/>
          <w:lang w:val="nl-NL"/>
        </w:rPr>
        <w:t>.</w:t>
      </w:r>
    </w:p>
    <w:p w:rsidRPr="006358A9" w:rsidR="008E480F" w:rsidP="00047766" w:rsidRDefault="005F0E04">
      <w:pPr>
        <w:pStyle w:val="NoSpacing"/>
        <w:rPr>
          <w:rFonts w:ascii="Verdana" w:hAnsi="Verdana" w:cs="Times New Roman"/>
          <w:sz w:val="18"/>
          <w:szCs w:val="18"/>
          <w:lang w:val="nl-NL"/>
        </w:rPr>
      </w:pPr>
      <w:r w:rsidRPr="006358A9">
        <w:rPr>
          <w:rFonts w:ascii="Verdana" w:hAnsi="Verdana" w:cs="Times New Roman"/>
          <w:sz w:val="18"/>
          <w:szCs w:val="18"/>
          <w:lang w:val="nl-NL"/>
        </w:rPr>
        <w:t xml:space="preserve">Het vierde lid bevat een </w:t>
      </w:r>
      <w:r w:rsidRPr="006358A9" w:rsidR="00F413EF">
        <w:rPr>
          <w:rFonts w:ascii="Verdana" w:hAnsi="Verdana" w:cs="Times New Roman"/>
          <w:sz w:val="18"/>
          <w:szCs w:val="18"/>
          <w:lang w:val="nl-NL"/>
        </w:rPr>
        <w:t xml:space="preserve">niet limitatieve </w:t>
      </w:r>
      <w:r w:rsidRPr="006358A9">
        <w:rPr>
          <w:rFonts w:ascii="Verdana" w:hAnsi="Verdana" w:cs="Times New Roman"/>
          <w:sz w:val="18"/>
          <w:szCs w:val="18"/>
          <w:lang w:val="nl-NL"/>
        </w:rPr>
        <w:t xml:space="preserve">opsomming van gevallen waarin leveranciers kunnen worden uitgesloten </w:t>
      </w:r>
      <w:r w:rsidR="006358A9">
        <w:rPr>
          <w:rFonts w:ascii="Verdana" w:hAnsi="Verdana" w:cs="Times New Roman"/>
          <w:sz w:val="18"/>
          <w:szCs w:val="18"/>
          <w:lang w:val="nl-NL"/>
        </w:rPr>
        <w:t>van deelname</w:t>
      </w:r>
      <w:r w:rsidR="00DD19CF">
        <w:rPr>
          <w:rFonts w:ascii="Verdana" w:hAnsi="Verdana" w:cs="Times New Roman"/>
          <w:sz w:val="18"/>
          <w:szCs w:val="18"/>
          <w:lang w:val="nl-NL"/>
        </w:rPr>
        <w:t>,</w:t>
      </w:r>
      <w:r w:rsidR="006358A9">
        <w:rPr>
          <w:rFonts w:ascii="Verdana" w:hAnsi="Verdana" w:cs="Times New Roman"/>
          <w:sz w:val="18"/>
          <w:szCs w:val="18"/>
          <w:lang w:val="nl-NL"/>
        </w:rPr>
        <w:t xml:space="preserve"> </w:t>
      </w:r>
      <w:r w:rsidRPr="006358A9">
        <w:rPr>
          <w:rFonts w:ascii="Verdana" w:hAnsi="Verdana" w:cs="Times New Roman"/>
          <w:sz w:val="18"/>
          <w:szCs w:val="18"/>
          <w:lang w:val="nl-NL"/>
        </w:rPr>
        <w:t>zoals faillissement, valsheid in geschrifte, het niet betalen van belastingen en definitieve veroordelingen voor ernstige misdrijven of andere strafbare feiten.</w:t>
      </w:r>
    </w:p>
    <w:p w:rsidRPr="006358A9" w:rsidR="005F0E04" w:rsidP="00047766" w:rsidRDefault="005F0E04">
      <w:pPr>
        <w:pStyle w:val="NoSpacing"/>
        <w:rPr>
          <w:rFonts w:ascii="Verdana" w:hAnsi="Verdana" w:cs="Times New Roman"/>
          <w:sz w:val="18"/>
          <w:szCs w:val="18"/>
          <w:lang w:val="nl-NL"/>
        </w:rPr>
      </w:pPr>
    </w:p>
    <w:p w:rsidRPr="009442F8" w:rsidR="005F0E04" w:rsidP="005F0E04" w:rsidRDefault="005F0E04">
      <w:pPr>
        <w:pStyle w:val="NoSpacing"/>
        <w:rPr>
          <w:rFonts w:ascii="Verdana" w:hAnsi="Verdana" w:cs="Times New Roman"/>
          <w:sz w:val="18"/>
          <w:szCs w:val="18"/>
          <w:lang w:val="nl-NL"/>
        </w:rPr>
      </w:pPr>
      <w:r w:rsidRPr="006358A9">
        <w:rPr>
          <w:rFonts w:ascii="Verdana" w:hAnsi="Verdana" w:cs="Times New Roman"/>
          <w:b/>
          <w:sz w:val="18"/>
          <w:szCs w:val="18"/>
          <w:lang w:val="nl-NL"/>
        </w:rPr>
        <w:t xml:space="preserve">Artikel IX </w:t>
      </w:r>
      <w:r w:rsidRPr="006358A9">
        <w:rPr>
          <w:rFonts w:ascii="Verdana" w:hAnsi="Verdana" w:cs="Times New Roman"/>
          <w:sz w:val="18"/>
          <w:szCs w:val="18"/>
          <w:lang w:val="nl-NL"/>
        </w:rPr>
        <w:t>Erkenning van leveranciers</w:t>
      </w:r>
    </w:p>
    <w:p w:rsidRPr="009442F8" w:rsidR="003A7D5F" w:rsidP="005F0E04" w:rsidRDefault="003A7D5F">
      <w:pPr>
        <w:pStyle w:val="NoSpacing"/>
        <w:rPr>
          <w:rFonts w:ascii="Verdana" w:hAnsi="Verdana" w:cs="Times New Roman"/>
          <w:sz w:val="18"/>
          <w:szCs w:val="18"/>
          <w:lang w:val="nl-NL"/>
        </w:rPr>
      </w:pPr>
      <w:r w:rsidRPr="008765F6">
        <w:rPr>
          <w:rFonts w:ascii="Verdana" w:hAnsi="Verdana" w:cs="Times New Roman"/>
          <w:sz w:val="18"/>
          <w:szCs w:val="18"/>
          <w:lang w:val="nl-NL"/>
        </w:rPr>
        <w:t>Dit artikel maakt het</w:t>
      </w:r>
      <w:r w:rsidRPr="008B78D3" w:rsidR="00766208">
        <w:rPr>
          <w:rFonts w:ascii="Verdana" w:hAnsi="Verdana" w:cs="Times New Roman"/>
          <w:sz w:val="18"/>
          <w:szCs w:val="18"/>
          <w:lang w:val="nl-NL"/>
        </w:rPr>
        <w:t>,</w:t>
      </w:r>
      <w:r w:rsidRPr="008B78D3">
        <w:rPr>
          <w:rFonts w:ascii="Verdana" w:hAnsi="Verdana" w:cs="Times New Roman"/>
          <w:sz w:val="18"/>
          <w:szCs w:val="18"/>
          <w:lang w:val="nl-NL"/>
        </w:rPr>
        <w:t xml:space="preserve"> </w:t>
      </w:r>
      <w:r w:rsidRPr="008B78D3" w:rsidR="00766208">
        <w:rPr>
          <w:rFonts w:ascii="Verdana" w:hAnsi="Verdana" w:cs="Times New Roman"/>
          <w:sz w:val="18"/>
          <w:szCs w:val="18"/>
          <w:lang w:val="nl-NL"/>
        </w:rPr>
        <w:t xml:space="preserve">onder met name genoemde voorwaarden, </w:t>
      </w:r>
      <w:r w:rsidRPr="008B78D3">
        <w:rPr>
          <w:rFonts w:ascii="Verdana" w:hAnsi="Verdana" w:cs="Times New Roman"/>
          <w:sz w:val="18"/>
          <w:szCs w:val="18"/>
          <w:lang w:val="nl-NL"/>
        </w:rPr>
        <w:t xml:space="preserve">mogelijk dat </w:t>
      </w:r>
      <w:r w:rsidR="00DD19CF">
        <w:rPr>
          <w:rFonts w:ascii="Verdana" w:hAnsi="Verdana" w:cs="Times New Roman"/>
          <w:sz w:val="18"/>
          <w:szCs w:val="18"/>
          <w:lang w:val="nl-NL"/>
        </w:rPr>
        <w:t>p</w:t>
      </w:r>
      <w:r w:rsidRPr="008B78D3">
        <w:rPr>
          <w:rFonts w:ascii="Verdana" w:hAnsi="Verdana" w:cs="Times New Roman"/>
          <w:sz w:val="18"/>
          <w:szCs w:val="18"/>
          <w:lang w:val="nl-NL"/>
        </w:rPr>
        <w:t xml:space="preserve">artijen en aanbestedende </w:t>
      </w:r>
      <w:r w:rsidR="00BA6EC1">
        <w:rPr>
          <w:rFonts w:ascii="Verdana" w:hAnsi="Verdana" w:cs="Times New Roman"/>
          <w:sz w:val="18"/>
          <w:szCs w:val="18"/>
          <w:lang w:val="nl-NL"/>
        </w:rPr>
        <w:t>diensten</w:t>
      </w:r>
      <w:r w:rsidRPr="008B78D3">
        <w:rPr>
          <w:rFonts w:ascii="Verdana" w:hAnsi="Verdana" w:cs="Times New Roman"/>
          <w:sz w:val="18"/>
          <w:szCs w:val="18"/>
          <w:lang w:val="nl-NL"/>
        </w:rPr>
        <w:t xml:space="preserve"> lijsten en registratiesystemen bijhouden van erkende leveranciers voor bepaalde goederen en diensten</w:t>
      </w:r>
      <w:r w:rsidR="009442F8">
        <w:rPr>
          <w:rFonts w:ascii="Verdana" w:hAnsi="Verdana" w:cs="Times New Roman"/>
          <w:sz w:val="18"/>
          <w:szCs w:val="18"/>
          <w:lang w:val="nl-NL"/>
        </w:rPr>
        <w:t>. Het artikel</w:t>
      </w:r>
      <w:r w:rsidRPr="009442F8">
        <w:rPr>
          <w:rFonts w:ascii="Verdana" w:hAnsi="Verdana" w:cs="Times New Roman"/>
          <w:sz w:val="18"/>
          <w:szCs w:val="18"/>
          <w:lang w:val="nl-NL"/>
        </w:rPr>
        <w:t xml:space="preserve"> creëert </w:t>
      </w:r>
      <w:r w:rsidR="009442F8">
        <w:rPr>
          <w:rFonts w:ascii="Verdana" w:hAnsi="Verdana" w:cs="Times New Roman"/>
          <w:sz w:val="18"/>
          <w:szCs w:val="18"/>
          <w:lang w:val="nl-NL"/>
        </w:rPr>
        <w:t xml:space="preserve">tevens </w:t>
      </w:r>
      <w:r w:rsidRPr="009442F8">
        <w:rPr>
          <w:rFonts w:ascii="Verdana" w:hAnsi="Verdana" w:cs="Times New Roman"/>
          <w:sz w:val="18"/>
          <w:szCs w:val="18"/>
          <w:lang w:val="nl-NL"/>
        </w:rPr>
        <w:t xml:space="preserve">de mogelijkheid om opdrachten aan te besteden met een voorafgaande selectie, mits geen onnodige belemmeringen opgeworpen worden voor de deelname van leveranciers van een andere </w:t>
      </w:r>
      <w:r w:rsidR="00DD19CF">
        <w:rPr>
          <w:rFonts w:ascii="Verdana" w:hAnsi="Verdana" w:cs="Times New Roman"/>
          <w:sz w:val="18"/>
          <w:szCs w:val="18"/>
          <w:lang w:val="nl-NL"/>
        </w:rPr>
        <w:t>p</w:t>
      </w:r>
      <w:r w:rsidRPr="009442F8">
        <w:rPr>
          <w:rFonts w:ascii="Verdana" w:hAnsi="Verdana" w:cs="Times New Roman"/>
          <w:sz w:val="18"/>
          <w:szCs w:val="18"/>
          <w:lang w:val="nl-NL"/>
        </w:rPr>
        <w:t>artij.</w:t>
      </w:r>
    </w:p>
    <w:p w:rsidRPr="007959EC" w:rsidR="00766208" w:rsidP="005F0E04" w:rsidRDefault="00766208">
      <w:pPr>
        <w:pStyle w:val="NoSpacing"/>
        <w:rPr>
          <w:rFonts w:ascii="Verdana" w:hAnsi="Verdana" w:cs="Times New Roman"/>
          <w:sz w:val="18"/>
          <w:szCs w:val="18"/>
          <w:lang w:val="nl-NL"/>
        </w:rPr>
      </w:pPr>
      <w:r w:rsidRPr="007959EC">
        <w:rPr>
          <w:rFonts w:ascii="Verdana" w:hAnsi="Verdana" w:cs="Times New Roman"/>
          <w:sz w:val="18"/>
          <w:szCs w:val="18"/>
          <w:lang w:val="nl-NL"/>
        </w:rPr>
        <w:t>Het elfde lid opent de mogelijkheid voor leveranciers</w:t>
      </w:r>
      <w:r w:rsidRPr="007959EC" w:rsidR="00441BB0">
        <w:rPr>
          <w:rFonts w:ascii="Verdana" w:hAnsi="Verdana" w:cs="Times New Roman"/>
          <w:sz w:val="18"/>
          <w:szCs w:val="18"/>
          <w:lang w:val="nl-NL"/>
        </w:rPr>
        <w:t>,</w:t>
      </w:r>
      <w:r w:rsidRPr="007959EC">
        <w:rPr>
          <w:rFonts w:ascii="Verdana" w:hAnsi="Verdana" w:cs="Times New Roman"/>
          <w:sz w:val="18"/>
          <w:szCs w:val="18"/>
          <w:lang w:val="nl-NL"/>
        </w:rPr>
        <w:t xml:space="preserve"> die niet op deze lijsten voorkomen</w:t>
      </w:r>
      <w:r w:rsidRPr="007959EC" w:rsidR="00441BB0">
        <w:rPr>
          <w:rFonts w:ascii="Verdana" w:hAnsi="Verdana" w:cs="Times New Roman"/>
          <w:sz w:val="18"/>
          <w:szCs w:val="18"/>
          <w:lang w:val="nl-NL"/>
        </w:rPr>
        <w:t>,</w:t>
      </w:r>
      <w:r w:rsidRPr="007959EC">
        <w:rPr>
          <w:rFonts w:ascii="Verdana" w:hAnsi="Verdana" w:cs="Times New Roman"/>
          <w:sz w:val="18"/>
          <w:szCs w:val="18"/>
          <w:lang w:val="nl-NL"/>
        </w:rPr>
        <w:t xml:space="preserve"> </w:t>
      </w:r>
      <w:r w:rsidR="007959EC">
        <w:rPr>
          <w:rFonts w:ascii="Verdana" w:hAnsi="Verdana" w:cs="Times New Roman"/>
          <w:sz w:val="18"/>
          <w:szCs w:val="18"/>
          <w:lang w:val="nl-NL"/>
        </w:rPr>
        <w:t xml:space="preserve">toch </w:t>
      </w:r>
      <w:r w:rsidRPr="007959EC">
        <w:rPr>
          <w:rFonts w:ascii="Verdana" w:hAnsi="Verdana" w:cs="Times New Roman"/>
          <w:sz w:val="18"/>
          <w:szCs w:val="18"/>
          <w:lang w:val="nl-NL"/>
        </w:rPr>
        <w:t xml:space="preserve">voor deelname </w:t>
      </w:r>
      <w:r w:rsidR="007959EC">
        <w:rPr>
          <w:rFonts w:ascii="Verdana" w:hAnsi="Verdana" w:cs="Times New Roman"/>
          <w:sz w:val="18"/>
          <w:szCs w:val="18"/>
          <w:lang w:val="nl-NL"/>
        </w:rPr>
        <w:t xml:space="preserve">aan een aanbesteding </w:t>
      </w:r>
      <w:r w:rsidRPr="007959EC">
        <w:rPr>
          <w:rFonts w:ascii="Verdana" w:hAnsi="Verdana" w:cs="Times New Roman"/>
          <w:sz w:val="18"/>
          <w:szCs w:val="18"/>
          <w:lang w:val="nl-NL"/>
        </w:rPr>
        <w:t>in aanmerking te komen.</w:t>
      </w:r>
    </w:p>
    <w:p w:rsidRPr="008765F6" w:rsidR="00766208" w:rsidP="005F0E04" w:rsidRDefault="00766208">
      <w:pPr>
        <w:pStyle w:val="NoSpacing"/>
        <w:rPr>
          <w:rFonts w:ascii="Verdana" w:hAnsi="Verdana" w:cs="Times New Roman"/>
          <w:sz w:val="18"/>
          <w:szCs w:val="18"/>
          <w:lang w:val="nl-NL"/>
        </w:rPr>
      </w:pPr>
    </w:p>
    <w:p w:rsidRPr="009146A3" w:rsidR="00E830D8" w:rsidP="00E830D8" w:rsidRDefault="00766208">
      <w:pPr>
        <w:pStyle w:val="NoSpacing"/>
        <w:rPr>
          <w:rFonts w:ascii="Verdana" w:hAnsi="Verdana" w:cs="Times New Roman"/>
          <w:sz w:val="18"/>
          <w:szCs w:val="18"/>
          <w:lang w:val="nl-NL"/>
        </w:rPr>
      </w:pPr>
      <w:r w:rsidRPr="008B78D3">
        <w:rPr>
          <w:rFonts w:ascii="Verdana" w:hAnsi="Verdana" w:cs="Times New Roman"/>
          <w:b/>
          <w:sz w:val="18"/>
          <w:szCs w:val="18"/>
          <w:lang w:val="nl-NL"/>
        </w:rPr>
        <w:t xml:space="preserve">Artikel X </w:t>
      </w:r>
      <w:r w:rsidRPr="008B78D3">
        <w:rPr>
          <w:rFonts w:ascii="Verdana" w:hAnsi="Verdana" w:cs="Times New Roman"/>
          <w:sz w:val="18"/>
          <w:szCs w:val="18"/>
          <w:lang w:val="nl-NL"/>
        </w:rPr>
        <w:t>Technische specificaties en aanbestedings</w:t>
      </w:r>
      <w:r w:rsidR="00DD19CF">
        <w:rPr>
          <w:rFonts w:ascii="Verdana" w:hAnsi="Verdana" w:cs="Times New Roman"/>
          <w:sz w:val="18"/>
          <w:szCs w:val="18"/>
          <w:lang w:val="nl-NL"/>
        </w:rPr>
        <w:t>stukken</w:t>
      </w:r>
      <w:r w:rsidRPr="008B78D3" w:rsidR="00E830D8">
        <w:rPr>
          <w:rFonts w:ascii="Verdana" w:hAnsi="Verdana" w:cs="Times New Roman"/>
          <w:sz w:val="18"/>
          <w:szCs w:val="18"/>
          <w:lang w:val="nl-NL"/>
        </w:rPr>
        <w:t xml:space="preserve"> en </w:t>
      </w:r>
      <w:r w:rsidRPr="008B78D3" w:rsidR="00E830D8">
        <w:rPr>
          <w:rFonts w:ascii="Verdana" w:hAnsi="Verdana" w:cs="Times New Roman"/>
          <w:b/>
          <w:sz w:val="18"/>
          <w:szCs w:val="18"/>
          <w:lang w:val="nl-NL"/>
        </w:rPr>
        <w:t xml:space="preserve">Artikel XI </w:t>
      </w:r>
      <w:r w:rsidRPr="009146A3" w:rsidR="00E830D8">
        <w:rPr>
          <w:rFonts w:ascii="Verdana" w:hAnsi="Verdana" w:cs="Times New Roman"/>
          <w:sz w:val="18"/>
          <w:szCs w:val="18"/>
          <w:lang w:val="nl-NL"/>
        </w:rPr>
        <w:t>Termijnen</w:t>
      </w:r>
    </w:p>
    <w:p w:rsidRPr="009146A3" w:rsidR="00E830D8" w:rsidP="00E830D8" w:rsidRDefault="00E830D8">
      <w:pPr>
        <w:pStyle w:val="NoSpacing"/>
        <w:rPr>
          <w:rFonts w:ascii="Verdana" w:hAnsi="Verdana" w:cs="Times New Roman"/>
          <w:sz w:val="18"/>
          <w:szCs w:val="18"/>
          <w:lang w:val="nl-NL"/>
        </w:rPr>
      </w:pPr>
      <w:r w:rsidRPr="009146A3">
        <w:rPr>
          <w:rFonts w:ascii="Verdana" w:hAnsi="Verdana" w:cs="Times New Roman"/>
          <w:sz w:val="18"/>
          <w:szCs w:val="18"/>
          <w:lang w:val="nl-NL"/>
        </w:rPr>
        <w:t>Deze artikelen geven nadere richtlijnen waaruit de aanbestedingsdossiers en technische specificaties dienen te bestaan, waarbij geen onnodige belemmeringen voor de internationale handel dienen te ontstaan. Voorts</w:t>
      </w:r>
      <w:r w:rsidR="00BA6EC1">
        <w:rPr>
          <w:rFonts w:ascii="Verdana" w:hAnsi="Verdana" w:cs="Times New Roman"/>
          <w:sz w:val="18"/>
          <w:szCs w:val="18"/>
          <w:lang w:val="nl-NL"/>
        </w:rPr>
        <w:t xml:space="preserve"> dienen aanbestedende diensten</w:t>
      </w:r>
      <w:r w:rsidRPr="009146A3">
        <w:rPr>
          <w:rFonts w:ascii="Verdana" w:hAnsi="Verdana" w:cs="Times New Roman"/>
          <w:sz w:val="18"/>
          <w:szCs w:val="18"/>
          <w:lang w:val="nl-NL"/>
        </w:rPr>
        <w:t xml:space="preserve"> leveranciers voldoende tijd </w:t>
      </w:r>
      <w:r w:rsidRPr="009146A3" w:rsidR="006E56E0">
        <w:rPr>
          <w:rFonts w:ascii="Verdana" w:hAnsi="Verdana" w:cs="Times New Roman"/>
          <w:sz w:val="18"/>
          <w:szCs w:val="18"/>
          <w:lang w:val="nl-NL"/>
        </w:rPr>
        <w:t>te geven om verzoeken tot deelname en geldige inschrijvingen op te stellen en in te dienen.</w:t>
      </w:r>
      <w:r w:rsidRPr="009146A3">
        <w:rPr>
          <w:rFonts w:ascii="Verdana" w:hAnsi="Verdana" w:cs="Times New Roman"/>
          <w:sz w:val="18"/>
          <w:szCs w:val="18"/>
          <w:lang w:val="nl-NL"/>
        </w:rPr>
        <w:t xml:space="preserve"> </w:t>
      </w:r>
    </w:p>
    <w:p w:rsidRPr="009146A3" w:rsidR="00766208" w:rsidP="00766208" w:rsidRDefault="00766208">
      <w:pPr>
        <w:pStyle w:val="NoSpacing"/>
        <w:rPr>
          <w:rFonts w:ascii="Verdana" w:hAnsi="Verdana" w:cs="Times New Roman"/>
          <w:sz w:val="18"/>
          <w:szCs w:val="18"/>
          <w:lang w:val="nl-NL"/>
        </w:rPr>
      </w:pPr>
    </w:p>
    <w:p w:rsidRPr="009146A3" w:rsidR="006E56E0" w:rsidP="006E56E0" w:rsidRDefault="006E56E0">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XII </w:t>
      </w:r>
      <w:r w:rsidRPr="009146A3">
        <w:rPr>
          <w:rFonts w:ascii="Verdana" w:hAnsi="Verdana" w:cs="Times New Roman"/>
          <w:sz w:val="18"/>
          <w:szCs w:val="18"/>
          <w:lang w:val="nl-NL"/>
        </w:rPr>
        <w:t>Onderhandeling</w:t>
      </w:r>
    </w:p>
    <w:p w:rsidRPr="009146A3" w:rsidR="00766208" w:rsidP="00766208" w:rsidRDefault="009152AF">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Dit artikel opent de mogelijkheid van onderhandelingen door de aanbestedende </w:t>
      </w:r>
      <w:r w:rsidR="00BA6EC1">
        <w:rPr>
          <w:rFonts w:ascii="Verdana" w:hAnsi="Verdana" w:cs="Times New Roman"/>
          <w:sz w:val="18"/>
          <w:szCs w:val="18"/>
          <w:lang w:val="nl-NL"/>
        </w:rPr>
        <w:t>dienst</w:t>
      </w:r>
      <w:r w:rsidRPr="009146A3">
        <w:rPr>
          <w:rFonts w:ascii="Verdana" w:hAnsi="Verdana" w:cs="Times New Roman"/>
          <w:sz w:val="18"/>
          <w:szCs w:val="18"/>
          <w:lang w:val="nl-NL"/>
        </w:rPr>
        <w:t xml:space="preserve"> indien dat in het bericht van </w:t>
      </w:r>
      <w:r w:rsidR="00BA6EC1">
        <w:rPr>
          <w:rFonts w:ascii="Verdana" w:hAnsi="Verdana" w:cs="Times New Roman"/>
          <w:sz w:val="18"/>
          <w:szCs w:val="18"/>
          <w:lang w:val="nl-NL"/>
        </w:rPr>
        <w:t xml:space="preserve">voorgenomen </w:t>
      </w:r>
      <w:r w:rsidRPr="009146A3">
        <w:rPr>
          <w:rFonts w:ascii="Verdana" w:hAnsi="Verdana" w:cs="Times New Roman"/>
          <w:sz w:val="18"/>
          <w:szCs w:val="18"/>
          <w:lang w:val="nl-NL"/>
        </w:rPr>
        <w:t>aanbesteding is opgenomen of indien geen van de inschrijvingen duidelijk het voordeligst is volgens de desbetreffende specifieke beoordelingscriteria.</w:t>
      </w:r>
    </w:p>
    <w:p w:rsidRPr="009146A3" w:rsidR="009152AF" w:rsidP="00766208" w:rsidRDefault="009152AF">
      <w:pPr>
        <w:pStyle w:val="NoSpacing"/>
        <w:rPr>
          <w:rFonts w:ascii="Verdana" w:hAnsi="Verdana" w:cs="Times New Roman"/>
          <w:sz w:val="18"/>
          <w:szCs w:val="18"/>
          <w:lang w:val="nl-NL"/>
        </w:rPr>
      </w:pPr>
    </w:p>
    <w:p w:rsidRPr="009146A3" w:rsidR="009152AF" w:rsidP="009152AF" w:rsidRDefault="009152AF">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XIII </w:t>
      </w:r>
      <w:r w:rsidRPr="009146A3">
        <w:rPr>
          <w:rFonts w:ascii="Verdana" w:hAnsi="Verdana" w:cs="Times New Roman"/>
          <w:sz w:val="18"/>
          <w:szCs w:val="18"/>
          <w:lang w:val="nl-NL"/>
        </w:rPr>
        <w:t>Onderhandse aanbesteding</w:t>
      </w:r>
    </w:p>
    <w:p w:rsidRPr="009146A3" w:rsidR="009152AF" w:rsidP="009152AF" w:rsidRDefault="009152AF">
      <w:pPr>
        <w:pStyle w:val="NoSpacing"/>
        <w:rPr>
          <w:rFonts w:ascii="Verdana" w:hAnsi="Verdana" w:cs="Times New Roman"/>
          <w:sz w:val="18"/>
          <w:szCs w:val="18"/>
          <w:lang w:val="nl-NL"/>
        </w:rPr>
      </w:pPr>
      <w:r w:rsidRPr="009146A3">
        <w:rPr>
          <w:rFonts w:ascii="Verdana" w:hAnsi="Verdana" w:cs="Times New Roman"/>
          <w:sz w:val="18"/>
          <w:szCs w:val="18"/>
          <w:lang w:val="nl-NL"/>
        </w:rPr>
        <w:t>In dit artikel worden limitatief de mogelijkheden opgesomd waarbij onderhandse aanbesteding kan worden toegepast. In ieder geval mag dit niet gebruikt worden om concurrentie</w:t>
      </w:r>
      <w:r w:rsidRPr="009146A3" w:rsidR="006A68C3">
        <w:rPr>
          <w:rFonts w:ascii="Verdana" w:hAnsi="Verdana" w:cs="Times New Roman"/>
          <w:sz w:val="18"/>
          <w:szCs w:val="18"/>
          <w:lang w:val="nl-NL"/>
        </w:rPr>
        <w:t xml:space="preserve"> tussen leveranciers te voorkomen of eigen leveranciers te beschermen.</w:t>
      </w:r>
    </w:p>
    <w:p w:rsidR="006A68C3" w:rsidP="009152AF" w:rsidRDefault="006A68C3">
      <w:pPr>
        <w:pStyle w:val="NoSpacing"/>
        <w:rPr>
          <w:rFonts w:ascii="Verdana" w:hAnsi="Verdana" w:cs="Times New Roman"/>
          <w:sz w:val="18"/>
          <w:szCs w:val="18"/>
          <w:lang w:val="nl-NL"/>
        </w:rPr>
      </w:pPr>
    </w:p>
    <w:p w:rsidRPr="009146A3" w:rsidR="002E1C0B" w:rsidP="009152AF" w:rsidRDefault="002E1C0B">
      <w:pPr>
        <w:pStyle w:val="NoSpacing"/>
        <w:rPr>
          <w:rFonts w:ascii="Verdana" w:hAnsi="Verdana" w:cs="Times New Roman"/>
          <w:sz w:val="18"/>
          <w:szCs w:val="18"/>
          <w:lang w:val="nl-NL"/>
        </w:rPr>
      </w:pPr>
    </w:p>
    <w:p w:rsidRPr="009146A3" w:rsidR="006A68C3" w:rsidP="006A68C3" w:rsidRDefault="006A68C3">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XIV </w:t>
      </w:r>
      <w:r w:rsidRPr="009146A3">
        <w:rPr>
          <w:rFonts w:ascii="Verdana" w:hAnsi="Verdana" w:cs="Times New Roman"/>
          <w:sz w:val="18"/>
          <w:szCs w:val="18"/>
          <w:lang w:val="nl-NL"/>
        </w:rPr>
        <w:t>Elektronische veilingen</w:t>
      </w:r>
    </w:p>
    <w:p w:rsidRPr="009146A3" w:rsidR="006A68C3" w:rsidP="006A68C3" w:rsidRDefault="006A68C3">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Voor de aanbesteding van een overheidsopdracht via een elektronische veiling is het noodzakelijk ingevolge dit artikel dat iedere deelnemer in kennis wordt gesteld van de methode voor automatische evaluatie en de resultaten van een eventuele eerste beoordeling van </w:t>
      </w:r>
      <w:r w:rsidRPr="009146A3" w:rsidR="00A75FB3">
        <w:rPr>
          <w:rFonts w:ascii="Verdana" w:hAnsi="Verdana" w:cs="Times New Roman"/>
          <w:sz w:val="18"/>
          <w:szCs w:val="18"/>
          <w:lang w:val="nl-NL"/>
        </w:rPr>
        <w:t>de desbetreffende inschrijving.</w:t>
      </w:r>
    </w:p>
    <w:p w:rsidRPr="009146A3" w:rsidR="00A75FB3" w:rsidP="006A68C3" w:rsidRDefault="00A75FB3">
      <w:pPr>
        <w:pStyle w:val="NoSpacing"/>
        <w:rPr>
          <w:rFonts w:ascii="Verdana" w:hAnsi="Verdana" w:cs="Times New Roman"/>
          <w:sz w:val="18"/>
          <w:szCs w:val="18"/>
          <w:lang w:val="nl-NL"/>
        </w:rPr>
      </w:pPr>
    </w:p>
    <w:p w:rsidRPr="009146A3" w:rsidR="00A75FB3" w:rsidP="00A75FB3" w:rsidRDefault="00A75FB3">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XV </w:t>
      </w:r>
      <w:r w:rsidR="00BA6EC1">
        <w:rPr>
          <w:rFonts w:ascii="Verdana" w:hAnsi="Verdana" w:cs="Times New Roman"/>
          <w:sz w:val="18"/>
          <w:szCs w:val="18"/>
          <w:lang w:val="nl-NL"/>
        </w:rPr>
        <w:t>Behandeling van inschrijvingen</w:t>
      </w:r>
      <w:r w:rsidRPr="009146A3">
        <w:rPr>
          <w:rFonts w:ascii="Verdana" w:hAnsi="Verdana" w:cs="Times New Roman"/>
          <w:sz w:val="18"/>
          <w:szCs w:val="18"/>
          <w:lang w:val="nl-NL"/>
        </w:rPr>
        <w:t xml:space="preserve"> en gunning van opdrachten</w:t>
      </w:r>
    </w:p>
    <w:p w:rsidRPr="009146A3" w:rsidR="00467981" w:rsidP="00A75FB3" w:rsidRDefault="00467981">
      <w:pPr>
        <w:pStyle w:val="NoSpacing"/>
        <w:rPr>
          <w:rFonts w:ascii="Verdana" w:hAnsi="Verdana" w:cs="Times New Roman"/>
          <w:sz w:val="18"/>
          <w:szCs w:val="18"/>
          <w:lang w:val="nl-NL"/>
        </w:rPr>
      </w:pPr>
      <w:r w:rsidRPr="009146A3">
        <w:rPr>
          <w:rFonts w:ascii="Verdana" w:hAnsi="Verdana" w:cs="Times New Roman"/>
          <w:sz w:val="18"/>
          <w:szCs w:val="18"/>
          <w:lang w:val="nl-NL"/>
        </w:rPr>
        <w:t>Bij het ontvangen, o</w:t>
      </w:r>
      <w:r w:rsidR="00BA6EC1">
        <w:rPr>
          <w:rFonts w:ascii="Verdana" w:hAnsi="Verdana" w:cs="Times New Roman"/>
          <w:sz w:val="18"/>
          <w:szCs w:val="18"/>
          <w:lang w:val="nl-NL"/>
        </w:rPr>
        <w:t>penen en behandelen van inschrijvingen</w:t>
      </w:r>
      <w:r w:rsidRPr="009146A3">
        <w:rPr>
          <w:rFonts w:ascii="Verdana" w:hAnsi="Verdana" w:cs="Times New Roman"/>
          <w:sz w:val="18"/>
          <w:szCs w:val="18"/>
          <w:lang w:val="nl-NL"/>
        </w:rPr>
        <w:t xml:space="preserve"> dient de aanbestedende </w:t>
      </w:r>
      <w:r w:rsidR="00BA6EC1">
        <w:rPr>
          <w:rFonts w:ascii="Verdana" w:hAnsi="Verdana" w:cs="Times New Roman"/>
          <w:sz w:val="18"/>
          <w:szCs w:val="18"/>
          <w:lang w:val="nl-NL"/>
        </w:rPr>
        <w:t>dienst</w:t>
      </w:r>
      <w:r w:rsidRPr="009146A3">
        <w:rPr>
          <w:rFonts w:ascii="Verdana" w:hAnsi="Verdana" w:cs="Times New Roman"/>
          <w:sz w:val="18"/>
          <w:szCs w:val="18"/>
          <w:lang w:val="nl-NL"/>
        </w:rPr>
        <w:t xml:space="preserve"> transparantie en vertrouwelijkheid in acht te nemen (eerste lid).</w:t>
      </w:r>
    </w:p>
    <w:p w:rsidRPr="00C849A9" w:rsidR="00467981" w:rsidP="00A75FB3" w:rsidRDefault="00467981">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De opdracht wordt in principe gegund aan de leverancier die in staat is de voorwaarden van de opdracht te vervullen en aan de hand van alleen de evaluatiecriteria in de </w:t>
      </w:r>
      <w:r w:rsidR="00C849A9">
        <w:rPr>
          <w:rFonts w:ascii="Verdana" w:hAnsi="Verdana" w:cs="Times New Roman"/>
          <w:sz w:val="18"/>
          <w:szCs w:val="18"/>
          <w:lang w:val="nl-NL"/>
        </w:rPr>
        <w:t>publicatie</w:t>
      </w:r>
      <w:r w:rsidRPr="00C849A9">
        <w:rPr>
          <w:rFonts w:ascii="Verdana" w:hAnsi="Verdana" w:cs="Times New Roman"/>
          <w:sz w:val="18"/>
          <w:szCs w:val="18"/>
          <w:lang w:val="nl-NL"/>
        </w:rPr>
        <w:t xml:space="preserve"> van de aanbesteding de voordeligste is (vijfde lid)</w:t>
      </w:r>
      <w:r w:rsidR="00C849A9">
        <w:rPr>
          <w:rFonts w:ascii="Verdana" w:hAnsi="Verdana" w:cs="Times New Roman"/>
          <w:sz w:val="18"/>
          <w:szCs w:val="18"/>
          <w:lang w:val="nl-NL"/>
        </w:rPr>
        <w:t>.</w:t>
      </w:r>
    </w:p>
    <w:p w:rsidRPr="00C849A9" w:rsidR="00A75FB3" w:rsidP="00A75FB3" w:rsidRDefault="00C849A9">
      <w:pPr>
        <w:pStyle w:val="NoSpacing"/>
        <w:rPr>
          <w:rFonts w:ascii="Verdana" w:hAnsi="Verdana" w:cs="Times New Roman"/>
          <w:sz w:val="18"/>
          <w:szCs w:val="18"/>
          <w:lang w:val="nl-NL"/>
        </w:rPr>
      </w:pPr>
      <w:r>
        <w:rPr>
          <w:rFonts w:ascii="Verdana" w:hAnsi="Verdana" w:cs="Times New Roman"/>
          <w:sz w:val="18"/>
          <w:szCs w:val="18"/>
          <w:lang w:val="nl-NL"/>
        </w:rPr>
        <w:t>E</w:t>
      </w:r>
      <w:r w:rsidRPr="00C849A9" w:rsidR="00467981">
        <w:rPr>
          <w:rFonts w:ascii="Verdana" w:hAnsi="Verdana" w:cs="Times New Roman"/>
          <w:sz w:val="18"/>
          <w:szCs w:val="18"/>
          <w:lang w:val="nl-NL"/>
        </w:rPr>
        <w:t xml:space="preserve">en aanbesteding </w:t>
      </w:r>
      <w:r>
        <w:rPr>
          <w:rFonts w:ascii="Verdana" w:hAnsi="Verdana" w:cs="Times New Roman"/>
          <w:sz w:val="18"/>
          <w:szCs w:val="18"/>
          <w:lang w:val="nl-NL"/>
        </w:rPr>
        <w:t xml:space="preserve">mag </w:t>
      </w:r>
      <w:r w:rsidRPr="00C849A9" w:rsidR="00467981">
        <w:rPr>
          <w:rFonts w:ascii="Verdana" w:hAnsi="Verdana" w:cs="Times New Roman"/>
          <w:sz w:val="18"/>
          <w:szCs w:val="18"/>
          <w:lang w:val="nl-NL"/>
        </w:rPr>
        <w:t xml:space="preserve">niet worden geannuleerd of een gegunde opdracht </w:t>
      </w:r>
      <w:r>
        <w:rPr>
          <w:rFonts w:ascii="Verdana" w:hAnsi="Verdana" w:cs="Times New Roman"/>
          <w:sz w:val="18"/>
          <w:szCs w:val="18"/>
          <w:lang w:val="nl-NL"/>
        </w:rPr>
        <w:t xml:space="preserve">mag niet </w:t>
      </w:r>
      <w:r w:rsidRPr="00C849A9" w:rsidR="00467981">
        <w:rPr>
          <w:rFonts w:ascii="Verdana" w:hAnsi="Verdana" w:cs="Times New Roman"/>
          <w:sz w:val="18"/>
          <w:szCs w:val="18"/>
          <w:lang w:val="nl-NL"/>
        </w:rPr>
        <w:t xml:space="preserve">worden gewijzigd </w:t>
      </w:r>
      <w:r>
        <w:rPr>
          <w:rFonts w:ascii="Verdana" w:hAnsi="Verdana" w:cs="Times New Roman"/>
          <w:sz w:val="18"/>
          <w:szCs w:val="18"/>
          <w:lang w:val="nl-NL"/>
        </w:rPr>
        <w:t xml:space="preserve">in strijd met </w:t>
      </w:r>
      <w:r w:rsidRPr="00C849A9" w:rsidR="00467981">
        <w:rPr>
          <w:rFonts w:ascii="Verdana" w:hAnsi="Verdana" w:cs="Times New Roman"/>
          <w:sz w:val="18"/>
          <w:szCs w:val="18"/>
          <w:lang w:val="nl-NL"/>
        </w:rPr>
        <w:t xml:space="preserve">de verplichtingen uit hoofde van de </w:t>
      </w:r>
      <w:r>
        <w:rPr>
          <w:rFonts w:ascii="Verdana" w:hAnsi="Verdana" w:cs="Times New Roman"/>
          <w:sz w:val="18"/>
          <w:szCs w:val="18"/>
          <w:lang w:val="nl-NL"/>
        </w:rPr>
        <w:t>GPA</w:t>
      </w:r>
      <w:r w:rsidRPr="00C849A9" w:rsidR="00467981">
        <w:rPr>
          <w:rFonts w:ascii="Verdana" w:hAnsi="Verdana" w:cs="Times New Roman"/>
          <w:sz w:val="18"/>
          <w:szCs w:val="18"/>
          <w:lang w:val="nl-NL"/>
        </w:rPr>
        <w:t xml:space="preserve"> (zevende lid).</w:t>
      </w:r>
    </w:p>
    <w:p w:rsidRPr="008765F6" w:rsidR="00A75FB3" w:rsidP="006A68C3" w:rsidRDefault="00A75FB3">
      <w:pPr>
        <w:pStyle w:val="NoSpacing"/>
        <w:rPr>
          <w:rFonts w:ascii="Verdana" w:hAnsi="Verdana" w:cs="Times New Roman"/>
          <w:sz w:val="18"/>
          <w:szCs w:val="18"/>
          <w:lang w:val="nl-NL"/>
        </w:rPr>
      </w:pPr>
    </w:p>
    <w:p w:rsidRPr="008B78D3" w:rsidR="00323585" w:rsidP="00323585" w:rsidRDefault="00323585">
      <w:pPr>
        <w:pStyle w:val="NoSpacing"/>
        <w:rPr>
          <w:rFonts w:ascii="Verdana" w:hAnsi="Verdana" w:cs="Times New Roman"/>
          <w:sz w:val="18"/>
          <w:szCs w:val="18"/>
          <w:lang w:val="nl-NL"/>
        </w:rPr>
      </w:pPr>
      <w:r w:rsidRPr="008B78D3">
        <w:rPr>
          <w:rFonts w:ascii="Verdana" w:hAnsi="Verdana" w:cs="Times New Roman"/>
          <w:b/>
          <w:sz w:val="18"/>
          <w:szCs w:val="18"/>
          <w:lang w:val="nl-NL"/>
        </w:rPr>
        <w:t xml:space="preserve">Artikel XVI </w:t>
      </w:r>
      <w:r w:rsidRPr="008B78D3">
        <w:rPr>
          <w:rFonts w:ascii="Verdana" w:hAnsi="Verdana" w:cs="Times New Roman"/>
          <w:sz w:val="18"/>
          <w:szCs w:val="18"/>
          <w:lang w:val="nl-NL"/>
        </w:rPr>
        <w:t>Transparantie op het gebied van overheidsopdrachten</w:t>
      </w:r>
    </w:p>
    <w:p w:rsidRPr="009146A3" w:rsidR="00323585" w:rsidP="00467981" w:rsidRDefault="006E40C4">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Dit artikel bepaalt hoe om te gaan met de informatievoorziening tijdens en na de gunning. Bovendien moeten statistieken van de opdrachten worden bijgehouden en jaarlijks worden gerapporteerd aan het Comité binnen een periode van twee jaar. </w:t>
      </w:r>
    </w:p>
    <w:p w:rsidRPr="009146A3" w:rsidR="00323585" w:rsidP="00467981" w:rsidRDefault="00323585">
      <w:pPr>
        <w:pStyle w:val="NoSpacing"/>
        <w:rPr>
          <w:rFonts w:ascii="Verdana" w:hAnsi="Verdana" w:cs="Times New Roman"/>
          <w:b/>
          <w:sz w:val="18"/>
          <w:szCs w:val="18"/>
          <w:lang w:val="nl-NL"/>
        </w:rPr>
      </w:pPr>
    </w:p>
    <w:p w:rsidRPr="009146A3" w:rsidR="00323585" w:rsidP="00467981" w:rsidRDefault="00467981">
      <w:pPr>
        <w:pStyle w:val="NoSpacing"/>
        <w:rPr>
          <w:rFonts w:ascii="Verdana" w:hAnsi="Verdana" w:cs="Times New Roman"/>
          <w:sz w:val="18"/>
          <w:szCs w:val="18"/>
          <w:lang w:val="nl-NL"/>
        </w:rPr>
      </w:pPr>
      <w:r w:rsidRPr="009146A3">
        <w:rPr>
          <w:rFonts w:ascii="Verdana" w:hAnsi="Verdana" w:cs="Times New Roman"/>
          <w:b/>
          <w:sz w:val="18"/>
          <w:szCs w:val="18"/>
          <w:lang w:val="nl-NL"/>
        </w:rPr>
        <w:t>Artikel XV</w:t>
      </w:r>
      <w:r w:rsidRPr="009146A3" w:rsidR="00323585">
        <w:rPr>
          <w:rFonts w:ascii="Verdana" w:hAnsi="Verdana" w:cs="Times New Roman"/>
          <w:b/>
          <w:sz w:val="18"/>
          <w:szCs w:val="18"/>
          <w:lang w:val="nl-NL"/>
        </w:rPr>
        <w:t>I</w:t>
      </w:r>
      <w:r w:rsidRPr="009146A3">
        <w:rPr>
          <w:rFonts w:ascii="Verdana" w:hAnsi="Verdana" w:cs="Times New Roman"/>
          <w:b/>
          <w:sz w:val="18"/>
          <w:szCs w:val="18"/>
          <w:lang w:val="nl-NL"/>
        </w:rPr>
        <w:t xml:space="preserve">I </w:t>
      </w:r>
      <w:r w:rsidRPr="009146A3" w:rsidR="00323585">
        <w:rPr>
          <w:rFonts w:ascii="Verdana" w:hAnsi="Verdana" w:cs="Times New Roman"/>
          <w:sz w:val="18"/>
          <w:szCs w:val="18"/>
          <w:lang w:val="nl-NL"/>
        </w:rPr>
        <w:t>Bekendmaking van informatie</w:t>
      </w:r>
    </w:p>
    <w:p w:rsidRPr="009146A3" w:rsidR="00467981" w:rsidP="00467981" w:rsidRDefault="005E54BA">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Deze bepaling regelt de informatie-uitwisseling over gehouden aanbestedingen tussen de </w:t>
      </w:r>
      <w:r w:rsidR="00DD19CF">
        <w:rPr>
          <w:rFonts w:ascii="Verdana" w:hAnsi="Verdana" w:cs="Times New Roman"/>
          <w:sz w:val="18"/>
          <w:szCs w:val="18"/>
          <w:lang w:val="nl-NL"/>
        </w:rPr>
        <w:t>p</w:t>
      </w:r>
      <w:r w:rsidRPr="009146A3">
        <w:rPr>
          <w:rFonts w:ascii="Verdana" w:hAnsi="Verdana" w:cs="Times New Roman"/>
          <w:sz w:val="18"/>
          <w:szCs w:val="18"/>
          <w:lang w:val="nl-NL"/>
        </w:rPr>
        <w:t>artijen.</w:t>
      </w:r>
      <w:r w:rsidRPr="009146A3" w:rsidR="00077982">
        <w:rPr>
          <w:rFonts w:ascii="Verdana" w:hAnsi="Verdana" w:cs="Times New Roman"/>
          <w:sz w:val="18"/>
          <w:szCs w:val="18"/>
          <w:lang w:val="nl-NL"/>
        </w:rPr>
        <w:t xml:space="preserve"> </w:t>
      </w:r>
      <w:r w:rsidRPr="009146A3">
        <w:rPr>
          <w:rFonts w:ascii="Verdana" w:hAnsi="Verdana" w:cs="Times New Roman"/>
          <w:sz w:val="18"/>
          <w:szCs w:val="18"/>
          <w:lang w:val="nl-NL"/>
        </w:rPr>
        <w:t>Daarbij wordt geen informatie verstrekt die de eerlijke concurrentie tussen de leveranciers zou kunnen schaden.</w:t>
      </w:r>
    </w:p>
    <w:p w:rsidRPr="009146A3" w:rsidR="005E54BA" w:rsidP="00467981" w:rsidRDefault="005E54BA">
      <w:pPr>
        <w:pStyle w:val="NoSpacing"/>
        <w:rPr>
          <w:rFonts w:ascii="Verdana" w:hAnsi="Verdana" w:cs="Times New Roman"/>
          <w:sz w:val="18"/>
          <w:szCs w:val="18"/>
          <w:lang w:val="nl-NL"/>
        </w:rPr>
      </w:pPr>
    </w:p>
    <w:p w:rsidRPr="009146A3" w:rsidR="005E54BA" w:rsidP="005E54BA" w:rsidRDefault="005E54BA">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XVIII </w:t>
      </w:r>
      <w:r w:rsidRPr="009146A3">
        <w:rPr>
          <w:rFonts w:ascii="Verdana" w:hAnsi="Verdana" w:cs="Times New Roman"/>
          <w:sz w:val="18"/>
          <w:szCs w:val="18"/>
          <w:lang w:val="nl-NL"/>
        </w:rPr>
        <w:t>Binnenlandse toetsingsprocedures</w:t>
      </w:r>
    </w:p>
    <w:p w:rsidRPr="00C849A9" w:rsidR="005E54BA" w:rsidP="00467981" w:rsidRDefault="00E36FF1">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Dit artikel komt overeen met het oude artikel XX en voorziet in de beroepsmogelijkheid van een leverancier ingeval van een inbreuk op de </w:t>
      </w:r>
      <w:r w:rsidR="00C849A9">
        <w:rPr>
          <w:rFonts w:ascii="Verdana" w:hAnsi="Verdana" w:cs="Times New Roman"/>
          <w:sz w:val="18"/>
          <w:szCs w:val="18"/>
          <w:lang w:val="nl-NL"/>
        </w:rPr>
        <w:t>GPA</w:t>
      </w:r>
      <w:r w:rsidR="002166E4">
        <w:rPr>
          <w:rFonts w:ascii="Verdana" w:hAnsi="Verdana" w:cs="Times New Roman"/>
          <w:sz w:val="18"/>
          <w:szCs w:val="18"/>
          <w:lang w:val="nl-NL"/>
        </w:rPr>
        <w:t>, bijvoorbeeld in het geval een overheidsinstantie zijn verplichtingen bij de inschrijvings- en selectieprocedure niet is nagekomen</w:t>
      </w:r>
      <w:r w:rsidRPr="00C849A9">
        <w:rPr>
          <w:rFonts w:ascii="Verdana" w:hAnsi="Verdana" w:cs="Times New Roman"/>
          <w:sz w:val="18"/>
          <w:szCs w:val="18"/>
          <w:lang w:val="nl-NL"/>
        </w:rPr>
        <w:t xml:space="preserve">. </w:t>
      </w:r>
    </w:p>
    <w:p w:rsidRPr="008765F6" w:rsidR="00E36FF1" w:rsidP="00467981" w:rsidRDefault="00E36FF1">
      <w:pPr>
        <w:pStyle w:val="NoSpacing"/>
        <w:rPr>
          <w:rFonts w:ascii="Verdana" w:hAnsi="Verdana" w:cs="Times New Roman"/>
          <w:sz w:val="18"/>
          <w:szCs w:val="18"/>
          <w:lang w:val="nl-NL"/>
        </w:rPr>
      </w:pPr>
    </w:p>
    <w:p w:rsidRPr="008B78D3" w:rsidR="00E36FF1" w:rsidP="00E36FF1" w:rsidRDefault="00E36FF1">
      <w:pPr>
        <w:pStyle w:val="NoSpacing"/>
        <w:rPr>
          <w:rFonts w:ascii="Verdana" w:hAnsi="Verdana" w:cs="Times New Roman"/>
          <w:sz w:val="18"/>
          <w:szCs w:val="18"/>
          <w:lang w:val="nl-NL"/>
        </w:rPr>
      </w:pPr>
      <w:r w:rsidRPr="008B78D3">
        <w:rPr>
          <w:rFonts w:ascii="Verdana" w:hAnsi="Verdana" w:cs="Times New Roman"/>
          <w:b/>
          <w:sz w:val="18"/>
          <w:szCs w:val="18"/>
          <w:lang w:val="nl-NL"/>
        </w:rPr>
        <w:t xml:space="preserve">Artikel XIX </w:t>
      </w:r>
      <w:r w:rsidRPr="008B78D3">
        <w:rPr>
          <w:rFonts w:ascii="Verdana" w:hAnsi="Verdana" w:cs="Times New Roman"/>
          <w:sz w:val="18"/>
          <w:szCs w:val="18"/>
          <w:lang w:val="nl-NL"/>
        </w:rPr>
        <w:t>Wijzigingen en rectificaties van het toepassingsgebied</w:t>
      </w:r>
    </w:p>
    <w:p w:rsidRPr="009146A3" w:rsidR="005B5C29" w:rsidP="00E36FF1" w:rsidRDefault="005B5C29">
      <w:pPr>
        <w:pStyle w:val="NoSpacing"/>
        <w:rPr>
          <w:rFonts w:ascii="Verdana" w:hAnsi="Verdana" w:cs="Times New Roman"/>
          <w:sz w:val="18"/>
          <w:szCs w:val="18"/>
          <w:lang w:val="nl-NL"/>
        </w:rPr>
      </w:pPr>
      <w:r w:rsidRPr="00CF02BC">
        <w:rPr>
          <w:rFonts w:ascii="Verdana" w:hAnsi="Verdana" w:cs="Times New Roman"/>
          <w:sz w:val="18"/>
          <w:szCs w:val="18"/>
          <w:lang w:val="nl-NL"/>
        </w:rPr>
        <w:t xml:space="preserve">Onder dit artikel valt de </w:t>
      </w:r>
      <w:r w:rsidR="00001799">
        <w:rPr>
          <w:rFonts w:ascii="Verdana" w:hAnsi="Verdana" w:cs="Times New Roman"/>
          <w:sz w:val="18"/>
          <w:szCs w:val="18"/>
          <w:lang w:val="nl-NL"/>
        </w:rPr>
        <w:t xml:space="preserve">vereenvoudiging van de </w:t>
      </w:r>
      <w:r w:rsidRPr="00CF02BC">
        <w:rPr>
          <w:rFonts w:ascii="Verdana" w:hAnsi="Verdana" w:cs="Times New Roman"/>
          <w:sz w:val="18"/>
          <w:szCs w:val="18"/>
          <w:lang w:val="nl-NL"/>
        </w:rPr>
        <w:t xml:space="preserve">procedure van het aanbrengen van wijzigingen in de </w:t>
      </w:r>
      <w:r w:rsidR="00CF02BC">
        <w:rPr>
          <w:rFonts w:ascii="Verdana" w:hAnsi="Verdana" w:cs="Times New Roman"/>
          <w:sz w:val="18"/>
          <w:szCs w:val="18"/>
          <w:lang w:val="nl-NL"/>
        </w:rPr>
        <w:t>nationale entiteitslijsten</w:t>
      </w:r>
      <w:r w:rsidR="00FC2EA0">
        <w:rPr>
          <w:rFonts w:ascii="Verdana" w:hAnsi="Verdana" w:cs="Times New Roman"/>
          <w:sz w:val="18"/>
          <w:szCs w:val="18"/>
          <w:lang w:val="nl-NL"/>
        </w:rPr>
        <w:t xml:space="preserve"> zoals opgenomen in</w:t>
      </w:r>
      <w:r w:rsidR="00EE0892">
        <w:rPr>
          <w:rFonts w:ascii="Verdana" w:hAnsi="Verdana" w:cs="Times New Roman"/>
          <w:sz w:val="18"/>
          <w:szCs w:val="18"/>
          <w:lang w:val="nl-NL"/>
        </w:rPr>
        <w:t xml:space="preserve"> Bijlage 1. </w:t>
      </w:r>
      <w:r w:rsidR="00001799">
        <w:rPr>
          <w:rFonts w:ascii="Verdana" w:hAnsi="Verdana" w:cs="Times New Roman"/>
          <w:sz w:val="18"/>
          <w:szCs w:val="18"/>
          <w:lang w:val="nl-NL"/>
        </w:rPr>
        <w:t>O</w:t>
      </w:r>
      <w:r w:rsidR="00DD19CF">
        <w:rPr>
          <w:rFonts w:ascii="Verdana" w:hAnsi="Verdana" w:cs="Times New Roman"/>
          <w:sz w:val="18"/>
          <w:szCs w:val="18"/>
          <w:lang w:val="nl-NL"/>
        </w:rPr>
        <w:t>nder de</w:t>
      </w:r>
      <w:r w:rsidR="00DF582A">
        <w:rPr>
          <w:rFonts w:ascii="Verdana" w:hAnsi="Verdana" w:cs="Times New Roman"/>
          <w:sz w:val="18"/>
          <w:szCs w:val="18"/>
          <w:lang w:val="nl-NL"/>
        </w:rPr>
        <w:t xml:space="preserve"> </w:t>
      </w:r>
      <w:r w:rsidR="00001799">
        <w:rPr>
          <w:rFonts w:ascii="Verdana" w:hAnsi="Verdana" w:cs="Times New Roman"/>
          <w:sz w:val="18"/>
          <w:szCs w:val="18"/>
          <w:lang w:val="nl-NL"/>
        </w:rPr>
        <w:t xml:space="preserve">huidige GPA moet bij een wijziging een bijeenkomst van het Comité (zie onder toelichting artikel XXI) belegd worden en wordt in geval van een geschil tussen partijen over een wijziging </w:t>
      </w:r>
      <w:r w:rsidR="0002311E">
        <w:rPr>
          <w:rFonts w:ascii="Verdana" w:hAnsi="Verdana" w:cs="Times New Roman"/>
          <w:sz w:val="18"/>
          <w:szCs w:val="18"/>
          <w:lang w:val="nl-NL"/>
        </w:rPr>
        <w:t>in Bijlage 1 verwezen naar de g</w:t>
      </w:r>
      <w:r w:rsidR="00001799">
        <w:rPr>
          <w:rFonts w:ascii="Verdana" w:hAnsi="Verdana" w:cs="Times New Roman"/>
          <w:sz w:val="18"/>
          <w:szCs w:val="18"/>
          <w:lang w:val="nl-NL"/>
        </w:rPr>
        <w:t>eschillenbeslechtingsprocedure van de W</w:t>
      </w:r>
      <w:r w:rsidR="0002311E">
        <w:rPr>
          <w:rFonts w:ascii="Verdana" w:hAnsi="Verdana" w:cs="Times New Roman"/>
          <w:sz w:val="18"/>
          <w:szCs w:val="18"/>
          <w:lang w:val="nl-NL"/>
        </w:rPr>
        <w:t>ereldhandelsorganisatie</w:t>
      </w:r>
      <w:r w:rsidR="00001799">
        <w:rPr>
          <w:rFonts w:ascii="Verdana" w:hAnsi="Verdana" w:cs="Times New Roman"/>
          <w:sz w:val="18"/>
          <w:szCs w:val="18"/>
          <w:lang w:val="nl-NL"/>
        </w:rPr>
        <w:t xml:space="preserve">. Dankzij het Protocol wordt deze procedure vereenvoudigd. </w:t>
      </w:r>
      <w:r w:rsidRPr="008765F6" w:rsidR="00033416">
        <w:rPr>
          <w:rFonts w:ascii="Verdana" w:hAnsi="Verdana" w:cs="Times New Roman"/>
          <w:sz w:val="18"/>
          <w:szCs w:val="18"/>
          <w:lang w:val="nl-NL"/>
        </w:rPr>
        <w:t>Ingeval van bezwaar zullen p</w:t>
      </w:r>
      <w:r w:rsidRPr="008B78D3">
        <w:rPr>
          <w:rFonts w:ascii="Verdana" w:hAnsi="Verdana" w:cs="Times New Roman"/>
          <w:sz w:val="18"/>
          <w:szCs w:val="18"/>
          <w:lang w:val="nl-NL"/>
        </w:rPr>
        <w:t xml:space="preserve">artijen </w:t>
      </w:r>
      <w:r w:rsidRPr="008B78D3" w:rsidR="00033416">
        <w:rPr>
          <w:rFonts w:ascii="Verdana" w:hAnsi="Verdana" w:cs="Times New Roman"/>
          <w:sz w:val="18"/>
          <w:szCs w:val="18"/>
          <w:lang w:val="nl-NL"/>
        </w:rPr>
        <w:t>eerst door overleg tot elkaar proberen te komen</w:t>
      </w:r>
      <w:r w:rsidR="002E1C0B">
        <w:rPr>
          <w:rFonts w:ascii="Verdana" w:hAnsi="Verdana" w:cs="Times New Roman"/>
          <w:sz w:val="18"/>
          <w:szCs w:val="18"/>
          <w:lang w:val="nl-NL"/>
        </w:rPr>
        <w:t>. I</w:t>
      </w:r>
      <w:r w:rsidRPr="008B78D3" w:rsidR="00033416">
        <w:rPr>
          <w:rFonts w:ascii="Verdana" w:hAnsi="Verdana" w:cs="Times New Roman"/>
          <w:sz w:val="18"/>
          <w:szCs w:val="18"/>
          <w:lang w:val="nl-NL"/>
        </w:rPr>
        <w:t>ndien dat niet lukt via een door het Comité in te stellen arbitrageprocedure.</w:t>
      </w:r>
      <w:r w:rsidR="0002311E">
        <w:rPr>
          <w:rFonts w:ascii="Verdana" w:hAnsi="Verdana" w:cs="Times New Roman"/>
          <w:sz w:val="18"/>
          <w:szCs w:val="18"/>
          <w:lang w:val="nl-NL"/>
        </w:rPr>
        <w:t xml:space="preserve"> Zo i</w:t>
      </w:r>
      <w:r w:rsidR="00001799">
        <w:rPr>
          <w:rFonts w:ascii="Verdana" w:hAnsi="Verdana" w:cs="Times New Roman"/>
          <w:sz w:val="18"/>
          <w:szCs w:val="18"/>
          <w:lang w:val="nl-NL"/>
        </w:rPr>
        <w:t xml:space="preserve">s </w:t>
      </w:r>
      <w:r w:rsidR="0002311E">
        <w:rPr>
          <w:rFonts w:ascii="Verdana" w:hAnsi="Verdana" w:cs="Times New Roman"/>
          <w:sz w:val="18"/>
          <w:szCs w:val="18"/>
          <w:lang w:val="nl-NL"/>
        </w:rPr>
        <w:t xml:space="preserve">het </w:t>
      </w:r>
      <w:r w:rsidR="00001799">
        <w:rPr>
          <w:rFonts w:ascii="Verdana" w:hAnsi="Verdana" w:cs="Times New Roman"/>
          <w:sz w:val="18"/>
          <w:szCs w:val="18"/>
          <w:lang w:val="nl-NL"/>
        </w:rPr>
        <w:t>niet meer nodig dat het Comité bijeen geroepen moet worden.</w:t>
      </w:r>
    </w:p>
    <w:p w:rsidRPr="009146A3" w:rsidR="00033416" w:rsidP="00E36FF1" w:rsidRDefault="00033416">
      <w:pPr>
        <w:pStyle w:val="NoSpacing"/>
        <w:rPr>
          <w:rFonts w:ascii="Verdana" w:hAnsi="Verdana" w:cs="Times New Roman"/>
          <w:sz w:val="18"/>
          <w:szCs w:val="18"/>
          <w:lang w:val="nl-NL"/>
        </w:rPr>
      </w:pPr>
    </w:p>
    <w:p w:rsidRPr="009146A3" w:rsidR="00033416" w:rsidP="00033416" w:rsidRDefault="00033416">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XX </w:t>
      </w:r>
      <w:r w:rsidRPr="009146A3">
        <w:rPr>
          <w:rFonts w:ascii="Verdana" w:hAnsi="Verdana" w:cs="Times New Roman"/>
          <w:sz w:val="18"/>
          <w:szCs w:val="18"/>
          <w:lang w:val="nl-NL"/>
        </w:rPr>
        <w:t>Overleg en beslechting van geschillen</w:t>
      </w:r>
    </w:p>
    <w:p w:rsidRPr="00797511" w:rsidR="00033416" w:rsidP="00033416" w:rsidRDefault="00405D2F">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Ingevolge dit </w:t>
      </w:r>
      <w:r w:rsidR="00A70221">
        <w:rPr>
          <w:rFonts w:ascii="Verdana" w:hAnsi="Verdana" w:cs="Times New Roman"/>
          <w:sz w:val="18"/>
          <w:szCs w:val="18"/>
          <w:lang w:val="nl-NL"/>
        </w:rPr>
        <w:t>a</w:t>
      </w:r>
      <w:r w:rsidRPr="00A70221">
        <w:rPr>
          <w:rFonts w:ascii="Verdana" w:hAnsi="Verdana" w:cs="Times New Roman"/>
          <w:sz w:val="18"/>
          <w:szCs w:val="18"/>
          <w:lang w:val="nl-NL"/>
        </w:rPr>
        <w:t xml:space="preserve">rtikel wordt </w:t>
      </w:r>
      <w:r w:rsidR="00001799">
        <w:rPr>
          <w:rFonts w:ascii="Verdana" w:hAnsi="Verdana" w:cs="Times New Roman"/>
          <w:sz w:val="18"/>
          <w:szCs w:val="18"/>
          <w:lang w:val="nl-NL"/>
        </w:rPr>
        <w:t>‘</w:t>
      </w:r>
      <w:r w:rsidRPr="00A70221">
        <w:rPr>
          <w:rFonts w:ascii="Verdana" w:hAnsi="Verdana" w:cs="Times New Roman"/>
          <w:sz w:val="18"/>
          <w:szCs w:val="18"/>
          <w:lang w:val="nl-NL"/>
        </w:rPr>
        <w:t>het Memorandum van overeenstemming inzake de regels en procedures betr</w:t>
      </w:r>
      <w:r w:rsidRPr="008765F6">
        <w:rPr>
          <w:rFonts w:ascii="Verdana" w:hAnsi="Verdana" w:cs="Times New Roman"/>
          <w:sz w:val="18"/>
          <w:szCs w:val="18"/>
          <w:lang w:val="nl-NL"/>
        </w:rPr>
        <w:t>effende de beslechting van geschillen</w:t>
      </w:r>
      <w:r w:rsidR="0002311E">
        <w:rPr>
          <w:rFonts w:ascii="Verdana" w:hAnsi="Verdana" w:cs="Times New Roman"/>
          <w:sz w:val="18"/>
          <w:szCs w:val="18"/>
          <w:lang w:val="nl-NL"/>
        </w:rPr>
        <w:t>’</w:t>
      </w:r>
      <w:r w:rsidRPr="008B78D3">
        <w:rPr>
          <w:rFonts w:ascii="Verdana" w:hAnsi="Verdana" w:cs="Times New Roman"/>
          <w:sz w:val="18"/>
          <w:szCs w:val="18"/>
          <w:lang w:val="nl-NL"/>
        </w:rPr>
        <w:t xml:space="preserve"> (</w:t>
      </w:r>
      <w:r w:rsidR="0002311E">
        <w:rPr>
          <w:rFonts w:ascii="Verdana" w:hAnsi="Verdana" w:cs="Times New Roman"/>
          <w:sz w:val="18"/>
          <w:szCs w:val="18"/>
          <w:lang w:val="nl-NL"/>
        </w:rPr>
        <w:t>de geschillenbeslechtingsprocedure van de Wereldhandelsorganisatie</w:t>
      </w:r>
      <w:r w:rsidRPr="008B78D3">
        <w:rPr>
          <w:rFonts w:ascii="Verdana" w:hAnsi="Verdana" w:cs="Times New Roman"/>
          <w:sz w:val="18"/>
          <w:szCs w:val="18"/>
          <w:lang w:val="nl-NL"/>
        </w:rPr>
        <w:t>) van toepassing verklaard</w:t>
      </w:r>
      <w:r w:rsidR="00834CC2">
        <w:rPr>
          <w:rFonts w:ascii="Verdana" w:hAnsi="Verdana" w:cs="Times New Roman"/>
          <w:sz w:val="18"/>
          <w:szCs w:val="18"/>
          <w:lang w:val="nl-NL"/>
        </w:rPr>
        <w:t xml:space="preserve">  mochten er tussen partijen geschillen rijzen in het kader van het verdrag</w:t>
      </w:r>
      <w:r w:rsidRPr="00797511">
        <w:rPr>
          <w:rFonts w:ascii="Verdana" w:hAnsi="Verdana" w:cs="Times New Roman"/>
          <w:sz w:val="18"/>
          <w:szCs w:val="18"/>
          <w:lang w:val="nl-NL"/>
        </w:rPr>
        <w:t>.</w:t>
      </w:r>
    </w:p>
    <w:p w:rsidRPr="008765F6" w:rsidR="00033416" w:rsidP="00033416" w:rsidRDefault="00033416">
      <w:pPr>
        <w:pStyle w:val="NoSpacing"/>
        <w:rPr>
          <w:rFonts w:ascii="Verdana" w:hAnsi="Verdana" w:cs="Times New Roman"/>
          <w:sz w:val="18"/>
          <w:szCs w:val="18"/>
          <w:lang w:val="nl-NL"/>
        </w:rPr>
      </w:pPr>
    </w:p>
    <w:p w:rsidRPr="008B78D3" w:rsidR="00033416" w:rsidP="00033416" w:rsidRDefault="00033416">
      <w:pPr>
        <w:pStyle w:val="NoSpacing"/>
        <w:rPr>
          <w:rFonts w:ascii="Verdana" w:hAnsi="Verdana" w:cs="Times New Roman"/>
          <w:sz w:val="18"/>
          <w:szCs w:val="18"/>
          <w:lang w:val="nl-NL"/>
        </w:rPr>
      </w:pPr>
      <w:r w:rsidRPr="008B78D3">
        <w:rPr>
          <w:rFonts w:ascii="Verdana" w:hAnsi="Verdana" w:cs="Times New Roman"/>
          <w:b/>
          <w:sz w:val="18"/>
          <w:szCs w:val="18"/>
          <w:lang w:val="nl-NL"/>
        </w:rPr>
        <w:t xml:space="preserve">Artikel XXI </w:t>
      </w:r>
      <w:r w:rsidRPr="008B78D3">
        <w:rPr>
          <w:rFonts w:ascii="Verdana" w:hAnsi="Verdana" w:cs="Times New Roman"/>
          <w:sz w:val="18"/>
          <w:szCs w:val="18"/>
          <w:lang w:val="nl-NL"/>
        </w:rPr>
        <w:t>Instellingen</w:t>
      </w:r>
    </w:p>
    <w:p w:rsidRPr="009146A3" w:rsidR="00371ADC" w:rsidRDefault="00371ADC">
      <w:pPr>
        <w:pStyle w:val="NoSpacing"/>
        <w:rPr>
          <w:rFonts w:ascii="Verdana" w:hAnsi="Verdana" w:cs="Times New Roman"/>
          <w:sz w:val="18"/>
          <w:szCs w:val="18"/>
          <w:lang w:val="nl-NL"/>
        </w:rPr>
      </w:pPr>
      <w:r w:rsidRPr="008B78D3">
        <w:rPr>
          <w:rFonts w:ascii="Verdana" w:hAnsi="Verdana" w:cs="Times New Roman"/>
          <w:sz w:val="18"/>
          <w:szCs w:val="18"/>
          <w:lang w:val="nl-NL"/>
        </w:rPr>
        <w:t xml:space="preserve">Dit artikel </w:t>
      </w:r>
      <w:r w:rsidR="0020088B">
        <w:rPr>
          <w:rFonts w:ascii="Verdana" w:hAnsi="Verdana" w:cs="Times New Roman"/>
          <w:sz w:val="18"/>
          <w:szCs w:val="18"/>
          <w:lang w:val="nl-NL"/>
        </w:rPr>
        <w:t>bevat een lichte wijziging van</w:t>
      </w:r>
      <w:r w:rsidR="008F2F52">
        <w:rPr>
          <w:rFonts w:ascii="Verdana" w:hAnsi="Verdana" w:cs="Times New Roman"/>
          <w:sz w:val="18"/>
          <w:szCs w:val="18"/>
          <w:lang w:val="nl-NL"/>
        </w:rPr>
        <w:t xml:space="preserve"> het artikel uit de huidige GPA over het </w:t>
      </w:r>
      <w:r w:rsidRPr="009146A3" w:rsidR="002B55FC">
        <w:rPr>
          <w:rFonts w:ascii="Verdana" w:hAnsi="Verdana" w:cs="Times New Roman"/>
          <w:sz w:val="18"/>
          <w:szCs w:val="18"/>
          <w:lang w:val="nl-NL"/>
        </w:rPr>
        <w:t>Comité</w:t>
      </w:r>
      <w:r w:rsidR="00B85A79">
        <w:rPr>
          <w:rFonts w:ascii="Verdana" w:hAnsi="Verdana" w:cs="Times New Roman"/>
          <w:sz w:val="18"/>
          <w:szCs w:val="18"/>
          <w:lang w:val="nl-NL"/>
        </w:rPr>
        <w:t xml:space="preserve"> voor overheidsopdrachten</w:t>
      </w:r>
      <w:r w:rsidR="008F2F52">
        <w:rPr>
          <w:rFonts w:ascii="Verdana" w:hAnsi="Verdana" w:cs="Times New Roman"/>
          <w:sz w:val="18"/>
          <w:szCs w:val="18"/>
          <w:lang w:val="nl-NL"/>
        </w:rPr>
        <w:t xml:space="preserve">. Het Comité </w:t>
      </w:r>
      <w:r w:rsidRPr="009146A3">
        <w:rPr>
          <w:rFonts w:ascii="Verdana" w:hAnsi="Verdana" w:cs="Times New Roman"/>
          <w:sz w:val="18"/>
          <w:szCs w:val="18"/>
          <w:lang w:val="nl-NL"/>
        </w:rPr>
        <w:t>bestaa</w:t>
      </w:r>
      <w:r w:rsidR="008F2F52">
        <w:rPr>
          <w:rFonts w:ascii="Verdana" w:hAnsi="Verdana" w:cs="Times New Roman"/>
          <w:sz w:val="18"/>
          <w:szCs w:val="18"/>
          <w:lang w:val="nl-NL"/>
        </w:rPr>
        <w:t>t</w:t>
      </w:r>
      <w:r w:rsidRPr="009146A3">
        <w:rPr>
          <w:rFonts w:ascii="Verdana" w:hAnsi="Verdana" w:cs="Times New Roman"/>
          <w:sz w:val="18"/>
          <w:szCs w:val="18"/>
          <w:lang w:val="nl-NL"/>
        </w:rPr>
        <w:t xml:space="preserve"> uit ver</w:t>
      </w:r>
      <w:r w:rsidR="00EE0892">
        <w:rPr>
          <w:rFonts w:ascii="Verdana" w:hAnsi="Verdana" w:cs="Times New Roman"/>
          <w:sz w:val="18"/>
          <w:szCs w:val="18"/>
          <w:lang w:val="nl-NL"/>
        </w:rPr>
        <w:t>tegenwoordigers van elk van de p</w:t>
      </w:r>
      <w:r w:rsidRPr="009146A3">
        <w:rPr>
          <w:rFonts w:ascii="Verdana" w:hAnsi="Verdana" w:cs="Times New Roman"/>
          <w:sz w:val="18"/>
          <w:szCs w:val="18"/>
          <w:lang w:val="nl-NL"/>
        </w:rPr>
        <w:t>artijen</w:t>
      </w:r>
      <w:r w:rsidR="0002311E">
        <w:rPr>
          <w:rFonts w:ascii="Verdana" w:hAnsi="Verdana" w:cs="Times New Roman"/>
          <w:sz w:val="18"/>
          <w:szCs w:val="18"/>
          <w:lang w:val="nl-NL"/>
        </w:rPr>
        <w:t xml:space="preserve"> </w:t>
      </w:r>
      <w:r w:rsidR="0020088B">
        <w:rPr>
          <w:rFonts w:ascii="Verdana" w:hAnsi="Verdana" w:cs="Times New Roman"/>
          <w:sz w:val="18"/>
          <w:szCs w:val="18"/>
          <w:lang w:val="nl-NL"/>
        </w:rPr>
        <w:t>en</w:t>
      </w:r>
      <w:r w:rsidR="0002311E">
        <w:rPr>
          <w:rFonts w:ascii="Verdana" w:hAnsi="Verdana" w:cs="Times New Roman"/>
          <w:sz w:val="18"/>
          <w:szCs w:val="18"/>
          <w:lang w:val="nl-NL"/>
        </w:rPr>
        <w:t xml:space="preserve"> komt minimaal eens per jaar bijeen</w:t>
      </w:r>
      <w:r w:rsidRPr="009146A3">
        <w:rPr>
          <w:rFonts w:ascii="Verdana" w:hAnsi="Verdana" w:cs="Times New Roman"/>
          <w:sz w:val="18"/>
          <w:szCs w:val="18"/>
          <w:lang w:val="nl-NL"/>
        </w:rPr>
        <w:t xml:space="preserve"> </w:t>
      </w:r>
      <w:r w:rsidR="0002311E">
        <w:rPr>
          <w:rFonts w:ascii="Verdana" w:hAnsi="Verdana" w:cs="Times New Roman"/>
          <w:sz w:val="18"/>
          <w:szCs w:val="18"/>
          <w:lang w:val="nl-NL"/>
        </w:rPr>
        <w:t xml:space="preserve">om toe te zien op de juiste </w:t>
      </w:r>
      <w:r w:rsidRPr="009146A3">
        <w:rPr>
          <w:rFonts w:ascii="Verdana" w:hAnsi="Verdana" w:cs="Times New Roman"/>
          <w:sz w:val="18"/>
          <w:szCs w:val="18"/>
          <w:lang w:val="nl-NL"/>
        </w:rPr>
        <w:t xml:space="preserve">toepassing </w:t>
      </w:r>
      <w:r w:rsidR="00834CC2">
        <w:rPr>
          <w:rFonts w:ascii="Verdana" w:hAnsi="Verdana" w:cs="Times New Roman"/>
          <w:sz w:val="18"/>
          <w:szCs w:val="18"/>
          <w:lang w:val="nl-NL"/>
        </w:rPr>
        <w:t>van de GPA</w:t>
      </w:r>
      <w:r w:rsidR="00DD19CF">
        <w:rPr>
          <w:rFonts w:ascii="Verdana" w:hAnsi="Verdana" w:cs="Times New Roman"/>
          <w:sz w:val="18"/>
          <w:szCs w:val="18"/>
          <w:lang w:val="nl-NL"/>
        </w:rPr>
        <w:t xml:space="preserve"> </w:t>
      </w:r>
      <w:r w:rsidRPr="009146A3">
        <w:rPr>
          <w:rFonts w:ascii="Verdana" w:hAnsi="Verdana" w:cs="Times New Roman"/>
          <w:sz w:val="18"/>
          <w:szCs w:val="18"/>
          <w:lang w:val="nl-NL"/>
        </w:rPr>
        <w:t>en bevordering van de doelstellingen van de</w:t>
      </w:r>
      <w:r w:rsidRPr="00797511">
        <w:rPr>
          <w:rFonts w:ascii="Verdana" w:hAnsi="Verdana" w:cs="Times New Roman"/>
          <w:sz w:val="18"/>
          <w:szCs w:val="18"/>
          <w:lang w:val="nl-NL"/>
        </w:rPr>
        <w:t xml:space="preserve"> </w:t>
      </w:r>
      <w:r w:rsidR="00DD19CF">
        <w:rPr>
          <w:rFonts w:ascii="Verdana" w:hAnsi="Verdana" w:cs="Times New Roman"/>
          <w:sz w:val="18"/>
          <w:szCs w:val="18"/>
          <w:lang w:val="nl-NL"/>
        </w:rPr>
        <w:t>GPA</w:t>
      </w:r>
      <w:r w:rsidRPr="00797511" w:rsidR="00716906">
        <w:rPr>
          <w:rFonts w:ascii="Verdana" w:hAnsi="Verdana" w:cs="Times New Roman"/>
          <w:sz w:val="18"/>
          <w:szCs w:val="18"/>
          <w:lang w:val="nl-NL"/>
        </w:rPr>
        <w:t>,</w:t>
      </w:r>
      <w:r w:rsidRPr="00797511">
        <w:rPr>
          <w:rFonts w:ascii="Verdana" w:hAnsi="Verdana" w:cs="Times New Roman"/>
          <w:sz w:val="18"/>
          <w:szCs w:val="18"/>
          <w:lang w:val="nl-NL"/>
        </w:rPr>
        <w:t xml:space="preserve"> of </w:t>
      </w:r>
      <w:r w:rsidRPr="00797511" w:rsidR="00716906">
        <w:rPr>
          <w:rFonts w:ascii="Verdana" w:hAnsi="Verdana" w:cs="Times New Roman"/>
          <w:sz w:val="18"/>
          <w:szCs w:val="18"/>
          <w:lang w:val="nl-NL"/>
        </w:rPr>
        <w:t xml:space="preserve">het toebedelen van </w:t>
      </w:r>
      <w:r w:rsidRPr="00797511">
        <w:rPr>
          <w:rFonts w:ascii="Verdana" w:hAnsi="Verdana" w:cs="Times New Roman"/>
          <w:sz w:val="18"/>
          <w:szCs w:val="18"/>
          <w:lang w:val="nl-NL"/>
        </w:rPr>
        <w:t xml:space="preserve">andere taken </w:t>
      </w:r>
      <w:r w:rsidRPr="00787B77" w:rsidR="00716906">
        <w:rPr>
          <w:rFonts w:ascii="Verdana" w:hAnsi="Verdana" w:cs="Times New Roman"/>
          <w:sz w:val="18"/>
          <w:szCs w:val="18"/>
          <w:lang w:val="nl-NL"/>
        </w:rPr>
        <w:t>door</w:t>
      </w:r>
      <w:r w:rsidRPr="008765F6">
        <w:rPr>
          <w:rFonts w:ascii="Verdana" w:hAnsi="Verdana" w:cs="Times New Roman"/>
          <w:sz w:val="18"/>
          <w:szCs w:val="18"/>
          <w:lang w:val="nl-NL"/>
        </w:rPr>
        <w:t xml:space="preserve"> </w:t>
      </w:r>
      <w:r w:rsidR="00DD19CF">
        <w:rPr>
          <w:rFonts w:ascii="Verdana" w:hAnsi="Verdana" w:cs="Times New Roman"/>
          <w:sz w:val="18"/>
          <w:szCs w:val="18"/>
          <w:lang w:val="nl-NL"/>
        </w:rPr>
        <w:t>p</w:t>
      </w:r>
      <w:r w:rsidRPr="008765F6">
        <w:rPr>
          <w:rFonts w:ascii="Verdana" w:hAnsi="Verdana" w:cs="Times New Roman"/>
          <w:sz w:val="18"/>
          <w:szCs w:val="18"/>
          <w:lang w:val="nl-NL"/>
        </w:rPr>
        <w:t xml:space="preserve">artijen aan het </w:t>
      </w:r>
      <w:r w:rsidRPr="008B78D3" w:rsidR="002B55FC">
        <w:rPr>
          <w:rFonts w:ascii="Verdana" w:hAnsi="Verdana" w:cs="Times New Roman"/>
          <w:sz w:val="18"/>
          <w:szCs w:val="18"/>
          <w:lang w:val="nl-NL"/>
        </w:rPr>
        <w:t>Comité</w:t>
      </w:r>
      <w:r w:rsidRPr="008B78D3" w:rsidR="00716906">
        <w:rPr>
          <w:rFonts w:ascii="Verdana" w:hAnsi="Verdana" w:cs="Times New Roman"/>
          <w:sz w:val="18"/>
          <w:szCs w:val="18"/>
          <w:lang w:val="nl-NL"/>
        </w:rPr>
        <w:t>.</w:t>
      </w:r>
      <w:r w:rsidR="00EE0892">
        <w:rPr>
          <w:rFonts w:ascii="Verdana" w:hAnsi="Verdana" w:cs="Times New Roman"/>
          <w:sz w:val="18"/>
          <w:szCs w:val="18"/>
          <w:lang w:val="nl-NL"/>
        </w:rPr>
        <w:t xml:space="preserve"> </w:t>
      </w:r>
      <w:r w:rsidRPr="009146A3" w:rsidR="002535A3">
        <w:rPr>
          <w:rFonts w:ascii="Verdana" w:hAnsi="Verdana" w:cs="Times New Roman"/>
          <w:sz w:val="18"/>
          <w:szCs w:val="18"/>
          <w:lang w:val="nl-NL"/>
        </w:rPr>
        <w:t>Het Comité toetst jaarlijks d</w:t>
      </w:r>
      <w:r w:rsidRPr="009146A3">
        <w:rPr>
          <w:rFonts w:ascii="Verdana" w:hAnsi="Verdana" w:cs="Times New Roman"/>
          <w:sz w:val="18"/>
          <w:szCs w:val="18"/>
          <w:lang w:val="nl-NL"/>
        </w:rPr>
        <w:t xml:space="preserve">e toepassing en uitvoering van de </w:t>
      </w:r>
      <w:r w:rsidR="00DD19CF">
        <w:rPr>
          <w:rFonts w:ascii="Verdana" w:hAnsi="Verdana" w:cs="Times New Roman"/>
          <w:sz w:val="18"/>
          <w:szCs w:val="18"/>
          <w:lang w:val="nl-NL"/>
        </w:rPr>
        <w:t>GPA</w:t>
      </w:r>
      <w:r w:rsidRPr="009146A3">
        <w:rPr>
          <w:rFonts w:ascii="Verdana" w:hAnsi="Verdana" w:cs="Times New Roman"/>
          <w:sz w:val="18"/>
          <w:szCs w:val="18"/>
          <w:lang w:val="nl-NL"/>
        </w:rPr>
        <w:t xml:space="preserve"> en </w:t>
      </w:r>
      <w:r w:rsidRPr="009146A3" w:rsidR="002B55FC">
        <w:rPr>
          <w:rFonts w:ascii="Verdana" w:hAnsi="Verdana" w:cs="Times New Roman"/>
          <w:sz w:val="18"/>
          <w:szCs w:val="18"/>
          <w:lang w:val="nl-NL"/>
        </w:rPr>
        <w:t>informeert de Algemene Raad over zijn activiteiten.</w:t>
      </w:r>
    </w:p>
    <w:p w:rsidRPr="009146A3" w:rsidR="00033416" w:rsidP="00033416" w:rsidRDefault="00033416">
      <w:pPr>
        <w:pStyle w:val="NoSpacing"/>
        <w:rPr>
          <w:rFonts w:ascii="Verdana" w:hAnsi="Verdana" w:cs="Times New Roman"/>
          <w:sz w:val="18"/>
          <w:szCs w:val="18"/>
          <w:lang w:val="nl-NL"/>
        </w:rPr>
      </w:pPr>
    </w:p>
    <w:p w:rsidRPr="009146A3" w:rsidR="00033416" w:rsidP="00033416" w:rsidRDefault="00033416">
      <w:pPr>
        <w:pStyle w:val="NoSpacing"/>
        <w:rPr>
          <w:rFonts w:ascii="Verdana" w:hAnsi="Verdana" w:cs="Times New Roman"/>
          <w:sz w:val="18"/>
          <w:szCs w:val="18"/>
          <w:lang w:val="nl-NL"/>
        </w:rPr>
      </w:pPr>
      <w:r w:rsidRPr="009146A3">
        <w:rPr>
          <w:rFonts w:ascii="Verdana" w:hAnsi="Verdana" w:cs="Times New Roman"/>
          <w:b/>
          <w:sz w:val="18"/>
          <w:szCs w:val="18"/>
          <w:lang w:val="nl-NL"/>
        </w:rPr>
        <w:t xml:space="preserve">Artikel XXII </w:t>
      </w:r>
      <w:r w:rsidRPr="009146A3">
        <w:rPr>
          <w:rFonts w:ascii="Verdana" w:hAnsi="Verdana" w:cs="Times New Roman"/>
          <w:sz w:val="18"/>
          <w:szCs w:val="18"/>
          <w:lang w:val="nl-NL"/>
        </w:rPr>
        <w:t>Slotbepalingen</w:t>
      </w:r>
    </w:p>
    <w:p w:rsidR="00EC7B52" w:rsidP="00033416" w:rsidRDefault="00033416">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De slotbepalingen hebben betrekking op de </w:t>
      </w:r>
      <w:r w:rsidRPr="009146A3" w:rsidR="00AD2678">
        <w:rPr>
          <w:rFonts w:ascii="Verdana" w:hAnsi="Verdana" w:cs="Times New Roman"/>
          <w:sz w:val="18"/>
          <w:szCs w:val="18"/>
          <w:lang w:val="nl-NL"/>
        </w:rPr>
        <w:t xml:space="preserve">inwerkingtreding, </w:t>
      </w:r>
      <w:r w:rsidR="00DD19CF">
        <w:rPr>
          <w:rFonts w:ascii="Verdana" w:hAnsi="Verdana" w:cs="Times New Roman"/>
          <w:sz w:val="18"/>
          <w:szCs w:val="18"/>
          <w:lang w:val="nl-NL"/>
        </w:rPr>
        <w:t xml:space="preserve">toetreding en </w:t>
      </w:r>
      <w:r w:rsidRPr="009146A3" w:rsidR="00AD2678">
        <w:rPr>
          <w:rFonts w:ascii="Verdana" w:hAnsi="Verdana" w:cs="Times New Roman"/>
          <w:sz w:val="18"/>
          <w:szCs w:val="18"/>
          <w:lang w:val="nl-NL"/>
        </w:rPr>
        <w:t>opzegging</w:t>
      </w:r>
      <w:r w:rsidR="00DD19CF">
        <w:rPr>
          <w:rFonts w:ascii="Verdana" w:hAnsi="Verdana" w:cs="Times New Roman"/>
          <w:sz w:val="18"/>
          <w:szCs w:val="18"/>
          <w:lang w:val="nl-NL"/>
        </w:rPr>
        <w:t>.</w:t>
      </w:r>
      <w:r w:rsidR="00BA6EC1">
        <w:rPr>
          <w:rFonts w:ascii="Verdana" w:hAnsi="Verdana" w:cs="Times New Roman"/>
          <w:sz w:val="18"/>
          <w:szCs w:val="18"/>
          <w:lang w:val="nl-NL"/>
        </w:rPr>
        <w:t xml:space="preserve"> </w:t>
      </w:r>
      <w:r w:rsidR="00DD19CF">
        <w:rPr>
          <w:rFonts w:ascii="Verdana" w:hAnsi="Verdana" w:cs="Times New Roman"/>
          <w:sz w:val="18"/>
          <w:szCs w:val="18"/>
          <w:lang w:val="nl-NL"/>
        </w:rPr>
        <w:t>D</w:t>
      </w:r>
      <w:r w:rsidRPr="00A70221">
        <w:rPr>
          <w:rFonts w:ascii="Verdana" w:hAnsi="Verdana" w:cs="Times New Roman"/>
          <w:sz w:val="18"/>
          <w:szCs w:val="18"/>
          <w:lang w:val="nl-NL"/>
        </w:rPr>
        <w:t xml:space="preserve">e verplichting </w:t>
      </w:r>
      <w:r w:rsidR="00DD19CF">
        <w:rPr>
          <w:rFonts w:ascii="Verdana" w:hAnsi="Verdana" w:cs="Times New Roman"/>
          <w:sz w:val="18"/>
          <w:szCs w:val="18"/>
          <w:lang w:val="nl-NL"/>
        </w:rPr>
        <w:t xml:space="preserve">wordt vastgelegd </w:t>
      </w:r>
      <w:r w:rsidRPr="00A70221">
        <w:rPr>
          <w:rFonts w:ascii="Verdana" w:hAnsi="Verdana" w:cs="Times New Roman"/>
          <w:sz w:val="18"/>
          <w:szCs w:val="18"/>
          <w:lang w:val="nl-NL"/>
        </w:rPr>
        <w:t xml:space="preserve">voor elke </w:t>
      </w:r>
      <w:r w:rsidR="00DD19CF">
        <w:rPr>
          <w:rFonts w:ascii="Verdana" w:hAnsi="Verdana" w:cs="Times New Roman"/>
          <w:sz w:val="18"/>
          <w:szCs w:val="18"/>
          <w:lang w:val="nl-NL"/>
        </w:rPr>
        <w:t>p</w:t>
      </w:r>
      <w:r w:rsidRPr="00A70221">
        <w:rPr>
          <w:rFonts w:ascii="Verdana" w:hAnsi="Verdana" w:cs="Times New Roman"/>
          <w:sz w:val="18"/>
          <w:szCs w:val="18"/>
          <w:lang w:val="nl-NL"/>
        </w:rPr>
        <w:t>artij om</w:t>
      </w:r>
      <w:r w:rsidR="00DD19CF">
        <w:rPr>
          <w:rFonts w:ascii="Verdana" w:hAnsi="Verdana" w:cs="Times New Roman"/>
          <w:sz w:val="18"/>
          <w:szCs w:val="18"/>
          <w:lang w:val="nl-NL"/>
        </w:rPr>
        <w:t>,</w:t>
      </w:r>
      <w:r w:rsidRPr="00A70221">
        <w:rPr>
          <w:rFonts w:ascii="Verdana" w:hAnsi="Verdana" w:cs="Times New Roman"/>
          <w:sz w:val="18"/>
          <w:szCs w:val="18"/>
          <w:lang w:val="nl-NL"/>
        </w:rPr>
        <w:t xml:space="preserve"> </w:t>
      </w:r>
      <w:r w:rsidR="00DD19CF">
        <w:rPr>
          <w:rFonts w:ascii="Verdana" w:hAnsi="Verdana" w:cs="Times New Roman"/>
          <w:sz w:val="18"/>
          <w:szCs w:val="18"/>
          <w:lang w:val="nl-NL"/>
        </w:rPr>
        <w:t xml:space="preserve">op het moment dat de GPA voor die partij in werking treedt, </w:t>
      </w:r>
      <w:r w:rsidRPr="00A70221" w:rsidR="00EC7B52">
        <w:rPr>
          <w:rFonts w:ascii="Verdana" w:hAnsi="Verdana" w:cs="Times New Roman"/>
          <w:sz w:val="18"/>
          <w:szCs w:val="18"/>
          <w:lang w:val="nl-NL"/>
        </w:rPr>
        <w:t>alle uitvoeringsregelingen geïmplementeerd te hebben. Voorbehouden kunnen niet worden gemaakt.</w:t>
      </w:r>
    </w:p>
    <w:p w:rsidRPr="00A70221" w:rsidR="00797511" w:rsidP="00033416" w:rsidRDefault="00797511">
      <w:pPr>
        <w:pStyle w:val="NoSpacing"/>
        <w:rPr>
          <w:rFonts w:ascii="Verdana" w:hAnsi="Verdana" w:cs="Times New Roman"/>
          <w:sz w:val="18"/>
          <w:szCs w:val="18"/>
          <w:lang w:val="nl-NL"/>
        </w:rPr>
      </w:pPr>
    </w:p>
    <w:p w:rsidRPr="008B78D3" w:rsidR="00FA7A40" w:rsidP="00033416" w:rsidRDefault="00FA7A40">
      <w:pPr>
        <w:pStyle w:val="NoSpacing"/>
        <w:rPr>
          <w:rFonts w:ascii="Verdana" w:hAnsi="Verdana" w:cs="Times New Roman"/>
          <w:sz w:val="18"/>
          <w:szCs w:val="18"/>
          <w:lang w:val="nl-NL"/>
        </w:rPr>
      </w:pPr>
      <w:r w:rsidRPr="008765F6">
        <w:rPr>
          <w:rFonts w:ascii="Verdana" w:hAnsi="Verdana" w:cs="Times New Roman"/>
          <w:sz w:val="18"/>
          <w:szCs w:val="18"/>
          <w:lang w:val="nl-NL"/>
        </w:rPr>
        <w:lastRenderedPageBreak/>
        <w:t>Ten aanzien van Aruba is de uitvoering voorzien in het Landsbesluit openbare aanbe</w:t>
      </w:r>
      <w:r w:rsidRPr="008B78D3">
        <w:rPr>
          <w:rFonts w:ascii="Verdana" w:hAnsi="Verdana" w:cs="Times New Roman"/>
          <w:sz w:val="18"/>
          <w:szCs w:val="18"/>
          <w:lang w:val="nl-NL"/>
        </w:rPr>
        <w:t>stedingen (AB 1996, no. 58).</w:t>
      </w:r>
      <w:r w:rsidRPr="008B78D3" w:rsidR="009C304A">
        <w:rPr>
          <w:rFonts w:ascii="Verdana" w:hAnsi="Verdana" w:cs="Times New Roman"/>
          <w:sz w:val="18"/>
          <w:szCs w:val="18"/>
          <w:lang w:val="nl-NL"/>
        </w:rPr>
        <w:t xml:space="preserve"> </w:t>
      </w:r>
      <w:r w:rsidRPr="008B78D3">
        <w:rPr>
          <w:rFonts w:ascii="Verdana" w:hAnsi="Verdana" w:cs="Times New Roman"/>
          <w:sz w:val="18"/>
          <w:szCs w:val="18"/>
          <w:lang w:val="nl-NL"/>
        </w:rPr>
        <w:t>De wijziging in de drempelwaarden zal worden geregeld bij ministeriële regeling.</w:t>
      </w:r>
    </w:p>
    <w:p w:rsidRPr="009146A3" w:rsidR="001A73B0" w:rsidP="00033416" w:rsidRDefault="001A73B0">
      <w:pPr>
        <w:pStyle w:val="NoSpacing"/>
        <w:rPr>
          <w:rFonts w:ascii="Verdana" w:hAnsi="Verdana" w:cs="Times New Roman"/>
          <w:sz w:val="18"/>
          <w:szCs w:val="18"/>
          <w:lang w:val="nl-NL"/>
        </w:rPr>
      </w:pPr>
    </w:p>
    <w:p w:rsidR="001A73B0" w:rsidP="00033416" w:rsidRDefault="00A70221">
      <w:pPr>
        <w:pStyle w:val="NoSpacing"/>
        <w:rPr>
          <w:rFonts w:ascii="Verdana" w:hAnsi="Verdana" w:cs="Times New Roman"/>
          <w:sz w:val="18"/>
          <w:szCs w:val="18"/>
          <w:lang w:val="nl-NL"/>
        </w:rPr>
      </w:pPr>
      <w:r>
        <w:rPr>
          <w:rFonts w:ascii="Verdana" w:hAnsi="Verdana" w:cs="Times New Roman"/>
          <w:sz w:val="18"/>
          <w:szCs w:val="18"/>
          <w:lang w:val="nl-NL"/>
        </w:rPr>
        <w:t>O</w:t>
      </w:r>
      <w:r w:rsidRPr="00A70221" w:rsidR="001A73B0">
        <w:rPr>
          <w:rFonts w:ascii="Verdana" w:hAnsi="Verdana" w:cs="Times New Roman"/>
          <w:sz w:val="18"/>
          <w:szCs w:val="18"/>
          <w:lang w:val="nl-NL"/>
        </w:rPr>
        <w:t xml:space="preserve">nderhandelingen om de </w:t>
      </w:r>
      <w:r>
        <w:rPr>
          <w:rFonts w:ascii="Verdana" w:hAnsi="Verdana" w:cs="Times New Roman"/>
          <w:sz w:val="18"/>
          <w:szCs w:val="18"/>
          <w:lang w:val="nl-NL"/>
        </w:rPr>
        <w:t>GPA</w:t>
      </w:r>
      <w:r w:rsidRPr="00A70221" w:rsidR="001A73B0">
        <w:rPr>
          <w:rFonts w:ascii="Verdana" w:hAnsi="Verdana" w:cs="Times New Roman"/>
          <w:sz w:val="18"/>
          <w:szCs w:val="18"/>
          <w:lang w:val="nl-NL"/>
        </w:rPr>
        <w:t xml:space="preserve"> verder te verbeteren zullen uiterlijk drie jaar na inwerkingtreding </w:t>
      </w:r>
      <w:r>
        <w:rPr>
          <w:rFonts w:ascii="Verdana" w:hAnsi="Verdana" w:cs="Times New Roman"/>
          <w:sz w:val="18"/>
          <w:szCs w:val="18"/>
          <w:lang w:val="nl-NL"/>
        </w:rPr>
        <w:t xml:space="preserve">van dit Protocol </w:t>
      </w:r>
      <w:r w:rsidRPr="00A70221" w:rsidR="001A73B0">
        <w:rPr>
          <w:rFonts w:ascii="Verdana" w:hAnsi="Verdana" w:cs="Times New Roman"/>
          <w:sz w:val="18"/>
          <w:szCs w:val="18"/>
          <w:lang w:val="nl-NL"/>
        </w:rPr>
        <w:t>periodiek plaatsvinden (zevende lid).</w:t>
      </w:r>
    </w:p>
    <w:p w:rsidRPr="00A70221" w:rsidR="002E1C0B" w:rsidP="00033416" w:rsidRDefault="002E1C0B">
      <w:pPr>
        <w:pStyle w:val="NoSpacing"/>
        <w:rPr>
          <w:rFonts w:ascii="Verdana" w:hAnsi="Verdana" w:cs="Times New Roman"/>
          <w:sz w:val="18"/>
          <w:szCs w:val="18"/>
          <w:lang w:val="nl-NL"/>
        </w:rPr>
      </w:pPr>
    </w:p>
    <w:p w:rsidR="001A73B0" w:rsidP="00033416" w:rsidRDefault="003A1EB4">
      <w:pPr>
        <w:pStyle w:val="NoSpacing"/>
        <w:rPr>
          <w:rFonts w:ascii="Verdana" w:hAnsi="Verdana" w:cs="Times New Roman"/>
          <w:sz w:val="18"/>
          <w:szCs w:val="18"/>
          <w:lang w:val="nl-NL"/>
        </w:rPr>
      </w:pPr>
      <w:r w:rsidRPr="00A70221">
        <w:rPr>
          <w:rFonts w:ascii="Verdana" w:hAnsi="Verdana" w:cs="Times New Roman"/>
          <w:sz w:val="18"/>
          <w:szCs w:val="18"/>
          <w:lang w:val="nl-NL"/>
        </w:rPr>
        <w:t>Verder</w:t>
      </w:r>
      <w:r w:rsidRPr="00A70221" w:rsidR="001A73B0">
        <w:rPr>
          <w:rFonts w:ascii="Verdana" w:hAnsi="Verdana" w:cs="Times New Roman"/>
          <w:sz w:val="18"/>
          <w:szCs w:val="18"/>
          <w:lang w:val="nl-NL"/>
        </w:rPr>
        <w:t xml:space="preserve"> zal het Comité</w:t>
      </w:r>
      <w:r w:rsidRPr="00A70221">
        <w:rPr>
          <w:rFonts w:ascii="Verdana" w:hAnsi="Verdana" w:cs="Times New Roman"/>
          <w:sz w:val="18"/>
          <w:szCs w:val="18"/>
          <w:lang w:val="nl-NL"/>
        </w:rPr>
        <w:t xml:space="preserve"> via werkprogramma’s vereenvoudiging van de uitvoering van de </w:t>
      </w:r>
      <w:r w:rsidR="00A70221">
        <w:rPr>
          <w:rFonts w:ascii="Verdana" w:hAnsi="Verdana" w:cs="Times New Roman"/>
          <w:sz w:val="18"/>
          <w:szCs w:val="18"/>
          <w:lang w:val="nl-NL"/>
        </w:rPr>
        <w:t>GPA</w:t>
      </w:r>
      <w:r w:rsidRPr="00A70221">
        <w:rPr>
          <w:rFonts w:ascii="Verdana" w:hAnsi="Verdana" w:cs="Times New Roman"/>
          <w:sz w:val="18"/>
          <w:szCs w:val="18"/>
          <w:lang w:val="nl-NL"/>
        </w:rPr>
        <w:t xml:space="preserve"> bewerkstelligen op het gebied van onder andere het midden- en kleinbedrijf, het verzamelen en verspr</w:t>
      </w:r>
      <w:r w:rsidRPr="008765F6" w:rsidR="00620868">
        <w:rPr>
          <w:rFonts w:ascii="Verdana" w:hAnsi="Verdana" w:cs="Times New Roman"/>
          <w:sz w:val="18"/>
          <w:szCs w:val="18"/>
          <w:lang w:val="nl-NL"/>
        </w:rPr>
        <w:t>eiden van statistische gegevens,</w:t>
      </w:r>
      <w:r w:rsidRPr="008B78D3">
        <w:rPr>
          <w:rFonts w:ascii="Verdana" w:hAnsi="Verdana" w:cs="Times New Roman"/>
          <w:sz w:val="18"/>
          <w:szCs w:val="18"/>
          <w:lang w:val="nl-NL"/>
        </w:rPr>
        <w:t xml:space="preserve"> de behandeling van duurzame aanbesteding</w:t>
      </w:r>
      <w:r w:rsidRPr="008B78D3" w:rsidR="00620868">
        <w:rPr>
          <w:rFonts w:ascii="Verdana" w:hAnsi="Verdana" w:cs="Times New Roman"/>
          <w:sz w:val="18"/>
          <w:szCs w:val="18"/>
          <w:lang w:val="nl-NL"/>
        </w:rPr>
        <w:t xml:space="preserve"> en het harmoniseren van de oorsprong</w:t>
      </w:r>
      <w:r w:rsidR="00797511">
        <w:rPr>
          <w:rFonts w:ascii="Verdana" w:hAnsi="Verdana" w:cs="Times New Roman"/>
          <w:sz w:val="18"/>
          <w:szCs w:val="18"/>
          <w:lang w:val="nl-NL"/>
        </w:rPr>
        <w:t>s</w:t>
      </w:r>
      <w:r w:rsidRPr="00797511" w:rsidR="00620868">
        <w:rPr>
          <w:rFonts w:ascii="Verdana" w:hAnsi="Verdana" w:cs="Times New Roman"/>
          <w:sz w:val="18"/>
          <w:szCs w:val="18"/>
          <w:lang w:val="nl-NL"/>
        </w:rPr>
        <w:t xml:space="preserve">regels voor goederen in het kader van deze </w:t>
      </w:r>
      <w:r w:rsidR="00797511">
        <w:rPr>
          <w:rFonts w:ascii="Verdana" w:hAnsi="Verdana" w:cs="Times New Roman"/>
          <w:sz w:val="18"/>
          <w:szCs w:val="18"/>
          <w:lang w:val="nl-NL"/>
        </w:rPr>
        <w:t>GPA</w:t>
      </w:r>
      <w:r w:rsidRPr="00797511" w:rsidR="00620868">
        <w:rPr>
          <w:rFonts w:ascii="Verdana" w:hAnsi="Verdana" w:cs="Times New Roman"/>
          <w:sz w:val="18"/>
          <w:szCs w:val="18"/>
          <w:lang w:val="nl-NL"/>
        </w:rPr>
        <w:t xml:space="preserve"> (achtste en negende lid)</w:t>
      </w:r>
      <w:r w:rsidRPr="008765F6">
        <w:rPr>
          <w:rFonts w:ascii="Verdana" w:hAnsi="Verdana" w:cs="Times New Roman"/>
          <w:sz w:val="18"/>
          <w:szCs w:val="18"/>
          <w:lang w:val="nl-NL"/>
        </w:rPr>
        <w:t xml:space="preserve">. </w:t>
      </w:r>
    </w:p>
    <w:p w:rsidR="0055590A" w:rsidP="00033416" w:rsidRDefault="0055590A">
      <w:pPr>
        <w:pStyle w:val="NoSpacing"/>
        <w:rPr>
          <w:rFonts w:ascii="Verdana" w:hAnsi="Verdana" w:cs="Times New Roman"/>
          <w:sz w:val="18"/>
          <w:szCs w:val="18"/>
          <w:lang w:val="nl-NL"/>
        </w:rPr>
      </w:pPr>
    </w:p>
    <w:p w:rsidR="0055590A" w:rsidP="00033416" w:rsidRDefault="00DD19CF">
      <w:pPr>
        <w:pStyle w:val="NoSpacing"/>
        <w:rPr>
          <w:rFonts w:ascii="Verdana" w:hAnsi="Verdana" w:cs="Times New Roman"/>
          <w:sz w:val="18"/>
          <w:szCs w:val="18"/>
          <w:lang w:val="nl-NL"/>
        </w:rPr>
      </w:pPr>
      <w:r>
        <w:rPr>
          <w:rFonts w:ascii="Verdana" w:hAnsi="Verdana" w:cs="Times New Roman"/>
          <w:sz w:val="18"/>
          <w:szCs w:val="18"/>
          <w:lang w:val="nl-NL"/>
        </w:rPr>
        <w:t>Het elfde lid bepaalt dat p</w:t>
      </w:r>
      <w:r w:rsidR="0055590A">
        <w:rPr>
          <w:rFonts w:ascii="Verdana" w:hAnsi="Verdana" w:cs="Times New Roman"/>
          <w:sz w:val="18"/>
          <w:szCs w:val="18"/>
          <w:lang w:val="nl-NL"/>
        </w:rPr>
        <w:t>artijen voorstellen kunnen doen tot het wijzigen van de GPA.</w:t>
      </w:r>
      <w:r w:rsidR="006A2777">
        <w:rPr>
          <w:rFonts w:ascii="Verdana" w:hAnsi="Verdana" w:cs="Times New Roman"/>
          <w:sz w:val="18"/>
          <w:szCs w:val="18"/>
          <w:lang w:val="nl-NL"/>
        </w:rPr>
        <w:t xml:space="preserve"> Het artikel maakt onderscheid tussen wijzigingen die rechten of verplichtingen </w:t>
      </w:r>
      <w:r w:rsidR="005A0364">
        <w:rPr>
          <w:rFonts w:ascii="Verdana" w:hAnsi="Verdana" w:cs="Times New Roman"/>
          <w:sz w:val="18"/>
          <w:szCs w:val="18"/>
          <w:lang w:val="nl-NL"/>
        </w:rPr>
        <w:t xml:space="preserve">scheppen voor </w:t>
      </w:r>
      <w:r>
        <w:rPr>
          <w:rFonts w:ascii="Verdana" w:hAnsi="Verdana" w:cs="Times New Roman"/>
          <w:sz w:val="18"/>
          <w:szCs w:val="18"/>
          <w:lang w:val="nl-NL"/>
        </w:rPr>
        <w:t>p</w:t>
      </w:r>
      <w:r w:rsidR="006A2777">
        <w:rPr>
          <w:rFonts w:ascii="Verdana" w:hAnsi="Verdana" w:cs="Times New Roman"/>
          <w:sz w:val="18"/>
          <w:szCs w:val="18"/>
          <w:lang w:val="nl-NL"/>
        </w:rPr>
        <w:t>artijen (sub a) en wijzigingen waarvan het Comité bij consensus heeft bepaald dat ze ge</w:t>
      </w:r>
      <w:r w:rsidR="005A0364">
        <w:rPr>
          <w:rFonts w:ascii="Verdana" w:hAnsi="Verdana" w:cs="Times New Roman"/>
          <w:sz w:val="18"/>
          <w:szCs w:val="18"/>
          <w:lang w:val="nl-NL"/>
        </w:rPr>
        <w:t>en rechten en verplichtingen scheppen</w:t>
      </w:r>
      <w:r w:rsidR="006A2777">
        <w:rPr>
          <w:rFonts w:ascii="Verdana" w:hAnsi="Verdana" w:cs="Times New Roman"/>
          <w:sz w:val="18"/>
          <w:szCs w:val="18"/>
          <w:lang w:val="nl-NL"/>
        </w:rPr>
        <w:t xml:space="preserve"> (sub b). </w:t>
      </w:r>
      <w:r w:rsidR="005A0364">
        <w:rPr>
          <w:rFonts w:ascii="Verdana" w:hAnsi="Verdana" w:cs="Times New Roman"/>
          <w:sz w:val="18"/>
          <w:szCs w:val="18"/>
          <w:lang w:val="nl-NL"/>
        </w:rPr>
        <w:t>Voor de eers</w:t>
      </w:r>
      <w:r w:rsidR="006A2777">
        <w:rPr>
          <w:rFonts w:ascii="Verdana" w:hAnsi="Verdana" w:cs="Times New Roman"/>
          <w:sz w:val="18"/>
          <w:szCs w:val="18"/>
          <w:lang w:val="nl-NL"/>
        </w:rPr>
        <w:t>t</w:t>
      </w:r>
      <w:r w:rsidR="005A0364">
        <w:rPr>
          <w:rFonts w:ascii="Verdana" w:hAnsi="Verdana" w:cs="Times New Roman"/>
          <w:sz w:val="18"/>
          <w:szCs w:val="18"/>
          <w:lang w:val="nl-NL"/>
        </w:rPr>
        <w:t>e categ</w:t>
      </w:r>
      <w:r w:rsidR="006A2777">
        <w:rPr>
          <w:rFonts w:ascii="Verdana" w:hAnsi="Verdana" w:cs="Times New Roman"/>
          <w:sz w:val="18"/>
          <w:szCs w:val="18"/>
          <w:lang w:val="nl-NL"/>
        </w:rPr>
        <w:t>o</w:t>
      </w:r>
      <w:r w:rsidR="005A0364">
        <w:rPr>
          <w:rFonts w:ascii="Verdana" w:hAnsi="Verdana" w:cs="Times New Roman"/>
          <w:sz w:val="18"/>
          <w:szCs w:val="18"/>
          <w:lang w:val="nl-NL"/>
        </w:rPr>
        <w:t>r</w:t>
      </w:r>
      <w:r w:rsidR="006A2777">
        <w:rPr>
          <w:rFonts w:ascii="Verdana" w:hAnsi="Verdana" w:cs="Times New Roman"/>
          <w:sz w:val="18"/>
          <w:szCs w:val="18"/>
          <w:lang w:val="nl-NL"/>
        </w:rPr>
        <w:t xml:space="preserve">ie wijzigingen (sub a) geldt dat deze in werking treden </w:t>
      </w:r>
      <w:r w:rsidR="005A0364">
        <w:rPr>
          <w:rFonts w:ascii="Verdana" w:hAnsi="Verdana" w:cs="Times New Roman"/>
          <w:sz w:val="18"/>
          <w:szCs w:val="18"/>
          <w:lang w:val="nl-NL"/>
        </w:rPr>
        <w:t xml:space="preserve">voor die </w:t>
      </w:r>
      <w:r>
        <w:rPr>
          <w:rFonts w:ascii="Verdana" w:hAnsi="Verdana" w:cs="Times New Roman"/>
          <w:sz w:val="18"/>
          <w:szCs w:val="18"/>
          <w:lang w:val="nl-NL"/>
        </w:rPr>
        <w:t>p</w:t>
      </w:r>
      <w:r w:rsidR="005A0364">
        <w:rPr>
          <w:rFonts w:ascii="Verdana" w:hAnsi="Verdana" w:cs="Times New Roman"/>
          <w:sz w:val="18"/>
          <w:szCs w:val="18"/>
          <w:lang w:val="nl-NL"/>
        </w:rPr>
        <w:t xml:space="preserve">artijen die de wijzigingen hebben geratificeerd </w:t>
      </w:r>
      <w:r>
        <w:rPr>
          <w:rFonts w:ascii="Verdana" w:hAnsi="Verdana" w:cs="Times New Roman"/>
          <w:sz w:val="18"/>
          <w:szCs w:val="18"/>
          <w:lang w:val="nl-NL"/>
        </w:rPr>
        <w:t>op het moment dat</w:t>
      </w:r>
      <w:r w:rsidR="005A0364">
        <w:rPr>
          <w:rFonts w:ascii="Verdana" w:hAnsi="Verdana" w:cs="Times New Roman"/>
          <w:sz w:val="18"/>
          <w:szCs w:val="18"/>
          <w:lang w:val="nl-NL"/>
        </w:rPr>
        <w:t xml:space="preserve"> twee derde van de </w:t>
      </w:r>
      <w:r>
        <w:rPr>
          <w:rFonts w:ascii="Verdana" w:hAnsi="Verdana" w:cs="Times New Roman"/>
          <w:sz w:val="18"/>
          <w:szCs w:val="18"/>
          <w:lang w:val="nl-NL"/>
        </w:rPr>
        <w:t>p</w:t>
      </w:r>
      <w:r w:rsidR="005A0364">
        <w:rPr>
          <w:rFonts w:ascii="Verdana" w:hAnsi="Verdana" w:cs="Times New Roman"/>
          <w:sz w:val="18"/>
          <w:szCs w:val="18"/>
          <w:lang w:val="nl-NL"/>
        </w:rPr>
        <w:t xml:space="preserve">artijen deze hebben geratificeerd. Voor </w:t>
      </w:r>
      <w:r w:rsidR="0094762A">
        <w:rPr>
          <w:rFonts w:ascii="Verdana" w:hAnsi="Verdana" w:cs="Times New Roman"/>
          <w:sz w:val="18"/>
          <w:szCs w:val="18"/>
          <w:lang w:val="nl-NL"/>
        </w:rPr>
        <w:t>p</w:t>
      </w:r>
      <w:r w:rsidR="005A0364">
        <w:rPr>
          <w:rFonts w:ascii="Verdana" w:hAnsi="Verdana" w:cs="Times New Roman"/>
          <w:sz w:val="18"/>
          <w:szCs w:val="18"/>
          <w:lang w:val="nl-NL"/>
        </w:rPr>
        <w:t>artijen die nadien de wijzigingen ratificeren treden de wijzigingen in op het mom</w:t>
      </w:r>
      <w:r w:rsidR="0094762A">
        <w:rPr>
          <w:rFonts w:ascii="Verdana" w:hAnsi="Verdana" w:cs="Times New Roman"/>
          <w:sz w:val="18"/>
          <w:szCs w:val="18"/>
          <w:lang w:val="nl-NL"/>
        </w:rPr>
        <w:t>ent van aanvaarding</w:t>
      </w:r>
      <w:r w:rsidR="005A0364">
        <w:rPr>
          <w:rFonts w:ascii="Verdana" w:hAnsi="Verdana" w:cs="Times New Roman"/>
          <w:sz w:val="18"/>
          <w:szCs w:val="18"/>
          <w:lang w:val="nl-NL"/>
        </w:rPr>
        <w:t xml:space="preserve"> daarvan. Voor de tweede categorie wijzigingsvoorstellen (sub b) </w:t>
      </w:r>
      <w:r w:rsidR="006A2777">
        <w:rPr>
          <w:rFonts w:ascii="Verdana" w:hAnsi="Verdana" w:cs="Times New Roman"/>
          <w:sz w:val="18"/>
          <w:szCs w:val="18"/>
          <w:lang w:val="nl-NL"/>
        </w:rPr>
        <w:t xml:space="preserve">zal de </w:t>
      </w:r>
      <w:r w:rsidR="005A0364">
        <w:rPr>
          <w:rFonts w:ascii="Verdana" w:hAnsi="Verdana" w:cs="Times New Roman"/>
          <w:sz w:val="18"/>
          <w:szCs w:val="18"/>
          <w:lang w:val="nl-NL"/>
        </w:rPr>
        <w:t xml:space="preserve">wijziging in werking treden voor alle partijen na ratificatie door twee derde van de </w:t>
      </w:r>
      <w:r w:rsidR="0094762A">
        <w:rPr>
          <w:rFonts w:ascii="Verdana" w:hAnsi="Verdana" w:cs="Times New Roman"/>
          <w:sz w:val="18"/>
          <w:szCs w:val="18"/>
          <w:lang w:val="nl-NL"/>
        </w:rPr>
        <w:t>p</w:t>
      </w:r>
      <w:r w:rsidR="005A0364">
        <w:rPr>
          <w:rFonts w:ascii="Verdana" w:hAnsi="Verdana" w:cs="Times New Roman"/>
          <w:sz w:val="18"/>
          <w:szCs w:val="18"/>
          <w:lang w:val="nl-NL"/>
        </w:rPr>
        <w:t xml:space="preserve">artijen. </w:t>
      </w:r>
    </w:p>
    <w:p w:rsidR="005A0364" w:rsidP="0055590A" w:rsidRDefault="005A0364">
      <w:pPr>
        <w:pStyle w:val="NoSpacing"/>
        <w:rPr>
          <w:rFonts w:ascii="Verdana" w:hAnsi="Verdana" w:cs="Times New Roman"/>
          <w:sz w:val="18"/>
          <w:szCs w:val="18"/>
          <w:lang w:val="nl-NL"/>
        </w:rPr>
      </w:pPr>
    </w:p>
    <w:p w:rsidRPr="0029316B" w:rsidR="0029316B" w:rsidP="0055590A" w:rsidRDefault="0029316B">
      <w:pPr>
        <w:pStyle w:val="NoSpacing"/>
        <w:rPr>
          <w:rFonts w:ascii="Verdana" w:hAnsi="Verdana" w:cs="Times New Roman"/>
          <w:sz w:val="18"/>
          <w:szCs w:val="18"/>
          <w:lang w:val="nl-NL"/>
        </w:rPr>
      </w:pPr>
      <w:r w:rsidRPr="0029316B">
        <w:rPr>
          <w:rFonts w:ascii="Verdana" w:hAnsi="Verdana" w:cs="Times New Roman"/>
          <w:sz w:val="18"/>
          <w:szCs w:val="18"/>
          <w:lang w:val="nl-NL"/>
        </w:rPr>
        <w:t xml:space="preserve">Het vijftiende lid bepaalt dat de bijlagen bij dit Protocol een integrerend onderdeel van het verdrag vormen. </w:t>
      </w:r>
      <w:r>
        <w:rPr>
          <w:rFonts w:ascii="Verdana" w:hAnsi="Verdana" w:cs="Times New Roman"/>
          <w:sz w:val="18"/>
          <w:szCs w:val="18"/>
          <w:lang w:val="nl-NL"/>
        </w:rPr>
        <w:t>Deze bijlagen zijn aan te merken als zijnde van uitvoerende aard. Wijzigingen ervan behoeven op grond van artikel 7, onderdeel f, van de Rijkswet goedkeuring en bekendmaking verdragen geen parlementaire goedkeuring, tenzij de Staten-Generaal zich thans het recht tot goedkeuring terzake voorbehouden.</w:t>
      </w:r>
    </w:p>
    <w:p w:rsidRPr="0029316B" w:rsidR="00FA7A40" w:rsidP="00033416" w:rsidRDefault="00FA7A40">
      <w:pPr>
        <w:pStyle w:val="NoSpacing"/>
        <w:rPr>
          <w:rFonts w:ascii="Verdana" w:hAnsi="Verdana" w:cs="Times New Roman"/>
          <w:sz w:val="18"/>
          <w:szCs w:val="18"/>
          <w:lang w:val="nl-NL"/>
        </w:rPr>
      </w:pPr>
    </w:p>
    <w:p w:rsidRPr="009146A3" w:rsidR="008A59B8" w:rsidP="008A59B8" w:rsidRDefault="00617315">
      <w:pPr>
        <w:pStyle w:val="NoSpacing"/>
        <w:rPr>
          <w:rFonts w:ascii="Verdana" w:hAnsi="Verdana" w:cs="Times New Roman"/>
          <w:b/>
          <w:sz w:val="18"/>
          <w:szCs w:val="18"/>
          <w:lang w:val="nl-NL"/>
        </w:rPr>
      </w:pPr>
      <w:r w:rsidRPr="008B78D3">
        <w:rPr>
          <w:rFonts w:ascii="Verdana" w:hAnsi="Verdana" w:cs="Times New Roman"/>
          <w:b/>
          <w:sz w:val="18"/>
          <w:szCs w:val="18"/>
          <w:lang w:val="nl-NL"/>
        </w:rPr>
        <w:t xml:space="preserve">IV. </w:t>
      </w:r>
      <w:r w:rsidRPr="008B78D3" w:rsidR="008A59B8">
        <w:rPr>
          <w:rFonts w:ascii="Verdana" w:hAnsi="Verdana" w:cs="Times New Roman"/>
          <w:b/>
          <w:sz w:val="18"/>
          <w:szCs w:val="18"/>
          <w:lang w:val="nl-NL"/>
        </w:rPr>
        <w:t>Koninkrijkspositie</w:t>
      </w:r>
    </w:p>
    <w:p w:rsidRPr="00797511" w:rsidR="006C01E9" w:rsidP="008A59B8" w:rsidRDefault="008A59B8">
      <w:pPr>
        <w:pStyle w:val="NoSpacing"/>
        <w:rPr>
          <w:rFonts w:ascii="Verdana" w:hAnsi="Verdana" w:cs="Times New Roman"/>
          <w:sz w:val="18"/>
          <w:szCs w:val="18"/>
          <w:lang w:val="nl-NL"/>
        </w:rPr>
      </w:pPr>
      <w:r w:rsidRPr="009146A3">
        <w:rPr>
          <w:rFonts w:ascii="Verdana" w:hAnsi="Verdana" w:cs="Times New Roman"/>
          <w:sz w:val="18"/>
          <w:szCs w:val="18"/>
          <w:lang w:val="nl-NL"/>
        </w:rPr>
        <w:t>Europe</w:t>
      </w:r>
      <w:r w:rsidR="00797511">
        <w:rPr>
          <w:rFonts w:ascii="Verdana" w:hAnsi="Verdana" w:cs="Times New Roman"/>
          <w:sz w:val="18"/>
          <w:szCs w:val="18"/>
          <w:lang w:val="nl-NL"/>
        </w:rPr>
        <w:t>e</w:t>
      </w:r>
      <w:r w:rsidRPr="00797511">
        <w:rPr>
          <w:rFonts w:ascii="Verdana" w:hAnsi="Verdana" w:cs="Times New Roman"/>
          <w:sz w:val="18"/>
          <w:szCs w:val="18"/>
          <w:lang w:val="nl-NL"/>
        </w:rPr>
        <w:t xml:space="preserve">s </w:t>
      </w:r>
      <w:r w:rsidR="00797511">
        <w:rPr>
          <w:rFonts w:ascii="Verdana" w:hAnsi="Verdana" w:cs="Times New Roman"/>
          <w:sz w:val="18"/>
          <w:szCs w:val="18"/>
          <w:lang w:val="nl-NL"/>
        </w:rPr>
        <w:t>Nederland</w:t>
      </w:r>
      <w:r w:rsidRPr="00797511">
        <w:rPr>
          <w:rFonts w:ascii="Verdana" w:hAnsi="Verdana" w:cs="Times New Roman"/>
          <w:sz w:val="18"/>
          <w:szCs w:val="18"/>
          <w:lang w:val="nl-NL"/>
        </w:rPr>
        <w:t xml:space="preserve"> </w:t>
      </w:r>
      <w:r w:rsidR="00797511">
        <w:rPr>
          <w:rFonts w:ascii="Verdana" w:hAnsi="Verdana" w:cs="Times New Roman"/>
          <w:sz w:val="18"/>
          <w:szCs w:val="18"/>
          <w:lang w:val="nl-NL"/>
        </w:rPr>
        <w:t xml:space="preserve">treedt </w:t>
      </w:r>
      <w:r w:rsidRPr="00797511">
        <w:rPr>
          <w:rFonts w:ascii="Verdana" w:hAnsi="Verdana" w:cs="Times New Roman"/>
          <w:sz w:val="18"/>
          <w:szCs w:val="18"/>
          <w:lang w:val="nl-NL"/>
        </w:rPr>
        <w:t xml:space="preserve">tot het Protocol toe via de Europese Unie. </w:t>
      </w:r>
    </w:p>
    <w:p w:rsidR="00B771D0" w:rsidP="008A59B8" w:rsidRDefault="006C01E9">
      <w:pPr>
        <w:pStyle w:val="NoSpacing"/>
        <w:rPr>
          <w:rFonts w:ascii="Verdana" w:hAnsi="Verdana" w:cs="Times New Roman"/>
          <w:sz w:val="18"/>
          <w:szCs w:val="18"/>
          <w:lang w:val="nl-NL"/>
        </w:rPr>
      </w:pPr>
      <w:r w:rsidRPr="008765F6">
        <w:rPr>
          <w:rFonts w:ascii="Verdana" w:hAnsi="Verdana" w:cs="Times New Roman"/>
          <w:sz w:val="18"/>
          <w:szCs w:val="18"/>
          <w:lang w:val="nl-NL"/>
        </w:rPr>
        <w:t>De Overeenkomst inzake overheidsopdrachten geldt voor w</w:t>
      </w:r>
      <w:r w:rsidRPr="008B78D3" w:rsidR="008A59B8">
        <w:rPr>
          <w:rFonts w:ascii="Verdana" w:hAnsi="Verdana" w:cs="Times New Roman"/>
          <w:sz w:val="18"/>
          <w:szCs w:val="18"/>
          <w:lang w:val="nl-NL"/>
        </w:rPr>
        <w:t xml:space="preserve">at betreft het Caribisch deel van het Koninkrijk </w:t>
      </w:r>
      <w:r w:rsidRPr="008B78D3">
        <w:rPr>
          <w:rFonts w:ascii="Verdana" w:hAnsi="Verdana" w:cs="Times New Roman"/>
          <w:sz w:val="18"/>
          <w:szCs w:val="18"/>
          <w:lang w:val="nl-NL"/>
        </w:rPr>
        <w:t xml:space="preserve">alleen voor Aruba. </w:t>
      </w:r>
      <w:r w:rsidR="00B771D0">
        <w:rPr>
          <w:rFonts w:ascii="Verdana" w:hAnsi="Verdana" w:cs="Times New Roman"/>
          <w:sz w:val="18"/>
          <w:szCs w:val="18"/>
          <w:lang w:val="nl-NL"/>
        </w:rPr>
        <w:t>Dit Protocol zal dan ook alleen voor Aruba worden aanvaard.</w:t>
      </w:r>
    </w:p>
    <w:p w:rsidR="00B771D0" w:rsidP="008A59B8" w:rsidRDefault="00B771D0">
      <w:pPr>
        <w:pStyle w:val="NoSpacing"/>
        <w:rPr>
          <w:rFonts w:ascii="Verdana" w:hAnsi="Verdana" w:cs="Times New Roman"/>
          <w:sz w:val="18"/>
          <w:szCs w:val="18"/>
          <w:lang w:val="nl-NL"/>
        </w:rPr>
      </w:pPr>
    </w:p>
    <w:p w:rsidRPr="009146A3" w:rsidR="006B2A76" w:rsidP="008A59B8" w:rsidRDefault="009779CD">
      <w:pPr>
        <w:pStyle w:val="NoSpacing"/>
        <w:rPr>
          <w:rFonts w:ascii="Verdana" w:hAnsi="Verdana" w:cs="Times New Roman"/>
          <w:sz w:val="18"/>
          <w:szCs w:val="18"/>
          <w:lang w:val="nl-NL"/>
        </w:rPr>
      </w:pPr>
      <w:r>
        <w:rPr>
          <w:rFonts w:ascii="Verdana" w:hAnsi="Verdana" w:cs="Times New Roman"/>
          <w:sz w:val="18"/>
          <w:szCs w:val="18"/>
          <w:lang w:val="nl-NL"/>
        </w:rPr>
        <w:t xml:space="preserve">De Overeenkomst </w:t>
      </w:r>
      <w:r w:rsidR="00B771D0">
        <w:rPr>
          <w:rFonts w:ascii="Verdana" w:hAnsi="Verdana" w:cs="Times New Roman"/>
          <w:sz w:val="18"/>
          <w:szCs w:val="18"/>
          <w:lang w:val="nl-NL"/>
        </w:rPr>
        <w:t xml:space="preserve">inzake overheidsopdrachten </w:t>
      </w:r>
      <w:r>
        <w:rPr>
          <w:rFonts w:ascii="Verdana" w:hAnsi="Verdana" w:cs="Times New Roman"/>
          <w:sz w:val="18"/>
          <w:szCs w:val="18"/>
          <w:lang w:val="nl-NL"/>
        </w:rPr>
        <w:t>is destijds wel goedgekeurd voor het gehele Koninkrijk met het oog op eventuele toetreding van de andere delen van het Caribisch deel van het Koninkrijk. D</w:t>
      </w:r>
      <w:r w:rsidRPr="008B78D3" w:rsidR="006C01E9">
        <w:rPr>
          <w:rFonts w:ascii="Verdana" w:hAnsi="Verdana" w:cs="Times New Roman"/>
          <w:sz w:val="18"/>
          <w:szCs w:val="18"/>
          <w:lang w:val="nl-NL"/>
        </w:rPr>
        <w:t xml:space="preserve">e goedkeuring van het Protocol </w:t>
      </w:r>
      <w:r>
        <w:rPr>
          <w:rFonts w:ascii="Verdana" w:hAnsi="Verdana" w:cs="Times New Roman"/>
          <w:sz w:val="18"/>
          <w:szCs w:val="18"/>
          <w:lang w:val="nl-NL"/>
        </w:rPr>
        <w:t>wordt daarom thans ook voor het gehele Caribisch deel van het Koninkrijk gevraagd</w:t>
      </w:r>
      <w:r w:rsidRPr="009146A3" w:rsidR="006C01E9">
        <w:rPr>
          <w:rFonts w:ascii="Verdana" w:hAnsi="Verdana" w:cs="Times New Roman"/>
          <w:sz w:val="18"/>
          <w:szCs w:val="18"/>
          <w:lang w:val="nl-NL"/>
        </w:rPr>
        <w:t>.</w:t>
      </w:r>
    </w:p>
    <w:p w:rsidR="006C01E9" w:rsidP="008A59B8" w:rsidRDefault="00272CB4">
      <w:pPr>
        <w:pStyle w:val="NoSpacing"/>
        <w:rPr>
          <w:rFonts w:ascii="Verdana" w:hAnsi="Verdana" w:cs="Times New Roman"/>
          <w:sz w:val="18"/>
          <w:szCs w:val="18"/>
          <w:lang w:val="nl-NL"/>
        </w:rPr>
      </w:pPr>
      <w:r w:rsidRPr="009146A3">
        <w:rPr>
          <w:rFonts w:ascii="Verdana" w:hAnsi="Verdana" w:cs="Times New Roman"/>
          <w:sz w:val="18"/>
          <w:szCs w:val="18"/>
          <w:lang w:val="nl-NL"/>
        </w:rPr>
        <w:t xml:space="preserve"> </w:t>
      </w:r>
    </w:p>
    <w:p w:rsidRPr="009146A3" w:rsidR="00D5346E" w:rsidP="008A59B8" w:rsidRDefault="00D5346E">
      <w:pPr>
        <w:pStyle w:val="NoSpacing"/>
        <w:rPr>
          <w:rFonts w:ascii="Verdana" w:hAnsi="Verdana" w:cs="Times New Roman"/>
          <w:sz w:val="18"/>
          <w:szCs w:val="18"/>
          <w:lang w:val="nl-NL"/>
        </w:rPr>
      </w:pPr>
    </w:p>
    <w:p w:rsidRPr="009146A3" w:rsidR="005512A1" w:rsidP="00621BD2" w:rsidRDefault="006B2A76">
      <w:pPr>
        <w:rPr>
          <w:rFonts w:ascii="Verdana" w:hAnsi="Verdana" w:cs="Times New Roman"/>
          <w:sz w:val="18"/>
          <w:szCs w:val="18"/>
          <w:lang w:val="nl-NL"/>
        </w:rPr>
      </w:pPr>
      <w:r w:rsidRPr="009146A3">
        <w:rPr>
          <w:rFonts w:ascii="Verdana" w:hAnsi="Verdana" w:cs="Times New Roman"/>
          <w:sz w:val="18"/>
          <w:szCs w:val="18"/>
          <w:lang w:val="nl-NL"/>
        </w:rPr>
        <w:t>DE MINISTER VAN BUITENLANDSE ZAKEN,</w:t>
      </w:r>
    </w:p>
    <w:sectPr w:rsidRPr="009146A3" w:rsidR="005512A1" w:rsidSect="003E0D8B">
      <w:footerReference w:type="default" r:id="rId9"/>
      <w:footerReference w:type="first" r:id="rId10"/>
      <w:pgSz w:w="12240" w:h="15840" w:code="1"/>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E3" w:rsidRDefault="00D140E3" w:rsidP="008102A0">
      <w:pPr>
        <w:spacing w:after="0" w:line="240" w:lineRule="auto"/>
      </w:pPr>
      <w:r>
        <w:separator/>
      </w:r>
    </w:p>
  </w:endnote>
  <w:endnote w:type="continuationSeparator" w:id="0">
    <w:p w:rsidR="00D140E3" w:rsidRDefault="00D140E3" w:rsidP="0081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845503"/>
      <w:docPartObj>
        <w:docPartGallery w:val="Page Numbers (Bottom of Page)"/>
        <w:docPartUnique/>
      </w:docPartObj>
    </w:sdtPr>
    <w:sdtEndPr>
      <w:rPr>
        <w:noProof/>
      </w:rPr>
    </w:sdtEndPr>
    <w:sdtContent>
      <w:p w:rsidR="002166E4" w:rsidRDefault="002166E4">
        <w:pPr>
          <w:pStyle w:val="Footer"/>
          <w:jc w:val="right"/>
        </w:pPr>
        <w:r>
          <w:fldChar w:fldCharType="begin"/>
        </w:r>
        <w:r>
          <w:instrText xml:space="preserve"> PAGE   \* MERGEFORMAT </w:instrText>
        </w:r>
        <w:r>
          <w:fldChar w:fldCharType="separate"/>
        </w:r>
        <w:r w:rsidR="00C27915">
          <w:rPr>
            <w:noProof/>
          </w:rPr>
          <w:t>6</w:t>
        </w:r>
        <w:r>
          <w:rPr>
            <w:noProof/>
          </w:rPr>
          <w:fldChar w:fldCharType="end"/>
        </w:r>
      </w:p>
    </w:sdtContent>
  </w:sdt>
  <w:p w:rsidR="002166E4" w:rsidRDefault="00216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8B" w:rsidRDefault="003E0D8B">
    <w:pPr>
      <w:pStyle w:val="Footer"/>
      <w:pBdr>
        <w:bottom w:val="single" w:sz="12" w:space="1" w:color="auto"/>
      </w:pBdr>
      <w:rPr>
        <w:rFonts w:ascii="Verdana" w:hAnsi="Verdana"/>
        <w:sz w:val="16"/>
        <w:szCs w:val="16"/>
        <w:lang w:val="nl-NL"/>
      </w:rPr>
    </w:pPr>
  </w:p>
  <w:p w:rsidR="003E0D8B" w:rsidRPr="003E0D8B" w:rsidRDefault="003E0D8B">
    <w:pPr>
      <w:pStyle w:val="Footer"/>
      <w:rPr>
        <w:rFonts w:ascii="Verdana" w:hAnsi="Verdana"/>
        <w:sz w:val="16"/>
        <w:szCs w:val="16"/>
        <w:lang w:val="nl-NL"/>
      </w:rPr>
    </w:pPr>
    <w:r w:rsidRPr="003E0D8B">
      <w:rPr>
        <w:rFonts w:ascii="Verdana" w:hAnsi="Verdana"/>
        <w:sz w:val="16"/>
        <w:szCs w:val="16"/>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E3" w:rsidRDefault="00D140E3" w:rsidP="008102A0">
      <w:pPr>
        <w:spacing w:after="0" w:line="240" w:lineRule="auto"/>
      </w:pPr>
      <w:r>
        <w:separator/>
      </w:r>
    </w:p>
  </w:footnote>
  <w:footnote w:type="continuationSeparator" w:id="0">
    <w:p w:rsidR="00D140E3" w:rsidRDefault="00D140E3" w:rsidP="008102A0">
      <w:pPr>
        <w:spacing w:after="0" w:line="240" w:lineRule="auto"/>
      </w:pPr>
      <w:r>
        <w:continuationSeparator/>
      </w:r>
    </w:p>
  </w:footnote>
  <w:footnote w:id="1">
    <w:p w:rsidR="0020088B" w:rsidRPr="0020088B" w:rsidRDefault="0020088B">
      <w:pPr>
        <w:pStyle w:val="FootnoteText"/>
        <w:rPr>
          <w:lang w:val="nl-NL"/>
        </w:rPr>
      </w:pPr>
      <w:r>
        <w:rPr>
          <w:rStyle w:val="FootnoteReference"/>
        </w:rPr>
        <w:footnoteRef/>
      </w:r>
      <w:r w:rsidRPr="0020088B">
        <w:rPr>
          <w:lang w:val="nl-NL"/>
        </w:rPr>
        <w:t xml:space="preserve"> </w:t>
      </w:r>
      <w:r w:rsidRPr="0020088B">
        <w:rPr>
          <w:rFonts w:ascii="Verdana" w:hAnsi="Verdana"/>
          <w:sz w:val="16"/>
          <w:szCs w:val="16"/>
          <w:lang w:val="nl-NL"/>
        </w:rPr>
        <w:t xml:space="preserve">Onderhandelingen in het kader van de GATT, gestart in 1986 te Punta del Este, Uruguay, die uiteindelijk hebben geleid tot het op 15 april 1995 </w:t>
      </w:r>
      <w:r>
        <w:rPr>
          <w:rFonts w:ascii="Verdana" w:hAnsi="Verdana"/>
          <w:sz w:val="16"/>
          <w:szCs w:val="16"/>
          <w:lang w:val="nl-NL"/>
        </w:rPr>
        <w:t>te Marrakesh tot stand gekomen V</w:t>
      </w:r>
      <w:r w:rsidRPr="0020088B">
        <w:rPr>
          <w:rFonts w:ascii="Verdana" w:hAnsi="Verdana"/>
          <w:sz w:val="16"/>
          <w:szCs w:val="16"/>
          <w:lang w:val="nl-NL"/>
        </w:rPr>
        <w:t>erdrag tot oprichting van de Wereldhandelsorganisatie (Trb. 1994, 235).</w:t>
      </w:r>
    </w:p>
  </w:footnote>
  <w:footnote w:id="2">
    <w:p w:rsidR="008102A0" w:rsidRPr="008102A0" w:rsidRDefault="008102A0">
      <w:pPr>
        <w:pStyle w:val="FootnoteText"/>
        <w:rPr>
          <w:lang w:val="nl-NL"/>
        </w:rPr>
      </w:pPr>
      <w:r>
        <w:rPr>
          <w:rStyle w:val="FootnoteReference"/>
        </w:rPr>
        <w:footnoteRef/>
      </w:r>
      <w:r w:rsidRPr="008102A0">
        <w:rPr>
          <w:lang w:val="nl-NL"/>
        </w:rPr>
        <w:t xml:space="preserve"> </w:t>
      </w:r>
      <w:r w:rsidR="00DE161C">
        <w:rPr>
          <w:rFonts w:ascii="Verdana" w:hAnsi="Verdana"/>
          <w:color w:val="000000"/>
          <w:sz w:val="16"/>
          <w:szCs w:val="16"/>
          <w:lang w:val="nl-NL"/>
        </w:rPr>
        <w:t>D</w:t>
      </w:r>
      <w:r w:rsidRPr="008102A0">
        <w:rPr>
          <w:rFonts w:ascii="Verdana" w:hAnsi="Verdana"/>
          <w:color w:val="000000"/>
          <w:sz w:val="16"/>
          <w:szCs w:val="16"/>
          <w:lang w:val="nl-NL"/>
        </w:rPr>
        <w:t xml:space="preserve">e nationale </w:t>
      </w:r>
      <w:r w:rsidR="00670759">
        <w:rPr>
          <w:rFonts w:ascii="Verdana" w:hAnsi="Verdana"/>
          <w:color w:val="000000"/>
          <w:sz w:val="16"/>
          <w:szCs w:val="16"/>
          <w:lang w:val="nl-NL"/>
        </w:rPr>
        <w:t>‘</w:t>
      </w:r>
      <w:r w:rsidRPr="008102A0">
        <w:rPr>
          <w:rFonts w:ascii="Verdana" w:hAnsi="Verdana"/>
          <w:color w:val="000000"/>
          <w:sz w:val="16"/>
          <w:szCs w:val="16"/>
          <w:lang w:val="nl-NL"/>
        </w:rPr>
        <w:t>entiteitenlijsten</w:t>
      </w:r>
      <w:r w:rsidR="00670759">
        <w:rPr>
          <w:rFonts w:ascii="Verdana" w:hAnsi="Verdana"/>
          <w:color w:val="000000"/>
          <w:sz w:val="16"/>
          <w:szCs w:val="16"/>
          <w:lang w:val="nl-NL"/>
        </w:rPr>
        <w:t>’</w:t>
      </w:r>
      <w:r w:rsidRPr="008102A0">
        <w:rPr>
          <w:rFonts w:ascii="Verdana" w:hAnsi="Verdana"/>
          <w:color w:val="000000"/>
          <w:sz w:val="16"/>
          <w:szCs w:val="16"/>
          <w:lang w:val="nl-NL"/>
        </w:rPr>
        <w:t xml:space="preserve"> </w:t>
      </w:r>
      <w:r w:rsidR="000446D1">
        <w:rPr>
          <w:rFonts w:ascii="Verdana" w:hAnsi="Verdana"/>
          <w:color w:val="000000"/>
          <w:sz w:val="16"/>
          <w:szCs w:val="16"/>
          <w:lang w:val="nl-NL"/>
        </w:rPr>
        <w:t xml:space="preserve">bevatten per </w:t>
      </w:r>
      <w:r w:rsidR="00670759">
        <w:rPr>
          <w:rFonts w:ascii="Verdana" w:hAnsi="Verdana"/>
          <w:color w:val="000000"/>
          <w:sz w:val="16"/>
          <w:szCs w:val="16"/>
          <w:lang w:val="nl-NL"/>
        </w:rPr>
        <w:t>land</w:t>
      </w:r>
      <w:r w:rsidR="00DE161C">
        <w:rPr>
          <w:rFonts w:ascii="Verdana" w:hAnsi="Verdana"/>
          <w:color w:val="000000"/>
          <w:sz w:val="16"/>
          <w:szCs w:val="16"/>
          <w:lang w:val="nl-NL"/>
        </w:rPr>
        <w:t xml:space="preserve"> 7 annexen: centrale overheid </w:t>
      </w:r>
      <w:r w:rsidRPr="008102A0">
        <w:rPr>
          <w:rFonts w:ascii="Verdana" w:hAnsi="Verdana"/>
          <w:color w:val="000000"/>
          <w:sz w:val="16"/>
          <w:szCs w:val="16"/>
          <w:lang w:val="nl-NL"/>
        </w:rPr>
        <w:t>(annex 1</w:t>
      </w:r>
      <w:r w:rsidR="00DE161C">
        <w:rPr>
          <w:rFonts w:ascii="Verdana" w:hAnsi="Verdana"/>
          <w:color w:val="000000"/>
          <w:sz w:val="16"/>
          <w:szCs w:val="16"/>
          <w:lang w:val="nl-NL"/>
        </w:rPr>
        <w:t>), lagere overheden (annex</w:t>
      </w:r>
      <w:r w:rsidRPr="008102A0">
        <w:rPr>
          <w:rFonts w:ascii="Verdana" w:hAnsi="Verdana"/>
          <w:color w:val="000000"/>
          <w:sz w:val="16"/>
          <w:szCs w:val="16"/>
          <w:lang w:val="nl-NL"/>
        </w:rPr>
        <w:t xml:space="preserve"> 2</w:t>
      </w:r>
      <w:r w:rsidR="00DE161C">
        <w:rPr>
          <w:rFonts w:ascii="Verdana" w:hAnsi="Verdana"/>
          <w:color w:val="000000"/>
          <w:sz w:val="16"/>
          <w:szCs w:val="16"/>
          <w:lang w:val="nl-NL"/>
        </w:rPr>
        <w:t xml:space="preserve">), </w:t>
      </w:r>
      <w:r w:rsidR="00731A06">
        <w:rPr>
          <w:rFonts w:ascii="Verdana" w:hAnsi="Verdana"/>
          <w:color w:val="000000"/>
          <w:sz w:val="16"/>
          <w:szCs w:val="16"/>
          <w:lang w:val="nl-NL"/>
        </w:rPr>
        <w:t>andere overheidsinstellingen (openbare nutsinstellingen)</w:t>
      </w:r>
      <w:r w:rsidRPr="008102A0">
        <w:rPr>
          <w:rFonts w:ascii="Verdana" w:hAnsi="Verdana"/>
          <w:color w:val="000000"/>
          <w:sz w:val="16"/>
          <w:szCs w:val="16"/>
          <w:lang w:val="nl-NL"/>
        </w:rPr>
        <w:t xml:space="preserve"> </w:t>
      </w:r>
      <w:r w:rsidR="00731A06">
        <w:rPr>
          <w:rFonts w:ascii="Verdana" w:hAnsi="Verdana"/>
          <w:color w:val="000000"/>
          <w:sz w:val="16"/>
          <w:szCs w:val="16"/>
          <w:lang w:val="nl-NL"/>
        </w:rPr>
        <w:t>(annex 3)</w:t>
      </w:r>
      <w:r w:rsidRPr="008102A0">
        <w:rPr>
          <w:rFonts w:ascii="Verdana" w:hAnsi="Verdana"/>
          <w:color w:val="000000"/>
          <w:sz w:val="16"/>
          <w:szCs w:val="16"/>
          <w:lang w:val="nl-NL"/>
        </w:rPr>
        <w:t xml:space="preserve">, specificaties t.a.v. </w:t>
      </w:r>
      <w:r w:rsidR="00731A06">
        <w:rPr>
          <w:rFonts w:ascii="Verdana" w:hAnsi="Verdana"/>
          <w:color w:val="000000"/>
          <w:sz w:val="16"/>
          <w:szCs w:val="16"/>
          <w:lang w:val="nl-NL"/>
        </w:rPr>
        <w:t xml:space="preserve">goederen (annex 4), </w:t>
      </w:r>
      <w:r w:rsidRPr="008102A0">
        <w:rPr>
          <w:rFonts w:ascii="Verdana" w:hAnsi="Verdana"/>
          <w:color w:val="000000"/>
          <w:sz w:val="16"/>
          <w:szCs w:val="16"/>
          <w:lang w:val="nl-NL"/>
        </w:rPr>
        <w:t xml:space="preserve">diensten </w:t>
      </w:r>
      <w:r w:rsidR="00731A06">
        <w:rPr>
          <w:rFonts w:ascii="Verdana" w:hAnsi="Verdana"/>
          <w:color w:val="000000"/>
          <w:sz w:val="16"/>
          <w:szCs w:val="16"/>
          <w:lang w:val="nl-NL"/>
        </w:rPr>
        <w:t>en werken (annex 5</w:t>
      </w:r>
      <w:r w:rsidRPr="008102A0">
        <w:rPr>
          <w:rFonts w:ascii="Verdana" w:hAnsi="Verdana"/>
          <w:color w:val="000000"/>
          <w:sz w:val="16"/>
          <w:szCs w:val="16"/>
          <w:lang w:val="nl-NL"/>
        </w:rPr>
        <w:t xml:space="preserve">) en </w:t>
      </w:r>
      <w:r w:rsidR="00731A06">
        <w:rPr>
          <w:rFonts w:ascii="Verdana" w:hAnsi="Verdana"/>
          <w:color w:val="000000"/>
          <w:sz w:val="16"/>
          <w:szCs w:val="16"/>
          <w:lang w:val="nl-NL"/>
        </w:rPr>
        <w:t>constructiewerken (annex 6</w:t>
      </w:r>
      <w:r w:rsidRPr="008102A0">
        <w:rPr>
          <w:rFonts w:ascii="Verdana" w:hAnsi="Verdana"/>
          <w:color w:val="000000"/>
          <w:sz w:val="16"/>
          <w:szCs w:val="16"/>
          <w:lang w:val="nl-NL"/>
        </w:rPr>
        <w:t>) en tot slot specifieke voorwaarden en uitzonderingen</w:t>
      </w:r>
      <w:r w:rsidR="00731A06">
        <w:rPr>
          <w:rFonts w:ascii="Verdana" w:hAnsi="Verdana"/>
          <w:color w:val="000000"/>
          <w:sz w:val="16"/>
          <w:szCs w:val="16"/>
          <w:lang w:val="nl-NL"/>
        </w:rPr>
        <w:t xml:space="preserve"> (annex 7</w:t>
      </w:r>
      <w:r w:rsidRPr="008102A0">
        <w:rPr>
          <w:rFonts w:ascii="Verdana" w:hAnsi="Verdana"/>
          <w:color w:val="000000"/>
          <w:sz w:val="16"/>
          <w:szCs w:val="16"/>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C5E74"/>
    <w:multiLevelType w:val="hybridMultilevel"/>
    <w:tmpl w:val="5FE89E38"/>
    <w:lvl w:ilvl="0" w:tplc="52CEF8DA">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501BD3"/>
    <w:multiLevelType w:val="hybridMultilevel"/>
    <w:tmpl w:val="53264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76752A"/>
    <w:multiLevelType w:val="hybridMultilevel"/>
    <w:tmpl w:val="CE68ED46"/>
    <w:lvl w:ilvl="0" w:tplc="8FE4C9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4D"/>
    <w:rsid w:val="00001799"/>
    <w:rsid w:val="000148DD"/>
    <w:rsid w:val="0002311E"/>
    <w:rsid w:val="0002739C"/>
    <w:rsid w:val="00033416"/>
    <w:rsid w:val="00040B66"/>
    <w:rsid w:val="000446D1"/>
    <w:rsid w:val="00047178"/>
    <w:rsid w:val="000471BD"/>
    <w:rsid w:val="000473CE"/>
    <w:rsid w:val="00047766"/>
    <w:rsid w:val="00050CB0"/>
    <w:rsid w:val="00077739"/>
    <w:rsid w:val="00077982"/>
    <w:rsid w:val="00093560"/>
    <w:rsid w:val="000B13D8"/>
    <w:rsid w:val="000B4C33"/>
    <w:rsid w:val="000D5395"/>
    <w:rsid w:val="001431A7"/>
    <w:rsid w:val="0014658D"/>
    <w:rsid w:val="00154EB1"/>
    <w:rsid w:val="001557BC"/>
    <w:rsid w:val="00194E03"/>
    <w:rsid w:val="001A1142"/>
    <w:rsid w:val="001A73B0"/>
    <w:rsid w:val="001F01DD"/>
    <w:rsid w:val="001F3429"/>
    <w:rsid w:val="0020088B"/>
    <w:rsid w:val="00203C93"/>
    <w:rsid w:val="002130CA"/>
    <w:rsid w:val="00215DEE"/>
    <w:rsid w:val="002166E4"/>
    <w:rsid w:val="00222A2E"/>
    <w:rsid w:val="00226D53"/>
    <w:rsid w:val="00245DF3"/>
    <w:rsid w:val="002535A3"/>
    <w:rsid w:val="00261B16"/>
    <w:rsid w:val="00272CB4"/>
    <w:rsid w:val="0029316B"/>
    <w:rsid w:val="002B55FC"/>
    <w:rsid w:val="002D1EDA"/>
    <w:rsid w:val="002D31ED"/>
    <w:rsid w:val="002E1C0B"/>
    <w:rsid w:val="002F131C"/>
    <w:rsid w:val="002F6EAB"/>
    <w:rsid w:val="00323585"/>
    <w:rsid w:val="00371ADC"/>
    <w:rsid w:val="003A0398"/>
    <w:rsid w:val="003A1EB4"/>
    <w:rsid w:val="003A7D5F"/>
    <w:rsid w:val="003B64F9"/>
    <w:rsid w:val="003C1C81"/>
    <w:rsid w:val="003C36A2"/>
    <w:rsid w:val="003D1E82"/>
    <w:rsid w:val="003E0D8B"/>
    <w:rsid w:val="00405D2F"/>
    <w:rsid w:val="00441BB0"/>
    <w:rsid w:val="00447D36"/>
    <w:rsid w:val="004527C8"/>
    <w:rsid w:val="00453B6A"/>
    <w:rsid w:val="00467981"/>
    <w:rsid w:val="004975DD"/>
    <w:rsid w:val="004C242C"/>
    <w:rsid w:val="004C482F"/>
    <w:rsid w:val="004D0393"/>
    <w:rsid w:val="004F2CBD"/>
    <w:rsid w:val="004F4782"/>
    <w:rsid w:val="00512AE8"/>
    <w:rsid w:val="0051543A"/>
    <w:rsid w:val="005258B8"/>
    <w:rsid w:val="00526E12"/>
    <w:rsid w:val="005379A8"/>
    <w:rsid w:val="005454D8"/>
    <w:rsid w:val="005512A1"/>
    <w:rsid w:val="0055590A"/>
    <w:rsid w:val="00567297"/>
    <w:rsid w:val="00570AEC"/>
    <w:rsid w:val="005A0364"/>
    <w:rsid w:val="005B5C29"/>
    <w:rsid w:val="005E0D2C"/>
    <w:rsid w:val="005E54BA"/>
    <w:rsid w:val="005F0C25"/>
    <w:rsid w:val="005F0E04"/>
    <w:rsid w:val="00603BDE"/>
    <w:rsid w:val="00605E6F"/>
    <w:rsid w:val="00614A1A"/>
    <w:rsid w:val="00614ED4"/>
    <w:rsid w:val="00617315"/>
    <w:rsid w:val="0062071D"/>
    <w:rsid w:val="00620868"/>
    <w:rsid w:val="00621BD2"/>
    <w:rsid w:val="006358A9"/>
    <w:rsid w:val="00641504"/>
    <w:rsid w:val="00650435"/>
    <w:rsid w:val="00670759"/>
    <w:rsid w:val="0069166E"/>
    <w:rsid w:val="006A1000"/>
    <w:rsid w:val="006A2777"/>
    <w:rsid w:val="006A68C3"/>
    <w:rsid w:val="006B2A76"/>
    <w:rsid w:val="006C01E9"/>
    <w:rsid w:val="006D21CE"/>
    <w:rsid w:val="006E40C4"/>
    <w:rsid w:val="006E56E0"/>
    <w:rsid w:val="007147C6"/>
    <w:rsid w:val="00715041"/>
    <w:rsid w:val="00715854"/>
    <w:rsid w:val="00716906"/>
    <w:rsid w:val="007202C9"/>
    <w:rsid w:val="00731A06"/>
    <w:rsid w:val="00766208"/>
    <w:rsid w:val="0077147A"/>
    <w:rsid w:val="00787B77"/>
    <w:rsid w:val="00790D52"/>
    <w:rsid w:val="007959EC"/>
    <w:rsid w:val="00797511"/>
    <w:rsid w:val="007D2471"/>
    <w:rsid w:val="007D2652"/>
    <w:rsid w:val="007F595D"/>
    <w:rsid w:val="00803F04"/>
    <w:rsid w:val="008102A0"/>
    <w:rsid w:val="00810EEC"/>
    <w:rsid w:val="00821721"/>
    <w:rsid w:val="00834CC2"/>
    <w:rsid w:val="008409BC"/>
    <w:rsid w:val="00842094"/>
    <w:rsid w:val="00854401"/>
    <w:rsid w:val="008557F3"/>
    <w:rsid w:val="00870EA8"/>
    <w:rsid w:val="00874241"/>
    <w:rsid w:val="008765F6"/>
    <w:rsid w:val="008769E6"/>
    <w:rsid w:val="008955CE"/>
    <w:rsid w:val="008A59B8"/>
    <w:rsid w:val="008B78D3"/>
    <w:rsid w:val="008E480F"/>
    <w:rsid w:val="008F2F52"/>
    <w:rsid w:val="009146A3"/>
    <w:rsid w:val="009152AF"/>
    <w:rsid w:val="009324C0"/>
    <w:rsid w:val="009442F8"/>
    <w:rsid w:val="0094762A"/>
    <w:rsid w:val="00950942"/>
    <w:rsid w:val="00951A1D"/>
    <w:rsid w:val="00964BE1"/>
    <w:rsid w:val="00972DE4"/>
    <w:rsid w:val="009779CD"/>
    <w:rsid w:val="00983448"/>
    <w:rsid w:val="009A3D77"/>
    <w:rsid w:val="009A7E18"/>
    <w:rsid w:val="009C304A"/>
    <w:rsid w:val="009D6E13"/>
    <w:rsid w:val="00A02D37"/>
    <w:rsid w:val="00A037A8"/>
    <w:rsid w:val="00A34A11"/>
    <w:rsid w:val="00A351B1"/>
    <w:rsid w:val="00A52E1D"/>
    <w:rsid w:val="00A70221"/>
    <w:rsid w:val="00A74AF1"/>
    <w:rsid w:val="00A75FB3"/>
    <w:rsid w:val="00A81018"/>
    <w:rsid w:val="00A83639"/>
    <w:rsid w:val="00AC306C"/>
    <w:rsid w:val="00AD2678"/>
    <w:rsid w:val="00B03122"/>
    <w:rsid w:val="00B04856"/>
    <w:rsid w:val="00B2078A"/>
    <w:rsid w:val="00B26023"/>
    <w:rsid w:val="00B27F83"/>
    <w:rsid w:val="00B73DAF"/>
    <w:rsid w:val="00B75C2B"/>
    <w:rsid w:val="00B771D0"/>
    <w:rsid w:val="00B85A79"/>
    <w:rsid w:val="00BA6EC1"/>
    <w:rsid w:val="00BB7CF1"/>
    <w:rsid w:val="00C12D24"/>
    <w:rsid w:val="00C27915"/>
    <w:rsid w:val="00C849A9"/>
    <w:rsid w:val="00C87510"/>
    <w:rsid w:val="00CA1D07"/>
    <w:rsid w:val="00CC483A"/>
    <w:rsid w:val="00CD0DBC"/>
    <w:rsid w:val="00CD1C29"/>
    <w:rsid w:val="00CD4851"/>
    <w:rsid w:val="00CE6BB6"/>
    <w:rsid w:val="00CF02BC"/>
    <w:rsid w:val="00CF2CEC"/>
    <w:rsid w:val="00D0794B"/>
    <w:rsid w:val="00D140E3"/>
    <w:rsid w:val="00D21228"/>
    <w:rsid w:val="00D21EDD"/>
    <w:rsid w:val="00D25C4D"/>
    <w:rsid w:val="00D25F3F"/>
    <w:rsid w:val="00D5346E"/>
    <w:rsid w:val="00D60487"/>
    <w:rsid w:val="00D648CB"/>
    <w:rsid w:val="00D6598B"/>
    <w:rsid w:val="00D749AC"/>
    <w:rsid w:val="00D76866"/>
    <w:rsid w:val="00DA2102"/>
    <w:rsid w:val="00DD19CF"/>
    <w:rsid w:val="00DE161C"/>
    <w:rsid w:val="00DF34AF"/>
    <w:rsid w:val="00DF582A"/>
    <w:rsid w:val="00E038A7"/>
    <w:rsid w:val="00E05211"/>
    <w:rsid w:val="00E22DFB"/>
    <w:rsid w:val="00E25F34"/>
    <w:rsid w:val="00E3198A"/>
    <w:rsid w:val="00E36FF1"/>
    <w:rsid w:val="00E60AC0"/>
    <w:rsid w:val="00E71E26"/>
    <w:rsid w:val="00E830D8"/>
    <w:rsid w:val="00EA0341"/>
    <w:rsid w:val="00EA652E"/>
    <w:rsid w:val="00EC7B52"/>
    <w:rsid w:val="00ED255D"/>
    <w:rsid w:val="00EE0892"/>
    <w:rsid w:val="00EE4DF6"/>
    <w:rsid w:val="00F37928"/>
    <w:rsid w:val="00F413EF"/>
    <w:rsid w:val="00F7036D"/>
    <w:rsid w:val="00F92E68"/>
    <w:rsid w:val="00FA7A40"/>
    <w:rsid w:val="00FB5563"/>
    <w:rsid w:val="00FC2EA0"/>
    <w:rsid w:val="00FC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E4"/>
    <w:pPr>
      <w:spacing w:after="0" w:line="240" w:lineRule="auto"/>
    </w:pPr>
  </w:style>
  <w:style w:type="paragraph" w:styleId="BalloonText">
    <w:name w:val="Balloon Text"/>
    <w:basedOn w:val="Normal"/>
    <w:link w:val="BalloonTextChar"/>
    <w:uiPriority w:val="99"/>
    <w:semiHidden/>
    <w:unhideWhenUsed/>
    <w:rsid w:val="0052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B8"/>
    <w:rPr>
      <w:rFonts w:ascii="Tahoma" w:hAnsi="Tahoma" w:cs="Tahoma"/>
      <w:sz w:val="16"/>
      <w:szCs w:val="16"/>
    </w:rPr>
  </w:style>
  <w:style w:type="character" w:customStyle="1" w:styleId="hps">
    <w:name w:val="hps"/>
    <w:basedOn w:val="DefaultParagraphFont"/>
    <w:rsid w:val="00951A1D"/>
  </w:style>
  <w:style w:type="character" w:customStyle="1" w:styleId="atn">
    <w:name w:val="atn"/>
    <w:basedOn w:val="DefaultParagraphFont"/>
    <w:rsid w:val="00951A1D"/>
  </w:style>
  <w:style w:type="paragraph" w:styleId="FootnoteText">
    <w:name w:val="footnote text"/>
    <w:basedOn w:val="Normal"/>
    <w:link w:val="FootnoteTextChar"/>
    <w:uiPriority w:val="99"/>
    <w:semiHidden/>
    <w:unhideWhenUsed/>
    <w:rsid w:val="008102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2A0"/>
    <w:rPr>
      <w:sz w:val="20"/>
      <w:szCs w:val="20"/>
    </w:rPr>
  </w:style>
  <w:style w:type="character" w:styleId="FootnoteReference">
    <w:name w:val="footnote reference"/>
    <w:basedOn w:val="DefaultParagraphFont"/>
    <w:uiPriority w:val="99"/>
    <w:semiHidden/>
    <w:unhideWhenUsed/>
    <w:rsid w:val="008102A0"/>
    <w:rPr>
      <w:vertAlign w:val="superscript"/>
    </w:rPr>
  </w:style>
  <w:style w:type="character" w:styleId="CommentReference">
    <w:name w:val="annotation reference"/>
    <w:basedOn w:val="DefaultParagraphFont"/>
    <w:uiPriority w:val="99"/>
    <w:semiHidden/>
    <w:unhideWhenUsed/>
    <w:rsid w:val="009146A3"/>
    <w:rPr>
      <w:sz w:val="16"/>
      <w:szCs w:val="16"/>
    </w:rPr>
  </w:style>
  <w:style w:type="paragraph" w:styleId="CommentText">
    <w:name w:val="annotation text"/>
    <w:basedOn w:val="Normal"/>
    <w:link w:val="CommentTextChar"/>
    <w:uiPriority w:val="99"/>
    <w:semiHidden/>
    <w:unhideWhenUsed/>
    <w:rsid w:val="009146A3"/>
    <w:pPr>
      <w:spacing w:line="240" w:lineRule="auto"/>
    </w:pPr>
    <w:rPr>
      <w:sz w:val="20"/>
      <w:szCs w:val="20"/>
    </w:rPr>
  </w:style>
  <w:style w:type="character" w:customStyle="1" w:styleId="CommentTextChar">
    <w:name w:val="Comment Text Char"/>
    <w:basedOn w:val="DefaultParagraphFont"/>
    <w:link w:val="CommentText"/>
    <w:uiPriority w:val="99"/>
    <w:semiHidden/>
    <w:rsid w:val="009146A3"/>
    <w:rPr>
      <w:sz w:val="20"/>
      <w:szCs w:val="20"/>
    </w:rPr>
  </w:style>
  <w:style w:type="paragraph" w:styleId="CommentSubject">
    <w:name w:val="annotation subject"/>
    <w:basedOn w:val="CommentText"/>
    <w:next w:val="CommentText"/>
    <w:link w:val="CommentSubjectChar"/>
    <w:uiPriority w:val="99"/>
    <w:semiHidden/>
    <w:unhideWhenUsed/>
    <w:rsid w:val="009146A3"/>
    <w:rPr>
      <w:b/>
      <w:bCs/>
    </w:rPr>
  </w:style>
  <w:style w:type="character" w:customStyle="1" w:styleId="CommentSubjectChar">
    <w:name w:val="Comment Subject Char"/>
    <w:basedOn w:val="CommentTextChar"/>
    <w:link w:val="CommentSubject"/>
    <w:uiPriority w:val="99"/>
    <w:semiHidden/>
    <w:rsid w:val="009146A3"/>
    <w:rPr>
      <w:b/>
      <w:bCs/>
      <w:sz w:val="20"/>
      <w:szCs w:val="20"/>
    </w:rPr>
  </w:style>
  <w:style w:type="paragraph" w:styleId="Header">
    <w:name w:val="header"/>
    <w:basedOn w:val="Normal"/>
    <w:link w:val="HeaderChar"/>
    <w:uiPriority w:val="99"/>
    <w:unhideWhenUsed/>
    <w:rsid w:val="0021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6E4"/>
  </w:style>
  <w:style w:type="paragraph" w:styleId="Footer">
    <w:name w:val="footer"/>
    <w:basedOn w:val="Normal"/>
    <w:link w:val="FooterChar"/>
    <w:uiPriority w:val="99"/>
    <w:unhideWhenUsed/>
    <w:rsid w:val="00216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E4"/>
    <w:pPr>
      <w:spacing w:after="0" w:line="240" w:lineRule="auto"/>
    </w:pPr>
  </w:style>
  <w:style w:type="paragraph" w:styleId="BalloonText">
    <w:name w:val="Balloon Text"/>
    <w:basedOn w:val="Normal"/>
    <w:link w:val="BalloonTextChar"/>
    <w:uiPriority w:val="99"/>
    <w:semiHidden/>
    <w:unhideWhenUsed/>
    <w:rsid w:val="0052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B8"/>
    <w:rPr>
      <w:rFonts w:ascii="Tahoma" w:hAnsi="Tahoma" w:cs="Tahoma"/>
      <w:sz w:val="16"/>
      <w:szCs w:val="16"/>
    </w:rPr>
  </w:style>
  <w:style w:type="character" w:customStyle="1" w:styleId="hps">
    <w:name w:val="hps"/>
    <w:basedOn w:val="DefaultParagraphFont"/>
    <w:rsid w:val="00951A1D"/>
  </w:style>
  <w:style w:type="character" w:customStyle="1" w:styleId="atn">
    <w:name w:val="atn"/>
    <w:basedOn w:val="DefaultParagraphFont"/>
    <w:rsid w:val="00951A1D"/>
  </w:style>
  <w:style w:type="paragraph" w:styleId="FootnoteText">
    <w:name w:val="footnote text"/>
    <w:basedOn w:val="Normal"/>
    <w:link w:val="FootnoteTextChar"/>
    <w:uiPriority w:val="99"/>
    <w:semiHidden/>
    <w:unhideWhenUsed/>
    <w:rsid w:val="008102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2A0"/>
    <w:rPr>
      <w:sz w:val="20"/>
      <w:szCs w:val="20"/>
    </w:rPr>
  </w:style>
  <w:style w:type="character" w:styleId="FootnoteReference">
    <w:name w:val="footnote reference"/>
    <w:basedOn w:val="DefaultParagraphFont"/>
    <w:uiPriority w:val="99"/>
    <w:semiHidden/>
    <w:unhideWhenUsed/>
    <w:rsid w:val="008102A0"/>
    <w:rPr>
      <w:vertAlign w:val="superscript"/>
    </w:rPr>
  </w:style>
  <w:style w:type="character" w:styleId="CommentReference">
    <w:name w:val="annotation reference"/>
    <w:basedOn w:val="DefaultParagraphFont"/>
    <w:uiPriority w:val="99"/>
    <w:semiHidden/>
    <w:unhideWhenUsed/>
    <w:rsid w:val="009146A3"/>
    <w:rPr>
      <w:sz w:val="16"/>
      <w:szCs w:val="16"/>
    </w:rPr>
  </w:style>
  <w:style w:type="paragraph" w:styleId="CommentText">
    <w:name w:val="annotation text"/>
    <w:basedOn w:val="Normal"/>
    <w:link w:val="CommentTextChar"/>
    <w:uiPriority w:val="99"/>
    <w:semiHidden/>
    <w:unhideWhenUsed/>
    <w:rsid w:val="009146A3"/>
    <w:pPr>
      <w:spacing w:line="240" w:lineRule="auto"/>
    </w:pPr>
    <w:rPr>
      <w:sz w:val="20"/>
      <w:szCs w:val="20"/>
    </w:rPr>
  </w:style>
  <w:style w:type="character" w:customStyle="1" w:styleId="CommentTextChar">
    <w:name w:val="Comment Text Char"/>
    <w:basedOn w:val="DefaultParagraphFont"/>
    <w:link w:val="CommentText"/>
    <w:uiPriority w:val="99"/>
    <w:semiHidden/>
    <w:rsid w:val="009146A3"/>
    <w:rPr>
      <w:sz w:val="20"/>
      <w:szCs w:val="20"/>
    </w:rPr>
  </w:style>
  <w:style w:type="paragraph" w:styleId="CommentSubject">
    <w:name w:val="annotation subject"/>
    <w:basedOn w:val="CommentText"/>
    <w:next w:val="CommentText"/>
    <w:link w:val="CommentSubjectChar"/>
    <w:uiPriority w:val="99"/>
    <w:semiHidden/>
    <w:unhideWhenUsed/>
    <w:rsid w:val="009146A3"/>
    <w:rPr>
      <w:b/>
      <w:bCs/>
    </w:rPr>
  </w:style>
  <w:style w:type="character" w:customStyle="1" w:styleId="CommentSubjectChar">
    <w:name w:val="Comment Subject Char"/>
    <w:basedOn w:val="CommentTextChar"/>
    <w:link w:val="CommentSubject"/>
    <w:uiPriority w:val="99"/>
    <w:semiHidden/>
    <w:rsid w:val="009146A3"/>
    <w:rPr>
      <w:b/>
      <w:bCs/>
      <w:sz w:val="20"/>
      <w:szCs w:val="20"/>
    </w:rPr>
  </w:style>
  <w:style w:type="paragraph" w:styleId="Header">
    <w:name w:val="header"/>
    <w:basedOn w:val="Normal"/>
    <w:link w:val="HeaderChar"/>
    <w:uiPriority w:val="99"/>
    <w:unhideWhenUsed/>
    <w:rsid w:val="0021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6E4"/>
  </w:style>
  <w:style w:type="paragraph" w:styleId="Footer">
    <w:name w:val="footer"/>
    <w:basedOn w:val="Normal"/>
    <w:link w:val="FooterChar"/>
    <w:uiPriority w:val="99"/>
    <w:unhideWhenUsed/>
    <w:rsid w:val="00216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6832">
      <w:bodyDiv w:val="1"/>
      <w:marLeft w:val="0"/>
      <w:marRight w:val="0"/>
      <w:marTop w:val="0"/>
      <w:marBottom w:val="0"/>
      <w:divBdr>
        <w:top w:val="none" w:sz="0" w:space="0" w:color="auto"/>
        <w:left w:val="none" w:sz="0" w:space="0" w:color="auto"/>
        <w:bottom w:val="none" w:sz="0" w:space="0" w:color="auto"/>
        <w:right w:val="none" w:sz="0" w:space="0" w:color="auto"/>
      </w:divBdr>
      <w:divsChild>
        <w:div w:id="1548487531">
          <w:marLeft w:val="0"/>
          <w:marRight w:val="0"/>
          <w:marTop w:val="0"/>
          <w:marBottom w:val="0"/>
          <w:divBdr>
            <w:top w:val="none" w:sz="0" w:space="0" w:color="auto"/>
            <w:left w:val="none" w:sz="0" w:space="0" w:color="auto"/>
            <w:bottom w:val="none" w:sz="0" w:space="0" w:color="auto"/>
            <w:right w:val="none" w:sz="0" w:space="0" w:color="auto"/>
          </w:divBdr>
          <w:divsChild>
            <w:div w:id="119033877">
              <w:marLeft w:val="0"/>
              <w:marRight w:val="0"/>
              <w:marTop w:val="0"/>
              <w:marBottom w:val="0"/>
              <w:divBdr>
                <w:top w:val="none" w:sz="0" w:space="0" w:color="auto"/>
                <w:left w:val="none" w:sz="0" w:space="0" w:color="auto"/>
                <w:bottom w:val="none" w:sz="0" w:space="0" w:color="auto"/>
                <w:right w:val="none" w:sz="0" w:space="0" w:color="auto"/>
              </w:divBdr>
              <w:divsChild>
                <w:div w:id="1776510683">
                  <w:marLeft w:val="0"/>
                  <w:marRight w:val="0"/>
                  <w:marTop w:val="0"/>
                  <w:marBottom w:val="0"/>
                  <w:divBdr>
                    <w:top w:val="none" w:sz="0" w:space="0" w:color="auto"/>
                    <w:left w:val="none" w:sz="0" w:space="0" w:color="auto"/>
                    <w:bottom w:val="none" w:sz="0" w:space="0" w:color="auto"/>
                    <w:right w:val="none" w:sz="0" w:space="0" w:color="auto"/>
                  </w:divBdr>
                  <w:divsChild>
                    <w:div w:id="1544247635">
                      <w:marLeft w:val="0"/>
                      <w:marRight w:val="0"/>
                      <w:marTop w:val="0"/>
                      <w:marBottom w:val="0"/>
                      <w:divBdr>
                        <w:top w:val="none" w:sz="0" w:space="0" w:color="auto"/>
                        <w:left w:val="none" w:sz="0" w:space="0" w:color="auto"/>
                        <w:bottom w:val="none" w:sz="0" w:space="0" w:color="auto"/>
                        <w:right w:val="none" w:sz="0" w:space="0" w:color="auto"/>
                      </w:divBdr>
                      <w:divsChild>
                        <w:div w:id="2009479197">
                          <w:marLeft w:val="0"/>
                          <w:marRight w:val="0"/>
                          <w:marTop w:val="0"/>
                          <w:marBottom w:val="0"/>
                          <w:divBdr>
                            <w:top w:val="none" w:sz="0" w:space="0" w:color="auto"/>
                            <w:left w:val="none" w:sz="0" w:space="0" w:color="auto"/>
                            <w:bottom w:val="none" w:sz="0" w:space="0" w:color="auto"/>
                            <w:right w:val="none" w:sz="0" w:space="0" w:color="auto"/>
                          </w:divBdr>
                          <w:divsChild>
                            <w:div w:id="203757699">
                              <w:marLeft w:val="0"/>
                              <w:marRight w:val="0"/>
                              <w:marTop w:val="0"/>
                              <w:marBottom w:val="0"/>
                              <w:divBdr>
                                <w:top w:val="none" w:sz="0" w:space="0" w:color="auto"/>
                                <w:left w:val="none" w:sz="0" w:space="0" w:color="auto"/>
                                <w:bottom w:val="none" w:sz="0" w:space="0" w:color="auto"/>
                                <w:right w:val="none" w:sz="0" w:space="0" w:color="auto"/>
                              </w:divBdr>
                              <w:divsChild>
                                <w:div w:id="1415709933">
                                  <w:marLeft w:val="0"/>
                                  <w:marRight w:val="0"/>
                                  <w:marTop w:val="0"/>
                                  <w:marBottom w:val="0"/>
                                  <w:divBdr>
                                    <w:top w:val="none" w:sz="0" w:space="0" w:color="auto"/>
                                    <w:left w:val="none" w:sz="0" w:space="0" w:color="auto"/>
                                    <w:bottom w:val="none" w:sz="0" w:space="0" w:color="auto"/>
                                    <w:right w:val="none" w:sz="0" w:space="0" w:color="auto"/>
                                  </w:divBdr>
                                  <w:divsChild>
                                    <w:div w:id="1816144507">
                                      <w:marLeft w:val="60"/>
                                      <w:marRight w:val="0"/>
                                      <w:marTop w:val="0"/>
                                      <w:marBottom w:val="0"/>
                                      <w:divBdr>
                                        <w:top w:val="none" w:sz="0" w:space="0" w:color="auto"/>
                                        <w:left w:val="none" w:sz="0" w:space="0" w:color="auto"/>
                                        <w:bottom w:val="none" w:sz="0" w:space="0" w:color="auto"/>
                                        <w:right w:val="none" w:sz="0" w:space="0" w:color="auto"/>
                                      </w:divBdr>
                                      <w:divsChild>
                                        <w:div w:id="259263788">
                                          <w:marLeft w:val="0"/>
                                          <w:marRight w:val="0"/>
                                          <w:marTop w:val="0"/>
                                          <w:marBottom w:val="0"/>
                                          <w:divBdr>
                                            <w:top w:val="none" w:sz="0" w:space="0" w:color="auto"/>
                                            <w:left w:val="none" w:sz="0" w:space="0" w:color="auto"/>
                                            <w:bottom w:val="none" w:sz="0" w:space="0" w:color="auto"/>
                                            <w:right w:val="none" w:sz="0" w:space="0" w:color="auto"/>
                                          </w:divBdr>
                                          <w:divsChild>
                                            <w:div w:id="1427573097">
                                              <w:marLeft w:val="0"/>
                                              <w:marRight w:val="0"/>
                                              <w:marTop w:val="0"/>
                                              <w:marBottom w:val="120"/>
                                              <w:divBdr>
                                                <w:top w:val="single" w:sz="6" w:space="0" w:color="F5F5F5"/>
                                                <w:left w:val="single" w:sz="6" w:space="0" w:color="F5F5F5"/>
                                                <w:bottom w:val="single" w:sz="6" w:space="0" w:color="F5F5F5"/>
                                                <w:right w:val="single" w:sz="6" w:space="0" w:color="F5F5F5"/>
                                              </w:divBdr>
                                              <w:divsChild>
                                                <w:div w:id="1867522186">
                                                  <w:marLeft w:val="0"/>
                                                  <w:marRight w:val="0"/>
                                                  <w:marTop w:val="0"/>
                                                  <w:marBottom w:val="0"/>
                                                  <w:divBdr>
                                                    <w:top w:val="none" w:sz="0" w:space="0" w:color="auto"/>
                                                    <w:left w:val="none" w:sz="0" w:space="0" w:color="auto"/>
                                                    <w:bottom w:val="none" w:sz="0" w:space="0" w:color="auto"/>
                                                    <w:right w:val="none" w:sz="0" w:space="0" w:color="auto"/>
                                                  </w:divBdr>
                                                  <w:divsChild>
                                                    <w:div w:id="13239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354621">
      <w:bodyDiv w:val="1"/>
      <w:marLeft w:val="0"/>
      <w:marRight w:val="0"/>
      <w:marTop w:val="0"/>
      <w:marBottom w:val="0"/>
      <w:divBdr>
        <w:top w:val="none" w:sz="0" w:space="0" w:color="auto"/>
        <w:left w:val="none" w:sz="0" w:space="0" w:color="auto"/>
        <w:bottom w:val="none" w:sz="0" w:space="0" w:color="auto"/>
        <w:right w:val="none" w:sz="0" w:space="0" w:color="auto"/>
      </w:divBdr>
    </w:div>
    <w:div w:id="1754661394">
      <w:bodyDiv w:val="1"/>
      <w:marLeft w:val="0"/>
      <w:marRight w:val="0"/>
      <w:marTop w:val="0"/>
      <w:marBottom w:val="0"/>
      <w:divBdr>
        <w:top w:val="none" w:sz="0" w:space="0" w:color="auto"/>
        <w:left w:val="none" w:sz="0" w:space="0" w:color="auto"/>
        <w:bottom w:val="none" w:sz="0" w:space="0" w:color="auto"/>
        <w:right w:val="none" w:sz="0" w:space="0" w:color="auto"/>
      </w:divBdr>
      <w:divsChild>
        <w:div w:id="829099372">
          <w:marLeft w:val="0"/>
          <w:marRight w:val="0"/>
          <w:marTop w:val="0"/>
          <w:marBottom w:val="0"/>
          <w:divBdr>
            <w:top w:val="none" w:sz="0" w:space="0" w:color="auto"/>
            <w:left w:val="none" w:sz="0" w:space="0" w:color="auto"/>
            <w:bottom w:val="none" w:sz="0" w:space="0" w:color="auto"/>
            <w:right w:val="none" w:sz="0" w:space="0" w:color="auto"/>
          </w:divBdr>
          <w:divsChild>
            <w:div w:id="740368064">
              <w:marLeft w:val="0"/>
              <w:marRight w:val="0"/>
              <w:marTop w:val="0"/>
              <w:marBottom w:val="0"/>
              <w:divBdr>
                <w:top w:val="none" w:sz="0" w:space="0" w:color="auto"/>
                <w:left w:val="none" w:sz="0" w:space="0" w:color="auto"/>
                <w:bottom w:val="none" w:sz="0" w:space="0" w:color="auto"/>
                <w:right w:val="none" w:sz="0" w:space="0" w:color="auto"/>
              </w:divBdr>
              <w:divsChild>
                <w:div w:id="1854565094">
                  <w:marLeft w:val="0"/>
                  <w:marRight w:val="0"/>
                  <w:marTop w:val="0"/>
                  <w:marBottom w:val="0"/>
                  <w:divBdr>
                    <w:top w:val="none" w:sz="0" w:space="0" w:color="auto"/>
                    <w:left w:val="none" w:sz="0" w:space="0" w:color="auto"/>
                    <w:bottom w:val="none" w:sz="0" w:space="0" w:color="auto"/>
                    <w:right w:val="none" w:sz="0" w:space="0" w:color="auto"/>
                  </w:divBdr>
                  <w:divsChild>
                    <w:div w:id="1026173567">
                      <w:marLeft w:val="0"/>
                      <w:marRight w:val="0"/>
                      <w:marTop w:val="0"/>
                      <w:marBottom w:val="0"/>
                      <w:divBdr>
                        <w:top w:val="none" w:sz="0" w:space="0" w:color="auto"/>
                        <w:left w:val="none" w:sz="0" w:space="0" w:color="auto"/>
                        <w:bottom w:val="none" w:sz="0" w:space="0" w:color="auto"/>
                        <w:right w:val="none" w:sz="0" w:space="0" w:color="auto"/>
                      </w:divBdr>
                      <w:divsChild>
                        <w:div w:id="1870988386">
                          <w:marLeft w:val="0"/>
                          <w:marRight w:val="0"/>
                          <w:marTop w:val="0"/>
                          <w:marBottom w:val="0"/>
                          <w:divBdr>
                            <w:top w:val="none" w:sz="0" w:space="0" w:color="auto"/>
                            <w:left w:val="none" w:sz="0" w:space="0" w:color="auto"/>
                            <w:bottom w:val="none" w:sz="0" w:space="0" w:color="auto"/>
                            <w:right w:val="none" w:sz="0" w:space="0" w:color="auto"/>
                          </w:divBdr>
                          <w:divsChild>
                            <w:div w:id="1763990791">
                              <w:marLeft w:val="0"/>
                              <w:marRight w:val="0"/>
                              <w:marTop w:val="0"/>
                              <w:marBottom w:val="0"/>
                              <w:divBdr>
                                <w:top w:val="none" w:sz="0" w:space="0" w:color="auto"/>
                                <w:left w:val="none" w:sz="0" w:space="0" w:color="auto"/>
                                <w:bottom w:val="none" w:sz="0" w:space="0" w:color="auto"/>
                                <w:right w:val="none" w:sz="0" w:space="0" w:color="auto"/>
                              </w:divBdr>
                              <w:divsChild>
                                <w:div w:id="1524977385">
                                  <w:marLeft w:val="0"/>
                                  <w:marRight w:val="0"/>
                                  <w:marTop w:val="0"/>
                                  <w:marBottom w:val="0"/>
                                  <w:divBdr>
                                    <w:top w:val="none" w:sz="0" w:space="0" w:color="auto"/>
                                    <w:left w:val="none" w:sz="0" w:space="0" w:color="auto"/>
                                    <w:bottom w:val="none" w:sz="0" w:space="0" w:color="auto"/>
                                    <w:right w:val="none" w:sz="0" w:space="0" w:color="auto"/>
                                  </w:divBdr>
                                  <w:divsChild>
                                    <w:div w:id="613901635">
                                      <w:marLeft w:val="60"/>
                                      <w:marRight w:val="0"/>
                                      <w:marTop w:val="0"/>
                                      <w:marBottom w:val="0"/>
                                      <w:divBdr>
                                        <w:top w:val="none" w:sz="0" w:space="0" w:color="auto"/>
                                        <w:left w:val="none" w:sz="0" w:space="0" w:color="auto"/>
                                        <w:bottom w:val="none" w:sz="0" w:space="0" w:color="auto"/>
                                        <w:right w:val="none" w:sz="0" w:space="0" w:color="auto"/>
                                      </w:divBdr>
                                      <w:divsChild>
                                        <w:div w:id="1027219055">
                                          <w:marLeft w:val="0"/>
                                          <w:marRight w:val="0"/>
                                          <w:marTop w:val="0"/>
                                          <w:marBottom w:val="0"/>
                                          <w:divBdr>
                                            <w:top w:val="none" w:sz="0" w:space="0" w:color="auto"/>
                                            <w:left w:val="none" w:sz="0" w:space="0" w:color="auto"/>
                                            <w:bottom w:val="none" w:sz="0" w:space="0" w:color="auto"/>
                                            <w:right w:val="none" w:sz="0" w:space="0" w:color="auto"/>
                                          </w:divBdr>
                                          <w:divsChild>
                                            <w:div w:id="825366748">
                                              <w:marLeft w:val="0"/>
                                              <w:marRight w:val="0"/>
                                              <w:marTop w:val="0"/>
                                              <w:marBottom w:val="120"/>
                                              <w:divBdr>
                                                <w:top w:val="single" w:sz="6" w:space="0" w:color="F5F5F5"/>
                                                <w:left w:val="single" w:sz="6" w:space="0" w:color="F5F5F5"/>
                                                <w:bottom w:val="single" w:sz="6" w:space="0" w:color="F5F5F5"/>
                                                <w:right w:val="single" w:sz="6" w:space="0" w:color="F5F5F5"/>
                                              </w:divBdr>
                                              <w:divsChild>
                                                <w:div w:id="1345128693">
                                                  <w:marLeft w:val="0"/>
                                                  <w:marRight w:val="0"/>
                                                  <w:marTop w:val="0"/>
                                                  <w:marBottom w:val="0"/>
                                                  <w:divBdr>
                                                    <w:top w:val="none" w:sz="0" w:space="0" w:color="auto"/>
                                                    <w:left w:val="none" w:sz="0" w:space="0" w:color="auto"/>
                                                    <w:bottom w:val="none" w:sz="0" w:space="0" w:color="auto"/>
                                                    <w:right w:val="none" w:sz="0" w:space="0" w:color="auto"/>
                                                  </w:divBdr>
                                                  <w:divsChild>
                                                    <w:div w:id="585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037573">
      <w:bodyDiv w:val="1"/>
      <w:marLeft w:val="0"/>
      <w:marRight w:val="0"/>
      <w:marTop w:val="0"/>
      <w:marBottom w:val="0"/>
      <w:divBdr>
        <w:top w:val="none" w:sz="0" w:space="0" w:color="auto"/>
        <w:left w:val="none" w:sz="0" w:space="0" w:color="auto"/>
        <w:bottom w:val="none" w:sz="0" w:space="0" w:color="auto"/>
        <w:right w:val="none" w:sz="0" w:space="0" w:color="auto"/>
      </w:divBdr>
      <w:divsChild>
        <w:div w:id="177428105">
          <w:marLeft w:val="0"/>
          <w:marRight w:val="0"/>
          <w:marTop w:val="0"/>
          <w:marBottom w:val="0"/>
          <w:divBdr>
            <w:top w:val="none" w:sz="0" w:space="0" w:color="auto"/>
            <w:left w:val="none" w:sz="0" w:space="0" w:color="auto"/>
            <w:bottom w:val="none" w:sz="0" w:space="0" w:color="auto"/>
            <w:right w:val="none" w:sz="0" w:space="0" w:color="auto"/>
          </w:divBdr>
          <w:divsChild>
            <w:div w:id="2066292838">
              <w:marLeft w:val="0"/>
              <w:marRight w:val="0"/>
              <w:marTop w:val="0"/>
              <w:marBottom w:val="0"/>
              <w:divBdr>
                <w:top w:val="none" w:sz="0" w:space="0" w:color="auto"/>
                <w:left w:val="none" w:sz="0" w:space="0" w:color="auto"/>
                <w:bottom w:val="none" w:sz="0" w:space="0" w:color="auto"/>
                <w:right w:val="none" w:sz="0" w:space="0" w:color="auto"/>
              </w:divBdr>
              <w:divsChild>
                <w:div w:id="457530201">
                  <w:marLeft w:val="0"/>
                  <w:marRight w:val="0"/>
                  <w:marTop w:val="0"/>
                  <w:marBottom w:val="0"/>
                  <w:divBdr>
                    <w:top w:val="none" w:sz="0" w:space="0" w:color="auto"/>
                    <w:left w:val="none" w:sz="0" w:space="0" w:color="auto"/>
                    <w:bottom w:val="none" w:sz="0" w:space="0" w:color="auto"/>
                    <w:right w:val="none" w:sz="0" w:space="0" w:color="auto"/>
                  </w:divBdr>
                  <w:divsChild>
                    <w:div w:id="288171188">
                      <w:marLeft w:val="0"/>
                      <w:marRight w:val="0"/>
                      <w:marTop w:val="0"/>
                      <w:marBottom w:val="0"/>
                      <w:divBdr>
                        <w:top w:val="none" w:sz="0" w:space="0" w:color="auto"/>
                        <w:left w:val="none" w:sz="0" w:space="0" w:color="auto"/>
                        <w:bottom w:val="none" w:sz="0" w:space="0" w:color="auto"/>
                        <w:right w:val="none" w:sz="0" w:space="0" w:color="auto"/>
                      </w:divBdr>
                      <w:divsChild>
                        <w:div w:id="1378434436">
                          <w:marLeft w:val="0"/>
                          <w:marRight w:val="0"/>
                          <w:marTop w:val="0"/>
                          <w:marBottom w:val="0"/>
                          <w:divBdr>
                            <w:top w:val="none" w:sz="0" w:space="0" w:color="auto"/>
                            <w:left w:val="none" w:sz="0" w:space="0" w:color="auto"/>
                            <w:bottom w:val="none" w:sz="0" w:space="0" w:color="auto"/>
                            <w:right w:val="none" w:sz="0" w:space="0" w:color="auto"/>
                          </w:divBdr>
                          <w:divsChild>
                            <w:div w:id="928467515">
                              <w:marLeft w:val="0"/>
                              <w:marRight w:val="0"/>
                              <w:marTop w:val="0"/>
                              <w:marBottom w:val="0"/>
                              <w:divBdr>
                                <w:top w:val="none" w:sz="0" w:space="0" w:color="auto"/>
                                <w:left w:val="none" w:sz="0" w:space="0" w:color="auto"/>
                                <w:bottom w:val="none" w:sz="0" w:space="0" w:color="auto"/>
                                <w:right w:val="none" w:sz="0" w:space="0" w:color="auto"/>
                              </w:divBdr>
                              <w:divsChild>
                                <w:div w:id="1480029510">
                                  <w:marLeft w:val="0"/>
                                  <w:marRight w:val="0"/>
                                  <w:marTop w:val="0"/>
                                  <w:marBottom w:val="0"/>
                                  <w:divBdr>
                                    <w:top w:val="none" w:sz="0" w:space="0" w:color="auto"/>
                                    <w:left w:val="none" w:sz="0" w:space="0" w:color="auto"/>
                                    <w:bottom w:val="none" w:sz="0" w:space="0" w:color="auto"/>
                                    <w:right w:val="none" w:sz="0" w:space="0" w:color="auto"/>
                                  </w:divBdr>
                                  <w:divsChild>
                                    <w:div w:id="309137351">
                                      <w:marLeft w:val="60"/>
                                      <w:marRight w:val="0"/>
                                      <w:marTop w:val="0"/>
                                      <w:marBottom w:val="0"/>
                                      <w:divBdr>
                                        <w:top w:val="none" w:sz="0" w:space="0" w:color="auto"/>
                                        <w:left w:val="none" w:sz="0" w:space="0" w:color="auto"/>
                                        <w:bottom w:val="none" w:sz="0" w:space="0" w:color="auto"/>
                                        <w:right w:val="none" w:sz="0" w:space="0" w:color="auto"/>
                                      </w:divBdr>
                                      <w:divsChild>
                                        <w:div w:id="1959528542">
                                          <w:marLeft w:val="0"/>
                                          <w:marRight w:val="0"/>
                                          <w:marTop w:val="0"/>
                                          <w:marBottom w:val="0"/>
                                          <w:divBdr>
                                            <w:top w:val="none" w:sz="0" w:space="0" w:color="auto"/>
                                            <w:left w:val="none" w:sz="0" w:space="0" w:color="auto"/>
                                            <w:bottom w:val="none" w:sz="0" w:space="0" w:color="auto"/>
                                            <w:right w:val="none" w:sz="0" w:space="0" w:color="auto"/>
                                          </w:divBdr>
                                          <w:divsChild>
                                            <w:div w:id="115486122">
                                              <w:marLeft w:val="0"/>
                                              <w:marRight w:val="0"/>
                                              <w:marTop w:val="0"/>
                                              <w:marBottom w:val="120"/>
                                              <w:divBdr>
                                                <w:top w:val="single" w:sz="6" w:space="0" w:color="F5F5F5"/>
                                                <w:left w:val="single" w:sz="6" w:space="0" w:color="F5F5F5"/>
                                                <w:bottom w:val="single" w:sz="6" w:space="0" w:color="F5F5F5"/>
                                                <w:right w:val="single" w:sz="6" w:space="0" w:color="F5F5F5"/>
                                              </w:divBdr>
                                              <w:divsChild>
                                                <w:div w:id="1881432948">
                                                  <w:marLeft w:val="0"/>
                                                  <w:marRight w:val="0"/>
                                                  <w:marTop w:val="0"/>
                                                  <w:marBottom w:val="0"/>
                                                  <w:divBdr>
                                                    <w:top w:val="none" w:sz="0" w:space="0" w:color="auto"/>
                                                    <w:left w:val="none" w:sz="0" w:space="0" w:color="auto"/>
                                                    <w:bottom w:val="none" w:sz="0" w:space="0" w:color="auto"/>
                                                    <w:right w:val="none" w:sz="0" w:space="0" w:color="auto"/>
                                                  </w:divBdr>
                                                  <w:divsChild>
                                                    <w:div w:id="44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3428</ap:Words>
  <ap:Characters>18856</ap:Characters>
  <ap:DocSecurity>0</ap:DocSecurity>
  <ap:Lines>157</ap:Lines>
  <ap:Paragraphs>44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2014-01-10T11:05:00.0000000Z</lastPrinted>
  <dcterms:created xsi:type="dcterms:W3CDTF">2014-02-13T09:20:00.0000000Z</dcterms:created>
  <dcterms:modified xsi:type="dcterms:W3CDTF">2014-02-13T09:20:00.0000000Z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0x0101009E73220D70510148B6A129119F27E627</vt:lpwstr>
  </property>
</Properties>
</file>