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D0" w:rsidRDefault="00FC319C">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r>
      <w:r>
        <w:t>Voorzitters</w:t>
      </w:r>
      <w:r w:rsidR="00B40FB5">
        <w:t xml:space="preserve"> van vaste en algemene commissies</w:t>
      </w:r>
    </w:p>
    <w:p w:rsidR="00786BD0" w:rsidP="00B40FB5" w:rsidRDefault="00786BD0">
      <w:pPr>
        <w:framePr w:w="5948" w:h="1741" w:hSpace="181" w:wrap="around" w:hAnchor="page" w:vAnchor="page" w:x="1078" w:y="3341" w:hRule="exact"/>
        <w:shd w:val="solid" w:color="FFFFFF" w:fill="FFFFFF"/>
        <w:tabs>
          <w:tab w:val="left" w:pos="1148"/>
        </w:tabs>
        <w:spacing w:line="284" w:lineRule="exact"/>
        <w:rPr>
          <w:szCs w:val="18"/>
        </w:rPr>
      </w:pPr>
    </w:p>
    <w:p w:rsidR="00786BD0" w:rsidP="00B40FB5" w:rsidRDefault="00786BD0">
      <w:pPr>
        <w:framePr w:w="5948" w:h="1741" w:hSpace="181" w:wrap="around" w:hAnchor="page" w:vAnchor="page" w:x="1078" w:y="3341" w:hRule="exact"/>
        <w:shd w:val="solid" w:color="FFFFFF" w:fill="FFFFFF"/>
        <w:tabs>
          <w:tab w:val="left" w:pos="1148"/>
        </w:tabs>
        <w:spacing w:line="284" w:lineRule="exact"/>
        <w:rPr>
          <w:szCs w:val="18"/>
        </w:rPr>
      </w:pPr>
    </w:p>
    <w:p w:rsidR="00786BD0" w:rsidRDefault="00FC319C">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p>
    <w:p w:rsidR="00786BD0" w:rsidRDefault="00AB68C6">
      <w:pPr>
        <w:pStyle w:val="PlatteTekst"/>
        <w:sectPr w:rsidR="00786BD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245" w:right="1701" w:bottom="1418" w:left="2212" w:header="426" w:footer="992" w:gutter="0"/>
          <w:cols w:space="708"/>
          <w:docGrid w:type="lines" w:linePitch="284"/>
        </w:sectPr>
      </w:pPr>
      <w:r>
        <w:rPr>
          <w:noProof/>
          <w:lang w:eastAsia="nl-NL"/>
        </w:rPr>
        <w:lastRenderedPageBreak/>
        <mc:AlternateContent>
          <mc:Choice Requires="wps">
            <w:drawing>
              <wp:anchor distT="0" distB="269875" distL="114300" distR="114300" simplePos="0" relativeHeight="251659264" behindDoc="0" locked="0" layoutInCell="1" allowOverlap="1" wp14:editId="417463B9" wp14:anchorId="29912CE7">
                <wp:simplePos x="0" y="0"/>
                <wp:positionH relativeFrom="page">
                  <wp:posOffset>4381500</wp:posOffset>
                </wp:positionH>
                <wp:positionV relativeFrom="page">
                  <wp:posOffset>666750</wp:posOffset>
                </wp:positionV>
                <wp:extent cx="2463800" cy="857250"/>
                <wp:effectExtent l="0" t="0" r="12700" b="0"/>
                <wp:wrapTopAndBottom/>
                <wp:docPr id="9" name="Tekstvak 9"/>
                <wp:cNvGraphicFramePr/>
                <a:graphic xmlns:a="http://schemas.openxmlformats.org/drawingml/2006/main">
                  <a:graphicData uri="http://schemas.microsoft.com/office/word/2010/wordprocessingShape">
                    <wps:wsp>
                      <wps:cNvSpPr txBox="1"/>
                      <wps:spPr>
                        <a:xfrm>
                          <a:off x="0" y="0"/>
                          <a:ext cx="246380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BD0" w:rsidP="00B40FB5" w:rsidRDefault="00FC319C">
                            <w:pPr>
                              <w:pStyle w:val="Huisstijl-Afzendgegevens"/>
                              <w:jc w:val="center"/>
                              <w:rPr>
                                <w:szCs w:val="13"/>
                              </w:rPr>
                            </w:pPr>
                            <w:r>
                              <w:rPr>
                                <w:szCs w:val="13"/>
                              </w:rPr>
                              <w:t xml:space="preserve">  </w:t>
                            </w:r>
                          </w:p>
                          <w:p w:rsidR="00786BD0" w:rsidRDefault="00786BD0">
                            <w:pPr>
                              <w:pStyle w:val="Huisstijl-AfzendgegevensW1vet"/>
                              <w:rPr>
                                <w:szCs w:val="13"/>
                              </w:rPr>
                            </w:pPr>
                          </w:p>
                          <w:p w:rsidR="00786BD0" w:rsidRDefault="00786BD0">
                            <w:pPr>
                              <w:pStyle w:val="Huisstijl-AfzendgegevensW1vet"/>
                              <w:rPr>
                                <w:szCs w:val="13"/>
                              </w:rPr>
                            </w:pPr>
                          </w:p>
                          <w:p w:rsidRPr="00AB68C6" w:rsidR="00786BD0" w:rsidP="00B40FB5" w:rsidRDefault="00B40FB5">
                            <w:pPr>
                              <w:pStyle w:val="Huisstijl-Afzendgegevens"/>
                              <w:rPr>
                                <w:b/>
                                <w:sz w:val="18"/>
                                <w:szCs w:val="18"/>
                              </w:rPr>
                            </w:pPr>
                            <w:r w:rsidRPr="00AB68C6">
                              <w:rPr>
                                <w:b/>
                                <w:sz w:val="18"/>
                                <w:szCs w:val="18"/>
                              </w:rPr>
                              <w:t>C</w:t>
                            </w:r>
                            <w:r w:rsidRPr="00AB68C6" w:rsidR="00FC319C">
                              <w:rPr>
                                <w:b/>
                                <w:sz w:val="18"/>
                                <w:szCs w:val="18"/>
                              </w:rPr>
                              <w:t xml:space="preserve">ommissie voor </w:t>
                            </w:r>
                            <w:r w:rsidRPr="00AB68C6">
                              <w:rPr>
                                <w:b/>
                                <w:sz w:val="18"/>
                                <w:szCs w:val="18"/>
                              </w:rPr>
                              <w:t>de Rijksuitgaven</w:t>
                            </w:r>
                          </w:p>
                          <w:p w:rsidR="00786BD0" w:rsidRDefault="00786BD0">
                            <w:pPr>
                              <w:pStyle w:val="Huisstijl-Afzendgegevens"/>
                              <w:rPr>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45pt;margin-top:52.5pt;width:194pt;height:67.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oZdgIAAFIFAAAOAAAAZHJzL2Uyb0RvYy54bWysVFFPGzEMfp+0/xDlfVwpo4OKK+pATJMq&#10;QIOJ5zSX0FOTOEvc3nW/fk7urmVsL0x7yfnsz4792c7FZWsN26oQa3AlPz4acaachKp2zyX//njz&#10;4YyziMJVwoBTJd+pyC9n799dNH6qxrACU6nAKIiL08aXfIXop0UR5UpZEY/AK0dGDcEKpN/wXFRB&#10;NBTdmmI8Gk2KBkLlA0gVI2mvOyOf5fhaK4l3WkeFzJSccsN8hnwu01nMLsT0OQi/qmWfhviHLKyo&#10;HV26D3UtULBNqP8IZWsZIILGIwm2AK1rqXINVM3x6FU1DyvhVa6FyIl+T1P8f2Hl7fY+sLoq+Tln&#10;Tlhq0aNaR9yKNTtP7DQ+Tgn04AmG7WdoqcuDPpIyFd3qYNOXymFkJ553e25Vi0yScvxxcnI2IpMk&#10;29npp/FpJr84ePsQ8YsCy5JQ8kC9y5SK7SIiZULQAZIuc3BTG5P7ZxxrSj45oZC/WcjDuKRReRL6&#10;MKmiLvMs4c6ohDHum9LERC4gKfIMqisT2FbQ9AgplcNce45L6ITSlMRbHHv8Iau3OHd1DDeDw72z&#10;rR2EXP2rtKv1kLLu8ETki7qTiO2y7Tu9hGpHjQ7QLUr08qambixExHsRaDOogbTteEeHNkCsQy9x&#10;toLw82/6hKeBJStnDW1ayeOPjQiKM/PV0SintRyEMAjLQXAbewVE/zG9I15mkRwCmkHUAewTPQLz&#10;dAuZhJN0V8lxEK+w23d6RKSazzOIls8LXLgHL1Po1I00W4/tkwi+H0Ck0b2FYQfF9NUcdtjk6WC+&#10;QdB1HtJEaMdiTzQtbp7d/pFJL8PL/4w6PIWzXwAAAP//AwBQSwMEFAAGAAgAAAAhANQet0zfAAAA&#10;DAEAAA8AAABkcnMvZG93bnJldi54bWxMj0tPwzAQhO9I/AdrkbhRuxWUNsSpEI8bzxYkuDnxkkTE&#10;dmRv0vDv2Z7gNqtvNDuTbybXiRFjaoPXMJ8pEOirYFtfa3jb3Z+tQCQy3poueNTwgwk2xfFRbjIb&#10;9v4Vxy3VgkN8yoyGhqjPpExVg86kWejRM/sK0RniM9bSRrPncNfJhVJL6Uzr+UNjerxpsPreDk5D&#10;95HiQ6noc7ytH+nlWQ7vd/MnrU9PpusrEIQT/ZnhUJ+rQ8GdyjB4m0SnYblWvIUYqAsWB4e6XLEq&#10;NSzOmckil/9HFL8AAAD//wMAUEsBAi0AFAAGAAgAAAAhALaDOJL+AAAA4QEAABMAAAAAAAAAAAAA&#10;AAAAAAAAAFtDb250ZW50X1R5cGVzXS54bWxQSwECLQAUAAYACAAAACEAOP0h/9YAAACUAQAACwAA&#10;AAAAAAAAAAAAAAAvAQAAX3JlbHMvLnJlbHNQSwECLQAUAAYACAAAACEAhBtKGXYCAABSBQAADgAA&#10;AAAAAAAAAAAAAAAuAgAAZHJzL2Uyb0RvYy54bWxQSwECLQAUAAYACAAAACEA1B63TN8AAAAMAQAA&#10;DwAAAAAAAAAAAAAAAADQBAAAZHJzL2Rvd25yZXYueG1sUEsFBgAAAAAEAAQA8wAAANwFAAAAAA==&#10;">
                <v:textbox inset="0,0,0,0">
                  <w:txbxContent>
                    <w:p w:rsidR="00786BD0" w:rsidP="00B40FB5" w:rsidRDefault="00FC319C">
                      <w:pPr>
                        <w:pStyle w:val="Huisstijl-Afzendgegevens"/>
                        <w:jc w:val="center"/>
                        <w:rPr>
                          <w:szCs w:val="13"/>
                        </w:rPr>
                      </w:pPr>
                      <w:r>
                        <w:rPr>
                          <w:szCs w:val="13"/>
                        </w:rPr>
                        <w:t xml:space="preserve">  </w:t>
                      </w:r>
                    </w:p>
                    <w:p w:rsidR="00786BD0" w:rsidRDefault="00786BD0">
                      <w:pPr>
                        <w:pStyle w:val="Huisstijl-AfzendgegevensW1vet"/>
                        <w:rPr>
                          <w:szCs w:val="13"/>
                        </w:rPr>
                      </w:pPr>
                    </w:p>
                    <w:p w:rsidR="00786BD0" w:rsidRDefault="00786BD0">
                      <w:pPr>
                        <w:pStyle w:val="Huisstijl-AfzendgegevensW1vet"/>
                        <w:rPr>
                          <w:szCs w:val="13"/>
                        </w:rPr>
                      </w:pPr>
                    </w:p>
                    <w:p w:rsidRPr="00AB68C6" w:rsidR="00786BD0" w:rsidP="00B40FB5" w:rsidRDefault="00B40FB5">
                      <w:pPr>
                        <w:pStyle w:val="Huisstijl-Afzendgegevens"/>
                        <w:rPr>
                          <w:b/>
                          <w:sz w:val="18"/>
                          <w:szCs w:val="18"/>
                        </w:rPr>
                      </w:pPr>
                      <w:r w:rsidRPr="00AB68C6">
                        <w:rPr>
                          <w:b/>
                          <w:sz w:val="18"/>
                          <w:szCs w:val="18"/>
                        </w:rPr>
                        <w:t>C</w:t>
                      </w:r>
                      <w:r w:rsidRPr="00AB68C6" w:rsidR="00FC319C">
                        <w:rPr>
                          <w:b/>
                          <w:sz w:val="18"/>
                          <w:szCs w:val="18"/>
                        </w:rPr>
                        <w:t xml:space="preserve">ommissie voor </w:t>
                      </w:r>
                      <w:r w:rsidRPr="00AB68C6">
                        <w:rPr>
                          <w:b/>
                          <w:sz w:val="18"/>
                          <w:szCs w:val="18"/>
                        </w:rPr>
                        <w:t>de Rijksuitgaven</w:t>
                      </w:r>
                    </w:p>
                    <w:p w:rsidR="00786BD0" w:rsidRDefault="00786BD0">
                      <w:pPr>
                        <w:pStyle w:val="Huisstijl-Afzendgegevens"/>
                        <w:rPr>
                          <w:szCs w:val="13"/>
                        </w:rPr>
                      </w:pPr>
                    </w:p>
                  </w:txbxContent>
                </v:textbox>
                <w10:wrap type="topAndBottom" anchorx="page" anchory="page"/>
              </v:shape>
            </w:pict>
          </mc:Fallback>
        </mc:AlternateContent>
      </w:r>
      <w:r>
        <w:rPr>
          <w:noProof/>
          <w:lang w:eastAsia="nl-NL"/>
        </w:rPr>
        <mc:AlternateContent>
          <mc:Choice Requires="wps">
            <w:drawing>
              <wp:anchor distT="0" distB="0" distL="114300" distR="114300" simplePos="0" relativeHeight="251663360" behindDoc="0" locked="0" layoutInCell="1" allowOverlap="1" wp14:editId="7224D7AA" wp14:anchorId="0B024BDB">
                <wp:simplePos x="0" y="0"/>
                <wp:positionH relativeFrom="column">
                  <wp:posOffset>3738880</wp:posOffset>
                </wp:positionH>
                <wp:positionV relativeFrom="page">
                  <wp:posOffset>1847850</wp:posOffset>
                </wp:positionV>
                <wp:extent cx="2047875" cy="190500"/>
                <wp:effectExtent l="0" t="0" r="9525" b="0"/>
                <wp:wrapNone/>
                <wp:docPr id="13" name="Tekstvak 13"/>
                <wp:cNvGraphicFramePr/>
                <a:graphic xmlns:a="http://schemas.openxmlformats.org/drawingml/2006/main">
                  <a:graphicData uri="http://schemas.microsoft.com/office/word/2010/wordprocessingShape">
                    <wps:wsp>
                      <wps:cNvSpPr txBox="1"/>
                      <wps:spPr>
                        <a:xfrm>
                          <a:off x="0" y="0"/>
                          <a:ext cx="204787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8E7" w:rsidRDefault="007578E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94.4pt;margin-top:145.5pt;width:161.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PSewIAAFsFAAAOAAAAZHJzL2Uyb0RvYy54bWysVE1v2zAMvQ/YfxB0X+2k68eCOkXWosOA&#10;oi3WDD0rstQYlURNYmJnv76UbKdFt0uHXWSafKTIR1Jn5501bKtCbMBVfHJQcqachLpxjxX/ubz6&#10;dMpZROFqYcCpiu9U5Ofzjx/OWj9TU1iDqVVgFMTFWesrvkb0s6KIcq2siAfglSOjhmAF0m94LOog&#10;WopuTTEty+OihVD7AFLFSNrL3sjnOb7WSuKt1lEhMxWn3DCfIZ+rdBbzMzF7DMKvGzmkIf4hCysa&#10;R5fuQ10KFGwTmj9C2UYGiKDxQIItQOtGqlwDVTMp31RzvxZe5VqInOj3NMX/F1bebO8Ca2rq3SFn&#10;Tljq0VI9RdyKJ0Yq4qf1cUawe09A7L5CR9hRH0mZyu50sOlLBTGyE9O7PbuqQyZJOS0/n5yeHHEm&#10;yTb5Uh6Vmf7ixduHiN8UWJaEigfqXiZVbK8jUiYEHSHpMgdXjTG5g8axtuLHh0dldthbyMO4hFV5&#10;FoYwqaI+8yzhzqiEMe6H0sRFLiAp8hSqCxPYVtD8CCmVw1x7jkvohNKUxHscB/xLVu9x7usYbwaH&#10;e2fbOAi5+jdp109jyrrHE5Gv6k4idqsuD8F0bOwK6h31O0C/MdHLq4aaci0i3olAK0ItprXHWzq0&#10;ASIfBomzNYTff9MnPE0uWTlraeUqHn9tRFCcme+OZjrt5yiEUViNgtvYC6AuTOhB8TKL5BDQjKIO&#10;YB/oNVikW8gknKS7Ko6jeIH94tNrItVikUG0hV7gtbv3MoVOTUkjtuweRPDDHCJN8A2Myyhmb8ax&#10;xyZPB4sNgm7yrCZeexYHvmmD8wgPr016Il7/Z9TLmzh/BgAA//8DAFBLAwQUAAYACAAAACEA3q7u&#10;4uAAAAALAQAADwAAAGRycy9kb3ducmV2LnhtbEyPS0/DMBCE70j8B2uRuFHHqUBpyKZCPG5AoYAE&#10;Nyc2SYQfke2k4d+znOA4O6PZb6rtYg2bdYiDdwhilQHTrvVqcB3C68vdWQEsJumUNN5phG8dYVsf&#10;H1WyVP7gnvW8Tx2jEhdLidCnNJacx7bXVsaVH7Uj79MHKxPJ0HEV5IHKreF5ll1wKwdHH3o56ute&#10;t1/7ySKY9xjumyx9zDfdQ3ra8entVjwinp4sV5fAkl7SXxh+8QkdamJq/ORUZAbhvCgIPSHkG0Gj&#10;KLERYg2sQVjndOF1xf9vqH8AAAD//wMAUEsBAi0AFAAGAAgAAAAhALaDOJL+AAAA4QEAABMAAAAA&#10;AAAAAAAAAAAAAAAAAFtDb250ZW50X1R5cGVzXS54bWxQSwECLQAUAAYACAAAACEAOP0h/9YAAACU&#10;AQAACwAAAAAAAAAAAAAAAAAvAQAAX3JlbHMvLnJlbHNQSwECLQAUAAYACAAAACEA+chj0nsCAABb&#10;BQAADgAAAAAAAAAAAAAAAAAuAgAAZHJzL2Uyb0RvYy54bWxQSwECLQAUAAYACAAAACEA3q7u4uAA&#10;AAALAQAADwAAAAAAAAAAAAAAAADVBAAAZHJzL2Rvd25yZXYueG1sUEsFBgAAAAAEAAQA8wAAAOIF&#10;AAAAAA==&#10;">
                <v:textbox inset="0,0,0,0">
                  <w:txbxContent>
                    <w:p w:rsidR="007578E7" w:rsidRDefault="007578E7"/>
                  </w:txbxContent>
                </v:textbox>
                <w10:wrap anchory="page"/>
              </v:shape>
            </w:pict>
          </mc:Fallback>
        </mc:AlternateContent>
      </w:r>
      <w:r w:rsidRPr="00B40FB5">
        <w:rPr>
          <w:noProof/>
          <w:lang w:eastAsia="nl-NL"/>
        </w:rPr>
        <mc:AlternateContent>
          <mc:Choice Requires="wps">
            <w:drawing>
              <wp:anchor distT="0" distB="0" distL="114300" distR="114300" simplePos="0" relativeHeight="251665408" behindDoc="0" locked="0" layoutInCell="1" allowOverlap="1" wp14:editId="65347C4B" wp14:anchorId="0A727D10">
                <wp:simplePos x="0" y="0"/>
                <wp:positionH relativeFrom="column">
                  <wp:posOffset>3586480</wp:posOffset>
                </wp:positionH>
                <wp:positionV relativeFrom="page">
                  <wp:posOffset>2286000</wp:posOffset>
                </wp:positionV>
                <wp:extent cx="2048510" cy="590550"/>
                <wp:effectExtent l="0" t="0" r="889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2048510" cy="590550"/>
                        </a:xfrm>
                        <a:prstGeom prst="rect">
                          <a:avLst/>
                        </a:prstGeom>
                        <a:noFill/>
                        <a:ln w="6350">
                          <a:noFill/>
                        </a:ln>
                        <a:effectLst/>
                      </wps:spPr>
                      <wps:txbx>
                        <w:txbxContent>
                          <w:p w:rsidR="00B40FB5" w:rsidP="00AB68C6" w:rsidRDefault="00B40FB5">
                            <w:pPr>
                              <w:pStyle w:val="Huisstijl-Markering"/>
                              <w:ind w:right="533"/>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vak 1" style="position:absolute;margin-left:282.4pt;margin-top:180pt;width:161.3pt;height:4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FXOgIAAHkEAAAOAAAAZHJzL2Uyb0RvYy54bWysVFFv2yAQfp+0/4B4X+ykS9VZcaqsVaZJ&#10;UVsp2fpMMMRWgGNAYme/fgeO067b07QXdOY+Pu6+7/DsttOKHIXzDZiSjkc5JcJwqBqzK+m3zfLD&#10;DSU+MFMxBUaU9CQ8vZ2/fzdrbSEmUIOqhCNIYnzR2pLWIdgiyzyvhWZ+BFYYTEpwmgX8dLuscqxF&#10;dq2ySZ5fZy24yjrgwnvcve+TdJ74pRQ8PErpRSCqpFhbSKtL6zau2XzGip1jtm74uQz2D1Vo1hi8&#10;9EJ1zwIjB9f8QaUb7sCDDCMOOgMpGy5SD9jNOH/TzbpmVqReUBxvLzL5/0fLH45PjjQVekeJYRot&#10;2oi9D0e2J+OoTmt9gaC1RVjoPkMXkbFTb1fA9x4h2StMf8AjOmI66TSRqrHfh1PYMUEKtOJ0kV90&#10;gXDcnOQfb6ZjTHHMTT/l02nyJ+t5Ip91PnwRoEkMSurQ3lQLO658iJW8QCLcwLJRKlmsDGlLen2F&#10;lL9l8IQycUekYTnTxIb6HmIUum2XJLoaBNlCdUI9HPTz5C1fNljRivnwxBwOEDaBjyI84iIV4M1w&#10;jiipwf38237Eo6+YpaTFgSyp/3FgTlCivhp0PE7vELgh2A6BOeg7wBlHF7GaFOIBF9QQSgf6Gd/K&#10;It6CKWY43lXSMIR3oX8W+Na4WCwSCGfUsrAya8sHA6Pym+6ZOXs2IaB9DzCMKiveeNFje80XhwCy&#10;SUZFXXsVz/OD8538O7/F+IBefyfUyx9j/gsAAP//AwBQSwMEFAAGAAgAAAAhAJGwqxrgAAAACwEA&#10;AA8AAABkcnMvZG93bnJldi54bWxMj8FOwzAQRO9I/IO1SNyoA02CFbKpKqAXpB7aIvXqxksSEa+j&#10;2G3C32NO9Dia0cybcjXbXlxo9J1jhMdFAoK4dqbjBuHzsHlQIHzQbHTvmBB+yMOqur0pdWHcxDu6&#10;7EMjYgn7QiO0IQyFlL5uyWq/cANx9L7caHWIcmykGfUUy20vn5Ikl1Z3HBdaPdBrS/X3/mwRaFhP&#10;b9vjJtvS7vBes1MfR6UQ7+/m9QuIQHP4D8MffkSHKjKd3JmNFz1ClqcRPSAs8ySeigmlnlMQJ4Q0&#10;WyYgq1Jef6h+AQAA//8DAFBLAQItABQABgAIAAAAIQC2gziS/gAAAOEBAAATAAAAAAAAAAAAAAAA&#10;AAAAAABbQ29udGVudF9UeXBlc10ueG1sUEsBAi0AFAAGAAgAAAAhADj9If/WAAAAlAEAAAsAAAAA&#10;AAAAAAAAAAAALwEAAF9yZWxzLy5yZWxzUEsBAi0AFAAGAAgAAAAhABaVgVc6AgAAeQQAAA4AAAAA&#10;AAAAAAAAAAAALgIAAGRycy9lMm9Eb2MueG1sUEsBAi0AFAAGAAgAAAAhAJGwqxrgAAAACwEAAA8A&#10;AAAAAAAAAAAAAAAAlAQAAGRycy9kb3ducmV2LnhtbFBLBQYAAAAABAAEAPMAAAChBQAAAAA=&#10;">
                <v:path arrowok="t"/>
                <v:textbox inset="0,0,0,0">
                  <w:txbxContent>
                    <w:p w:rsidR="00B40FB5" w:rsidP="00AB68C6" w:rsidRDefault="00B40FB5">
                      <w:pPr>
                        <w:pStyle w:val="Huisstijl-Markering"/>
                        <w:ind w:right="533"/>
                        <w:jc w:val="left"/>
                      </w:pPr>
                    </w:p>
                  </w:txbxContent>
                </v:textbox>
                <w10:wrap anchory="page"/>
              </v:shape>
            </w:pict>
          </mc:Fallback>
        </mc:AlternateContent>
      </w:r>
      <w:r w:rsidR="00FC319C">
        <w:rPr>
          <w:noProof/>
          <w:lang w:eastAsia="nl-NL"/>
        </w:rPr>
        <mc:AlternateContent>
          <mc:Choice Requires="wps">
            <w:drawing>
              <wp:anchor distT="0" distB="269875" distL="114300" distR="114300" simplePos="0" relativeHeight="251661312" behindDoc="0" locked="0" layoutInCell="1" allowOverlap="1" wp14:editId="7C7F1788" wp14:anchorId="34BE1D84">
                <wp:simplePos x="0" y="0"/>
                <wp:positionH relativeFrom="page">
                  <wp:posOffset>496570</wp:posOffset>
                </wp:positionH>
                <wp:positionV relativeFrom="page">
                  <wp:posOffset>3622675</wp:posOffset>
                </wp:positionV>
                <wp:extent cx="4150360" cy="775335"/>
                <wp:effectExtent l="0" t="0" r="2540" b="11430"/>
                <wp:wrapTopAndBottom/>
                <wp:docPr id="8" name="Tekstvak 8"/>
                <wp:cNvGraphicFramePr/>
                <a:graphic xmlns:a="http://schemas.openxmlformats.org/drawingml/2006/main">
                  <a:graphicData uri="http://schemas.microsoft.com/office/word/2010/wordprocessingShape">
                    <wps:wsp>
                      <wps:cNvSpPr txBox="1"/>
                      <wps:spPr>
                        <a:xfrm>
                          <a:off x="0" y="0"/>
                          <a:ext cx="4150360" cy="77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BD0" w:rsidRDefault="00FC319C">
                            <w:pPr>
                              <w:pStyle w:val="Huisstijl-AgendagegevensW1"/>
                            </w:pPr>
                            <w:r>
                              <w:tab/>
                              <w:t>datum</w:t>
                            </w:r>
                            <w:r>
                              <w:tab/>
                            </w:r>
                            <w:sdt>
                              <w:sdtPr>
                                <w:alias w:val="Memo Datum"/>
                                <w:tag w:val="Memo_Datum"/>
                                <w:id w:val="1614864439"/>
                                <w:dataBinding w:prefixMappings="xmlns:dg='http://docgen.org/date' " w:xpath="/dg:DocgenData[1]/dg:Memo_Datum[1]" w:storeItemID="{1DC06787-A76B-47EA-9955-AD87E820CE3D}"/>
                                <w:date w:fullDate="2014-03-10T00:00:00Z">
                                  <w:dateFormat w:val="d MMMM YYYY"/>
                                  <w:lid w:val="nl-NL"/>
                                  <w:storeMappedDataAs w:val="dateTime"/>
                                  <w:calendar w:val="gregorian"/>
                                </w:date>
                              </w:sdtPr>
                              <w:sdtEndPr/>
                              <w:sdtContent>
                                <w:r>
                                  <w:t>10 maart 2014</w:t>
                                </w:r>
                              </w:sdtContent>
                            </w:sdt>
                          </w:p>
                          <w:p w:rsidR="00786BD0" w:rsidRDefault="00FC319C">
                            <w:pPr>
                              <w:pStyle w:val="Huisstijl-Agendagegevens"/>
                            </w:pPr>
                            <w:r>
                              <w:tab/>
                              <w:t>betreft</w:t>
                            </w:r>
                            <w:r>
                              <w:tab/>
                            </w:r>
                            <w:r w:rsidRPr="00B40FB5">
                              <w:rPr>
                                <w:sz w:val="18"/>
                                <w:szCs w:val="18"/>
                              </w:rPr>
                              <w:t>Behandeling rapporten Algemene Rekenkamer</w:t>
                            </w:r>
                          </w:p>
                          <w:p w:rsidR="00786BD0" w:rsidRDefault="00FC319C">
                            <w:pPr>
                              <w:pStyle w:val="Huisstijl-AgendagegevensW1"/>
                            </w:pPr>
                            <w:r>
                              <w:tab/>
                              <w:t>ons kenmerk</w:t>
                            </w:r>
                            <w:r>
                              <w:tab/>
                              <w:t>2014D08550</w:t>
                            </w:r>
                          </w:p>
                          <w:p w:rsidR="00A92228" w:rsidP="00A92228" w:rsidRDefault="00FC319C">
                            <w:pPr>
                              <w:pStyle w:val="Huisstijl-Agendagegevens"/>
                            </w:pPr>
                            <w:r>
                              <w:tab/>
                            </w:r>
                          </w:p>
                          <w:p w:rsidR="00786BD0" w:rsidRDefault="00786BD0">
                            <w:pPr>
                              <w:pStyle w:val="Huisstijl-AgendagegevensW1"/>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9.1pt;margin-top:285.25pt;width:326.8pt;height:61.05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00786BD0" w:rsidRDefault="00FC319C">
                      <w:pPr>
                        <w:pStyle w:val="Huisstijl-AgendagegevensW1"/>
                      </w:pPr>
                      <w:r>
                        <w:tab/>
                        <w:t>datum</w:t>
                      </w:r>
                      <w:r>
                        <w:tab/>
                      </w:r>
                      <w:sdt>
                        <w:sdtPr>
                          <w:alias w:val="Memo Datum"/>
                          <w:tag w:val="Memo_Datum"/>
                          <w:id w:val="1614864439"/>
                          <w:dataBinding w:prefixMappings="xmlns:dg='http://docgen.org/date' " w:xpath="/dg:DocgenData[1]/dg:Memo_Datum[1]" w:storeItemID="{1DC06787-A76B-47EA-9955-AD87E820CE3D}"/>
                          <w:date w:fullDate="2014-03-10T00:00:00Z">
                            <w:dateFormat w:val="d MMMM YYYY"/>
                            <w:lid w:val="nl-NL"/>
                            <w:storeMappedDataAs w:val="dateTime"/>
                            <w:calendar w:val="gregorian"/>
                          </w:date>
                        </w:sdtPr>
                        <w:sdtEndPr/>
                        <w:sdtContent>
                          <w:r>
                            <w:t>10 maart 2014</w:t>
                          </w:r>
                        </w:sdtContent>
                      </w:sdt>
                    </w:p>
                    <w:p w:rsidR="00786BD0" w:rsidRDefault="00FC319C">
                      <w:pPr>
                        <w:pStyle w:val="Huisstijl-Agendagegevens"/>
                      </w:pPr>
                      <w:r>
                        <w:tab/>
                        <w:t>betreft</w:t>
                      </w:r>
                      <w:r>
                        <w:tab/>
                      </w:r>
                      <w:r w:rsidRPr="00B40FB5">
                        <w:rPr>
                          <w:sz w:val="18"/>
                          <w:szCs w:val="18"/>
                        </w:rPr>
                        <w:t>Behandeling rapporten Algemene Rekenkamer</w:t>
                      </w:r>
                    </w:p>
                    <w:p w:rsidR="00786BD0" w:rsidRDefault="00FC319C">
                      <w:pPr>
                        <w:pStyle w:val="Huisstijl-AgendagegevensW1"/>
                      </w:pPr>
                      <w:r>
                        <w:tab/>
                        <w:t>ons kenmerk</w:t>
                      </w:r>
                      <w:r>
                        <w:tab/>
                        <w:t>2014D08550</w:t>
                      </w:r>
                    </w:p>
                    <w:p w:rsidR="00A92228" w:rsidP="00A92228" w:rsidRDefault="00FC319C">
                      <w:pPr>
                        <w:pStyle w:val="Huisstijl-Agendagegevens"/>
                      </w:pPr>
                      <w:r>
                        <w:tab/>
                      </w:r>
                    </w:p>
                    <w:p w:rsidR="00786BD0" w:rsidRDefault="00786BD0">
                      <w:pPr>
                        <w:pStyle w:val="Huisstijl-AgendagegevensW1"/>
                      </w:pPr>
                    </w:p>
                  </w:txbxContent>
                </v:textbox>
                <w10:wrap type="topAndBottom" anchorx="page" anchory="page"/>
              </v:shape>
            </w:pict>
          </mc:Fallback>
        </mc:AlternateContent>
      </w:r>
    </w:p>
    <w:p w:rsidRPr="00B40FB5" w:rsidR="00B40FB5" w:rsidP="00B40FB5" w:rsidRDefault="00FC319C">
      <w:pPr>
        <w:pStyle w:val="Huisstijl-Aanhef"/>
        <w:rPr>
          <w:szCs w:val="17"/>
        </w:rPr>
      </w:pPr>
      <w:r>
        <w:rPr>
          <w:szCs w:val="17"/>
        </w:rPr>
        <w:t>Geachte</w:t>
      </w:r>
      <w:r w:rsidR="0054648F">
        <w:rPr>
          <w:szCs w:val="17"/>
        </w:rPr>
        <w:t xml:space="preserve"> voorzitter</w:t>
      </w:r>
      <w:r>
        <w:rPr>
          <w:szCs w:val="17"/>
        </w:rPr>
        <w:t>,</w:t>
      </w:r>
    </w:p>
    <w:p w:rsidRPr="00B40FB5" w:rsidR="00B40FB5" w:rsidP="00B40FB5" w:rsidRDefault="00B40FB5"/>
    <w:p w:rsidR="0018647C" w:rsidP="00B40FB5" w:rsidRDefault="00B40FB5">
      <w:r w:rsidRPr="00B40FB5">
        <w:t>Op dinsdag 18 februari 2014 heeft de Kamer besloten over de ‘</w:t>
      </w:r>
      <w:proofErr w:type="spellStart"/>
      <w:r w:rsidRPr="00B40FB5">
        <w:t>inhandenstelling</w:t>
      </w:r>
      <w:proofErr w:type="spellEnd"/>
      <w:r w:rsidRPr="00B40FB5">
        <w:t>’ van rappor</w:t>
      </w:r>
      <w:r w:rsidR="0018647C">
        <w:t>ten van de Algemene Rekenkamer</w:t>
      </w:r>
    </w:p>
    <w:bookmarkStart w:name="_GoBack" w:id="0"/>
    <w:bookmarkEnd w:id="0"/>
    <w:p w:rsidR="00B40FB5" w:rsidP="00B40FB5" w:rsidRDefault="000B4DCA">
      <w:r>
        <w:fldChar w:fldCharType="begin"/>
      </w:r>
      <w:r>
        <w:instrText xml:space="preserve"> HYPERLINK "https://zoek.officielebekendmakingen.nl/kst-33128-3.pdf" </w:instrText>
      </w:r>
      <w:r>
        <w:fldChar w:fldCharType="separate"/>
      </w:r>
      <w:r w:rsidRPr="007A62B5" w:rsidR="005C4E97">
        <w:rPr>
          <w:rStyle w:val="Hyperlink"/>
        </w:rPr>
        <w:t>https://zoek.officielebekendmakingen.nl/kst-33128-3.pdf</w:t>
      </w:r>
      <w:r>
        <w:rPr>
          <w:rStyle w:val="Hyperlink"/>
        </w:rPr>
        <w:fldChar w:fldCharType="end"/>
      </w:r>
      <w:r w:rsidR="0018647C">
        <w:t>.</w:t>
      </w:r>
    </w:p>
    <w:p w:rsidRPr="00B40FB5" w:rsidR="005C4E97" w:rsidP="00B40FB5" w:rsidRDefault="005C4E97"/>
    <w:p w:rsidRPr="00B40FB5" w:rsidR="00B40FB5" w:rsidP="00B40FB5" w:rsidRDefault="00B40FB5">
      <w:r w:rsidRPr="00B40FB5">
        <w:t xml:space="preserve">Onderstaande praktische handelswijze voor het in handen stellen van rapporten van de Algemene Rekenkamer wordt </w:t>
      </w:r>
      <w:r>
        <w:t xml:space="preserve">door de commissie voor de Rijksuitgaven </w:t>
      </w:r>
      <w:r w:rsidRPr="00B40FB5">
        <w:t>voorgestaan.</w:t>
      </w:r>
    </w:p>
    <w:p w:rsidRPr="00B40FB5" w:rsidR="00B40FB5" w:rsidP="00B40FB5" w:rsidRDefault="00B40FB5">
      <w:pPr>
        <w:numPr>
          <w:ilvl w:val="0"/>
          <w:numId w:val="13"/>
        </w:numPr>
        <w:contextualSpacing/>
      </w:pPr>
      <w:r w:rsidRPr="00B40FB5">
        <w:t>Op basis van het publicatieschema van de Algemene Rekenkamer bepaalt de commissie voor de Rijksuitgaven voorafgaand aan de aanbieding bij welke rapporten zij het voortouw neemt. Deze selectie geschiedt op basis van een of meer van de volgende criteria.</w:t>
      </w:r>
    </w:p>
    <w:p w:rsidRPr="00B40FB5" w:rsidR="00B40FB5" w:rsidP="00B40FB5" w:rsidRDefault="00B40FB5">
      <w:pPr>
        <w:numPr>
          <w:ilvl w:val="1"/>
          <w:numId w:val="13"/>
        </w:numPr>
        <w:contextualSpacing/>
      </w:pPr>
      <w:r w:rsidRPr="00B40FB5">
        <w:t>majeure vraagstukken met en groot financieel belang voor de rijksbegroting;</w:t>
      </w:r>
    </w:p>
    <w:p w:rsidRPr="00B40FB5" w:rsidR="00B40FB5" w:rsidP="00B40FB5" w:rsidRDefault="00B40FB5">
      <w:pPr>
        <w:numPr>
          <w:ilvl w:val="1"/>
          <w:numId w:val="13"/>
        </w:numPr>
        <w:contextualSpacing/>
      </w:pPr>
      <w:r w:rsidRPr="00B40FB5">
        <w:t>onderwerpen die kabinetsbreed aandacht vragen;</w:t>
      </w:r>
    </w:p>
    <w:p w:rsidRPr="00B40FB5" w:rsidR="00B40FB5" w:rsidP="00B40FB5" w:rsidRDefault="00B40FB5">
      <w:pPr>
        <w:numPr>
          <w:ilvl w:val="1"/>
          <w:numId w:val="13"/>
        </w:numPr>
        <w:contextualSpacing/>
      </w:pPr>
      <w:r w:rsidRPr="00B40FB5">
        <w:t>grote beleidswijzigingen met risico’s voor de uitvoerbaarheid;</w:t>
      </w:r>
    </w:p>
    <w:p w:rsidRPr="00B40FB5" w:rsidR="00B40FB5" w:rsidP="00B40FB5" w:rsidRDefault="00B40FB5">
      <w:pPr>
        <w:numPr>
          <w:ilvl w:val="1"/>
          <w:numId w:val="13"/>
        </w:numPr>
        <w:contextualSpacing/>
      </w:pPr>
      <w:r w:rsidRPr="00B40FB5">
        <w:t>spreiding over beleidsdossiers in meerjarig perspectief.</w:t>
      </w:r>
    </w:p>
    <w:p w:rsidR="00B40FB5" w:rsidP="00B40FB5" w:rsidRDefault="00B40FB5">
      <w:r w:rsidRPr="00B40FB5">
        <w:t>De overige rapporten worden direct bij binnenkomst in handen gesteld van de meest aangewezen vaste of algemene commissie.</w:t>
      </w:r>
    </w:p>
    <w:p w:rsidRPr="00B40FB5" w:rsidR="00B40FB5" w:rsidP="00B40FB5" w:rsidRDefault="00B40FB5">
      <w:r w:rsidRPr="00B40FB5">
        <w:t>Om dit selectiemechanisme te illustreren staat hieronder het publicatieschema voor de 1</w:t>
      </w:r>
      <w:r w:rsidRPr="00B40FB5">
        <w:rPr>
          <w:vertAlign w:val="superscript"/>
        </w:rPr>
        <w:t>e</w:t>
      </w:r>
      <w:r w:rsidRPr="00B40FB5">
        <w:t xml:space="preserve"> helft van 2014 van de Algemene Rekenkamer, met markering waar Rijksuitgaven zelf het voortouw neemt.</w:t>
      </w:r>
    </w:p>
    <w:p w:rsidR="00B40FB5" w:rsidRDefault="00B40FB5">
      <w:r>
        <w:br w:type="page"/>
      </w:r>
    </w:p>
    <w:p w:rsidRPr="00B40FB5" w:rsidR="00B40FB5" w:rsidP="00B40FB5" w:rsidRDefault="00B40FB5"/>
    <w:tbl>
      <w:tblPr>
        <w:tblStyle w:val="Tabelraster1"/>
        <w:tblW w:w="0" w:type="auto"/>
        <w:tblLook w:val="04A0" w:firstRow="1" w:lastRow="0" w:firstColumn="1" w:lastColumn="0" w:noHBand="0" w:noVBand="1"/>
      </w:tblPr>
      <w:tblGrid>
        <w:gridCol w:w="1474"/>
        <w:gridCol w:w="5660"/>
        <w:gridCol w:w="1076"/>
      </w:tblGrid>
      <w:tr w:rsidRPr="00B40FB5" w:rsidR="00B40FB5" w:rsidTr="006A1B81">
        <w:tc>
          <w:tcPr>
            <w:tcW w:w="7475" w:type="dxa"/>
            <w:gridSpan w:val="2"/>
            <w:shd w:val="clear" w:color="auto" w:fill="F2F2F2" w:themeFill="background1" w:themeFillShade="F2"/>
          </w:tcPr>
          <w:p w:rsidRPr="00B40FB5" w:rsidR="00B40FB5" w:rsidP="00B40FB5" w:rsidRDefault="00B40FB5">
            <w:pPr>
              <w:jc w:val="center"/>
            </w:pPr>
            <w:r w:rsidRPr="00B40FB5">
              <w:t>Publicatie / activiteit (sommige data kunnen nog verschuiven)</w:t>
            </w:r>
          </w:p>
        </w:tc>
        <w:tc>
          <w:tcPr>
            <w:tcW w:w="1076" w:type="dxa"/>
            <w:shd w:val="clear" w:color="auto" w:fill="F2F2F2" w:themeFill="background1" w:themeFillShade="F2"/>
          </w:tcPr>
          <w:p w:rsidRPr="00B40FB5" w:rsidR="00B40FB5" w:rsidP="00B40FB5" w:rsidRDefault="00B40FB5">
            <w:r w:rsidRPr="00B40FB5">
              <w:t>Voortouw</w:t>
            </w:r>
          </w:p>
        </w:tc>
      </w:tr>
      <w:tr w:rsidRPr="00B40FB5" w:rsidR="00B40FB5" w:rsidTr="006A1B81">
        <w:tc>
          <w:tcPr>
            <w:tcW w:w="1526" w:type="dxa"/>
          </w:tcPr>
          <w:p w:rsidRPr="00B40FB5" w:rsidR="00B40FB5" w:rsidP="00B40FB5" w:rsidRDefault="00B40FB5">
            <w:r w:rsidRPr="00B40FB5">
              <w:t>18 maart</w:t>
            </w:r>
          </w:p>
        </w:tc>
        <w:tc>
          <w:tcPr>
            <w:tcW w:w="5949" w:type="dxa"/>
          </w:tcPr>
          <w:p w:rsidRPr="00B40FB5" w:rsidR="00B40FB5" w:rsidP="00B40FB5" w:rsidRDefault="00B40FB5">
            <w:r w:rsidRPr="00B40FB5">
              <w:t>Regionale verschillen in het zorggebruik AWBZ 1</w:t>
            </w:r>
          </w:p>
        </w:tc>
        <w:tc>
          <w:tcPr>
            <w:tcW w:w="1076" w:type="dxa"/>
          </w:tcPr>
          <w:p w:rsidRPr="00B40FB5" w:rsidR="00B40FB5" w:rsidP="00B40FB5" w:rsidRDefault="00B40FB5">
            <w:r w:rsidRPr="00B40FB5">
              <w:t>VWS</w:t>
            </w:r>
          </w:p>
        </w:tc>
      </w:tr>
      <w:tr w:rsidRPr="00B40FB5" w:rsidR="00B40FB5" w:rsidTr="006A1B81">
        <w:tc>
          <w:tcPr>
            <w:tcW w:w="1526" w:type="dxa"/>
          </w:tcPr>
          <w:p w:rsidRPr="00B40FB5" w:rsidR="00B40FB5" w:rsidP="00B40FB5" w:rsidRDefault="00B40FB5">
            <w:r w:rsidRPr="00B40FB5">
              <w:t>18 maart</w:t>
            </w:r>
          </w:p>
        </w:tc>
        <w:tc>
          <w:tcPr>
            <w:tcW w:w="5949" w:type="dxa"/>
          </w:tcPr>
          <w:p w:rsidRPr="00B40FB5" w:rsidR="00B40FB5" w:rsidP="00B40FB5" w:rsidRDefault="00B40FB5">
            <w:r w:rsidRPr="00B40FB5">
              <w:t>Webdossier Uitgavenbeheersingsprojecten in de Zorg</w:t>
            </w:r>
          </w:p>
        </w:tc>
        <w:tc>
          <w:tcPr>
            <w:tcW w:w="1076" w:type="dxa"/>
          </w:tcPr>
          <w:p w:rsidRPr="00B40FB5" w:rsidR="00B40FB5" w:rsidP="00B40FB5" w:rsidRDefault="00B40FB5">
            <w:r w:rsidRPr="00B40FB5">
              <w:t>VWS</w:t>
            </w:r>
          </w:p>
        </w:tc>
      </w:tr>
      <w:tr w:rsidRPr="00B40FB5" w:rsidR="00B40FB5" w:rsidTr="006A1B81">
        <w:tc>
          <w:tcPr>
            <w:tcW w:w="1526" w:type="dxa"/>
          </w:tcPr>
          <w:p w:rsidRPr="00B40FB5" w:rsidR="00B40FB5" w:rsidP="00B40FB5" w:rsidRDefault="00B40FB5">
            <w:r w:rsidRPr="00B40FB5">
              <w:t>20 maart</w:t>
            </w:r>
          </w:p>
        </w:tc>
        <w:tc>
          <w:tcPr>
            <w:tcW w:w="5949" w:type="dxa"/>
          </w:tcPr>
          <w:p w:rsidRPr="00B40FB5" w:rsidR="00B40FB5" w:rsidP="00B40FB5" w:rsidRDefault="00B40FB5">
            <w:r w:rsidRPr="00B40FB5">
              <w:t>Bestuur op afstand</w:t>
            </w:r>
          </w:p>
        </w:tc>
        <w:tc>
          <w:tcPr>
            <w:tcW w:w="1076" w:type="dxa"/>
          </w:tcPr>
          <w:p w:rsidRPr="00B40FB5" w:rsidR="00B40FB5" w:rsidP="00B40FB5" w:rsidRDefault="00B40FB5">
            <w:r w:rsidRPr="00B40FB5">
              <w:t>RU</w:t>
            </w:r>
          </w:p>
        </w:tc>
      </w:tr>
      <w:tr w:rsidRPr="00B40FB5" w:rsidR="00B40FB5" w:rsidTr="006A1B81">
        <w:tc>
          <w:tcPr>
            <w:tcW w:w="1526" w:type="dxa"/>
          </w:tcPr>
          <w:p w:rsidRPr="00B40FB5" w:rsidR="00B40FB5" w:rsidP="00B40FB5" w:rsidRDefault="00B40FB5">
            <w:r w:rsidRPr="00B40FB5">
              <w:t>27 maart</w:t>
            </w:r>
          </w:p>
        </w:tc>
        <w:tc>
          <w:tcPr>
            <w:tcW w:w="5949" w:type="dxa"/>
          </w:tcPr>
          <w:p w:rsidRPr="00B40FB5" w:rsidR="00B40FB5" w:rsidP="00B40FB5" w:rsidRDefault="00B40FB5">
            <w:r w:rsidRPr="00B40FB5">
              <w:t>Verslag 2013</w:t>
            </w:r>
          </w:p>
        </w:tc>
        <w:tc>
          <w:tcPr>
            <w:tcW w:w="1076" w:type="dxa"/>
          </w:tcPr>
          <w:p w:rsidRPr="00B40FB5" w:rsidR="00B40FB5" w:rsidP="00B40FB5" w:rsidRDefault="00B40FB5">
            <w:r w:rsidRPr="00B40FB5">
              <w:t>RU</w:t>
            </w:r>
          </w:p>
        </w:tc>
      </w:tr>
      <w:tr w:rsidRPr="00B40FB5" w:rsidR="00B40FB5" w:rsidTr="006A1B81">
        <w:tc>
          <w:tcPr>
            <w:tcW w:w="1526" w:type="dxa"/>
          </w:tcPr>
          <w:p w:rsidRPr="00B40FB5" w:rsidR="00B40FB5" w:rsidP="00B40FB5" w:rsidRDefault="00B40FB5">
            <w:r w:rsidRPr="00B40FB5">
              <w:t>27 maart</w:t>
            </w:r>
          </w:p>
        </w:tc>
        <w:tc>
          <w:tcPr>
            <w:tcW w:w="5949" w:type="dxa"/>
          </w:tcPr>
          <w:p w:rsidRPr="00B40FB5" w:rsidR="00B40FB5" w:rsidP="00B40FB5" w:rsidRDefault="00B40FB5">
            <w:r w:rsidRPr="00B40FB5">
              <w:t>Trendrapport Open Data</w:t>
            </w:r>
          </w:p>
        </w:tc>
        <w:tc>
          <w:tcPr>
            <w:tcW w:w="1076" w:type="dxa"/>
          </w:tcPr>
          <w:p w:rsidRPr="00B40FB5" w:rsidR="00B40FB5" w:rsidP="00B40FB5" w:rsidRDefault="00B40FB5">
            <w:r w:rsidRPr="00B40FB5">
              <w:t>RU</w:t>
            </w:r>
          </w:p>
        </w:tc>
      </w:tr>
      <w:tr w:rsidRPr="00B40FB5" w:rsidR="00B40FB5" w:rsidTr="006A1B81">
        <w:tc>
          <w:tcPr>
            <w:tcW w:w="1526" w:type="dxa"/>
          </w:tcPr>
          <w:p w:rsidRPr="00B40FB5" w:rsidR="00B40FB5" w:rsidP="00B40FB5" w:rsidRDefault="00B40FB5">
            <w:r w:rsidRPr="00B40FB5">
              <w:t>April / mei</w:t>
            </w:r>
          </w:p>
        </w:tc>
        <w:tc>
          <w:tcPr>
            <w:tcW w:w="5949" w:type="dxa"/>
          </w:tcPr>
          <w:p w:rsidRPr="00B40FB5" w:rsidR="00B40FB5" w:rsidP="00B40FB5" w:rsidRDefault="00B40FB5">
            <w:r w:rsidRPr="00B40FB5">
              <w:t>Kinderopvangtoeslag</w:t>
            </w:r>
          </w:p>
        </w:tc>
        <w:tc>
          <w:tcPr>
            <w:tcW w:w="1076" w:type="dxa"/>
          </w:tcPr>
          <w:p w:rsidRPr="00B40FB5" w:rsidR="00B40FB5" w:rsidP="00B40FB5" w:rsidRDefault="00B40FB5">
            <w:r w:rsidRPr="00B40FB5">
              <w:t>RU</w:t>
            </w:r>
          </w:p>
        </w:tc>
      </w:tr>
      <w:tr w:rsidRPr="00B40FB5" w:rsidR="00B40FB5" w:rsidTr="006A1B81">
        <w:tc>
          <w:tcPr>
            <w:tcW w:w="1526" w:type="dxa"/>
          </w:tcPr>
          <w:p w:rsidRPr="00B40FB5" w:rsidR="00B40FB5" w:rsidP="00B40FB5" w:rsidRDefault="00B40FB5">
            <w:r w:rsidRPr="00B40FB5">
              <w:t>April / mei</w:t>
            </w:r>
          </w:p>
        </w:tc>
        <w:tc>
          <w:tcPr>
            <w:tcW w:w="5949" w:type="dxa"/>
          </w:tcPr>
          <w:p w:rsidRPr="00B40FB5" w:rsidR="00B40FB5" w:rsidP="00B40FB5" w:rsidRDefault="00B40FB5">
            <w:r w:rsidRPr="00B40FB5">
              <w:t>Lastenverzwaringen voor groen beleggen</w:t>
            </w:r>
          </w:p>
        </w:tc>
        <w:tc>
          <w:tcPr>
            <w:tcW w:w="1076" w:type="dxa"/>
          </w:tcPr>
          <w:p w:rsidRPr="00B40FB5" w:rsidR="00B40FB5" w:rsidP="00B40FB5" w:rsidRDefault="00B40FB5">
            <w:r w:rsidRPr="00B40FB5">
              <w:t>RU</w:t>
            </w:r>
          </w:p>
        </w:tc>
      </w:tr>
      <w:tr w:rsidRPr="00B40FB5" w:rsidR="00B40FB5" w:rsidTr="006A1B81">
        <w:tc>
          <w:tcPr>
            <w:tcW w:w="1526" w:type="dxa"/>
          </w:tcPr>
          <w:p w:rsidRPr="00B40FB5" w:rsidR="00B40FB5" w:rsidP="00B40FB5" w:rsidRDefault="00B40FB5">
            <w:r w:rsidRPr="00B40FB5">
              <w:t>April / mei</w:t>
            </w:r>
          </w:p>
        </w:tc>
        <w:tc>
          <w:tcPr>
            <w:tcW w:w="5949" w:type="dxa"/>
          </w:tcPr>
          <w:p w:rsidRPr="00B40FB5" w:rsidR="00B40FB5" w:rsidP="00B40FB5" w:rsidRDefault="00B40FB5">
            <w:r w:rsidRPr="00B40FB5">
              <w:t>Assurantiebelasting</w:t>
            </w:r>
          </w:p>
        </w:tc>
        <w:tc>
          <w:tcPr>
            <w:tcW w:w="1076" w:type="dxa"/>
          </w:tcPr>
          <w:p w:rsidRPr="00B40FB5" w:rsidR="00B40FB5" w:rsidP="00B40FB5" w:rsidRDefault="00B40FB5">
            <w:r w:rsidRPr="00B40FB5">
              <w:t>RU</w:t>
            </w:r>
          </w:p>
        </w:tc>
      </w:tr>
      <w:tr w:rsidRPr="00B40FB5" w:rsidR="00B40FB5" w:rsidTr="006A1B81">
        <w:tc>
          <w:tcPr>
            <w:tcW w:w="1526" w:type="dxa"/>
          </w:tcPr>
          <w:p w:rsidRPr="00B40FB5" w:rsidR="00B40FB5" w:rsidP="00B40FB5" w:rsidRDefault="00B40FB5">
            <w:r w:rsidRPr="00B40FB5">
              <w:t>16 april</w:t>
            </w:r>
          </w:p>
        </w:tc>
        <w:tc>
          <w:tcPr>
            <w:tcW w:w="5949" w:type="dxa"/>
          </w:tcPr>
          <w:p w:rsidRPr="00B40FB5" w:rsidR="00B40FB5" w:rsidP="00B40FB5" w:rsidRDefault="00B40FB5">
            <w:r w:rsidRPr="00B40FB5">
              <w:t>Bescherming natuurgebieden (vervolgonderzoek)</w:t>
            </w:r>
          </w:p>
        </w:tc>
        <w:tc>
          <w:tcPr>
            <w:tcW w:w="1076" w:type="dxa"/>
          </w:tcPr>
          <w:p w:rsidRPr="00B40FB5" w:rsidR="00B40FB5" w:rsidP="00B40FB5" w:rsidRDefault="00B40FB5">
            <w:r w:rsidRPr="00B40FB5">
              <w:t>EZ</w:t>
            </w:r>
          </w:p>
        </w:tc>
      </w:tr>
      <w:tr w:rsidRPr="00B40FB5" w:rsidR="00B40FB5" w:rsidTr="006A1B81">
        <w:tc>
          <w:tcPr>
            <w:tcW w:w="1526" w:type="dxa"/>
          </w:tcPr>
          <w:p w:rsidRPr="00B40FB5" w:rsidR="00B40FB5" w:rsidP="00B40FB5" w:rsidRDefault="00B40FB5">
            <w:r w:rsidRPr="00B40FB5">
              <w:t>24 april</w:t>
            </w:r>
          </w:p>
        </w:tc>
        <w:tc>
          <w:tcPr>
            <w:tcW w:w="5949" w:type="dxa"/>
          </w:tcPr>
          <w:p w:rsidRPr="00B40FB5" w:rsidR="00B40FB5" w:rsidP="00B40FB5" w:rsidRDefault="00B40FB5">
            <w:r w:rsidRPr="00B40FB5">
              <w:t>Volkshuisvestelijk toezicht woningcorporaties</w:t>
            </w:r>
          </w:p>
        </w:tc>
        <w:tc>
          <w:tcPr>
            <w:tcW w:w="1076" w:type="dxa"/>
          </w:tcPr>
          <w:p w:rsidRPr="00B40FB5" w:rsidR="00B40FB5" w:rsidP="00B40FB5" w:rsidRDefault="00B40FB5">
            <w:proofErr w:type="spellStart"/>
            <w:r w:rsidRPr="00B40FB5">
              <w:t>WenR</w:t>
            </w:r>
            <w:proofErr w:type="spellEnd"/>
          </w:p>
        </w:tc>
      </w:tr>
      <w:tr w:rsidRPr="00B40FB5" w:rsidR="00B40FB5" w:rsidTr="006A1B81">
        <w:tc>
          <w:tcPr>
            <w:tcW w:w="1526" w:type="dxa"/>
          </w:tcPr>
          <w:p w:rsidRPr="00B40FB5" w:rsidR="00B40FB5" w:rsidP="00B40FB5" w:rsidRDefault="00B40FB5">
            <w:r w:rsidRPr="00B40FB5">
              <w:t>21 mei</w:t>
            </w:r>
          </w:p>
        </w:tc>
        <w:tc>
          <w:tcPr>
            <w:tcW w:w="5949" w:type="dxa"/>
          </w:tcPr>
          <w:p w:rsidRPr="00B40FB5" w:rsidR="00B40FB5" w:rsidP="00B40FB5" w:rsidRDefault="00B40FB5">
            <w:r w:rsidRPr="00B40FB5">
              <w:t>Staat van de Rijksverantwoording</w:t>
            </w:r>
          </w:p>
        </w:tc>
        <w:tc>
          <w:tcPr>
            <w:tcW w:w="1076" w:type="dxa"/>
          </w:tcPr>
          <w:p w:rsidRPr="00B40FB5" w:rsidR="00B40FB5" w:rsidP="00B40FB5" w:rsidRDefault="00B40FB5">
            <w:r w:rsidRPr="00B40FB5">
              <w:t>RU</w:t>
            </w:r>
          </w:p>
        </w:tc>
      </w:tr>
      <w:tr w:rsidRPr="00B40FB5" w:rsidR="00B40FB5" w:rsidTr="006A1B81">
        <w:tc>
          <w:tcPr>
            <w:tcW w:w="1526" w:type="dxa"/>
          </w:tcPr>
          <w:p w:rsidRPr="00B40FB5" w:rsidR="00B40FB5" w:rsidP="00B40FB5" w:rsidRDefault="00B40FB5">
            <w:r w:rsidRPr="00B40FB5">
              <w:t>21 mei</w:t>
            </w:r>
          </w:p>
        </w:tc>
        <w:tc>
          <w:tcPr>
            <w:tcW w:w="5949" w:type="dxa"/>
          </w:tcPr>
          <w:p w:rsidRPr="00B40FB5" w:rsidR="00B40FB5" w:rsidP="00B40FB5" w:rsidRDefault="00B40FB5">
            <w:r w:rsidRPr="00B40FB5">
              <w:t>Verantwoordingsonderzoek 2013</w:t>
            </w:r>
          </w:p>
        </w:tc>
        <w:tc>
          <w:tcPr>
            <w:tcW w:w="1076" w:type="dxa"/>
          </w:tcPr>
          <w:p w:rsidRPr="00B40FB5" w:rsidR="00B40FB5" w:rsidP="00B40FB5" w:rsidRDefault="00B40FB5">
            <w:r w:rsidRPr="00B40FB5">
              <w:t xml:space="preserve">Alle </w:t>
            </w:r>
            <w:proofErr w:type="spellStart"/>
            <w:r w:rsidRPr="00B40FB5">
              <w:t>Cie’s</w:t>
            </w:r>
            <w:proofErr w:type="spellEnd"/>
          </w:p>
        </w:tc>
      </w:tr>
      <w:tr w:rsidRPr="00B40FB5" w:rsidR="00B40FB5" w:rsidTr="006A1B81">
        <w:tc>
          <w:tcPr>
            <w:tcW w:w="1526" w:type="dxa"/>
          </w:tcPr>
          <w:p w:rsidRPr="00B40FB5" w:rsidR="00B40FB5" w:rsidP="00B40FB5" w:rsidRDefault="00B40FB5">
            <w:r w:rsidRPr="00B40FB5">
              <w:t>21 mei</w:t>
            </w:r>
          </w:p>
        </w:tc>
        <w:tc>
          <w:tcPr>
            <w:tcW w:w="5949" w:type="dxa"/>
          </w:tcPr>
          <w:p w:rsidRPr="00B40FB5" w:rsidR="00B40FB5" w:rsidP="00B40FB5" w:rsidRDefault="00B40FB5">
            <w:r w:rsidRPr="00B40FB5">
              <w:t>Beleid in de Praktijk</w:t>
            </w:r>
          </w:p>
        </w:tc>
        <w:tc>
          <w:tcPr>
            <w:tcW w:w="1076" w:type="dxa"/>
          </w:tcPr>
          <w:p w:rsidRPr="00B40FB5" w:rsidR="00B40FB5" w:rsidP="00B40FB5" w:rsidRDefault="00B40FB5">
            <w:r w:rsidRPr="00B40FB5">
              <w:t>RU</w:t>
            </w:r>
          </w:p>
        </w:tc>
      </w:tr>
      <w:tr w:rsidRPr="00B40FB5" w:rsidR="00B40FB5" w:rsidTr="006A1B81">
        <w:tc>
          <w:tcPr>
            <w:tcW w:w="1526" w:type="dxa"/>
          </w:tcPr>
          <w:p w:rsidRPr="00B40FB5" w:rsidR="00B40FB5" w:rsidP="00B40FB5" w:rsidRDefault="00B40FB5">
            <w:r w:rsidRPr="00B40FB5">
              <w:t>21 mei</w:t>
            </w:r>
          </w:p>
        </w:tc>
        <w:tc>
          <w:tcPr>
            <w:tcW w:w="5949" w:type="dxa"/>
          </w:tcPr>
          <w:p w:rsidRPr="00B40FB5" w:rsidR="00B40FB5" w:rsidP="00B40FB5" w:rsidRDefault="00B40FB5">
            <w:r w:rsidRPr="00B40FB5">
              <w:t>Rapport bij de Nationale verklaring 2014</w:t>
            </w:r>
          </w:p>
        </w:tc>
        <w:tc>
          <w:tcPr>
            <w:tcW w:w="1076" w:type="dxa"/>
          </w:tcPr>
          <w:p w:rsidRPr="00B40FB5" w:rsidR="00B40FB5" w:rsidP="00B40FB5" w:rsidRDefault="00B40FB5">
            <w:r w:rsidRPr="00B40FB5">
              <w:t>RU</w:t>
            </w:r>
          </w:p>
        </w:tc>
      </w:tr>
      <w:tr w:rsidRPr="00B40FB5" w:rsidR="00B40FB5" w:rsidTr="006A1B81">
        <w:tc>
          <w:tcPr>
            <w:tcW w:w="1526" w:type="dxa"/>
          </w:tcPr>
          <w:p w:rsidRPr="00B40FB5" w:rsidR="00B40FB5" w:rsidP="00B40FB5" w:rsidRDefault="00B40FB5">
            <w:r w:rsidRPr="00B40FB5">
              <w:t>5 juni</w:t>
            </w:r>
          </w:p>
        </w:tc>
        <w:tc>
          <w:tcPr>
            <w:tcW w:w="5949" w:type="dxa"/>
          </w:tcPr>
          <w:p w:rsidRPr="00B40FB5" w:rsidR="00B40FB5" w:rsidP="00B40FB5" w:rsidRDefault="00B40FB5">
            <w:r w:rsidRPr="00B40FB5">
              <w:t>Kosten en opbrengsten leerlingen voortgezet onderwijs (scholierenonderzoek)</w:t>
            </w:r>
          </w:p>
        </w:tc>
        <w:tc>
          <w:tcPr>
            <w:tcW w:w="1076" w:type="dxa"/>
          </w:tcPr>
          <w:p w:rsidRPr="00B40FB5" w:rsidR="00B40FB5" w:rsidP="00B40FB5" w:rsidRDefault="00B40FB5">
            <w:r w:rsidRPr="00B40FB5">
              <w:t>OCW</w:t>
            </w:r>
          </w:p>
        </w:tc>
      </w:tr>
      <w:tr w:rsidRPr="00B40FB5" w:rsidR="00B40FB5" w:rsidTr="006A1B81">
        <w:tc>
          <w:tcPr>
            <w:tcW w:w="1526" w:type="dxa"/>
          </w:tcPr>
          <w:p w:rsidRPr="00B40FB5" w:rsidR="00B40FB5" w:rsidP="00B40FB5" w:rsidRDefault="00B40FB5">
            <w:r w:rsidRPr="00B40FB5">
              <w:t>10 juni</w:t>
            </w:r>
          </w:p>
        </w:tc>
        <w:tc>
          <w:tcPr>
            <w:tcW w:w="5949" w:type="dxa"/>
          </w:tcPr>
          <w:p w:rsidRPr="00B40FB5" w:rsidR="00B40FB5" w:rsidP="00B40FB5" w:rsidRDefault="00B40FB5">
            <w:r w:rsidRPr="00B40FB5">
              <w:t xml:space="preserve">Verzoekonderzoek bekostiging voortgezet onderwijs  </w:t>
            </w:r>
          </w:p>
        </w:tc>
        <w:tc>
          <w:tcPr>
            <w:tcW w:w="1076" w:type="dxa"/>
          </w:tcPr>
          <w:p w:rsidRPr="00B40FB5" w:rsidR="00B40FB5" w:rsidP="00B40FB5" w:rsidRDefault="00B40FB5">
            <w:r w:rsidRPr="00B40FB5">
              <w:t>OCW</w:t>
            </w:r>
          </w:p>
        </w:tc>
      </w:tr>
      <w:tr w:rsidRPr="00B40FB5" w:rsidR="00B40FB5" w:rsidTr="006A1B81">
        <w:tc>
          <w:tcPr>
            <w:tcW w:w="1526" w:type="dxa"/>
          </w:tcPr>
          <w:p w:rsidRPr="00B40FB5" w:rsidR="00B40FB5" w:rsidP="00B40FB5" w:rsidRDefault="00B40FB5">
            <w:r w:rsidRPr="00B40FB5">
              <w:t>12 juni</w:t>
            </w:r>
          </w:p>
        </w:tc>
        <w:tc>
          <w:tcPr>
            <w:tcW w:w="5949" w:type="dxa"/>
          </w:tcPr>
          <w:p w:rsidRPr="00B40FB5" w:rsidR="00B40FB5" w:rsidP="00B40FB5" w:rsidRDefault="00B40FB5">
            <w:r w:rsidRPr="00B40FB5">
              <w:t>Exploitatie HSL-Zuid</w:t>
            </w:r>
          </w:p>
        </w:tc>
        <w:tc>
          <w:tcPr>
            <w:tcW w:w="1076" w:type="dxa"/>
          </w:tcPr>
          <w:p w:rsidRPr="00B40FB5" w:rsidR="00B40FB5" w:rsidP="00B40FB5" w:rsidRDefault="00B40FB5">
            <w:proofErr w:type="spellStart"/>
            <w:r w:rsidRPr="00B40FB5">
              <w:t>IenM</w:t>
            </w:r>
            <w:proofErr w:type="spellEnd"/>
          </w:p>
        </w:tc>
      </w:tr>
      <w:tr w:rsidRPr="00B40FB5" w:rsidR="00B40FB5" w:rsidTr="006A1B81">
        <w:tc>
          <w:tcPr>
            <w:tcW w:w="1526" w:type="dxa"/>
          </w:tcPr>
          <w:p w:rsidRPr="00B40FB5" w:rsidR="00B40FB5" w:rsidP="00B40FB5" w:rsidRDefault="00B40FB5">
            <w:r w:rsidRPr="00B40FB5">
              <w:t>25 juni</w:t>
            </w:r>
          </w:p>
        </w:tc>
        <w:tc>
          <w:tcPr>
            <w:tcW w:w="5949" w:type="dxa"/>
          </w:tcPr>
          <w:p w:rsidRPr="00B40FB5" w:rsidR="00B40FB5" w:rsidP="00B40FB5" w:rsidRDefault="00B40FB5">
            <w:r w:rsidRPr="00B40FB5">
              <w:t xml:space="preserve">Beheer landelijk </w:t>
            </w:r>
            <w:proofErr w:type="spellStart"/>
            <w:r w:rsidRPr="00B40FB5">
              <w:t>electriciteitsnet</w:t>
            </w:r>
            <w:proofErr w:type="spellEnd"/>
            <w:r w:rsidRPr="00B40FB5">
              <w:t xml:space="preserve"> (</w:t>
            </w:r>
            <w:proofErr w:type="spellStart"/>
            <w:r w:rsidRPr="00B40FB5">
              <w:t>Tennet</w:t>
            </w:r>
            <w:proofErr w:type="spellEnd"/>
            <w:r w:rsidRPr="00B40FB5">
              <w:t>)</w:t>
            </w:r>
          </w:p>
        </w:tc>
        <w:tc>
          <w:tcPr>
            <w:tcW w:w="1076" w:type="dxa"/>
          </w:tcPr>
          <w:p w:rsidRPr="00B40FB5" w:rsidR="00B40FB5" w:rsidP="00B40FB5" w:rsidRDefault="00B40FB5">
            <w:r w:rsidRPr="00B40FB5">
              <w:t>EZ</w:t>
            </w:r>
          </w:p>
        </w:tc>
      </w:tr>
      <w:tr w:rsidRPr="00B40FB5" w:rsidR="00B40FB5" w:rsidTr="006A1B81">
        <w:tc>
          <w:tcPr>
            <w:tcW w:w="1526" w:type="dxa"/>
          </w:tcPr>
          <w:p w:rsidRPr="00B40FB5" w:rsidR="00B40FB5" w:rsidP="00B40FB5" w:rsidRDefault="00B40FB5">
            <w:r w:rsidRPr="00B40FB5">
              <w:t>26 juni</w:t>
            </w:r>
          </w:p>
        </w:tc>
        <w:tc>
          <w:tcPr>
            <w:tcW w:w="5949" w:type="dxa"/>
          </w:tcPr>
          <w:p w:rsidRPr="00B40FB5" w:rsidR="00B40FB5" w:rsidP="00B40FB5" w:rsidRDefault="00B40FB5">
            <w:r w:rsidRPr="00B40FB5">
              <w:t>Heffing en invordering van rijksbelastingen</w:t>
            </w:r>
          </w:p>
        </w:tc>
        <w:tc>
          <w:tcPr>
            <w:tcW w:w="1076" w:type="dxa"/>
          </w:tcPr>
          <w:p w:rsidRPr="00B40FB5" w:rsidR="00B40FB5" w:rsidP="00B40FB5" w:rsidRDefault="00B40FB5">
            <w:r w:rsidRPr="00B40FB5">
              <w:t>FIN</w:t>
            </w:r>
          </w:p>
        </w:tc>
      </w:tr>
      <w:tr w:rsidRPr="00B40FB5" w:rsidR="00B40FB5" w:rsidTr="006A1B81">
        <w:tc>
          <w:tcPr>
            <w:tcW w:w="1526" w:type="dxa"/>
          </w:tcPr>
          <w:p w:rsidRPr="00B40FB5" w:rsidR="00B40FB5" w:rsidP="00B40FB5" w:rsidRDefault="00B40FB5">
            <w:r w:rsidRPr="00B40FB5">
              <w:t>2</w:t>
            </w:r>
            <w:r w:rsidRPr="00B40FB5">
              <w:rPr>
                <w:vertAlign w:val="superscript"/>
              </w:rPr>
              <w:t>e</w:t>
            </w:r>
            <w:r w:rsidRPr="00B40FB5">
              <w:t xml:space="preserve"> kwartaal</w:t>
            </w:r>
          </w:p>
        </w:tc>
        <w:tc>
          <w:tcPr>
            <w:tcW w:w="5949" w:type="dxa"/>
          </w:tcPr>
          <w:p w:rsidRPr="00B40FB5" w:rsidR="00B40FB5" w:rsidP="00B40FB5" w:rsidRDefault="00B40FB5">
            <w:r w:rsidRPr="00B40FB5">
              <w:t>Verzoekonderzoek Budget voor decentralisatie Jeugdzorg. Toets op de berekening (deel 2 uitvoeringskosten)</w:t>
            </w:r>
          </w:p>
        </w:tc>
        <w:tc>
          <w:tcPr>
            <w:tcW w:w="1076" w:type="dxa"/>
          </w:tcPr>
          <w:p w:rsidRPr="00B40FB5" w:rsidR="00B40FB5" w:rsidP="00B40FB5" w:rsidRDefault="00B40FB5">
            <w:r w:rsidRPr="00B40FB5">
              <w:t>VWS</w:t>
            </w:r>
          </w:p>
        </w:tc>
      </w:tr>
      <w:tr w:rsidRPr="00B40FB5" w:rsidR="00B40FB5" w:rsidTr="006A1B81">
        <w:tc>
          <w:tcPr>
            <w:tcW w:w="1526" w:type="dxa"/>
          </w:tcPr>
          <w:p w:rsidRPr="00B40FB5" w:rsidR="00B40FB5" w:rsidP="00B40FB5" w:rsidRDefault="00B40FB5">
            <w:r w:rsidRPr="00B40FB5">
              <w:t>2e kwartaal</w:t>
            </w:r>
          </w:p>
        </w:tc>
        <w:tc>
          <w:tcPr>
            <w:tcW w:w="5949" w:type="dxa"/>
          </w:tcPr>
          <w:p w:rsidRPr="00B40FB5" w:rsidR="00B40FB5" w:rsidP="00B40FB5" w:rsidRDefault="00B40FB5">
            <w:r w:rsidRPr="00B40FB5">
              <w:t>Beheer, onderhoud en vervanging hoofdwegennet</w:t>
            </w:r>
          </w:p>
        </w:tc>
        <w:tc>
          <w:tcPr>
            <w:tcW w:w="1076" w:type="dxa"/>
          </w:tcPr>
          <w:p w:rsidRPr="00B40FB5" w:rsidR="00B40FB5" w:rsidP="00B40FB5" w:rsidRDefault="00B40FB5">
            <w:proofErr w:type="spellStart"/>
            <w:r w:rsidRPr="00B40FB5">
              <w:t>IenM</w:t>
            </w:r>
            <w:proofErr w:type="spellEnd"/>
          </w:p>
        </w:tc>
      </w:tr>
      <w:tr w:rsidRPr="00B40FB5" w:rsidR="00B40FB5" w:rsidTr="006A1B81">
        <w:tc>
          <w:tcPr>
            <w:tcW w:w="1526" w:type="dxa"/>
          </w:tcPr>
          <w:p w:rsidRPr="00B40FB5" w:rsidR="00B40FB5" w:rsidP="00B40FB5" w:rsidRDefault="00B40FB5">
            <w:r w:rsidRPr="00B40FB5">
              <w:t>2e kwartaal</w:t>
            </w:r>
          </w:p>
        </w:tc>
        <w:tc>
          <w:tcPr>
            <w:tcW w:w="5949" w:type="dxa"/>
          </w:tcPr>
          <w:p w:rsidRPr="00B40FB5" w:rsidR="00B40FB5" w:rsidP="00B40FB5" w:rsidRDefault="00B40FB5">
            <w:r w:rsidRPr="00B40FB5">
              <w:t>Decentralisatie: Informatiearrangementen</w:t>
            </w:r>
          </w:p>
        </w:tc>
        <w:tc>
          <w:tcPr>
            <w:tcW w:w="1076" w:type="dxa"/>
          </w:tcPr>
          <w:p w:rsidRPr="00B40FB5" w:rsidR="00B40FB5" w:rsidP="00B40FB5" w:rsidRDefault="00B40FB5">
            <w:r w:rsidRPr="00B40FB5">
              <w:t>BiZa</w:t>
            </w:r>
          </w:p>
        </w:tc>
      </w:tr>
      <w:tr w:rsidRPr="00B40FB5" w:rsidR="00B40FB5" w:rsidTr="006A1B81">
        <w:tc>
          <w:tcPr>
            <w:tcW w:w="1526" w:type="dxa"/>
          </w:tcPr>
          <w:p w:rsidRPr="00B40FB5" w:rsidR="00B40FB5" w:rsidP="00B40FB5" w:rsidRDefault="00B40FB5">
            <w:r w:rsidRPr="00B40FB5">
              <w:t>2e kwartaal</w:t>
            </w:r>
          </w:p>
        </w:tc>
        <w:tc>
          <w:tcPr>
            <w:tcW w:w="5949" w:type="dxa"/>
          </w:tcPr>
          <w:p w:rsidRPr="00B40FB5" w:rsidR="00B40FB5" w:rsidP="00B40FB5" w:rsidRDefault="00B40FB5">
            <w:r w:rsidRPr="00B40FB5">
              <w:t>Webdossier Belastinguitgaven en milieubelasting</w:t>
            </w:r>
          </w:p>
        </w:tc>
        <w:tc>
          <w:tcPr>
            <w:tcW w:w="1076" w:type="dxa"/>
          </w:tcPr>
          <w:p w:rsidRPr="00B40FB5" w:rsidR="00B40FB5" w:rsidP="00B40FB5" w:rsidRDefault="00B40FB5">
            <w:r w:rsidRPr="00B40FB5">
              <w:t>Fin</w:t>
            </w:r>
          </w:p>
        </w:tc>
      </w:tr>
      <w:tr w:rsidRPr="00B40FB5" w:rsidR="00B40FB5" w:rsidTr="006A1B81">
        <w:tc>
          <w:tcPr>
            <w:tcW w:w="1526" w:type="dxa"/>
          </w:tcPr>
          <w:p w:rsidRPr="00B40FB5" w:rsidR="00B40FB5" w:rsidP="00B40FB5" w:rsidRDefault="00B40FB5">
            <w:r w:rsidRPr="00B40FB5">
              <w:t>2e kwartaal</w:t>
            </w:r>
          </w:p>
        </w:tc>
        <w:tc>
          <w:tcPr>
            <w:tcW w:w="5949" w:type="dxa"/>
          </w:tcPr>
          <w:p w:rsidRPr="00B40FB5" w:rsidR="00B40FB5" w:rsidP="00B40FB5" w:rsidRDefault="00B40FB5">
            <w:r w:rsidRPr="00B40FB5">
              <w:t>Ambities en capaciteit rampenbestrijding en crisisbeheersing</w:t>
            </w:r>
          </w:p>
        </w:tc>
        <w:tc>
          <w:tcPr>
            <w:tcW w:w="1076" w:type="dxa"/>
          </w:tcPr>
          <w:p w:rsidRPr="00B40FB5" w:rsidR="00B40FB5" w:rsidP="00B40FB5" w:rsidRDefault="00B40FB5">
            <w:r w:rsidRPr="00B40FB5">
              <w:t>BiZa</w:t>
            </w:r>
          </w:p>
        </w:tc>
      </w:tr>
      <w:tr w:rsidRPr="00B40FB5" w:rsidR="00B40FB5" w:rsidTr="006A1B81">
        <w:tc>
          <w:tcPr>
            <w:tcW w:w="1526" w:type="dxa"/>
          </w:tcPr>
          <w:p w:rsidRPr="00B40FB5" w:rsidR="00B40FB5" w:rsidP="00B40FB5" w:rsidRDefault="00B40FB5">
            <w:r w:rsidRPr="00B40FB5">
              <w:t>2e kwartaal</w:t>
            </w:r>
          </w:p>
        </w:tc>
        <w:tc>
          <w:tcPr>
            <w:tcW w:w="5949" w:type="dxa"/>
          </w:tcPr>
          <w:p w:rsidRPr="00B40FB5" w:rsidR="00B40FB5" w:rsidP="00B40FB5" w:rsidRDefault="00B40FB5">
            <w:r w:rsidRPr="00B40FB5">
              <w:t>Vastgoed</w:t>
            </w:r>
          </w:p>
        </w:tc>
        <w:tc>
          <w:tcPr>
            <w:tcW w:w="1076" w:type="dxa"/>
          </w:tcPr>
          <w:p w:rsidRPr="00B40FB5" w:rsidR="00B40FB5" w:rsidP="00B40FB5" w:rsidRDefault="00B40FB5">
            <w:r w:rsidRPr="00B40FB5">
              <w:t>FIN</w:t>
            </w:r>
          </w:p>
        </w:tc>
      </w:tr>
    </w:tbl>
    <w:tbl>
      <w:tblPr>
        <w:tblW w:w="0" w:type="auto"/>
        <w:tblCellSpacing w:w="15" w:type="dxa"/>
        <w:tblInd w:w="720" w:type="dxa"/>
        <w:tblCellMar>
          <w:left w:w="0" w:type="dxa"/>
          <w:right w:w="0" w:type="dxa"/>
        </w:tblCellMar>
        <w:tblLook w:val="04A0" w:firstRow="1" w:lastRow="0" w:firstColumn="1" w:lastColumn="0" w:noHBand="0" w:noVBand="1"/>
      </w:tblPr>
      <w:tblGrid>
        <w:gridCol w:w="96"/>
      </w:tblGrid>
      <w:tr w:rsidRPr="00B40FB5" w:rsidR="00B40FB5" w:rsidTr="006A1B81">
        <w:trPr>
          <w:tblCellSpacing w:w="15" w:type="dxa"/>
        </w:trPr>
        <w:tc>
          <w:tcPr>
            <w:tcW w:w="0" w:type="auto"/>
            <w:tcMar>
              <w:top w:w="15" w:type="dxa"/>
              <w:left w:w="15" w:type="dxa"/>
              <w:bottom w:w="15" w:type="dxa"/>
              <w:right w:w="15" w:type="dxa"/>
            </w:tcMar>
            <w:vAlign w:val="center"/>
            <w:hideMark/>
          </w:tcPr>
          <w:p w:rsidRPr="00B40FB5" w:rsidR="00B40FB5" w:rsidP="00B40FB5" w:rsidRDefault="00B40FB5">
            <w:pPr>
              <w:rPr>
                <w:rFonts w:ascii="Calibri" w:hAnsi="Calibri" w:eastAsiaTheme="minorHAnsi"/>
                <w:sz w:val="22"/>
              </w:rPr>
            </w:pPr>
          </w:p>
        </w:tc>
      </w:tr>
      <w:tr w:rsidRPr="00B40FB5" w:rsidR="00B40FB5" w:rsidTr="006A1B81">
        <w:trPr>
          <w:tblCellSpacing w:w="15" w:type="dxa"/>
        </w:trPr>
        <w:tc>
          <w:tcPr>
            <w:tcW w:w="0" w:type="auto"/>
            <w:tcMar>
              <w:top w:w="15" w:type="dxa"/>
              <w:left w:w="15" w:type="dxa"/>
              <w:bottom w:w="15" w:type="dxa"/>
              <w:right w:w="15" w:type="dxa"/>
            </w:tcMar>
            <w:vAlign w:val="center"/>
            <w:hideMark/>
          </w:tcPr>
          <w:p w:rsidRPr="00B40FB5" w:rsidR="00B40FB5" w:rsidP="00B40FB5" w:rsidRDefault="00B40FB5">
            <w:pPr>
              <w:rPr>
                <w:rFonts w:ascii="Calibri" w:hAnsi="Calibri" w:eastAsiaTheme="minorHAnsi"/>
                <w:sz w:val="22"/>
              </w:rPr>
            </w:pPr>
          </w:p>
        </w:tc>
      </w:tr>
      <w:tr w:rsidRPr="00B40FB5" w:rsidR="00B40FB5" w:rsidTr="006A1B81">
        <w:trPr>
          <w:tblCellSpacing w:w="15" w:type="dxa"/>
        </w:trPr>
        <w:tc>
          <w:tcPr>
            <w:tcW w:w="0" w:type="auto"/>
            <w:tcMar>
              <w:top w:w="15" w:type="dxa"/>
              <w:left w:w="15" w:type="dxa"/>
              <w:bottom w:w="15" w:type="dxa"/>
              <w:right w:w="15" w:type="dxa"/>
            </w:tcMar>
            <w:vAlign w:val="center"/>
            <w:hideMark/>
          </w:tcPr>
          <w:p w:rsidRPr="00B40FB5" w:rsidR="00B40FB5" w:rsidP="00B40FB5" w:rsidRDefault="00B40FB5">
            <w:pPr>
              <w:rPr>
                <w:rFonts w:ascii="Calibri" w:hAnsi="Calibri" w:eastAsiaTheme="minorHAnsi"/>
                <w:sz w:val="22"/>
              </w:rPr>
            </w:pPr>
          </w:p>
        </w:tc>
      </w:tr>
      <w:tr w:rsidRPr="00B40FB5" w:rsidR="00B40FB5" w:rsidTr="006A1B81">
        <w:trPr>
          <w:trHeight w:val="30"/>
          <w:tblCellSpacing w:w="15" w:type="dxa"/>
        </w:trPr>
        <w:tc>
          <w:tcPr>
            <w:tcW w:w="0" w:type="auto"/>
            <w:tcMar>
              <w:top w:w="15" w:type="dxa"/>
              <w:left w:w="15" w:type="dxa"/>
              <w:bottom w:w="15" w:type="dxa"/>
              <w:right w:w="15" w:type="dxa"/>
            </w:tcMar>
            <w:vAlign w:val="center"/>
            <w:hideMark/>
          </w:tcPr>
          <w:p w:rsidRPr="00B40FB5" w:rsidR="00B40FB5" w:rsidP="00B40FB5" w:rsidRDefault="00B40FB5">
            <w:pPr>
              <w:rPr>
                <w:rFonts w:ascii="Calibri" w:hAnsi="Calibri" w:eastAsiaTheme="minorHAnsi"/>
                <w:sz w:val="22"/>
              </w:rPr>
            </w:pPr>
          </w:p>
        </w:tc>
      </w:tr>
      <w:tr w:rsidRPr="00B40FB5" w:rsidR="00B40FB5" w:rsidTr="006A1B81">
        <w:trPr>
          <w:tblCellSpacing w:w="15" w:type="dxa"/>
        </w:trPr>
        <w:tc>
          <w:tcPr>
            <w:tcW w:w="0" w:type="auto"/>
            <w:tcMar>
              <w:top w:w="15" w:type="dxa"/>
              <w:left w:w="15" w:type="dxa"/>
              <w:bottom w:w="15" w:type="dxa"/>
              <w:right w:w="15" w:type="dxa"/>
            </w:tcMar>
            <w:vAlign w:val="center"/>
            <w:hideMark/>
          </w:tcPr>
          <w:p w:rsidRPr="00B40FB5" w:rsidR="00B40FB5" w:rsidP="00B40FB5" w:rsidRDefault="00B40FB5">
            <w:pPr>
              <w:rPr>
                <w:rFonts w:ascii="Calibri" w:hAnsi="Calibri" w:eastAsiaTheme="minorHAnsi"/>
                <w:sz w:val="22"/>
              </w:rPr>
            </w:pPr>
          </w:p>
        </w:tc>
      </w:tr>
    </w:tbl>
    <w:p w:rsidRPr="00B40FB5" w:rsidR="00B40FB5" w:rsidP="00B40FB5" w:rsidRDefault="00B40FB5">
      <w:r w:rsidRPr="00B40FB5">
        <w:t>Korte motivering voor de rapporten waarbij de commissie voor de Rijksuitgaven zelf het voortouw neemt:</w:t>
      </w:r>
    </w:p>
    <w:p w:rsidRPr="00B40FB5" w:rsidR="00B40FB5" w:rsidP="00B40FB5" w:rsidRDefault="00B40FB5">
      <w:pPr>
        <w:numPr>
          <w:ilvl w:val="0"/>
          <w:numId w:val="14"/>
        </w:numPr>
        <w:contextualSpacing/>
      </w:pPr>
      <w:r w:rsidRPr="00B40FB5">
        <w:rPr>
          <w:color w:val="0070C0"/>
        </w:rPr>
        <w:t xml:space="preserve">Bestuur op afstand </w:t>
      </w:r>
      <w:r w:rsidRPr="00B40FB5">
        <w:t>(20 maart 2014)</w:t>
      </w:r>
    </w:p>
    <w:p w:rsidRPr="00B40FB5" w:rsidR="00B40FB5" w:rsidP="00B40FB5" w:rsidRDefault="00B40FB5">
      <w:pPr>
        <w:numPr>
          <w:ilvl w:val="1"/>
          <w:numId w:val="14"/>
        </w:numPr>
        <w:contextualSpacing/>
      </w:pPr>
      <w:r w:rsidRPr="00B40FB5">
        <w:rPr>
          <w:u w:val="single"/>
        </w:rPr>
        <w:t>Motivering</w:t>
      </w:r>
      <w:r w:rsidRPr="00B40FB5">
        <w:t>: vanwege samenhang met het onderwerp ‘(Financieel) beheer en toezicht op instellingen met een publiek belang’ (waarvoor het voortouw reeds bij Rijksuitgaven ligt).</w:t>
      </w:r>
    </w:p>
    <w:p w:rsidRPr="00B40FB5" w:rsidR="00B40FB5" w:rsidP="00B40FB5" w:rsidRDefault="00B40FB5">
      <w:pPr>
        <w:numPr>
          <w:ilvl w:val="0"/>
          <w:numId w:val="14"/>
        </w:numPr>
        <w:contextualSpacing/>
      </w:pPr>
      <w:r w:rsidRPr="00B40FB5">
        <w:rPr>
          <w:color w:val="0070C0"/>
        </w:rPr>
        <w:t xml:space="preserve">Bezuinigen / lastenverzwaringen </w:t>
      </w:r>
      <w:r w:rsidRPr="00B40FB5">
        <w:t>(april / mei)</w:t>
      </w:r>
      <w:r w:rsidRPr="00B40FB5">
        <w:rPr>
          <w:color w:val="0070C0"/>
        </w:rPr>
        <w:t>:</w:t>
      </w:r>
    </w:p>
    <w:p w:rsidRPr="00B40FB5" w:rsidR="00B40FB5" w:rsidP="00B40FB5" w:rsidRDefault="00B40FB5">
      <w:pPr>
        <w:numPr>
          <w:ilvl w:val="1"/>
          <w:numId w:val="14"/>
        </w:numPr>
        <w:contextualSpacing/>
      </w:pPr>
      <w:r w:rsidRPr="00B40FB5">
        <w:rPr>
          <w:color w:val="0070C0"/>
        </w:rPr>
        <w:t>Kinderopvangtoeslag</w:t>
      </w:r>
    </w:p>
    <w:p w:rsidRPr="00B40FB5" w:rsidR="00B40FB5" w:rsidP="00B40FB5" w:rsidRDefault="00B40FB5">
      <w:pPr>
        <w:numPr>
          <w:ilvl w:val="1"/>
          <w:numId w:val="14"/>
        </w:numPr>
        <w:contextualSpacing/>
      </w:pPr>
      <w:r w:rsidRPr="00B40FB5">
        <w:rPr>
          <w:color w:val="0070C0"/>
        </w:rPr>
        <w:t>Groen beleggen</w:t>
      </w:r>
    </w:p>
    <w:p w:rsidRPr="00B40FB5" w:rsidR="00B40FB5" w:rsidP="00B40FB5" w:rsidRDefault="00B40FB5">
      <w:pPr>
        <w:numPr>
          <w:ilvl w:val="1"/>
          <w:numId w:val="14"/>
        </w:numPr>
        <w:contextualSpacing/>
      </w:pPr>
      <w:r w:rsidRPr="00B40FB5">
        <w:rPr>
          <w:color w:val="0070C0"/>
        </w:rPr>
        <w:t>Assurantiebelasting</w:t>
      </w:r>
    </w:p>
    <w:p w:rsidRPr="00B40FB5" w:rsidR="00B40FB5" w:rsidP="00B40FB5" w:rsidRDefault="00B40FB5">
      <w:pPr>
        <w:numPr>
          <w:ilvl w:val="1"/>
          <w:numId w:val="14"/>
        </w:numPr>
        <w:contextualSpacing/>
      </w:pPr>
      <w:r w:rsidRPr="00B40FB5">
        <w:t>Motivering: Voor al deze onderwerpen staat de financiële component centraal, alsook de wijze waarop de bezuinigingen en lastenverzwaringen in de begrotingssystematiek door de verantwoordelijke bewindspersonen aan de Kamer worden verantwoord. De commissie voor de Rijksuitgaven neemt het voortouw vanwege haar voorlichtende en ondersteunende taak voor de Kamer bij de uitoefening van het budgetrecht en de financiële controle.</w:t>
      </w:r>
    </w:p>
    <w:p w:rsidRPr="00B40FB5" w:rsidR="00B40FB5" w:rsidP="00B40FB5" w:rsidRDefault="00B40FB5">
      <w:pPr>
        <w:numPr>
          <w:ilvl w:val="0"/>
          <w:numId w:val="14"/>
        </w:numPr>
        <w:contextualSpacing/>
      </w:pPr>
      <w:r w:rsidRPr="00B40FB5">
        <w:rPr>
          <w:color w:val="0070C0"/>
        </w:rPr>
        <w:lastRenderedPageBreak/>
        <w:t xml:space="preserve"> 2013 van de Algemene Rekenkamer </w:t>
      </w:r>
      <w:r w:rsidRPr="00B40FB5">
        <w:t>(27 maart 2014)</w:t>
      </w:r>
    </w:p>
    <w:p w:rsidRPr="00B40FB5" w:rsidR="00B40FB5" w:rsidP="00B40FB5" w:rsidRDefault="00B40FB5">
      <w:pPr>
        <w:numPr>
          <w:ilvl w:val="1"/>
          <w:numId w:val="14"/>
        </w:numPr>
        <w:contextualSpacing/>
      </w:pPr>
      <w:r w:rsidRPr="00B40FB5">
        <w:t>Motivering: vanwege coördinerende rol Rijksuitgaven in relatie tot de Algemene Rekenkamer (zoals ook in voorgaande jaren).</w:t>
      </w:r>
    </w:p>
    <w:p w:rsidRPr="00B40FB5" w:rsidR="00B40FB5" w:rsidP="00B40FB5" w:rsidRDefault="00B40FB5">
      <w:pPr>
        <w:numPr>
          <w:ilvl w:val="0"/>
          <w:numId w:val="14"/>
        </w:numPr>
        <w:contextualSpacing/>
      </w:pPr>
      <w:r w:rsidRPr="00B40FB5">
        <w:rPr>
          <w:color w:val="0070C0"/>
        </w:rPr>
        <w:t xml:space="preserve">Trendrapport Open data </w:t>
      </w:r>
      <w:r w:rsidRPr="00B40FB5">
        <w:t>(27 maart 2013)</w:t>
      </w:r>
    </w:p>
    <w:p w:rsidRPr="00B40FB5" w:rsidR="00B40FB5" w:rsidP="00B40FB5" w:rsidRDefault="00B40FB5">
      <w:pPr>
        <w:numPr>
          <w:ilvl w:val="1"/>
          <w:numId w:val="14"/>
        </w:numPr>
        <w:contextualSpacing/>
      </w:pPr>
      <w:r w:rsidRPr="00B40FB5">
        <w:t>Motivering: (criterium 1b: betreft de relatie open data en rijksuitgaven; is een onderwerp dat kabinetsbreed aandacht vraagt).</w:t>
      </w:r>
    </w:p>
    <w:p w:rsidRPr="00B40FB5" w:rsidR="00B40FB5" w:rsidP="00B40FB5" w:rsidRDefault="00B40FB5">
      <w:pPr>
        <w:numPr>
          <w:ilvl w:val="0"/>
          <w:numId w:val="14"/>
        </w:numPr>
        <w:contextualSpacing/>
      </w:pPr>
      <w:r w:rsidRPr="00B40FB5">
        <w:rPr>
          <w:color w:val="0070C0"/>
        </w:rPr>
        <w:t xml:space="preserve">Staat van de Rijksverantwoording </w:t>
      </w:r>
      <w:r w:rsidRPr="00B40FB5">
        <w:t>(21 mei 2014)</w:t>
      </w:r>
    </w:p>
    <w:p w:rsidRPr="00B40FB5" w:rsidR="00B40FB5" w:rsidP="00B40FB5" w:rsidRDefault="00B40FB5">
      <w:pPr>
        <w:numPr>
          <w:ilvl w:val="1"/>
          <w:numId w:val="14"/>
        </w:numPr>
        <w:contextualSpacing/>
      </w:pPr>
      <w:r w:rsidRPr="00B40FB5">
        <w:rPr>
          <w:u w:val="single"/>
        </w:rPr>
        <w:t>Motivering</w:t>
      </w:r>
      <w:r w:rsidRPr="00B40FB5">
        <w:t>: vanwege de kerntaak van de commissie op het terrein van verbetering verantwoording en begroting (zoals ook in vorige jaren).</w:t>
      </w:r>
    </w:p>
    <w:p w:rsidRPr="00B40FB5" w:rsidR="00B40FB5" w:rsidP="00B40FB5" w:rsidRDefault="00B40FB5">
      <w:pPr>
        <w:numPr>
          <w:ilvl w:val="0"/>
          <w:numId w:val="14"/>
        </w:numPr>
        <w:contextualSpacing/>
      </w:pPr>
      <w:r w:rsidRPr="00B40FB5">
        <w:rPr>
          <w:color w:val="0070C0"/>
        </w:rPr>
        <w:t xml:space="preserve">Beleid in de praktijk </w:t>
      </w:r>
      <w:r w:rsidRPr="00B40FB5">
        <w:t>(21 mei 2014)</w:t>
      </w:r>
    </w:p>
    <w:p w:rsidRPr="00B40FB5" w:rsidR="00B40FB5" w:rsidP="00B40FB5" w:rsidRDefault="00B40FB5">
      <w:pPr>
        <w:numPr>
          <w:ilvl w:val="1"/>
          <w:numId w:val="14"/>
        </w:numPr>
        <w:contextualSpacing/>
      </w:pPr>
      <w:r w:rsidRPr="00B40FB5">
        <w:rPr>
          <w:u w:val="single"/>
        </w:rPr>
        <w:t>Motivering</w:t>
      </w:r>
      <w:r w:rsidRPr="00B40FB5">
        <w:t>: vanwege samenhang met het thema beleidsevaluaties en – doorlichtingen (criterium 1b: onderwerpen die kabinetsbreed aandacht vragen)</w:t>
      </w:r>
    </w:p>
    <w:p w:rsidRPr="00B40FB5" w:rsidR="00B40FB5" w:rsidP="00B40FB5" w:rsidRDefault="00B40FB5">
      <w:pPr>
        <w:numPr>
          <w:ilvl w:val="0"/>
          <w:numId w:val="14"/>
        </w:numPr>
        <w:contextualSpacing/>
      </w:pPr>
      <w:r w:rsidRPr="00B40FB5">
        <w:rPr>
          <w:color w:val="0070C0"/>
        </w:rPr>
        <w:t xml:space="preserve">Rapport bij de Nationale verklaring 2014 </w:t>
      </w:r>
      <w:r w:rsidRPr="00B40FB5">
        <w:t>(21 mei 2014)</w:t>
      </w:r>
    </w:p>
    <w:p w:rsidRPr="00B40FB5" w:rsidR="00B40FB5" w:rsidP="00B40FB5" w:rsidRDefault="00B40FB5">
      <w:pPr>
        <w:numPr>
          <w:ilvl w:val="1"/>
          <w:numId w:val="14"/>
        </w:numPr>
        <w:contextualSpacing/>
      </w:pPr>
      <w:r w:rsidRPr="00B40FB5">
        <w:rPr>
          <w:u w:val="single"/>
        </w:rPr>
        <w:t>Motivering</w:t>
      </w:r>
      <w:r w:rsidRPr="00B40FB5">
        <w:t>: vanwege de kerntaak van de commissie op het terrein van verbetering verantwoording en begroting (zoals ook in vorige jaren).</w:t>
      </w:r>
    </w:p>
    <w:p w:rsidRPr="00B40FB5" w:rsidR="00B40FB5" w:rsidP="00B40FB5" w:rsidRDefault="00B40FB5"/>
    <w:p w:rsidRPr="00B40FB5" w:rsidR="00B40FB5" w:rsidP="00B40FB5" w:rsidRDefault="00B40FB5">
      <w:r w:rsidRPr="00B40FB5">
        <w:t>Op deze wijze geeft de commissie voor de Rijksuitgaven invulling aan haar coördinerende rol en aan haar specifieke taak op het gebied van ministerie overstijgende budgettaire en comptabele vraagstukken.</w:t>
      </w:r>
    </w:p>
    <w:p w:rsidRPr="00B40FB5" w:rsidR="00B40FB5" w:rsidP="00B40FB5" w:rsidRDefault="00B40FB5"/>
    <w:p w:rsidRPr="00B40FB5" w:rsidR="00B40FB5" w:rsidP="00B40FB5" w:rsidRDefault="00B40FB5">
      <w:r w:rsidRPr="00B40FB5">
        <w:t>Voor griffiers betekent bovenstaande werkwijze dat de opgebouwde contacten met hun vaste contactpersonen bij de Algemene Rekenkamer over de aanbieding van rapporten aan hun commissies van grote waarde blijven, opdat in voorkomende gevallen over en weer tijdig kan worden geanticipeerd op een zo goed mogelijke timing van briefings.</w:t>
      </w:r>
    </w:p>
    <w:p w:rsidRPr="00B40FB5" w:rsidR="00B40FB5" w:rsidP="00B40FB5" w:rsidRDefault="00B40FB5">
      <w:r w:rsidRPr="00B40FB5">
        <w:t xml:space="preserve">Het meest actuele publicatieschema van de Algemene Rekenkamer is te vinden op </w:t>
      </w:r>
      <w:hyperlink w:history="1" r:id="rId15">
        <w:r w:rsidRPr="00B40FB5">
          <w:rPr>
            <w:color w:val="0000FF" w:themeColor="hyperlink"/>
            <w:u w:val="single"/>
          </w:rPr>
          <w:t>http://www.rekenkamer.nl/Nieuws/Werkprogramma</w:t>
        </w:r>
      </w:hyperlink>
      <w:r w:rsidRPr="00B40FB5">
        <w:t xml:space="preserve"> .</w:t>
      </w:r>
    </w:p>
    <w:p w:rsidRPr="00B40FB5" w:rsidR="00B40FB5" w:rsidP="00B40FB5" w:rsidRDefault="00B40FB5"/>
    <w:p w:rsidR="0054648F" w:rsidP="00B40FB5" w:rsidRDefault="0054648F"/>
    <w:p w:rsidR="0054648F" w:rsidP="00B40FB5" w:rsidRDefault="0054648F">
      <w:r>
        <w:t>Met vriendelijke groet,</w:t>
      </w:r>
    </w:p>
    <w:p w:rsidR="0054648F" w:rsidP="00B40FB5" w:rsidRDefault="0054648F"/>
    <w:p w:rsidRPr="00B40FB5" w:rsidR="00B40FB5" w:rsidP="00B40FB5" w:rsidRDefault="00B40FB5">
      <w:r w:rsidRPr="00B40FB5">
        <w:t>De voorzitter van de commissie voor de Rijksuitgaven,</w:t>
      </w:r>
    </w:p>
    <w:p w:rsidRPr="00B40FB5" w:rsidR="00B40FB5" w:rsidP="00B40FB5" w:rsidRDefault="00B40FB5"/>
    <w:p w:rsidR="0054648F" w:rsidP="00B40FB5" w:rsidRDefault="0054648F"/>
    <w:p w:rsidR="0054648F" w:rsidP="00B40FB5" w:rsidRDefault="0054648F"/>
    <w:p w:rsidRPr="00B40FB5" w:rsidR="00B40FB5" w:rsidP="00B40FB5" w:rsidRDefault="00B40FB5">
      <w:r>
        <w:t xml:space="preserve">M.G.J. </w:t>
      </w:r>
      <w:r w:rsidRPr="00B40FB5">
        <w:t>Harbers,</w:t>
      </w:r>
    </w:p>
    <w:p w:rsidRPr="00B40FB5" w:rsidR="00B40FB5" w:rsidP="00B40FB5" w:rsidRDefault="00B40FB5"/>
    <w:p w:rsidRPr="00B40FB5" w:rsidR="00B40FB5" w:rsidP="00B40FB5" w:rsidRDefault="00B40FB5">
      <w:r w:rsidRPr="00B40FB5">
        <w:t>De griffier van de commissie voor de Rijksuitgaven,</w:t>
      </w:r>
    </w:p>
    <w:p w:rsidRPr="00B40FB5" w:rsidR="00B40FB5" w:rsidP="00B40FB5" w:rsidRDefault="00B40FB5"/>
    <w:p w:rsidR="0054648F" w:rsidP="00B40FB5" w:rsidRDefault="0054648F"/>
    <w:p w:rsidR="0054648F" w:rsidP="00B40FB5" w:rsidRDefault="0054648F"/>
    <w:p w:rsidR="00786BD0" w:rsidP="0054648F" w:rsidRDefault="00B40FB5">
      <w:pPr>
        <w:rPr>
          <w:i/>
          <w:szCs w:val="17"/>
        </w:rPr>
      </w:pPr>
      <w:r>
        <w:t xml:space="preserve">E.A.J. </w:t>
      </w:r>
      <w:r w:rsidRPr="00B40FB5">
        <w:t>Groen</w:t>
      </w:r>
    </w:p>
    <w:sectPr w:rsidR="00786BD0">
      <w:headerReference w:type="default" r:id="rId16"/>
      <w:footerReference w:type="default" r:id="rId17"/>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D0" w:rsidRDefault="00FC319C">
      <w:r>
        <w:separator/>
      </w:r>
    </w:p>
  </w:endnote>
  <w:endnote w:type="continuationSeparator" w:id="0">
    <w:p w:rsidR="00786BD0" w:rsidRDefault="00FC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C6" w:rsidRDefault="00AB68C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C6" w:rsidRDefault="00AB68C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C6" w:rsidRDefault="00AB68C6">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D0" w:rsidRDefault="00FC319C">
    <w:pPr>
      <w:pStyle w:val="Voettekst"/>
    </w:pPr>
    <w:r>
      <w:rPr>
        <w:noProof/>
        <w:lang w:eastAsia="nl-NL"/>
      </w:rPr>
      <mc:AlternateContent>
        <mc:Choice Requires="wps">
          <w:drawing>
            <wp:anchor distT="0" distB="0" distL="0" distR="0" simplePos="0" relativeHeight="251660288" behindDoc="0" locked="1" layoutInCell="1" allowOverlap="1">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786BD0" w:rsidRDefault="00FC319C">
                          <w:pPr>
                            <w:pStyle w:val="Huisstijl-Paginanummer"/>
                          </w:pPr>
                          <w:r>
                            <w:t xml:space="preserve">pagina </w:t>
                          </w:r>
                          <w:r>
                            <w:fldChar w:fldCharType="begin"/>
                          </w:r>
                          <w:r>
                            <w:instrText xml:space="preserve"> PAGE  \* Arabic  \* MERGEFORMAT </w:instrText>
                          </w:r>
                          <w:r>
                            <w:fldChar w:fldCharType="separate"/>
                          </w:r>
                          <w:r w:rsidR="000B4DCA">
                            <w:rPr>
                              <w:noProof/>
                            </w:rPr>
                            <w:t>2</w:t>
                          </w:r>
                          <w:r>
                            <w:fldChar w:fldCharType="end"/>
                          </w:r>
                          <w:r>
                            <w:t>/</w:t>
                          </w:r>
                          <w:r w:rsidR="000B4DCA">
                            <w:fldChar w:fldCharType="begin"/>
                          </w:r>
                          <w:r w:rsidR="000B4DCA">
                            <w:instrText xml:space="preserve"> NUMPAGES  \* Arabic  \* MERGEFORMAT </w:instrText>
                          </w:r>
                          <w:r w:rsidR="000B4DCA">
                            <w:fldChar w:fldCharType="separate"/>
                          </w:r>
                          <w:r w:rsidR="000B4DCA">
                            <w:rPr>
                              <w:noProof/>
                            </w:rPr>
                            <w:t>3</w:t>
                          </w:r>
                          <w:r w:rsidR="000B4DCA">
                            <w:rPr>
                              <w:noProof/>
                            </w:rPr>
                            <w:fldChar w:fldCharType="end"/>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786BD0" w:rsidRDefault="00FC319C">
                    <w:pPr>
                      <w:pStyle w:val="Huisstijl-Paginanummer"/>
                    </w:pPr>
                    <w:r>
                      <w:t xml:space="preserve">pagina </w:t>
                    </w:r>
                    <w:r>
                      <w:fldChar w:fldCharType="begin"/>
                    </w:r>
                    <w:r>
                      <w:instrText xml:space="preserve"> PAGE  \* Arabic  \* MERGEFORMAT </w:instrText>
                    </w:r>
                    <w:r>
                      <w:fldChar w:fldCharType="separate"/>
                    </w:r>
                    <w:r w:rsidR="000B4DCA">
                      <w:rPr>
                        <w:noProof/>
                      </w:rPr>
                      <w:t>2</w:t>
                    </w:r>
                    <w:r>
                      <w:fldChar w:fldCharType="end"/>
                    </w:r>
                    <w:r>
                      <w:t>/</w:t>
                    </w:r>
                    <w:r w:rsidR="000B4DCA">
                      <w:fldChar w:fldCharType="begin"/>
                    </w:r>
                    <w:r w:rsidR="000B4DCA">
                      <w:instrText xml:space="preserve"> NUMPAGES  \* Arabic  \* MERGEFORMAT </w:instrText>
                    </w:r>
                    <w:r w:rsidR="000B4DCA">
                      <w:fldChar w:fldCharType="separate"/>
                    </w:r>
                    <w:r w:rsidR="000B4DCA">
                      <w:rPr>
                        <w:noProof/>
                      </w:rPr>
                      <w:t>3</w:t>
                    </w:r>
                    <w:r w:rsidR="000B4DCA">
                      <w:rPr>
                        <w:noProof/>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D0" w:rsidRDefault="00FC319C">
      <w:r>
        <w:separator/>
      </w:r>
    </w:p>
  </w:footnote>
  <w:footnote w:type="continuationSeparator" w:id="0">
    <w:p w:rsidR="00786BD0" w:rsidRDefault="00FC3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C6" w:rsidRDefault="00AB68C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D0" w:rsidRDefault="00FC319C">
    <w:pPr>
      <w:pStyle w:val="Koptekst"/>
    </w:pPr>
    <w:r>
      <w:rPr>
        <w:noProof/>
        <w:lang w:eastAsia="nl-NL"/>
      </w:rPr>
      <w:drawing>
        <wp:anchor distT="0" distB="0" distL="114300" distR="114300" simplePos="0" relativeHeight="251664384" behindDoc="1" locked="0" layoutInCell="1" allowOverlap="1" wp14:anchorId="50E71A74" wp14:editId="4CEEA630">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14:anchorId="7A6A554D" wp14:editId="5C577151">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C6" w:rsidRDefault="00AB68C6">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D0" w:rsidRDefault="00FC319C">
    <w:pPr>
      <w:pStyle w:val="Koptekst"/>
    </w:pPr>
    <w:r>
      <w:rPr>
        <w:noProof/>
        <w:lang w:eastAsia="nl-NL"/>
      </w:rPr>
      <mc:AlternateContent>
        <mc:Choice Requires="wps">
          <w:drawing>
            <wp:anchor distT="0" distB="0" distL="114300" distR="114300" simplePos="0" relativeHeight="251662336" behindDoc="0" locked="0" layoutInCell="1" allowOverlap="1">
              <wp:simplePos x="0" y="0"/>
              <wp:positionH relativeFrom="page">
                <wp:posOffset>323850</wp:posOffset>
              </wp:positionH>
              <wp:positionV relativeFrom="page">
                <wp:posOffset>1429385</wp:posOffset>
              </wp:positionV>
              <wp:extent cx="6150634" cy="561975"/>
              <wp:effectExtent l="0" t="0" r="2540" b="0"/>
              <wp:wrapNone/>
              <wp:docPr id="10" name="Tekstvak 10"/>
              <wp:cNvGraphicFramePr/>
              <a:graphic xmlns:a="http://schemas.openxmlformats.org/drawingml/2006/main">
                <a:graphicData uri="http://schemas.microsoft.com/office/word/2010/wordprocessingShape">
                  <wps:wsp>
                    <wps:cNvSpPr txBox="1"/>
                    <wps:spPr>
                      <a:xfrm>
                        <a:off x="0" y="0"/>
                        <a:ext cx="6150634"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BD0" w:rsidRDefault="00FC319C">
                          <w:pPr>
                            <w:pStyle w:val="Huisstijl-Gegevens"/>
                            <w:tabs>
                              <w:tab w:val="right" w:pos="1540"/>
                              <w:tab w:val="left" w:pos="1701"/>
                            </w:tabs>
                          </w:pPr>
                          <w:r>
                            <w:tab/>
                            <w:t>datum</w:t>
                          </w:r>
                          <w:r>
                            <w:tab/>
                          </w:r>
                          <w:sdt>
                            <w:sdtPr>
                              <w:alias w:val="Memo Datum"/>
                              <w:tag w:val="Memo_Datum"/>
                              <w:id w:val="-635875179"/>
                              <w:dataBinding w:prefixMappings="xmlns:dg='http://docgen.org/date' " w:xpath="/dg:DocgenData[1]/dg:Memo_Datum[1]" w:storeItemID="{1DC06787-A76B-47EA-9955-AD87E820CE3D}"/>
                              <w:date w:fullDate="2014-03-10T00:00:00Z">
                                <w:dateFormat w:val="d MMMM YYYY"/>
                                <w:lid w:val="nl-NL"/>
                                <w:storeMappedDataAs w:val="dateTime"/>
                                <w:calendar w:val="gregorian"/>
                              </w:date>
                            </w:sdtPr>
                            <w:sdtEndPr/>
                            <w:sdtContent>
                              <w:r>
                                <w:t>10 maart 2014</w:t>
                              </w:r>
                            </w:sdtContent>
                          </w:sdt>
                        </w:p>
                        <w:p w:rsidR="00786BD0" w:rsidRDefault="00FC319C">
                          <w:pPr>
                            <w:pStyle w:val="Huisstijl-Gegevens"/>
                            <w:tabs>
                              <w:tab w:val="right" w:pos="1540"/>
                              <w:tab w:val="left" w:pos="1701"/>
                            </w:tabs>
                          </w:pPr>
                          <w:r>
                            <w:tab/>
                            <w:t>betreft</w:t>
                          </w:r>
                          <w:r>
                            <w:tab/>
                            <w:t>Behandeling rapporten Algemene Rekenkamer</w:t>
                          </w:r>
                        </w:p>
                        <w:p w:rsidR="00786BD0" w:rsidRDefault="00FC319C">
                          <w:pPr>
                            <w:pStyle w:val="GegevensW1"/>
                          </w:pPr>
                          <w:r>
                            <w:tab/>
                            <w:t>kenmerk</w:t>
                          </w:r>
                          <w:r>
                            <w:tab/>
                            <w:t>2014D08550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0" o:spid="_x0000_s1030" type="#_x0000_t202" style="position:absolute;margin-left:25.5pt;margin-top:112.55pt;width:484.3pt;height:44.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786BD0" w:rsidRDefault="00FC319C">
                    <w:pPr>
                      <w:pStyle w:val="Huisstijl-Gegevens"/>
                      <w:tabs>
                        <w:tab w:val="right" w:pos="1540"/>
                        <w:tab w:val="left" w:pos="1701"/>
                      </w:tabs>
                    </w:pPr>
                    <w:r>
                      <w:tab/>
                    </w:r>
                    <w:r>
                      <w:t>datum</w:t>
                    </w:r>
                    <w:r>
                      <w:tab/>
                    </w:r>
                    <w:sdt>
                      <w:sdtPr>
                        <w:alias w:val="Memo Datum"/>
                        <w:tag w:val="Memo_Datum"/>
                        <w:id w:val="-635875179"/>
                        <w:dataBinding w:prefixMappings="xmlns:dg='http://docgen.org/date' " w:xpath="/dg:DocgenData[1]/dg:Memo_Datum[1]" w:storeItemID="{1DC06787-A76B-47EA-9955-AD87E820CE3D}"/>
                        <w:date w:fullDate="2014-03-10T00:00:00Z">
                          <w:dateFormat w:val="d MMMM YYYY"/>
                          <w:lid w:val="nl-NL"/>
                          <w:storeMappedDataAs w:val="dateTime"/>
                          <w:calendar w:val="gregorian"/>
                        </w:date>
                      </w:sdtPr>
                      <w:sdtEndPr/>
                      <w:sdtContent>
                        <w:r>
                          <w:t>10 maart 2014</w:t>
                        </w:r>
                      </w:sdtContent>
                    </w:sdt>
                  </w:p>
                  <w:p w:rsidR="00786BD0" w:rsidRDefault="00FC319C">
                    <w:pPr>
                      <w:pStyle w:val="Huisstijl-Gegevens"/>
                      <w:tabs>
                        <w:tab w:val="right" w:pos="1540"/>
                        <w:tab w:val="left" w:pos="1701"/>
                      </w:tabs>
                    </w:pPr>
                    <w:r>
                      <w:tab/>
                      <w:t>betreft</w:t>
                    </w:r>
                    <w:r>
                      <w:tab/>
                      <w:t>Behandeling rapporten Algemene Rekenkamer</w:t>
                    </w:r>
                  </w:p>
                  <w:p w:rsidR="00786BD0" w:rsidRDefault="00FC319C">
                    <w:pPr>
                      <w:pStyle w:val="GegevensW1"/>
                    </w:pPr>
                    <w:r>
                      <w:tab/>
                      <w:t>kenmerk</w:t>
                    </w:r>
                    <w:r>
                      <w:tab/>
                      <w:t>2014D08550</w:t>
                    </w:r>
                  </w:p>
                </w:txbxContent>
              </v:textbox>
              <w10:wrap anchorx="page" anchory="page"/>
            </v:shape>
          </w:pict>
        </mc:Fallback>
      </mc:AlternateContent>
    </w:r>
    <w:r>
      <w:rPr>
        <w:noProof/>
        <w:lang w:eastAsia="nl-NL"/>
      </w:rPr>
      <w:drawing>
        <wp:anchor distT="0" distB="0" distL="114300" distR="114300" simplePos="0" relativeHeight="251665408" behindDoc="1" locked="0" layoutInCell="1" allowOverlap="1">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0CAC4474"/>
    <w:multiLevelType w:val="hybridMultilevel"/>
    <w:tmpl w:val="48E04088"/>
    <w:lvl w:ilvl="0" w:tplc="C218CABC">
      <w:start w:val="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22443594"/>
    <w:multiLevelType w:val="hybridMultilevel"/>
    <w:tmpl w:val="F014EA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D0"/>
    <w:rsid w:val="000B4DCA"/>
    <w:rsid w:val="0018647C"/>
    <w:rsid w:val="005246B5"/>
    <w:rsid w:val="0054648F"/>
    <w:rsid w:val="005C4E97"/>
    <w:rsid w:val="007578E7"/>
    <w:rsid w:val="00786BD0"/>
    <w:rsid w:val="00A92228"/>
    <w:rsid w:val="00AB68C6"/>
    <w:rsid w:val="00B40FB5"/>
    <w:rsid w:val="00CA55B0"/>
    <w:rsid w:val="00FC319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table" w:customStyle="1" w:styleId="Tabelraster1">
    <w:name w:val="Tabelraster1"/>
    <w:basedOn w:val="Standaardtabel"/>
    <w:next w:val="Tabelraster"/>
    <w:uiPriority w:val="99"/>
    <w:rsid w:val="00B40F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5246B5"/>
    <w:rPr>
      <w:color w:val="0000FF" w:themeColor="hyperlink"/>
      <w:u w:val="single"/>
    </w:rPr>
  </w:style>
  <w:style w:type="character" w:styleId="GevolgdeHyperlink">
    <w:name w:val="FollowedHyperlink"/>
    <w:basedOn w:val="Standaardalinea-lettertype"/>
    <w:uiPriority w:val="99"/>
    <w:semiHidden/>
    <w:unhideWhenUsed/>
    <w:rsid w:val="005246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table" w:customStyle="1" w:styleId="Tabelraster1">
    <w:name w:val="Tabelraster1"/>
    <w:basedOn w:val="Standaardtabel"/>
    <w:next w:val="Tabelraster"/>
    <w:uiPriority w:val="99"/>
    <w:rsid w:val="00B40F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5246B5"/>
    <w:rPr>
      <w:color w:val="0000FF" w:themeColor="hyperlink"/>
      <w:u w:val="single"/>
    </w:rPr>
  </w:style>
  <w:style w:type="character" w:styleId="GevolgdeHyperlink">
    <w:name w:val="FollowedHyperlink"/>
    <w:basedOn w:val="Standaardalinea-lettertype"/>
    <w:uiPriority w:val="99"/>
    <w:semiHidden/>
    <w:unhideWhenUsed/>
    <w:rsid w:val="005246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942">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1019501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www.rekenkamer.nl/Nieuws/Werkprogramma" TargetMode="External" Id="rId15" /><Relationship Type="http://schemas.openxmlformats.org/officeDocument/2006/relationships/header" Target="header2.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723</ap:Words>
  <ap:Characters>4656</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2011-08-30T15:26:00.0000000Z</lastPrinted>
  <dcterms:created xsi:type="dcterms:W3CDTF">2014-03-10T13:17:00.0000000Z</dcterms:created>
  <dcterms:modified xsi:type="dcterms:W3CDTF">2014-03-11T13:51:00.0000000Z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0x010100E5A19EA5BB9C514AADDB6EA2631B4CDE</vt:lpwstr>
  </property>
</Properties>
</file>