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39" w:rsidP="002D6592" w:rsidRDefault="00FF1953">
      <w:pPr>
        <w:rPr>
          <w:rFonts w:cs="Arial"/>
          <w:b/>
        </w:rPr>
      </w:pPr>
    </w:p>
    <w:p w:rsidR="00060739" w:rsidP="002D6592" w:rsidRDefault="00FF1953">
      <w:pPr>
        <w:rPr>
          <w:rFonts w:cs="Arial"/>
          <w:b/>
        </w:rPr>
      </w:pPr>
    </w:p>
    <w:p w:rsidR="00060739" w:rsidP="002D6592" w:rsidRDefault="00FF1953">
      <w:pPr>
        <w:rPr>
          <w:rFonts w:cs="Arial"/>
          <w:b/>
        </w:rPr>
      </w:pPr>
    </w:p>
    <w:p w:rsidR="00060739" w:rsidP="002D6592" w:rsidRDefault="00FF1953">
      <w:pPr>
        <w:rPr>
          <w:rFonts w:cs="Arial"/>
          <w:b/>
        </w:rPr>
      </w:pPr>
    </w:p>
    <w:p w:rsidR="00060739" w:rsidP="002D6592" w:rsidRDefault="00FF1953">
      <w:pPr>
        <w:rPr>
          <w:rFonts w:cs="Arial"/>
          <w:b/>
        </w:rPr>
      </w:pPr>
    </w:p>
    <w:p w:rsidRPr="00C01CA1" w:rsidR="002D6592" w:rsidP="002D6592" w:rsidRDefault="00FF1953">
      <w:pPr>
        <w:rPr>
          <w:rFonts w:cs="Arial"/>
          <w:b/>
        </w:rPr>
      </w:pPr>
      <w:r>
        <w:rPr>
          <w:rFonts w:cs="Arial"/>
          <w:b/>
        </w:rPr>
        <w:t>Bijlage Overgang naar</w:t>
      </w:r>
      <w:r w:rsidRPr="00C01CA1">
        <w:rPr>
          <w:rFonts w:cs="Arial"/>
          <w:b/>
        </w:rPr>
        <w:t xml:space="preserve"> de Zvw, Wlz en Wmo2015</w:t>
      </w:r>
    </w:p>
    <w:p w:rsidRPr="00E94B71" w:rsidR="00E94B71" w:rsidP="002D6592" w:rsidRDefault="00FF1953">
      <w:pPr>
        <w:rPr>
          <w:bCs/>
          <w:szCs w:val="18"/>
        </w:rPr>
      </w:pPr>
    </w:p>
    <w:p w:rsidRPr="00E94B71" w:rsidR="00E94B71" w:rsidP="002D6592" w:rsidRDefault="00FF1953">
      <w:pPr>
        <w:rPr>
          <w:bCs/>
          <w:szCs w:val="18"/>
        </w:rPr>
      </w:pPr>
      <w:r w:rsidRPr="00E94B71">
        <w:rPr>
          <w:bCs/>
          <w:szCs w:val="18"/>
        </w:rPr>
        <w:t xml:space="preserve">Deze bijlage geeft een </w:t>
      </w:r>
      <w:r>
        <w:rPr>
          <w:bCs/>
          <w:szCs w:val="18"/>
        </w:rPr>
        <w:t xml:space="preserve">overzicht van de overgang </w:t>
      </w:r>
      <w:r w:rsidRPr="00E94B71">
        <w:rPr>
          <w:bCs/>
          <w:szCs w:val="18"/>
        </w:rPr>
        <w:t>voor</w:t>
      </w:r>
      <w:r>
        <w:rPr>
          <w:bCs/>
          <w:szCs w:val="18"/>
        </w:rPr>
        <w:t xml:space="preserve"> huidige</w:t>
      </w:r>
      <w:r w:rsidRPr="00E94B71">
        <w:rPr>
          <w:bCs/>
          <w:szCs w:val="18"/>
        </w:rPr>
        <w:t xml:space="preserve"> cl</w:t>
      </w:r>
      <w:r>
        <w:rPr>
          <w:bCs/>
          <w:szCs w:val="18"/>
        </w:rPr>
        <w:t>iënten met een AWBZ-indicatie die te maken krijgen met de Zvw, de Wmo 2015 en de Wlz.</w:t>
      </w:r>
    </w:p>
    <w:p w:rsidR="00E94B71" w:rsidP="002D6592" w:rsidRDefault="00FF1953">
      <w:pPr>
        <w:rPr>
          <w:b/>
          <w:bCs/>
          <w:szCs w:val="18"/>
        </w:rPr>
      </w:pPr>
    </w:p>
    <w:p w:rsidR="00E94B71" w:rsidP="002D6592" w:rsidRDefault="00FF1953">
      <w:pPr>
        <w:rPr>
          <w:b/>
          <w:bCs/>
          <w:szCs w:val="18"/>
        </w:rPr>
      </w:pPr>
      <w:r w:rsidRPr="00B378C1">
        <w:rPr>
          <w:b/>
          <w:bCs/>
          <w:szCs w:val="18"/>
        </w:rPr>
        <w:t>Overgang</w:t>
      </w:r>
      <w:r>
        <w:rPr>
          <w:b/>
          <w:bCs/>
          <w:szCs w:val="18"/>
        </w:rPr>
        <w:t xml:space="preserve">srecht </w:t>
      </w:r>
      <w:r w:rsidRPr="00B378C1">
        <w:rPr>
          <w:b/>
          <w:bCs/>
          <w:szCs w:val="18"/>
        </w:rPr>
        <w:t>Z</w:t>
      </w:r>
      <w:r>
        <w:rPr>
          <w:b/>
          <w:bCs/>
          <w:szCs w:val="18"/>
        </w:rPr>
        <w:t>orgverzekeringswet (Zvw)</w:t>
      </w:r>
    </w:p>
    <w:p w:rsidRPr="00B378C1" w:rsidR="00E94B71" w:rsidP="002D6592" w:rsidRDefault="00FF1953">
      <w:pPr>
        <w:rPr>
          <w:b/>
          <w:bCs/>
          <w:szCs w:val="18"/>
        </w:rPr>
      </w:pPr>
    </w:p>
    <w:p w:rsidRPr="00B378C1" w:rsidR="002D6592" w:rsidP="002D6592" w:rsidRDefault="00FF1953">
      <w:pPr>
        <w:pStyle w:val="Lijstalinea"/>
        <w:numPr>
          <w:ilvl w:val="2"/>
          <w:numId w:val="1"/>
        </w:numPr>
        <w:ind w:left="284" w:hanging="284"/>
        <w:rPr>
          <w:rFonts w:ascii="Verdana" w:hAnsi="Verdana"/>
          <w:sz w:val="18"/>
          <w:szCs w:val="18"/>
        </w:rPr>
      </w:pPr>
      <w:r w:rsidRPr="00B378C1">
        <w:rPr>
          <w:rFonts w:ascii="Verdana" w:hAnsi="Verdana"/>
          <w:sz w:val="18"/>
          <w:szCs w:val="18"/>
        </w:rPr>
        <w:t>De rechten van cliënten verschuiven per 2015 van een wettelijk recht op AWBZ-zorg naar een wettelijk recht op Zvw-zorg. De zorgverzekeraar in de Zvw heeft zorgplicht.</w:t>
      </w:r>
    </w:p>
    <w:p w:rsidR="002D6592" w:rsidP="002D6592" w:rsidRDefault="00FF1953">
      <w:pPr>
        <w:pStyle w:val="Lijstalinea"/>
        <w:numPr>
          <w:ilvl w:val="2"/>
          <w:numId w:val="1"/>
        </w:numPr>
        <w:ind w:left="284" w:hanging="284"/>
        <w:rPr>
          <w:rFonts w:ascii="Verdana" w:hAnsi="Verdana"/>
          <w:sz w:val="18"/>
          <w:szCs w:val="18"/>
        </w:rPr>
      </w:pPr>
      <w:r w:rsidRPr="00B378C1">
        <w:rPr>
          <w:rFonts w:ascii="Verdana" w:hAnsi="Verdana"/>
          <w:sz w:val="18"/>
          <w:szCs w:val="18"/>
        </w:rPr>
        <w:t>Om de continuïteit van zorg voor cliënten te borgen</w:t>
      </w:r>
      <w:r>
        <w:rPr>
          <w:rFonts w:ascii="Verdana" w:hAnsi="Verdana"/>
          <w:sz w:val="18"/>
          <w:szCs w:val="18"/>
        </w:rPr>
        <w:t>,</w:t>
      </w:r>
      <w:r w:rsidRPr="00B378C1">
        <w:rPr>
          <w:rFonts w:ascii="Verdana" w:hAnsi="Verdana"/>
          <w:sz w:val="18"/>
          <w:szCs w:val="18"/>
        </w:rPr>
        <w:t xml:space="preserve"> beschouwen verzekeraars cliënten die</w:t>
      </w:r>
      <w:r w:rsidRPr="00B378C1">
        <w:rPr>
          <w:rFonts w:ascii="Verdana" w:hAnsi="Verdana"/>
          <w:sz w:val="18"/>
          <w:szCs w:val="18"/>
        </w:rPr>
        <w:t xml:space="preserve"> op 31 december 2014 een geldig indicatiebesluit voor verpleging of verzorging in de AWBZ hebben, en waarvan de geldigheidsduur nog niet is verstreken of die in zorg zijn, door zorgverzekeraars op 1 januari 2015 als zijnde in het bezit van een geldige verw</w:t>
      </w:r>
      <w:r w:rsidRPr="00B378C1">
        <w:rPr>
          <w:rFonts w:ascii="Verdana" w:hAnsi="Verdana"/>
          <w:sz w:val="18"/>
          <w:szCs w:val="18"/>
        </w:rPr>
        <w:t xml:space="preserve">ijzing voor wijkverpleging op grond van de Zvw. Dit betekent dat alle cliënten die in zorg zijn op 1 januari 2015 zorg kunnen ontvangen van dezelfde aanbieder. Dit betekent niet dat de zorg </w:t>
      </w:r>
      <w:r>
        <w:rPr>
          <w:rFonts w:ascii="Verdana" w:hAnsi="Verdana"/>
          <w:sz w:val="18"/>
          <w:szCs w:val="18"/>
        </w:rPr>
        <w:t>precies</w:t>
      </w:r>
      <w:r w:rsidRPr="00B378C1">
        <w:rPr>
          <w:rFonts w:ascii="Verdana" w:hAnsi="Verdana"/>
          <w:sz w:val="18"/>
          <w:szCs w:val="18"/>
        </w:rPr>
        <w:t xml:space="preserve"> hetzelfde is als de zorg die cliënten gewend waren vanuit </w:t>
      </w:r>
      <w:r w:rsidRPr="00B378C1">
        <w:rPr>
          <w:rFonts w:ascii="Verdana" w:hAnsi="Verdana"/>
          <w:sz w:val="18"/>
          <w:szCs w:val="18"/>
        </w:rPr>
        <w:t xml:space="preserve">de AWBZ te ontvangen. In de loop van 2015 kan het zijn dat er, binnen het recht op zorg dat er in de Zvw is, een </w:t>
      </w:r>
      <w:r>
        <w:rPr>
          <w:rFonts w:ascii="Verdana" w:hAnsi="Verdana"/>
          <w:sz w:val="18"/>
          <w:szCs w:val="18"/>
        </w:rPr>
        <w:t>beter passende</w:t>
      </w:r>
      <w:r w:rsidRPr="00B378C1">
        <w:rPr>
          <w:rFonts w:ascii="Verdana" w:hAnsi="Verdana"/>
          <w:sz w:val="18"/>
          <w:szCs w:val="18"/>
        </w:rPr>
        <w:t xml:space="preserve"> invulling aan zorg gegeven wordt.</w:t>
      </w:r>
    </w:p>
    <w:p w:rsidRPr="003F6D7B" w:rsidR="00FE7C7B" w:rsidP="00FE7C7B" w:rsidRDefault="00FF1953">
      <w:pPr>
        <w:rPr>
          <w:b/>
          <w:bCs/>
          <w:szCs w:val="18"/>
        </w:rPr>
      </w:pPr>
      <w:r w:rsidRPr="003F6D7B">
        <w:rPr>
          <w:b/>
          <w:bCs/>
          <w:szCs w:val="18"/>
        </w:rPr>
        <w:t>Overgangsrecht Wmo 2015</w:t>
      </w:r>
    </w:p>
    <w:p w:rsidRPr="00B378C1" w:rsidR="00FE7C7B" w:rsidP="00FE7C7B" w:rsidRDefault="00FF1953">
      <w:pPr>
        <w:rPr>
          <w:b/>
          <w:bCs/>
          <w:szCs w:val="18"/>
        </w:rPr>
      </w:pPr>
      <w:r>
        <w:rPr>
          <w:b/>
          <w:bCs/>
          <w:szCs w:val="18"/>
        </w:rPr>
        <w:t xml:space="preserve"> </w:t>
      </w:r>
    </w:p>
    <w:p w:rsidR="00FE7C7B" w:rsidP="00FE7C7B" w:rsidRDefault="00FF1953">
      <w:pPr>
        <w:pStyle w:val="Lijstalinea"/>
        <w:numPr>
          <w:ilvl w:val="0"/>
          <w:numId w:val="3"/>
        </w:numPr>
        <w:spacing w:line="240" w:lineRule="atLeast"/>
        <w:ind w:left="284" w:hanging="284"/>
        <w:rPr>
          <w:rFonts w:ascii="Verdana" w:hAnsi="Verdana"/>
          <w:sz w:val="18"/>
          <w:szCs w:val="18"/>
        </w:rPr>
      </w:pPr>
      <w:r>
        <w:rPr>
          <w:rFonts w:ascii="Verdana" w:hAnsi="Verdana"/>
          <w:sz w:val="18"/>
          <w:szCs w:val="18"/>
        </w:rPr>
        <w:t xml:space="preserve">Indicaties voor </w:t>
      </w:r>
      <w:r w:rsidRPr="00760F2E">
        <w:rPr>
          <w:rFonts w:ascii="Verdana" w:hAnsi="Verdana"/>
          <w:sz w:val="18"/>
          <w:szCs w:val="18"/>
        </w:rPr>
        <w:t>AWBZ-zorg</w:t>
      </w:r>
      <w:r>
        <w:rPr>
          <w:rFonts w:ascii="Verdana" w:hAnsi="Verdana"/>
          <w:sz w:val="18"/>
          <w:szCs w:val="18"/>
        </w:rPr>
        <w:t xml:space="preserve"> die doorlopen na 1 januari 2015 vervallen als gevolg van de decentralisatie naar de Wmo 2015. Mensen met een indicatie die doorloopt na 1 januari 2015 behouden</w:t>
      </w:r>
      <w:r w:rsidRPr="00760F2E">
        <w:rPr>
          <w:rFonts w:ascii="Verdana" w:hAnsi="Verdana"/>
          <w:sz w:val="18"/>
          <w:szCs w:val="18"/>
        </w:rPr>
        <w:t xml:space="preserve"> gedurende de looptijd van hun indicatiebesluit – maar uiterlijk tot het einde van 2015 – </w:t>
      </w:r>
      <w:r>
        <w:rPr>
          <w:rFonts w:ascii="Verdana" w:hAnsi="Verdana"/>
          <w:sz w:val="18"/>
          <w:szCs w:val="18"/>
        </w:rPr>
        <w:t>het</w:t>
      </w:r>
      <w:r w:rsidRPr="00760F2E">
        <w:rPr>
          <w:rFonts w:ascii="Verdana" w:hAnsi="Verdana"/>
          <w:sz w:val="18"/>
          <w:szCs w:val="18"/>
        </w:rPr>
        <w:t xml:space="preserve"> re</w:t>
      </w:r>
      <w:r w:rsidRPr="00760F2E">
        <w:rPr>
          <w:rFonts w:ascii="Verdana" w:hAnsi="Verdana"/>
          <w:sz w:val="18"/>
          <w:szCs w:val="18"/>
        </w:rPr>
        <w:t>cht op die zorg die aan het indicatiebesluit verbonden is, onder de condities die daarvoor onder de AWBZ van toepassing waren</w:t>
      </w:r>
      <w:r>
        <w:rPr>
          <w:rFonts w:ascii="Verdana" w:hAnsi="Verdana"/>
          <w:sz w:val="18"/>
          <w:szCs w:val="18"/>
        </w:rPr>
        <w:t>, waaronder de eigen bijdrage</w:t>
      </w:r>
      <w:r w:rsidRPr="00760F2E">
        <w:rPr>
          <w:rFonts w:ascii="Verdana" w:hAnsi="Verdana"/>
          <w:sz w:val="18"/>
          <w:szCs w:val="18"/>
        </w:rPr>
        <w:t xml:space="preserve">. </w:t>
      </w:r>
    </w:p>
    <w:p w:rsidR="00FE7C7B" w:rsidP="00FE7C7B" w:rsidRDefault="00FF1953">
      <w:pPr>
        <w:pStyle w:val="Lijstalinea"/>
        <w:numPr>
          <w:ilvl w:val="0"/>
          <w:numId w:val="3"/>
        </w:numPr>
        <w:spacing w:line="240" w:lineRule="atLeast"/>
        <w:ind w:left="284" w:hanging="284"/>
        <w:rPr>
          <w:rFonts w:ascii="Verdana" w:hAnsi="Verdana"/>
          <w:sz w:val="18"/>
          <w:szCs w:val="18"/>
        </w:rPr>
      </w:pPr>
      <w:r w:rsidRPr="00760F2E">
        <w:rPr>
          <w:rFonts w:ascii="Verdana" w:hAnsi="Verdana"/>
          <w:sz w:val="18"/>
          <w:szCs w:val="18"/>
        </w:rPr>
        <w:t>Een vergelijkbaar overgangsrecht is voorzien voor mensen die ervoor hebben gekozen hun AWBZ-zorg ze</w:t>
      </w:r>
      <w:r w:rsidRPr="00760F2E">
        <w:rPr>
          <w:rFonts w:ascii="Verdana" w:hAnsi="Verdana"/>
          <w:sz w:val="18"/>
          <w:szCs w:val="18"/>
        </w:rPr>
        <w:t>lf in te kopen met een persoonsgebonden budget.</w:t>
      </w:r>
    </w:p>
    <w:p w:rsidRPr="00D2155B" w:rsidR="00FE7C7B" w:rsidP="00FE7C7B" w:rsidRDefault="00FF1953">
      <w:pPr>
        <w:pStyle w:val="Lijstalinea"/>
        <w:numPr>
          <w:ilvl w:val="0"/>
          <w:numId w:val="3"/>
        </w:numPr>
        <w:spacing w:line="240" w:lineRule="atLeast"/>
        <w:ind w:left="284" w:hanging="284"/>
        <w:rPr>
          <w:rFonts w:ascii="Verdana" w:hAnsi="Verdana"/>
          <w:sz w:val="18"/>
          <w:szCs w:val="18"/>
        </w:rPr>
      </w:pPr>
      <w:r>
        <w:rPr>
          <w:rFonts w:ascii="Verdana" w:hAnsi="Verdana"/>
          <w:sz w:val="18"/>
          <w:szCs w:val="18"/>
        </w:rPr>
        <w:t>Mensen met een indicatie voor een GGZ-c pakket die doorloopt na 1 januari 2015 behouden het recht voor de looptijd van de indicatie met een maximum van ten minste 5 jaar.</w:t>
      </w:r>
    </w:p>
    <w:p w:rsidR="00E94B71" w:rsidP="002D6592" w:rsidRDefault="00FF1953">
      <w:pPr>
        <w:rPr>
          <w:b/>
          <w:bCs/>
          <w:szCs w:val="18"/>
        </w:rPr>
      </w:pPr>
    </w:p>
    <w:p w:rsidR="002D6592" w:rsidP="002D6592" w:rsidRDefault="00FF1953">
      <w:pPr>
        <w:rPr>
          <w:b/>
          <w:bCs/>
          <w:szCs w:val="18"/>
        </w:rPr>
      </w:pPr>
      <w:r w:rsidRPr="00B378C1">
        <w:rPr>
          <w:b/>
          <w:bCs/>
          <w:szCs w:val="18"/>
        </w:rPr>
        <w:t>Overgang</w:t>
      </w:r>
      <w:r>
        <w:rPr>
          <w:b/>
          <w:bCs/>
          <w:szCs w:val="18"/>
        </w:rPr>
        <w:t>srecht Wet langdurige zorg</w:t>
      </w:r>
      <w:r w:rsidRPr="00B378C1">
        <w:rPr>
          <w:b/>
          <w:bCs/>
          <w:szCs w:val="18"/>
        </w:rPr>
        <w:t xml:space="preserve"> </w:t>
      </w:r>
      <w:r>
        <w:rPr>
          <w:b/>
          <w:bCs/>
          <w:szCs w:val="18"/>
        </w:rPr>
        <w:t>(</w:t>
      </w:r>
      <w:r w:rsidRPr="00B378C1">
        <w:rPr>
          <w:b/>
          <w:bCs/>
          <w:szCs w:val="18"/>
        </w:rPr>
        <w:t>W</w:t>
      </w:r>
      <w:r>
        <w:rPr>
          <w:b/>
          <w:bCs/>
          <w:szCs w:val="18"/>
        </w:rPr>
        <w:t>lz)</w:t>
      </w:r>
    </w:p>
    <w:p w:rsidRPr="00B378C1" w:rsidR="00E94B71" w:rsidP="002D6592" w:rsidRDefault="00FF1953">
      <w:pPr>
        <w:rPr>
          <w:b/>
          <w:bCs/>
          <w:szCs w:val="18"/>
        </w:rPr>
      </w:pPr>
    </w:p>
    <w:p w:rsidRPr="00B378C1" w:rsidR="002D6592" w:rsidP="002D6592" w:rsidRDefault="00FF1953">
      <w:pPr>
        <w:pStyle w:val="Lijstalinea"/>
        <w:numPr>
          <w:ilvl w:val="0"/>
          <w:numId w:val="2"/>
        </w:numPr>
        <w:ind w:left="284" w:hanging="284"/>
        <w:rPr>
          <w:rFonts w:ascii="Verdana" w:hAnsi="Verdana"/>
          <w:sz w:val="18"/>
          <w:szCs w:val="18"/>
        </w:rPr>
      </w:pPr>
      <w:r>
        <w:rPr>
          <w:rFonts w:ascii="Verdana" w:hAnsi="Verdana"/>
          <w:sz w:val="18"/>
          <w:szCs w:val="18"/>
        </w:rPr>
        <w:t>Voor mensen met een extramurale AWBZ-indicatie is er geen overgangsrecht onder de Wlz. De zorg voor deze mensen komt direct uit de domeinen waar de extramurale zorg naar toe is overgeheveld of gedecentraliseerd (zie overgangsrecht Zvw en Wmo).</w:t>
      </w:r>
    </w:p>
    <w:p w:rsidR="002D6592" w:rsidP="002D6592" w:rsidRDefault="00FF1953">
      <w:pPr>
        <w:pStyle w:val="Lijstalinea"/>
        <w:numPr>
          <w:ilvl w:val="0"/>
          <w:numId w:val="2"/>
        </w:numPr>
        <w:ind w:left="284" w:hanging="284"/>
        <w:rPr>
          <w:rFonts w:ascii="Verdana" w:hAnsi="Verdana"/>
          <w:sz w:val="18"/>
          <w:szCs w:val="18"/>
        </w:rPr>
      </w:pPr>
      <w:r>
        <w:rPr>
          <w:rFonts w:ascii="Verdana" w:hAnsi="Verdana"/>
          <w:sz w:val="18"/>
          <w:szCs w:val="18"/>
        </w:rPr>
        <w:t xml:space="preserve"> Voor </w:t>
      </w:r>
      <w:r>
        <w:rPr>
          <w:rFonts w:ascii="Verdana" w:hAnsi="Verdana"/>
          <w:sz w:val="18"/>
          <w:szCs w:val="18"/>
        </w:rPr>
        <w:t>mensen met een AWBZ-indicatie voor verblijf die overgaan naar de Wmo 2015, Zvw of Jeugdwet is in die domeinen het overgangsrecht geregeld.</w:t>
      </w:r>
    </w:p>
    <w:p w:rsidR="002D6592" w:rsidP="002D6592" w:rsidRDefault="00FF1953">
      <w:pPr>
        <w:pStyle w:val="Lijstalinea"/>
        <w:numPr>
          <w:ilvl w:val="0"/>
          <w:numId w:val="2"/>
        </w:numPr>
        <w:ind w:left="284" w:hanging="284"/>
        <w:rPr>
          <w:rFonts w:ascii="Verdana" w:hAnsi="Verdana"/>
          <w:sz w:val="18"/>
          <w:szCs w:val="18"/>
        </w:rPr>
      </w:pPr>
      <w:r>
        <w:rPr>
          <w:rFonts w:ascii="Verdana" w:hAnsi="Verdana"/>
          <w:sz w:val="18"/>
          <w:szCs w:val="18"/>
        </w:rPr>
        <w:t>Voor mensen met een AWBZ-indicatie voor verblijf die onder de Wlz gaan vallen en die ook daadwerkelijk verblijven, ge</w:t>
      </w:r>
      <w:r>
        <w:rPr>
          <w:rFonts w:ascii="Verdana" w:hAnsi="Verdana"/>
          <w:sz w:val="18"/>
          <w:szCs w:val="18"/>
        </w:rPr>
        <w:t>ldt dat zij deze indicatie en het daarmee verbonden recht op een verblijf in een instelling behouden.</w:t>
      </w: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00060739" w:rsidP="00060739" w:rsidRDefault="00FF1953">
      <w:pPr>
        <w:rPr>
          <w:szCs w:val="18"/>
        </w:rPr>
      </w:pPr>
    </w:p>
    <w:p w:rsidRPr="00060739" w:rsidR="00060739" w:rsidP="00060739" w:rsidRDefault="00FF1953">
      <w:pPr>
        <w:rPr>
          <w:szCs w:val="18"/>
        </w:rPr>
      </w:pPr>
    </w:p>
    <w:p w:rsidRPr="00060739" w:rsidR="002D6592" w:rsidP="00060739" w:rsidRDefault="00FF1953">
      <w:pPr>
        <w:pStyle w:val="Lijstalinea"/>
        <w:numPr>
          <w:ilvl w:val="0"/>
          <w:numId w:val="2"/>
        </w:numPr>
        <w:ind w:left="284" w:hanging="284"/>
        <w:rPr>
          <w:rFonts w:ascii="Verdana" w:hAnsi="Verdana"/>
          <w:sz w:val="18"/>
          <w:szCs w:val="18"/>
        </w:rPr>
      </w:pPr>
      <w:r w:rsidRPr="00B378C1">
        <w:rPr>
          <w:rFonts w:ascii="Verdana" w:hAnsi="Verdana"/>
          <w:sz w:val="18"/>
          <w:szCs w:val="18"/>
        </w:rPr>
        <w:t>Daarnaast is er een groep die beschikt over een indicatie voor verblijf, maar op 1 januari 2015 thuis woont. Cliënten met een hoog zzp</w:t>
      </w:r>
      <w:r>
        <w:rPr>
          <w:rStyle w:val="Voetnootmarkering"/>
          <w:rFonts w:ascii="Verdana" w:hAnsi="Verdana"/>
          <w:sz w:val="18"/>
          <w:szCs w:val="18"/>
        </w:rPr>
        <w:footnoteReference w:id="1"/>
      </w:r>
      <w:r w:rsidRPr="00B378C1">
        <w:rPr>
          <w:rFonts w:ascii="Verdana" w:hAnsi="Verdana"/>
          <w:sz w:val="18"/>
          <w:szCs w:val="18"/>
        </w:rPr>
        <w:t xml:space="preserve"> binnen deze groep behouden hun recht op zorg vanuit de Wlz. Cliënten met een laag zzp kunnen tot 1 januari 2016 alsnog kiezen voor verblijf op </w:t>
      </w:r>
      <w:r w:rsidRPr="00060739">
        <w:rPr>
          <w:rFonts w:ascii="Verdana" w:hAnsi="Verdana"/>
          <w:sz w:val="18"/>
          <w:szCs w:val="18"/>
        </w:rPr>
        <w:t xml:space="preserve">grond van de Wlz. Het overgangsrecht voor deze cliënten van de Wlz bepaalt dat deze persoon uiterlijk 1 januari </w:t>
      </w:r>
      <w:r w:rsidRPr="00060739">
        <w:rPr>
          <w:rFonts w:ascii="Verdana" w:hAnsi="Verdana"/>
          <w:sz w:val="18"/>
          <w:szCs w:val="18"/>
        </w:rPr>
        <w:t>2016 schriftelijk kenbaar moet maken of hij wil gaan verblijven in een instelling. Zolang hij de keuze niet maakt, krijgt hij de zorg vanuit de Wlz. Als deze verzekerde de zorg nu afneemt in functies en klassen dan kan dat ook in 2015. Op het moment dat de</w:t>
      </w:r>
      <w:r w:rsidRPr="00060739">
        <w:rPr>
          <w:rFonts w:ascii="Verdana" w:hAnsi="Verdana"/>
          <w:sz w:val="18"/>
          <w:szCs w:val="18"/>
        </w:rPr>
        <w:t xml:space="preserve"> verzekerde kiest voor verblijf in een instelling, valt hij onder de Wlz. Is er nog geen plek in een instelling dan is er sprake van overbruggingszorg. Dit kan via een volledig pakket thuis of een persoonsgebonden budget. Kiest men ervoor om thuis te blijv</w:t>
      </w:r>
      <w:r w:rsidRPr="00060739">
        <w:rPr>
          <w:rFonts w:ascii="Verdana" w:hAnsi="Verdana"/>
          <w:sz w:val="18"/>
          <w:szCs w:val="18"/>
        </w:rPr>
        <w:t xml:space="preserve">en wonen, dan kan men voor zorg- en ondersteuning een beroep doen op de gemeente en/of de zorgverzekeraar. </w:t>
      </w:r>
    </w:p>
    <w:p w:rsidR="002D6592" w:rsidP="002D6592" w:rsidRDefault="00FF1953">
      <w:pPr>
        <w:pStyle w:val="Lijstalinea"/>
        <w:numPr>
          <w:ilvl w:val="0"/>
          <w:numId w:val="2"/>
        </w:numPr>
        <w:ind w:left="284" w:hanging="284"/>
        <w:rPr>
          <w:rFonts w:ascii="Verdana" w:hAnsi="Verdana"/>
          <w:sz w:val="18"/>
          <w:szCs w:val="18"/>
        </w:rPr>
      </w:pPr>
      <w:r>
        <w:rPr>
          <w:rFonts w:ascii="Verdana" w:hAnsi="Verdana"/>
          <w:sz w:val="18"/>
          <w:szCs w:val="18"/>
        </w:rPr>
        <w:t>Mensen in een kleinschalig wooninitiatief worden juridisch gezien in het overgangsrecht gelijk gesteld met mensen die intramuraal verblijven. Zij be</w:t>
      </w:r>
      <w:r>
        <w:rPr>
          <w:rFonts w:ascii="Verdana" w:hAnsi="Verdana"/>
          <w:sz w:val="18"/>
          <w:szCs w:val="18"/>
        </w:rPr>
        <w:t>houden hun rechten.</w:t>
      </w:r>
    </w:p>
    <w:p w:rsidRPr="00E94B71" w:rsidR="002D6592" w:rsidP="002D6592" w:rsidRDefault="00FF1953">
      <w:pPr>
        <w:pStyle w:val="Lijstalinea"/>
        <w:numPr>
          <w:ilvl w:val="0"/>
          <w:numId w:val="2"/>
        </w:numPr>
        <w:ind w:left="284" w:hanging="284"/>
        <w:rPr>
          <w:rFonts w:ascii="Verdana" w:hAnsi="Verdana"/>
          <w:sz w:val="18"/>
          <w:szCs w:val="18"/>
        </w:rPr>
      </w:pPr>
      <w:r>
        <w:rPr>
          <w:rFonts w:ascii="Verdana" w:hAnsi="Verdana"/>
          <w:sz w:val="18"/>
          <w:szCs w:val="18"/>
        </w:rPr>
        <w:t>Mensen die in een ADL-clusterwoning wonen behouden hun recht op ADL-assistentie zo lang ze woonachtig blijven in een ADL-clusterwoning.</w:t>
      </w:r>
    </w:p>
    <w:p w:rsidRPr="0002283D" w:rsidR="002D6592" w:rsidP="002D6592" w:rsidRDefault="00FF1953">
      <w:pPr>
        <w:rPr>
          <w:szCs w:val="18"/>
        </w:rPr>
      </w:pPr>
    </w:p>
    <w:p w:rsidR="00E94B71" w:rsidP="002D6592" w:rsidRDefault="00FF1953">
      <w:pPr>
        <w:rPr>
          <w:b/>
          <w:bCs/>
          <w:szCs w:val="18"/>
        </w:rPr>
      </w:pPr>
    </w:p>
    <w:p w:rsidR="00E94B71" w:rsidP="002D6592" w:rsidRDefault="00FF1953">
      <w:pPr>
        <w:rPr>
          <w:b/>
          <w:bCs/>
          <w:szCs w:val="18"/>
        </w:rPr>
      </w:pPr>
    </w:p>
    <w:p w:rsidR="002D6592" w:rsidP="002D6592" w:rsidRDefault="00FF1953"/>
    <w:p w:rsidRPr="00CB010C" w:rsidR="002D6592" w:rsidP="002D6592" w:rsidRDefault="00FF1953">
      <w:pPr>
        <w:rPr>
          <w:szCs w:val="18"/>
        </w:rPr>
      </w:pPr>
    </w:p>
    <w:p w:rsidRPr="00F22CDC" w:rsidR="00A17C6E" w:rsidRDefault="00FF1953">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00D" w:rsidRDefault="00C3600D" w:rsidP="00C3600D">
      <w:pPr>
        <w:spacing w:line="240" w:lineRule="auto"/>
      </w:pPr>
      <w:r>
        <w:separator/>
      </w:r>
    </w:p>
  </w:endnote>
  <w:endnote w:type="continuationSeparator" w:id="0">
    <w:p w:rsidR="00C3600D" w:rsidRDefault="00C3600D" w:rsidP="00C360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D9" w:rsidRDefault="00FF1953" w:rsidP="002D6592">
      <w:pPr>
        <w:spacing w:line="240" w:lineRule="auto"/>
      </w:pPr>
      <w:r>
        <w:separator/>
      </w:r>
    </w:p>
  </w:footnote>
  <w:footnote w:type="continuationSeparator" w:id="0">
    <w:p w:rsidR="005572D9" w:rsidRDefault="00FF1953" w:rsidP="002D6592">
      <w:pPr>
        <w:spacing w:line="240" w:lineRule="auto"/>
      </w:pPr>
      <w:r>
        <w:continuationSeparator/>
      </w:r>
    </w:p>
  </w:footnote>
  <w:footnote w:id="1">
    <w:p w:rsidR="002D6592" w:rsidRPr="00A131B1" w:rsidRDefault="00FF1953" w:rsidP="002D6592">
      <w:pPr>
        <w:pStyle w:val="Voetnoottekst"/>
        <w:rPr>
          <w:sz w:val="18"/>
        </w:rPr>
      </w:pPr>
      <w:r w:rsidRPr="00C77C9B">
        <w:rPr>
          <w:rStyle w:val="Voetnootmarkering"/>
          <w:sz w:val="18"/>
        </w:rPr>
        <w:footnoteRef/>
      </w:r>
      <w:r w:rsidRPr="00C77C9B">
        <w:rPr>
          <w:sz w:val="18"/>
        </w:rPr>
        <w:t xml:space="preserve"> De betreffende ZZP’s zijn opgesomd in het wetsvoorstel Wlz</w:t>
      </w:r>
      <w:r>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5B2B"/>
    <w:multiLevelType w:val="hybridMultilevel"/>
    <w:tmpl w:val="70D66086"/>
    <w:lvl w:ilvl="0" w:tplc="DFC40618">
      <w:start w:val="1"/>
      <w:numFmt w:val="bullet"/>
      <w:lvlText w:val=""/>
      <w:lvlJc w:val="left"/>
      <w:pPr>
        <w:ind w:left="720" w:hanging="360"/>
      </w:pPr>
      <w:rPr>
        <w:rFonts w:ascii="Symbol" w:hAnsi="Symbol" w:hint="default"/>
      </w:rPr>
    </w:lvl>
    <w:lvl w:ilvl="1" w:tplc="31B41A1C" w:tentative="1">
      <w:start w:val="1"/>
      <w:numFmt w:val="bullet"/>
      <w:lvlText w:val="o"/>
      <w:lvlJc w:val="left"/>
      <w:pPr>
        <w:ind w:left="1440" w:hanging="360"/>
      </w:pPr>
      <w:rPr>
        <w:rFonts w:ascii="Courier New" w:hAnsi="Courier New" w:cs="Courier New" w:hint="default"/>
      </w:rPr>
    </w:lvl>
    <w:lvl w:ilvl="2" w:tplc="E86874A8" w:tentative="1">
      <w:start w:val="1"/>
      <w:numFmt w:val="bullet"/>
      <w:lvlText w:val=""/>
      <w:lvlJc w:val="left"/>
      <w:pPr>
        <w:ind w:left="2160" w:hanging="360"/>
      </w:pPr>
      <w:rPr>
        <w:rFonts w:ascii="Wingdings" w:hAnsi="Wingdings" w:hint="default"/>
      </w:rPr>
    </w:lvl>
    <w:lvl w:ilvl="3" w:tplc="D2B86054" w:tentative="1">
      <w:start w:val="1"/>
      <w:numFmt w:val="bullet"/>
      <w:lvlText w:val=""/>
      <w:lvlJc w:val="left"/>
      <w:pPr>
        <w:ind w:left="2880" w:hanging="360"/>
      </w:pPr>
      <w:rPr>
        <w:rFonts w:ascii="Symbol" w:hAnsi="Symbol" w:hint="default"/>
      </w:rPr>
    </w:lvl>
    <w:lvl w:ilvl="4" w:tplc="1584BD50" w:tentative="1">
      <w:start w:val="1"/>
      <w:numFmt w:val="bullet"/>
      <w:lvlText w:val="o"/>
      <w:lvlJc w:val="left"/>
      <w:pPr>
        <w:ind w:left="3600" w:hanging="360"/>
      </w:pPr>
      <w:rPr>
        <w:rFonts w:ascii="Courier New" w:hAnsi="Courier New" w:cs="Courier New" w:hint="default"/>
      </w:rPr>
    </w:lvl>
    <w:lvl w:ilvl="5" w:tplc="3B86E4F4" w:tentative="1">
      <w:start w:val="1"/>
      <w:numFmt w:val="bullet"/>
      <w:lvlText w:val=""/>
      <w:lvlJc w:val="left"/>
      <w:pPr>
        <w:ind w:left="4320" w:hanging="360"/>
      </w:pPr>
      <w:rPr>
        <w:rFonts w:ascii="Wingdings" w:hAnsi="Wingdings" w:hint="default"/>
      </w:rPr>
    </w:lvl>
    <w:lvl w:ilvl="6" w:tplc="F268227C" w:tentative="1">
      <w:start w:val="1"/>
      <w:numFmt w:val="bullet"/>
      <w:lvlText w:val=""/>
      <w:lvlJc w:val="left"/>
      <w:pPr>
        <w:ind w:left="5040" w:hanging="360"/>
      </w:pPr>
      <w:rPr>
        <w:rFonts w:ascii="Symbol" w:hAnsi="Symbol" w:hint="default"/>
      </w:rPr>
    </w:lvl>
    <w:lvl w:ilvl="7" w:tplc="4D8C6E80" w:tentative="1">
      <w:start w:val="1"/>
      <w:numFmt w:val="bullet"/>
      <w:lvlText w:val="o"/>
      <w:lvlJc w:val="left"/>
      <w:pPr>
        <w:ind w:left="5760" w:hanging="360"/>
      </w:pPr>
      <w:rPr>
        <w:rFonts w:ascii="Courier New" w:hAnsi="Courier New" w:cs="Courier New" w:hint="default"/>
      </w:rPr>
    </w:lvl>
    <w:lvl w:ilvl="8" w:tplc="903E0084" w:tentative="1">
      <w:start w:val="1"/>
      <w:numFmt w:val="bullet"/>
      <w:lvlText w:val=""/>
      <w:lvlJc w:val="left"/>
      <w:pPr>
        <w:ind w:left="6480" w:hanging="360"/>
      </w:pPr>
      <w:rPr>
        <w:rFonts w:ascii="Wingdings" w:hAnsi="Wingdings" w:hint="default"/>
      </w:rPr>
    </w:lvl>
  </w:abstractNum>
  <w:abstractNum w:abstractNumId="1">
    <w:nsid w:val="456E4843"/>
    <w:multiLevelType w:val="hybridMultilevel"/>
    <w:tmpl w:val="F83EF794"/>
    <w:lvl w:ilvl="0" w:tplc="15AEF914">
      <w:start w:val="1"/>
      <w:numFmt w:val="bullet"/>
      <w:lvlText w:val=""/>
      <w:lvlJc w:val="left"/>
      <w:pPr>
        <w:ind w:left="720" w:hanging="360"/>
      </w:pPr>
      <w:rPr>
        <w:rFonts w:ascii="Symbol" w:hAnsi="Symbol" w:hint="default"/>
      </w:rPr>
    </w:lvl>
    <w:lvl w:ilvl="1" w:tplc="2BF6E780" w:tentative="1">
      <w:start w:val="1"/>
      <w:numFmt w:val="bullet"/>
      <w:lvlText w:val="o"/>
      <w:lvlJc w:val="left"/>
      <w:pPr>
        <w:ind w:left="1440" w:hanging="360"/>
      </w:pPr>
      <w:rPr>
        <w:rFonts w:ascii="Courier New" w:hAnsi="Courier New" w:cs="Courier New" w:hint="default"/>
      </w:rPr>
    </w:lvl>
    <w:lvl w:ilvl="2" w:tplc="DE46ADB2" w:tentative="1">
      <w:start w:val="1"/>
      <w:numFmt w:val="bullet"/>
      <w:lvlText w:val=""/>
      <w:lvlJc w:val="left"/>
      <w:pPr>
        <w:ind w:left="2160" w:hanging="360"/>
      </w:pPr>
      <w:rPr>
        <w:rFonts w:ascii="Wingdings" w:hAnsi="Wingdings" w:hint="default"/>
      </w:rPr>
    </w:lvl>
    <w:lvl w:ilvl="3" w:tplc="0608ADA2" w:tentative="1">
      <w:start w:val="1"/>
      <w:numFmt w:val="bullet"/>
      <w:lvlText w:val=""/>
      <w:lvlJc w:val="left"/>
      <w:pPr>
        <w:ind w:left="2880" w:hanging="360"/>
      </w:pPr>
      <w:rPr>
        <w:rFonts w:ascii="Symbol" w:hAnsi="Symbol" w:hint="default"/>
      </w:rPr>
    </w:lvl>
    <w:lvl w:ilvl="4" w:tplc="92BCD6E0" w:tentative="1">
      <w:start w:val="1"/>
      <w:numFmt w:val="bullet"/>
      <w:lvlText w:val="o"/>
      <w:lvlJc w:val="left"/>
      <w:pPr>
        <w:ind w:left="3600" w:hanging="360"/>
      </w:pPr>
      <w:rPr>
        <w:rFonts w:ascii="Courier New" w:hAnsi="Courier New" w:cs="Courier New" w:hint="default"/>
      </w:rPr>
    </w:lvl>
    <w:lvl w:ilvl="5" w:tplc="10A044B0" w:tentative="1">
      <w:start w:val="1"/>
      <w:numFmt w:val="bullet"/>
      <w:lvlText w:val=""/>
      <w:lvlJc w:val="left"/>
      <w:pPr>
        <w:ind w:left="4320" w:hanging="360"/>
      </w:pPr>
      <w:rPr>
        <w:rFonts w:ascii="Wingdings" w:hAnsi="Wingdings" w:hint="default"/>
      </w:rPr>
    </w:lvl>
    <w:lvl w:ilvl="6" w:tplc="966C5638" w:tentative="1">
      <w:start w:val="1"/>
      <w:numFmt w:val="bullet"/>
      <w:lvlText w:val=""/>
      <w:lvlJc w:val="left"/>
      <w:pPr>
        <w:ind w:left="5040" w:hanging="360"/>
      </w:pPr>
      <w:rPr>
        <w:rFonts w:ascii="Symbol" w:hAnsi="Symbol" w:hint="default"/>
      </w:rPr>
    </w:lvl>
    <w:lvl w:ilvl="7" w:tplc="2CA03C30" w:tentative="1">
      <w:start w:val="1"/>
      <w:numFmt w:val="bullet"/>
      <w:lvlText w:val="o"/>
      <w:lvlJc w:val="left"/>
      <w:pPr>
        <w:ind w:left="5760" w:hanging="360"/>
      </w:pPr>
      <w:rPr>
        <w:rFonts w:ascii="Courier New" w:hAnsi="Courier New" w:cs="Courier New" w:hint="default"/>
      </w:rPr>
    </w:lvl>
    <w:lvl w:ilvl="8" w:tplc="5C242CDA" w:tentative="1">
      <w:start w:val="1"/>
      <w:numFmt w:val="bullet"/>
      <w:lvlText w:val=""/>
      <w:lvlJc w:val="left"/>
      <w:pPr>
        <w:ind w:left="6480" w:hanging="360"/>
      </w:pPr>
      <w:rPr>
        <w:rFonts w:ascii="Wingdings" w:hAnsi="Wingdings" w:hint="default"/>
      </w:rPr>
    </w:lvl>
  </w:abstractNum>
  <w:abstractNum w:abstractNumId="2">
    <w:nsid w:val="55060A4F"/>
    <w:multiLevelType w:val="hybridMultilevel"/>
    <w:tmpl w:val="AE36C904"/>
    <w:lvl w:ilvl="0" w:tplc="E8BCFB48">
      <w:start w:val="1"/>
      <w:numFmt w:val="decimal"/>
      <w:lvlText w:val="%1."/>
      <w:lvlJc w:val="left"/>
      <w:pPr>
        <w:ind w:left="720" w:hanging="360"/>
      </w:pPr>
    </w:lvl>
    <w:lvl w:ilvl="1" w:tplc="B2060E8C">
      <w:start w:val="1"/>
      <w:numFmt w:val="bullet"/>
      <w:lvlText w:val=""/>
      <w:lvlJc w:val="left"/>
      <w:pPr>
        <w:ind w:left="1440" w:hanging="360"/>
      </w:pPr>
      <w:rPr>
        <w:rFonts w:ascii="Symbol" w:hAnsi="Symbol" w:hint="default"/>
      </w:rPr>
    </w:lvl>
    <w:lvl w:ilvl="2" w:tplc="5C4679CC">
      <w:start w:val="1"/>
      <w:numFmt w:val="bullet"/>
      <w:lvlText w:val=""/>
      <w:lvlJc w:val="left"/>
      <w:pPr>
        <w:ind w:left="2340" w:hanging="360"/>
      </w:pPr>
      <w:rPr>
        <w:rFonts w:ascii="Symbol" w:hAnsi="Symbol" w:hint="default"/>
      </w:rPr>
    </w:lvl>
    <w:lvl w:ilvl="3" w:tplc="18A84D72">
      <w:start w:val="1"/>
      <w:numFmt w:val="decimal"/>
      <w:lvlText w:val="%4."/>
      <w:lvlJc w:val="left"/>
      <w:pPr>
        <w:tabs>
          <w:tab w:val="num" w:pos="2880"/>
        </w:tabs>
        <w:ind w:left="2880" w:hanging="360"/>
      </w:pPr>
    </w:lvl>
    <w:lvl w:ilvl="4" w:tplc="711251C0">
      <w:start w:val="1"/>
      <w:numFmt w:val="decimal"/>
      <w:lvlText w:val="%5."/>
      <w:lvlJc w:val="left"/>
      <w:pPr>
        <w:tabs>
          <w:tab w:val="num" w:pos="3600"/>
        </w:tabs>
        <w:ind w:left="3600" w:hanging="360"/>
      </w:pPr>
    </w:lvl>
    <w:lvl w:ilvl="5" w:tplc="A754E894">
      <w:start w:val="1"/>
      <w:numFmt w:val="decimal"/>
      <w:lvlText w:val="%6."/>
      <w:lvlJc w:val="left"/>
      <w:pPr>
        <w:tabs>
          <w:tab w:val="num" w:pos="4320"/>
        </w:tabs>
        <w:ind w:left="4320" w:hanging="360"/>
      </w:pPr>
    </w:lvl>
    <w:lvl w:ilvl="6" w:tplc="2B608AB0">
      <w:start w:val="1"/>
      <w:numFmt w:val="decimal"/>
      <w:lvlText w:val="%7."/>
      <w:lvlJc w:val="left"/>
      <w:pPr>
        <w:tabs>
          <w:tab w:val="num" w:pos="5040"/>
        </w:tabs>
        <w:ind w:left="5040" w:hanging="360"/>
      </w:pPr>
    </w:lvl>
    <w:lvl w:ilvl="7" w:tplc="FDB4ACCC">
      <w:start w:val="1"/>
      <w:numFmt w:val="decimal"/>
      <w:lvlText w:val="%8."/>
      <w:lvlJc w:val="left"/>
      <w:pPr>
        <w:tabs>
          <w:tab w:val="num" w:pos="5760"/>
        </w:tabs>
        <w:ind w:left="5760" w:hanging="360"/>
      </w:pPr>
    </w:lvl>
    <w:lvl w:ilvl="8" w:tplc="A060F044">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C3600D"/>
    <w:rsid w:val="00C3600D"/>
    <w:rsid w:val="00FF19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659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basedOn w:val="Standaardalinea-lettertype"/>
    <w:link w:val="Lijstalinea"/>
    <w:uiPriority w:val="34"/>
    <w:locked/>
    <w:rsid w:val="002D6592"/>
    <w:rPr>
      <w:rFonts w:ascii="Calibri" w:hAnsi="Calibri" w:cs="Calibri"/>
    </w:rPr>
  </w:style>
  <w:style w:type="paragraph" w:styleId="Lijstalinea">
    <w:name w:val="List Paragraph"/>
    <w:basedOn w:val="Standaard"/>
    <w:link w:val="LijstalineaChar"/>
    <w:uiPriority w:val="34"/>
    <w:qFormat/>
    <w:rsid w:val="002D6592"/>
    <w:pPr>
      <w:widowControl/>
      <w:suppressAutoHyphens w:val="0"/>
      <w:autoSpaceDN/>
      <w:spacing w:after="200" w:line="276" w:lineRule="auto"/>
      <w:ind w:left="720"/>
      <w:textAlignment w:val="auto"/>
    </w:pPr>
    <w:rPr>
      <w:rFonts w:ascii="Calibri" w:eastAsiaTheme="minorHAnsi" w:hAnsi="Calibri" w:cs="Calibri"/>
      <w:kern w:val="0"/>
      <w:sz w:val="22"/>
      <w:szCs w:val="22"/>
      <w:lang w:eastAsia="en-US" w:bidi="ar-SA"/>
    </w:rPr>
  </w:style>
  <w:style w:type="paragraph" w:styleId="Voetnoottekst">
    <w:name w:val="footnote text"/>
    <w:basedOn w:val="Standaard"/>
    <w:link w:val="VoetnoottekstChar"/>
    <w:uiPriority w:val="99"/>
    <w:semiHidden/>
    <w:unhideWhenUsed/>
    <w:rsid w:val="002D6592"/>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D6592"/>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2D65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605</ap:Words>
  <ap:Characters>3333</ap:Characters>
  <ap:DocSecurity>12</ap:DocSecurity>
  <ap:Lines>27</ap:Lines>
  <ap:Paragraphs>7</ap:Paragraphs>
  <ap:ScaleCrop>false</ap:ScaleCrop>
  <ap:LinksUpToDate>false</ap:LinksUpToDate>
  <ap:CharactersWithSpaces>3931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2014-03-24T14:10:00.0000000Z</lastPrinted>
  <dcterms:created xsi:type="dcterms:W3CDTF">2014-03-24T14:23:00.0000000Z</dcterms:created>
  <dcterms:modified xsi:type="dcterms:W3CDTF">2014-03-24T14:23:00.0000000Z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