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23AA4" w:rsidR="00193AFB" w:rsidP="00193AFB" w:rsidRDefault="00193AFB">
      <w:pPr>
        <w:spacing w:after="0" w:line="360" w:lineRule="auto"/>
        <w:contextualSpacing/>
        <w:rPr>
          <w:rFonts w:ascii="Verdana" w:hAnsi="Verdana"/>
          <w:b/>
          <w:sz w:val="18"/>
          <w:szCs w:val="18"/>
          <w:u w:val="single"/>
        </w:rPr>
      </w:pPr>
      <w:bookmarkStart w:name="_GoBack" w:id="0"/>
      <w:bookmarkEnd w:id="0"/>
      <w:r w:rsidRPr="00923AA4">
        <w:rPr>
          <w:rFonts w:ascii="Verdana" w:hAnsi="Verdana"/>
          <w:b/>
          <w:sz w:val="18"/>
          <w:szCs w:val="18"/>
          <w:u w:val="single"/>
        </w:rPr>
        <w:t>Geannoteerde agenda Transportraad 3 december 2014</w:t>
      </w:r>
    </w:p>
    <w:p w:rsidRPr="00923AA4" w:rsidR="00193AFB" w:rsidP="00193AFB" w:rsidRDefault="00193AFB">
      <w:pPr>
        <w:spacing w:line="360" w:lineRule="auto"/>
        <w:contextualSpacing/>
        <w:rPr>
          <w:rFonts w:ascii="Verdana" w:hAnsi="Verdana"/>
          <w:sz w:val="18"/>
          <w:szCs w:val="18"/>
        </w:rPr>
      </w:pPr>
    </w:p>
    <w:p w:rsidRPr="00923AA4" w:rsidR="00193AFB" w:rsidP="00193AFB" w:rsidRDefault="00193AFB">
      <w:pPr>
        <w:spacing w:line="360" w:lineRule="auto"/>
        <w:contextualSpacing/>
        <w:rPr>
          <w:rFonts w:ascii="Verdana" w:hAnsi="Verdana"/>
          <w:b/>
          <w:sz w:val="18"/>
          <w:szCs w:val="18"/>
        </w:rPr>
      </w:pPr>
      <w:r w:rsidRPr="00923AA4">
        <w:rPr>
          <w:rFonts w:ascii="Verdana" w:hAnsi="Verdana"/>
          <w:b/>
          <w:sz w:val="18"/>
          <w:szCs w:val="18"/>
        </w:rPr>
        <w:t>Samenvatting</w:t>
      </w:r>
    </w:p>
    <w:p w:rsidRPr="00923AA4" w:rsidR="00193AFB" w:rsidP="00193AFB" w:rsidRDefault="00193AFB">
      <w:pPr>
        <w:spacing w:line="360" w:lineRule="auto"/>
        <w:rPr>
          <w:rFonts w:ascii="Verdana" w:hAnsi="Verdana"/>
          <w:sz w:val="18"/>
          <w:szCs w:val="18"/>
        </w:rPr>
      </w:pPr>
      <w:r w:rsidRPr="00923AA4">
        <w:rPr>
          <w:rFonts w:ascii="Verdana" w:hAnsi="Verdana"/>
          <w:sz w:val="18"/>
          <w:szCs w:val="18"/>
        </w:rPr>
        <w:t>Op 3 december 2014</w:t>
      </w:r>
      <w:r w:rsidRPr="00923AA4">
        <w:rPr>
          <w:rFonts w:ascii="Verdana" w:hAnsi="Verdana"/>
          <w:color w:val="1F497D"/>
          <w:sz w:val="18"/>
          <w:szCs w:val="18"/>
        </w:rPr>
        <w:t xml:space="preserve"> </w:t>
      </w:r>
      <w:r w:rsidRPr="00923AA4">
        <w:rPr>
          <w:rFonts w:ascii="Verdana" w:hAnsi="Verdana"/>
          <w:sz w:val="18"/>
          <w:szCs w:val="18"/>
        </w:rPr>
        <w:t xml:space="preserve">vergadert de Transportraad in Brussel, de agendering van de verschillende onderwerpen op deze Transportraad is op dit moment nog niet duidelijk. Het voorzitterschap streeft naar een politiek akkoord over </w:t>
      </w:r>
      <w:r w:rsidRPr="00923AA4">
        <w:rPr>
          <w:rFonts w:ascii="Verdana" w:hAnsi="Verdana"/>
          <w:i/>
          <w:iCs/>
          <w:sz w:val="18"/>
          <w:szCs w:val="18"/>
        </w:rPr>
        <w:t>Single European Sky (SES2+)</w:t>
      </w:r>
      <w:r w:rsidRPr="00923AA4">
        <w:rPr>
          <w:rFonts w:ascii="Verdana" w:hAnsi="Verdana"/>
          <w:sz w:val="18"/>
          <w:szCs w:val="18"/>
        </w:rPr>
        <w:t xml:space="preserve">. Voor het agendapunt Vierde Spoorpakket streeft het voorzitterschap naar algemene oriëntaties op het voorstel voor beheer en open toegang tot spoorinfrastructuur en het voorstel tot intrekken van een bestaande verordening over compensatie door lidstaten aan spoorwegondernemingen. Over het voorstel over opening van de binnenlandse markt voor personenvervoer en wijziging van de verordening over openbare dienstverplichtingen wil het voorzitterschap een voortgangsverslag presenteren. Voor het agendapunt </w:t>
      </w:r>
      <w:r w:rsidRPr="00923AA4">
        <w:rPr>
          <w:rFonts w:ascii="Verdana" w:hAnsi="Verdana"/>
          <w:i/>
          <w:iCs/>
          <w:sz w:val="18"/>
          <w:szCs w:val="18"/>
        </w:rPr>
        <w:t>IMO STCW-F Verdrag</w:t>
      </w:r>
      <w:r w:rsidRPr="00923AA4">
        <w:rPr>
          <w:rFonts w:ascii="Verdana" w:hAnsi="Verdana"/>
          <w:b/>
          <w:bCs/>
          <w:sz w:val="18"/>
          <w:szCs w:val="18"/>
        </w:rPr>
        <w:t xml:space="preserve"> </w:t>
      </w:r>
      <w:r w:rsidRPr="00923AA4">
        <w:rPr>
          <w:rFonts w:ascii="Verdana" w:hAnsi="Verdana"/>
          <w:sz w:val="18"/>
          <w:szCs w:val="18"/>
        </w:rPr>
        <w:t>staat een raadsbesluit gepland.</w:t>
      </w:r>
      <w:r w:rsidRPr="00923AA4">
        <w:rPr>
          <w:rFonts w:ascii="Verdana" w:hAnsi="Verdana"/>
          <w:b/>
          <w:bCs/>
          <w:sz w:val="18"/>
          <w:szCs w:val="18"/>
        </w:rPr>
        <w:t xml:space="preserve"> </w:t>
      </w:r>
      <w:r w:rsidRPr="00923AA4">
        <w:rPr>
          <w:rFonts w:ascii="Verdana" w:hAnsi="Verdana"/>
          <w:sz w:val="18"/>
          <w:szCs w:val="18"/>
        </w:rPr>
        <w:t>Onder</w:t>
      </w:r>
      <w:r w:rsidRPr="00923AA4">
        <w:rPr>
          <w:rFonts w:ascii="Verdana" w:hAnsi="Verdana"/>
          <w:b/>
          <w:bCs/>
          <w:sz w:val="18"/>
          <w:szCs w:val="18"/>
        </w:rPr>
        <w:t xml:space="preserve"> </w:t>
      </w:r>
      <w:r w:rsidRPr="00923AA4">
        <w:rPr>
          <w:rFonts w:ascii="Verdana" w:hAnsi="Verdana"/>
          <w:sz w:val="18"/>
          <w:szCs w:val="18"/>
        </w:rPr>
        <w:t xml:space="preserve">het onderwerp </w:t>
      </w:r>
      <w:r w:rsidRPr="00923AA4">
        <w:rPr>
          <w:rFonts w:ascii="Verdana" w:hAnsi="Verdana"/>
          <w:i/>
          <w:iCs/>
          <w:sz w:val="18"/>
          <w:szCs w:val="18"/>
        </w:rPr>
        <w:t>Europa 2020</w:t>
      </w:r>
      <w:r w:rsidRPr="00923AA4">
        <w:rPr>
          <w:rFonts w:ascii="Verdana" w:hAnsi="Verdana"/>
          <w:sz w:val="18"/>
          <w:szCs w:val="18"/>
        </w:rPr>
        <w:t xml:space="preserve"> streeft het voorzitterschap naar het aannemen van raadsconclusies over investeringen in transportinfrastructuur. </w:t>
      </w:r>
    </w:p>
    <w:p w:rsidRPr="00923AA4" w:rsidR="00193AFB" w:rsidP="00193AFB" w:rsidRDefault="00193AFB">
      <w:pPr>
        <w:spacing w:line="360" w:lineRule="auto"/>
        <w:contextualSpacing/>
        <w:rPr>
          <w:rFonts w:ascii="Verdana" w:hAnsi="Verdana"/>
          <w:sz w:val="18"/>
          <w:szCs w:val="18"/>
        </w:rPr>
      </w:pPr>
      <w:r w:rsidRPr="00923AA4">
        <w:rPr>
          <w:rFonts w:ascii="Verdana" w:hAnsi="Verdana"/>
          <w:sz w:val="18"/>
          <w:szCs w:val="18"/>
        </w:rPr>
        <w:t xml:space="preserve"> </w:t>
      </w:r>
    </w:p>
    <w:p w:rsidRPr="00923AA4" w:rsidR="00193AFB" w:rsidP="00193AFB" w:rsidRDefault="00193AFB">
      <w:pPr>
        <w:spacing w:line="360" w:lineRule="auto"/>
        <w:contextualSpacing/>
        <w:rPr>
          <w:rFonts w:ascii="Verdana" w:hAnsi="Verdana"/>
          <w:sz w:val="18"/>
          <w:szCs w:val="18"/>
        </w:rPr>
      </w:pPr>
      <w:r w:rsidRPr="00923AA4">
        <w:rPr>
          <w:rFonts w:ascii="Verdana" w:hAnsi="Verdana"/>
          <w:b/>
          <w:bCs/>
          <w:sz w:val="18"/>
          <w:szCs w:val="18"/>
        </w:rPr>
        <w:t>Het gemeenschappelijke Europees luchtruim</w:t>
      </w:r>
    </w:p>
    <w:p w:rsidRPr="00923AA4" w:rsidR="00193AFB" w:rsidP="00193AFB" w:rsidRDefault="00193AFB">
      <w:pPr>
        <w:pStyle w:val="NoSpacing"/>
        <w:spacing w:line="360" w:lineRule="auto"/>
        <w:contextualSpacing/>
        <w:rPr>
          <w:rFonts w:ascii="Verdana" w:hAnsi="Verdana"/>
          <w:b/>
          <w:bCs/>
          <w:i/>
          <w:sz w:val="18"/>
          <w:szCs w:val="18"/>
        </w:rPr>
      </w:pPr>
      <w:r w:rsidRPr="00923AA4">
        <w:rPr>
          <w:rFonts w:ascii="Verdana" w:hAnsi="Verdana"/>
          <w:b/>
          <w:bCs/>
          <w:i/>
          <w:sz w:val="18"/>
          <w:szCs w:val="18"/>
        </w:rPr>
        <w:t>Single European Sky (SES2+)</w:t>
      </w:r>
    </w:p>
    <w:p w:rsidRPr="00923AA4" w:rsidR="00193AFB" w:rsidP="00193AFB" w:rsidRDefault="00193AFB">
      <w:pPr>
        <w:pStyle w:val="NoSpacing"/>
        <w:spacing w:line="360" w:lineRule="auto"/>
        <w:contextualSpacing/>
        <w:rPr>
          <w:rFonts w:ascii="Verdana" w:hAnsi="Verdana"/>
          <w:bCs/>
          <w:i/>
          <w:sz w:val="18"/>
          <w:szCs w:val="18"/>
        </w:rPr>
      </w:pPr>
      <w:r w:rsidRPr="00923AA4">
        <w:rPr>
          <w:rFonts w:ascii="Verdana" w:hAnsi="Verdana"/>
          <w:bCs/>
          <w:i/>
          <w:sz w:val="18"/>
          <w:szCs w:val="18"/>
        </w:rPr>
        <w:t>Politiek akkoord</w:t>
      </w:r>
    </w:p>
    <w:p w:rsidRPr="00923AA4" w:rsidR="00193AFB" w:rsidP="00193AFB" w:rsidRDefault="00193AFB">
      <w:pPr>
        <w:pStyle w:val="NoSpacing"/>
        <w:spacing w:line="360" w:lineRule="auto"/>
        <w:contextualSpacing/>
        <w:rPr>
          <w:rFonts w:ascii="Verdana" w:hAnsi="Verdana"/>
          <w:sz w:val="18"/>
          <w:szCs w:val="18"/>
          <w:u w:val="single"/>
        </w:rPr>
      </w:pPr>
    </w:p>
    <w:p w:rsidRPr="00923AA4" w:rsidR="00193AFB" w:rsidP="00193AFB" w:rsidRDefault="00193AFB">
      <w:pPr>
        <w:pStyle w:val="NoSpacing"/>
        <w:spacing w:line="360" w:lineRule="auto"/>
        <w:contextualSpacing/>
        <w:rPr>
          <w:rFonts w:ascii="Verdana" w:hAnsi="Verdana"/>
          <w:sz w:val="18"/>
          <w:szCs w:val="18"/>
          <w:u w:val="single"/>
        </w:rPr>
      </w:pPr>
      <w:r w:rsidRPr="00923AA4">
        <w:rPr>
          <w:rFonts w:ascii="Verdana" w:hAnsi="Verdana"/>
          <w:sz w:val="18"/>
          <w:szCs w:val="18"/>
          <w:u w:val="single"/>
        </w:rPr>
        <w:t xml:space="preserve">Inhoud </w:t>
      </w:r>
    </w:p>
    <w:p w:rsidRPr="00923AA4" w:rsidR="00193AFB" w:rsidP="00193AFB" w:rsidRDefault="00193AFB">
      <w:pPr>
        <w:pStyle w:val="NoSpacing"/>
        <w:spacing w:line="360" w:lineRule="auto"/>
        <w:contextualSpacing/>
        <w:rPr>
          <w:rFonts w:ascii="Verdana" w:hAnsi="Verdana"/>
          <w:sz w:val="18"/>
          <w:szCs w:val="18"/>
        </w:rPr>
      </w:pPr>
      <w:r w:rsidRPr="00923AA4">
        <w:rPr>
          <w:rFonts w:ascii="Verdana" w:hAnsi="Verdana"/>
          <w:sz w:val="18"/>
          <w:szCs w:val="18"/>
        </w:rPr>
        <w:t xml:space="preserve">De Europese Commissie bracht in juni 2013 het SES2+ voorstel uit om de implementatie van </w:t>
      </w:r>
      <w:r w:rsidRPr="00923AA4">
        <w:rPr>
          <w:rFonts w:ascii="Verdana" w:hAnsi="Verdana"/>
          <w:i/>
          <w:sz w:val="18"/>
          <w:szCs w:val="18"/>
        </w:rPr>
        <w:t>Single European Sky</w:t>
      </w:r>
      <w:r w:rsidRPr="00923AA4">
        <w:rPr>
          <w:rFonts w:ascii="Verdana" w:hAnsi="Verdana"/>
          <w:sz w:val="18"/>
          <w:szCs w:val="18"/>
        </w:rPr>
        <w:t xml:space="preserve"> (SES) te versnellen (st11490/14, st11496/14 en st11501/14). Dit voorstel bestaat uit een aangepaste verordening over SES en een aangepaste verordening over het Europees Agentschap voor luchtvaartveiligheid (</w:t>
      </w:r>
      <w:r w:rsidRPr="00923AA4">
        <w:rPr>
          <w:rFonts w:ascii="Verdana" w:hAnsi="Verdana"/>
          <w:i/>
          <w:sz w:val="18"/>
          <w:szCs w:val="18"/>
        </w:rPr>
        <w:t>European Aviation Safety Agency</w:t>
      </w:r>
      <w:r w:rsidRPr="00923AA4">
        <w:rPr>
          <w:rFonts w:ascii="Verdana" w:hAnsi="Verdana"/>
          <w:sz w:val="18"/>
          <w:szCs w:val="18"/>
        </w:rPr>
        <w:t xml:space="preserve">, EASA). De voorstellen richten zich op institutionele aspecten, inclusief comitologie; prestatieverbetering van luchtverkeersdienstverlening; het stroomlijnen van de SES en EASA regelgeving; en onder de civiele regels brengen van militaire luchthavens en luchtverkeersdienstverleners die primair civiel verkeer behandelen. </w:t>
      </w:r>
    </w:p>
    <w:p w:rsidRPr="00923AA4" w:rsidR="00193AFB" w:rsidP="00193AFB" w:rsidRDefault="00193AFB">
      <w:pPr>
        <w:pStyle w:val="NoSpacing"/>
        <w:spacing w:line="360" w:lineRule="auto"/>
        <w:contextualSpacing/>
        <w:rPr>
          <w:rFonts w:ascii="Verdana" w:hAnsi="Verdana"/>
          <w:sz w:val="18"/>
          <w:szCs w:val="18"/>
          <w:u w:val="single"/>
        </w:rPr>
      </w:pPr>
    </w:p>
    <w:p w:rsidRPr="00923AA4" w:rsidR="00193AFB" w:rsidP="00193AFB" w:rsidRDefault="00193AFB">
      <w:pPr>
        <w:pStyle w:val="NoSpacing"/>
        <w:spacing w:line="360" w:lineRule="auto"/>
        <w:contextualSpacing/>
        <w:rPr>
          <w:rFonts w:ascii="Verdana" w:hAnsi="Verdana"/>
          <w:sz w:val="18"/>
          <w:szCs w:val="18"/>
          <w:u w:val="single"/>
        </w:rPr>
      </w:pPr>
      <w:r w:rsidRPr="00923AA4">
        <w:rPr>
          <w:rFonts w:ascii="Verdana" w:hAnsi="Verdana"/>
          <w:sz w:val="18"/>
          <w:szCs w:val="18"/>
          <w:u w:val="single"/>
        </w:rPr>
        <w:t>Stand van zaken en krachtenveld:</w:t>
      </w:r>
    </w:p>
    <w:p w:rsidRPr="00923AA4" w:rsidR="00193AFB" w:rsidP="00193AFB" w:rsidRDefault="00193AFB">
      <w:pPr>
        <w:spacing w:line="360" w:lineRule="auto"/>
        <w:contextualSpacing/>
        <w:rPr>
          <w:rFonts w:ascii="Verdana" w:hAnsi="Verdana"/>
          <w:sz w:val="18"/>
          <w:szCs w:val="18"/>
        </w:rPr>
      </w:pPr>
      <w:r w:rsidRPr="00923AA4">
        <w:rPr>
          <w:rFonts w:ascii="Verdana" w:hAnsi="Verdana"/>
          <w:sz w:val="18"/>
          <w:szCs w:val="18"/>
        </w:rPr>
        <w:t xml:space="preserve">In de Transportraad van 8 oktober 2014 presenteerde het voorzitterschap een voortgangsrapportage over SES2+. Begin november vindt een high level bijeenkomst over dit onderwerp plaats. Het voorzitterschap streeft naar een politiek akkoord in de Transportraad van 3 december. Veel lidstaten zijn in beginsel kritisch over de SES2+ voorstellen, omdat het inspanningen vraagt die ten koste gaan van de lopende implementatie. De meerderheid van de lidstaten werkt mee in de behandeling in de Raad om tot een aanvaardbare uitkomst te komen, waarbij de regels tijdens het spel beperkt worden veranderd. Op dit moment is er nog geen oplossing voor de verhouding van de SES en EASA regelgeving tot Gibraltar. De verwachting is dat de EASA wijzigingen die niet direct samenhangen met SES worden doorgeschoven naar de algehele EASA-herziening in 2015/2016. </w:t>
      </w:r>
    </w:p>
    <w:p w:rsidR="009008E7" w:rsidP="00193AFB" w:rsidRDefault="009008E7">
      <w:pPr>
        <w:pStyle w:val="NoSpacing"/>
        <w:spacing w:line="360" w:lineRule="auto"/>
        <w:contextualSpacing/>
        <w:rPr>
          <w:rFonts w:ascii="Verdana" w:hAnsi="Verdana"/>
          <w:sz w:val="18"/>
          <w:szCs w:val="18"/>
          <w:u w:val="single"/>
        </w:rPr>
      </w:pPr>
    </w:p>
    <w:p w:rsidRPr="00923AA4" w:rsidR="00193AFB" w:rsidP="00193AFB" w:rsidRDefault="00193AFB">
      <w:pPr>
        <w:pStyle w:val="NoSpacing"/>
        <w:spacing w:line="360" w:lineRule="auto"/>
        <w:contextualSpacing/>
        <w:rPr>
          <w:rFonts w:ascii="Verdana" w:hAnsi="Verdana"/>
          <w:sz w:val="18"/>
          <w:szCs w:val="18"/>
          <w:u w:val="single"/>
        </w:rPr>
      </w:pPr>
      <w:r w:rsidRPr="00923AA4">
        <w:rPr>
          <w:rFonts w:ascii="Verdana" w:hAnsi="Verdana"/>
          <w:sz w:val="18"/>
          <w:szCs w:val="18"/>
          <w:u w:val="single"/>
        </w:rPr>
        <w:lastRenderedPageBreak/>
        <w:t>Nederlandse positie</w:t>
      </w:r>
    </w:p>
    <w:p w:rsidRPr="00923AA4" w:rsidR="00193AFB" w:rsidP="00193AFB" w:rsidRDefault="00193AFB">
      <w:pPr>
        <w:pStyle w:val="NoSpacing"/>
        <w:spacing w:line="360" w:lineRule="auto"/>
        <w:contextualSpacing/>
        <w:rPr>
          <w:rFonts w:ascii="Verdana" w:hAnsi="Verdana"/>
          <w:bCs/>
          <w:sz w:val="18"/>
          <w:szCs w:val="18"/>
        </w:rPr>
      </w:pPr>
      <w:r w:rsidRPr="00923AA4">
        <w:rPr>
          <w:rFonts w:ascii="Verdana" w:hAnsi="Verdana"/>
          <w:bCs/>
          <w:sz w:val="18"/>
          <w:szCs w:val="18"/>
        </w:rPr>
        <w:t xml:space="preserve">Nederland is groot voorstander van SES en steunt de Europese Commissie om de vertraging bij de implementatie gezamenlijk aan te pakken. Nederland heeft aarzelingen bij de gekozen instrumenten. Er zou sterker moeten worden gestuurd op de te leveren prestaties, maar het voorstel bevat echter veel gedetailleerde inhoudelijke eisen aan de wijze waarop de prestaties moeten worden geleverd en de wijze waarop bijvoorbeeld lidstaten hun toezichthoudende instanties moeten inrichten. Hiermee resteert beperkte flexibiliteit om binnen de lidstaten tot gepaste oplossingen te komen. De stakeholders zouden ook meer mogelijkheden moeten krijgen om onderling prestatieafspraken te maken. Nederland is geen voorstander van het </w:t>
      </w:r>
      <w:r w:rsidRPr="00923AA4">
        <w:rPr>
          <w:rFonts w:ascii="Verdana" w:hAnsi="Verdana"/>
          <w:sz w:val="18"/>
          <w:szCs w:val="18"/>
        </w:rPr>
        <w:t xml:space="preserve">onder de civiele regels brengen van militaire luchthavens en luchtverkeersdienstverleners die primair civiel verkeer behandelen en garandeert een equivalent veiligheidsniveau middels nationale regelgeving. Deze inzet wordt door vrijwel alle landen gedeeld. </w:t>
      </w:r>
      <w:r w:rsidRPr="00923AA4">
        <w:rPr>
          <w:rFonts w:ascii="Verdana" w:hAnsi="Verdana"/>
          <w:bCs/>
          <w:sz w:val="18"/>
          <w:szCs w:val="18"/>
        </w:rPr>
        <w:t>Ten slotte wil Nederland meer invloed van de lidstaten (behouden) voor bijvoorbeeld het opstellen van de SES prestatieregelingen en voor het aanwijzen van de Netwerk Manager middels uitvoeringshandelingen volgens de onderzoeksprocedure. Deze aspecten lijken steun te hebben van een grote meerderheid in de Raad.</w:t>
      </w:r>
    </w:p>
    <w:p w:rsidRPr="00923AA4" w:rsidR="00193AFB" w:rsidP="00193AFB" w:rsidRDefault="00193AFB">
      <w:pPr>
        <w:pStyle w:val="NoSpacing"/>
        <w:spacing w:line="360" w:lineRule="auto"/>
        <w:contextualSpacing/>
        <w:rPr>
          <w:rFonts w:ascii="Verdana" w:hAnsi="Verdana"/>
          <w:b/>
          <w:bCs/>
          <w:sz w:val="18"/>
          <w:szCs w:val="18"/>
        </w:rPr>
      </w:pPr>
    </w:p>
    <w:p w:rsidRPr="00923AA4" w:rsidR="00193AFB" w:rsidP="00193AFB" w:rsidRDefault="00193AFB">
      <w:pPr>
        <w:spacing w:line="360" w:lineRule="auto"/>
        <w:contextualSpacing/>
        <w:rPr>
          <w:rFonts w:ascii="Verdana" w:hAnsi="Verdana"/>
          <w:b/>
          <w:sz w:val="18"/>
          <w:szCs w:val="18"/>
        </w:rPr>
      </w:pPr>
      <w:r w:rsidRPr="00923AA4">
        <w:rPr>
          <w:rFonts w:ascii="Verdana" w:hAnsi="Verdana"/>
          <w:b/>
          <w:sz w:val="18"/>
          <w:szCs w:val="18"/>
        </w:rPr>
        <w:t xml:space="preserve">Vierde spoorpakket </w:t>
      </w:r>
    </w:p>
    <w:p w:rsidRPr="00923AA4" w:rsidR="00193AFB" w:rsidP="00193AFB" w:rsidRDefault="00193AFB">
      <w:pPr>
        <w:spacing w:line="360" w:lineRule="auto"/>
        <w:contextualSpacing/>
        <w:rPr>
          <w:rFonts w:ascii="Verdana" w:hAnsi="Verdana"/>
          <w:i/>
          <w:sz w:val="18"/>
          <w:szCs w:val="18"/>
        </w:rPr>
      </w:pPr>
      <w:r w:rsidRPr="00923AA4">
        <w:rPr>
          <w:rFonts w:ascii="Verdana" w:hAnsi="Verdana"/>
          <w:i/>
          <w:sz w:val="18"/>
          <w:szCs w:val="18"/>
        </w:rPr>
        <w:t>Algemene oriëntatie en voortgangsverslag</w:t>
      </w:r>
    </w:p>
    <w:p w:rsidRPr="00923AA4" w:rsidR="00193AFB" w:rsidP="00193AFB" w:rsidRDefault="00193AFB">
      <w:pPr>
        <w:spacing w:line="360" w:lineRule="auto"/>
        <w:contextualSpacing/>
        <w:rPr>
          <w:rFonts w:ascii="Verdana" w:hAnsi="Verdana"/>
          <w:b/>
          <w:sz w:val="18"/>
          <w:szCs w:val="18"/>
        </w:rPr>
      </w:pPr>
    </w:p>
    <w:p w:rsidRPr="00923AA4" w:rsidR="00193AFB" w:rsidP="00193AFB" w:rsidRDefault="00193AFB">
      <w:pPr>
        <w:spacing w:line="360" w:lineRule="auto"/>
        <w:contextualSpacing/>
        <w:rPr>
          <w:rFonts w:ascii="Verdana" w:hAnsi="Verdana"/>
          <w:sz w:val="18"/>
          <w:szCs w:val="18"/>
          <w:u w:val="single"/>
        </w:rPr>
      </w:pPr>
      <w:r w:rsidRPr="00923AA4">
        <w:rPr>
          <w:rFonts w:ascii="Verdana" w:hAnsi="Verdana"/>
          <w:sz w:val="18"/>
          <w:szCs w:val="18"/>
          <w:u w:val="single"/>
        </w:rPr>
        <w:t>Inhoud</w:t>
      </w:r>
    </w:p>
    <w:p w:rsidRPr="00923AA4" w:rsidR="00193AFB" w:rsidP="00193AFB" w:rsidRDefault="00193AFB">
      <w:pPr>
        <w:spacing w:line="360" w:lineRule="auto"/>
        <w:contextualSpacing/>
        <w:rPr>
          <w:rFonts w:ascii="Verdana" w:hAnsi="Verdana"/>
          <w:sz w:val="18"/>
          <w:szCs w:val="18"/>
        </w:rPr>
      </w:pPr>
      <w:r w:rsidRPr="00923AA4">
        <w:rPr>
          <w:rFonts w:ascii="Verdana" w:hAnsi="Verdana"/>
          <w:sz w:val="18"/>
          <w:szCs w:val="18"/>
        </w:rPr>
        <w:t>De marktpijler van het vierde spoorpakket bestaat uit twee voorstellen bedoeld om concurrentiekracht en de kwaliteit van het Europees spoorvervoer te verbeteren. Het ene voorstel gaat in op beheer van spoorinfrastructuur en open toegang tot de spoorinfrastructuur in de lidstaten. Dit voorstel moet de onafhankelijkheid van de infrastructuurbeheerder waarborgen. Bestaande geïntegreerde ondernemingen kunnen blijven bestaan mits de onafhankelijkheid van de infrastructuurbeheerder is verzekerd. Het voorstel voorziet ook in recht op toegang voor spoorwegondernemingen tot de spoorinfrastructuur in alle lidstaten.</w:t>
      </w:r>
    </w:p>
    <w:p w:rsidRPr="00923AA4" w:rsidR="00193AFB" w:rsidP="00193AFB" w:rsidRDefault="00193AFB">
      <w:pPr>
        <w:spacing w:line="360" w:lineRule="auto"/>
        <w:contextualSpacing/>
        <w:rPr>
          <w:rFonts w:ascii="Verdana" w:hAnsi="Verdana"/>
          <w:sz w:val="18"/>
          <w:szCs w:val="18"/>
        </w:rPr>
      </w:pPr>
    </w:p>
    <w:p w:rsidRPr="00923AA4" w:rsidR="00193AFB" w:rsidP="00193AFB" w:rsidRDefault="00193AFB">
      <w:pPr>
        <w:spacing w:line="360" w:lineRule="auto"/>
        <w:contextualSpacing/>
        <w:rPr>
          <w:rFonts w:ascii="Verdana" w:hAnsi="Verdana"/>
          <w:sz w:val="18"/>
          <w:szCs w:val="18"/>
        </w:rPr>
      </w:pPr>
      <w:r w:rsidRPr="00923AA4">
        <w:rPr>
          <w:rFonts w:ascii="Verdana" w:hAnsi="Verdana"/>
          <w:sz w:val="18"/>
          <w:szCs w:val="18"/>
        </w:rPr>
        <w:t xml:space="preserve">Het andere voorstel gaat in op de opening van de binnenlandse markt voor personenvervoer en wijziging van de verordening over openbare dienstverplichtingen. </w:t>
      </w:r>
    </w:p>
    <w:p w:rsidRPr="00923AA4" w:rsidR="00193AFB" w:rsidP="00193AFB" w:rsidRDefault="00193AFB">
      <w:pPr>
        <w:spacing w:line="360" w:lineRule="auto"/>
        <w:contextualSpacing/>
        <w:rPr>
          <w:rFonts w:ascii="Verdana" w:hAnsi="Verdana"/>
          <w:sz w:val="18"/>
          <w:szCs w:val="18"/>
        </w:rPr>
      </w:pPr>
      <w:r w:rsidRPr="00923AA4">
        <w:rPr>
          <w:rFonts w:ascii="Verdana" w:hAnsi="Verdana"/>
          <w:sz w:val="18"/>
          <w:szCs w:val="18"/>
        </w:rPr>
        <w:t xml:space="preserve">Dit voorstel voorziet onder meer in: de introductie van verplichte openbare aanbesteding van openbare dienstcontracten (concessies) en een maximumomvang van het marktvolume van deze openbare dienstcontracten. Beide voorstellen uit de marktpijler liggen deze Transportraad voor. </w:t>
      </w:r>
    </w:p>
    <w:p w:rsidRPr="00923AA4" w:rsidR="00193AFB" w:rsidP="00193AFB" w:rsidRDefault="00193AFB">
      <w:pPr>
        <w:spacing w:line="360" w:lineRule="auto"/>
        <w:contextualSpacing/>
        <w:rPr>
          <w:rFonts w:ascii="Verdana" w:hAnsi="Verdana"/>
          <w:sz w:val="18"/>
          <w:szCs w:val="18"/>
        </w:rPr>
      </w:pPr>
    </w:p>
    <w:p w:rsidRPr="00923AA4" w:rsidR="00193AFB" w:rsidP="00193AFB" w:rsidRDefault="00193AFB">
      <w:pPr>
        <w:spacing w:line="360" w:lineRule="auto"/>
        <w:contextualSpacing/>
        <w:rPr>
          <w:rFonts w:ascii="Verdana" w:hAnsi="Verdana"/>
          <w:sz w:val="18"/>
          <w:szCs w:val="18"/>
        </w:rPr>
      </w:pPr>
      <w:r w:rsidRPr="00923AA4">
        <w:rPr>
          <w:rFonts w:ascii="Verdana" w:hAnsi="Verdana"/>
          <w:sz w:val="18"/>
          <w:szCs w:val="18"/>
        </w:rPr>
        <w:t xml:space="preserve">Daarnaast ligt een derde voorstel voor dat een bestaande verordening intrekt over compensatie door lidstaten aan spoorwegondernemingen. Deze bestaande verordening maakt het lidstaten mogelijk spoorwegondernemingen te compenseren voor lasten als vergoedingen voor arbeidsongevallen en pensioenen. </w:t>
      </w:r>
    </w:p>
    <w:p w:rsidRPr="00923AA4" w:rsidR="00193AFB" w:rsidP="00193AFB" w:rsidRDefault="00193AFB">
      <w:pPr>
        <w:spacing w:line="360" w:lineRule="auto"/>
        <w:contextualSpacing/>
        <w:rPr>
          <w:rFonts w:ascii="Verdana" w:hAnsi="Verdana"/>
          <w:sz w:val="18"/>
          <w:szCs w:val="18"/>
        </w:rPr>
      </w:pPr>
    </w:p>
    <w:p w:rsidRPr="00923AA4" w:rsidR="00193AFB" w:rsidP="00193AFB" w:rsidRDefault="00193AFB">
      <w:pPr>
        <w:spacing w:line="360" w:lineRule="auto"/>
        <w:contextualSpacing/>
        <w:rPr>
          <w:rFonts w:ascii="Verdana" w:hAnsi="Verdana"/>
          <w:sz w:val="18"/>
          <w:szCs w:val="18"/>
          <w:u w:val="single"/>
        </w:rPr>
      </w:pPr>
      <w:r w:rsidRPr="00923AA4">
        <w:rPr>
          <w:rFonts w:ascii="Verdana" w:hAnsi="Verdana"/>
          <w:sz w:val="18"/>
          <w:szCs w:val="18"/>
          <w:u w:val="single"/>
        </w:rPr>
        <w:t>Stand van zaken en krachtenveld</w:t>
      </w:r>
    </w:p>
    <w:p w:rsidRPr="00923AA4" w:rsidR="00193AFB" w:rsidP="00193AFB" w:rsidRDefault="00193AFB">
      <w:pPr>
        <w:spacing w:line="360" w:lineRule="auto"/>
        <w:contextualSpacing/>
        <w:rPr>
          <w:rFonts w:ascii="Verdana" w:hAnsi="Verdana"/>
          <w:sz w:val="18"/>
          <w:szCs w:val="18"/>
        </w:rPr>
      </w:pPr>
      <w:r w:rsidRPr="00923AA4">
        <w:rPr>
          <w:rFonts w:ascii="Verdana" w:hAnsi="Verdana"/>
          <w:sz w:val="18"/>
          <w:szCs w:val="18"/>
        </w:rPr>
        <w:t xml:space="preserve">Het vierde spoorpakket is prioriteit voor het Italiaans voorzitterschap. In de afgelopen Transportraad van 8 oktober vond een beleidsdebat plaats over de twee voorstellen van de zogenaamde marktpijler. Hier bleek onder meer dat de meeste grote lidstaten, behalve Frankrijk, </w:t>
      </w:r>
      <w:r w:rsidRPr="00923AA4">
        <w:rPr>
          <w:rFonts w:ascii="Verdana" w:hAnsi="Verdana"/>
          <w:sz w:val="18"/>
          <w:szCs w:val="18"/>
        </w:rPr>
        <w:lastRenderedPageBreak/>
        <w:t xml:space="preserve">openstelling van de binnenlandse markt voor personenvervoer en verplichte aanbesteding voor concessies steunen, met in achtneming van specifieke omstandigheden in de respectievelijke lidstaten. Deze Transportraad streeft het voorzitterschap naar een algemene oriëntatie over het voorstel over het beheer van de spoorinfrastructuur en open toegang tot de spoorinfrastructuur in de lidstaten. Daarnaast wil het voorzitterschap een voortgangsverslag presenteren over het voorstel over opening van de binnenlandse markt voor personenvervoer en wijziging van de verordening over openbare dienstverplichtingen. Een groot aantal lidstaten zou juist graag gelijktijdige besluitvorming over zowel het voorstel over marktopening als het voorstel over beheer infrastructuur zien. De komende periode vinden in Brussel de eerste besprekingen plaats over deze voorstellen. Pas na afloop van deze besprekingen zal duidelijk worden of de ambitie van het voorzitterschap om te komen tot een algemene oriëntatie gerealiseerd kan worden. </w:t>
      </w:r>
    </w:p>
    <w:p w:rsidRPr="00923AA4" w:rsidR="00193AFB" w:rsidP="00193AFB" w:rsidRDefault="00193AFB">
      <w:pPr>
        <w:spacing w:line="360" w:lineRule="auto"/>
        <w:contextualSpacing/>
        <w:rPr>
          <w:rFonts w:ascii="Verdana" w:hAnsi="Verdana"/>
          <w:sz w:val="18"/>
          <w:szCs w:val="18"/>
        </w:rPr>
      </w:pPr>
    </w:p>
    <w:p w:rsidRPr="00923AA4" w:rsidR="00193AFB" w:rsidP="00193AFB" w:rsidRDefault="00193AFB">
      <w:pPr>
        <w:spacing w:line="360" w:lineRule="auto"/>
        <w:contextualSpacing/>
        <w:rPr>
          <w:rFonts w:ascii="Verdana" w:hAnsi="Verdana"/>
          <w:sz w:val="18"/>
          <w:szCs w:val="18"/>
          <w:u w:val="single"/>
        </w:rPr>
      </w:pPr>
      <w:r w:rsidRPr="00923AA4">
        <w:rPr>
          <w:rFonts w:ascii="Verdana" w:hAnsi="Verdana"/>
          <w:sz w:val="18"/>
          <w:szCs w:val="18"/>
          <w:u w:val="single"/>
        </w:rPr>
        <w:t>Nederlandse positie</w:t>
      </w:r>
      <w:r w:rsidRPr="00923AA4">
        <w:rPr>
          <w:rStyle w:val="FootnoteReference"/>
          <w:rFonts w:ascii="Verdana" w:hAnsi="Verdana"/>
          <w:sz w:val="18"/>
          <w:szCs w:val="18"/>
          <w:u w:val="single"/>
        </w:rPr>
        <w:footnoteReference w:id="1"/>
      </w:r>
      <w:r w:rsidRPr="00923AA4">
        <w:rPr>
          <w:rFonts w:ascii="Verdana" w:hAnsi="Verdana"/>
          <w:sz w:val="18"/>
          <w:szCs w:val="18"/>
          <w:u w:val="single"/>
        </w:rPr>
        <w:t xml:space="preserve"> </w:t>
      </w:r>
    </w:p>
    <w:p w:rsidRPr="00923AA4" w:rsidR="00193AFB" w:rsidP="00193AFB" w:rsidRDefault="00193AFB">
      <w:pPr>
        <w:spacing w:line="360" w:lineRule="auto"/>
        <w:contextualSpacing/>
        <w:rPr>
          <w:rFonts w:ascii="Verdana" w:hAnsi="Verdana"/>
          <w:sz w:val="18"/>
          <w:szCs w:val="18"/>
        </w:rPr>
      </w:pPr>
      <w:r w:rsidRPr="00923AA4">
        <w:rPr>
          <w:rFonts w:ascii="Verdana" w:hAnsi="Verdana"/>
          <w:sz w:val="18"/>
          <w:szCs w:val="18"/>
        </w:rPr>
        <w:t xml:space="preserve">Nederland benadrukt dat beide voorstellen van de marktpijler nauw met elkaar samenhangen en wil daarom parallelle bespreking en gelijktijdige besluitvorming hierover. Afzonderlijke besluitvorming binnen de marktpijler, zoals het voorzitterschap nu nastreeft, wil Nederland trachten te voorkomen. Nederland onderschrijft de doelstellingen van de Europese Commissie om tot een efficiënt en kwalitatief beter spoorsysteem in Europa te komen maar Nederland wijst de door de Commissie voorgestelde oplossingsrichting over marktopening af. Volgens Nederland kunnen de doelstellingen van de Commissie ook bereikt worden zonder de introductie van verplichte openbare aanbesteding van concessies en de voorgestelde maximumomvang van het marktvolume van openbare dienstcontracten. Nederland wil via scherpere sturing en regie de kwaliteit en efficiency van het spoorvervoer verhogen, onder meer via het opnemen van concrete prestatie-indicatoren in het onderhands te gunnen openbare dienstcontract voor het hoofdrailnet (2015-2025) aan NS. Ten aanzien van het beheer van de infrastructuur benadrukt Nederland het belang van de instandhouding van eerlijke concurrentieverhoudingen binnen Europa en het behoud van de mogelijkheid tot operationele samenwerking tussen infrastructuurbeheerder en vervoerder met het oog op de verbetering van de kwaliteit van het spoorsysteem. </w:t>
      </w:r>
    </w:p>
    <w:p w:rsidRPr="00923AA4" w:rsidR="00193AFB" w:rsidP="00193AFB" w:rsidRDefault="00193AFB">
      <w:pPr>
        <w:spacing w:line="360" w:lineRule="auto"/>
        <w:contextualSpacing/>
        <w:rPr>
          <w:rFonts w:ascii="Verdana" w:hAnsi="Verdana"/>
          <w:sz w:val="18"/>
          <w:szCs w:val="18"/>
        </w:rPr>
      </w:pPr>
    </w:p>
    <w:p w:rsidR="009008E7" w:rsidRDefault="009008E7">
      <w:pPr>
        <w:rPr>
          <w:rFonts w:ascii="Verdana" w:hAnsi="Verdana"/>
          <w:b/>
          <w:bCs/>
          <w:sz w:val="18"/>
          <w:szCs w:val="18"/>
          <w:lang w:val="en-US"/>
        </w:rPr>
      </w:pPr>
      <w:r>
        <w:rPr>
          <w:rFonts w:ascii="Verdana" w:hAnsi="Verdana"/>
          <w:b/>
          <w:bCs/>
          <w:sz w:val="18"/>
          <w:szCs w:val="18"/>
          <w:lang w:val="en-US"/>
        </w:rPr>
        <w:br w:type="page"/>
      </w:r>
    </w:p>
    <w:p w:rsidRPr="00923AA4" w:rsidR="00193AFB" w:rsidP="00193AFB" w:rsidRDefault="00193AFB">
      <w:pPr>
        <w:spacing w:line="360" w:lineRule="auto"/>
        <w:contextualSpacing/>
        <w:rPr>
          <w:rFonts w:ascii="Verdana" w:hAnsi="Verdana"/>
          <w:b/>
          <w:bCs/>
          <w:sz w:val="18"/>
          <w:szCs w:val="18"/>
          <w:lang w:val="en-US"/>
        </w:rPr>
      </w:pPr>
      <w:r w:rsidRPr="00923AA4">
        <w:rPr>
          <w:rFonts w:ascii="Verdana" w:hAnsi="Verdana"/>
          <w:b/>
          <w:bCs/>
          <w:sz w:val="18"/>
          <w:szCs w:val="18"/>
          <w:lang w:val="en-US"/>
        </w:rPr>
        <w:t xml:space="preserve">Ratificatie IMO STCW-F Verdrag </w:t>
      </w:r>
    </w:p>
    <w:p w:rsidRPr="00923AA4" w:rsidR="00193AFB" w:rsidP="00193AFB" w:rsidRDefault="00193AFB">
      <w:pPr>
        <w:spacing w:line="360" w:lineRule="auto"/>
        <w:contextualSpacing/>
        <w:rPr>
          <w:rFonts w:ascii="Verdana" w:hAnsi="Verdana"/>
          <w:b/>
          <w:i/>
          <w:sz w:val="18"/>
          <w:szCs w:val="18"/>
          <w:lang w:val="en-US"/>
        </w:rPr>
      </w:pPr>
      <w:r w:rsidRPr="00923AA4">
        <w:rPr>
          <w:rFonts w:ascii="Verdana" w:hAnsi="Verdana"/>
          <w:b/>
          <w:i/>
          <w:sz w:val="18"/>
          <w:szCs w:val="18"/>
          <w:lang w:val="en-US"/>
        </w:rPr>
        <w:t>The International Convention on Standards of Training, Certification and Watch-keeping for Fishing Vessel Personnel, of the International Maritime Organization</w:t>
      </w:r>
    </w:p>
    <w:p w:rsidRPr="00923AA4" w:rsidR="00193AFB" w:rsidP="00193AFB" w:rsidRDefault="00193AFB">
      <w:pPr>
        <w:spacing w:line="360" w:lineRule="auto"/>
        <w:contextualSpacing/>
        <w:rPr>
          <w:rFonts w:ascii="Verdana" w:hAnsi="Verdana"/>
          <w:i/>
          <w:iCs/>
          <w:sz w:val="18"/>
          <w:szCs w:val="18"/>
          <w:lang w:val="en-US"/>
        </w:rPr>
      </w:pPr>
    </w:p>
    <w:p w:rsidRPr="00923AA4" w:rsidR="00193AFB" w:rsidP="00193AFB" w:rsidRDefault="00193AFB">
      <w:pPr>
        <w:spacing w:line="360" w:lineRule="auto"/>
        <w:contextualSpacing/>
        <w:rPr>
          <w:rFonts w:ascii="Verdana" w:hAnsi="Verdana"/>
          <w:sz w:val="18"/>
          <w:szCs w:val="18"/>
          <w:u w:val="single"/>
        </w:rPr>
      </w:pPr>
      <w:r w:rsidRPr="00923AA4">
        <w:rPr>
          <w:rFonts w:ascii="Verdana" w:hAnsi="Verdana"/>
          <w:i/>
          <w:iCs/>
          <w:sz w:val="18"/>
          <w:szCs w:val="18"/>
        </w:rPr>
        <w:t xml:space="preserve">Raadsbesluit </w:t>
      </w:r>
    </w:p>
    <w:p w:rsidRPr="00923AA4" w:rsidR="00193AFB" w:rsidP="00193AFB" w:rsidRDefault="00193AFB">
      <w:pPr>
        <w:spacing w:line="360" w:lineRule="auto"/>
        <w:contextualSpacing/>
        <w:rPr>
          <w:rFonts w:ascii="Verdana" w:hAnsi="Verdana"/>
          <w:sz w:val="18"/>
          <w:szCs w:val="18"/>
          <w:u w:val="single"/>
        </w:rPr>
      </w:pPr>
    </w:p>
    <w:p w:rsidRPr="00923AA4" w:rsidR="00193AFB" w:rsidP="00193AFB" w:rsidRDefault="00193AFB">
      <w:pPr>
        <w:spacing w:line="360" w:lineRule="auto"/>
        <w:contextualSpacing/>
        <w:rPr>
          <w:rFonts w:ascii="Verdana" w:hAnsi="Verdana"/>
          <w:sz w:val="18"/>
          <w:szCs w:val="18"/>
          <w:u w:val="single"/>
        </w:rPr>
      </w:pPr>
      <w:r w:rsidRPr="00923AA4">
        <w:rPr>
          <w:rFonts w:ascii="Verdana" w:hAnsi="Verdana"/>
          <w:sz w:val="18"/>
          <w:szCs w:val="18"/>
          <w:u w:val="single"/>
        </w:rPr>
        <w:t xml:space="preserve">Inhoud </w:t>
      </w:r>
    </w:p>
    <w:p w:rsidRPr="00923AA4" w:rsidR="00193AFB" w:rsidP="00193AFB" w:rsidRDefault="00193AFB">
      <w:pPr>
        <w:spacing w:line="360" w:lineRule="auto"/>
        <w:contextualSpacing/>
        <w:rPr>
          <w:rFonts w:ascii="Verdana" w:hAnsi="Verdana"/>
          <w:sz w:val="18"/>
          <w:szCs w:val="18"/>
        </w:rPr>
      </w:pPr>
      <w:r w:rsidRPr="00923AA4">
        <w:rPr>
          <w:rFonts w:ascii="Verdana" w:hAnsi="Verdana"/>
          <w:sz w:val="18"/>
          <w:szCs w:val="18"/>
        </w:rPr>
        <w:t>Het voorstel houdt een Raadsbesluit in waarmee Lidstaten gemachtigd worden het IMO-STCW-F ’95 verdrag te ratificeren (st13350/13, 5 september 2013) . STCW-F’95 is het IMO verdrag dat ziet op internationale beroepsvereisten voor zeevarenden in de visserij. In het voorstel worden Lidstaten daarnaast opgeroepen het verdrag binnen 24 maanden na aanname van het Raadsbesluit te ratificeren.</w:t>
      </w:r>
    </w:p>
    <w:p w:rsidRPr="00923AA4" w:rsidR="00193AFB" w:rsidP="00193AFB" w:rsidRDefault="00193AFB">
      <w:pPr>
        <w:spacing w:line="360" w:lineRule="auto"/>
        <w:contextualSpacing/>
        <w:rPr>
          <w:rFonts w:ascii="Verdana" w:hAnsi="Verdana"/>
          <w:sz w:val="18"/>
          <w:szCs w:val="18"/>
          <w:u w:val="single"/>
        </w:rPr>
      </w:pPr>
    </w:p>
    <w:p w:rsidRPr="00923AA4" w:rsidR="00193AFB" w:rsidP="00193AFB" w:rsidRDefault="00193AFB">
      <w:pPr>
        <w:spacing w:line="360" w:lineRule="auto"/>
        <w:contextualSpacing/>
        <w:rPr>
          <w:rFonts w:ascii="Verdana" w:hAnsi="Verdana"/>
          <w:sz w:val="18"/>
          <w:szCs w:val="18"/>
          <w:u w:val="single"/>
        </w:rPr>
      </w:pPr>
      <w:r w:rsidRPr="00923AA4">
        <w:rPr>
          <w:rFonts w:ascii="Verdana" w:hAnsi="Verdana"/>
          <w:sz w:val="18"/>
          <w:szCs w:val="18"/>
          <w:u w:val="single"/>
        </w:rPr>
        <w:t>Stand van Zaken en krachtenveld</w:t>
      </w:r>
    </w:p>
    <w:p w:rsidRPr="00923AA4" w:rsidR="00193AFB" w:rsidP="00193AFB" w:rsidRDefault="00193AFB">
      <w:pPr>
        <w:spacing w:line="360" w:lineRule="auto"/>
        <w:contextualSpacing/>
        <w:rPr>
          <w:rFonts w:ascii="Verdana" w:hAnsi="Verdana"/>
          <w:sz w:val="18"/>
          <w:szCs w:val="18"/>
        </w:rPr>
      </w:pPr>
      <w:r w:rsidRPr="00923AA4">
        <w:rPr>
          <w:rFonts w:ascii="Verdana" w:hAnsi="Verdana"/>
          <w:sz w:val="18"/>
          <w:szCs w:val="18"/>
        </w:rPr>
        <w:t>Vanaf oktober 2013 is dit voorstel door de lidstaten besproken. Uw Kamer is reeds bij brief van 23 januari 2013 geïnformeerd over het voornemen om STCW-F’95 te ratificeren (Kamerstuk 31409-43). Onderhavig Commissievoorstel schept daarvoor de randvoorwaarden. Aanvankelijk stond dit punt geagendeerd voor de Transportraad van 8 oktober. Dit kwam echter te vervallen. De verwachting is dat dit voorstel nu in de Transportraad van 3 december wordt aangenomen. Het EP dient formeel goedkeuring te verlenen aan het Raadsbesluit, maar hier worden geen problemen verwacht.</w:t>
      </w:r>
      <w:r w:rsidRPr="00923AA4" w:rsidDel="00F40259">
        <w:rPr>
          <w:rFonts w:ascii="Verdana" w:hAnsi="Verdana"/>
          <w:sz w:val="18"/>
          <w:szCs w:val="18"/>
        </w:rPr>
        <w:t xml:space="preserve"> </w:t>
      </w:r>
    </w:p>
    <w:p w:rsidRPr="00923AA4" w:rsidR="00193AFB" w:rsidP="00193AFB" w:rsidRDefault="00193AFB">
      <w:pPr>
        <w:spacing w:line="360" w:lineRule="auto"/>
        <w:contextualSpacing/>
        <w:rPr>
          <w:rFonts w:ascii="Verdana" w:hAnsi="Verdana"/>
          <w:sz w:val="18"/>
          <w:szCs w:val="18"/>
          <w:u w:val="single"/>
        </w:rPr>
      </w:pPr>
    </w:p>
    <w:p w:rsidRPr="00923AA4" w:rsidR="00193AFB" w:rsidP="00193AFB" w:rsidRDefault="00193AFB">
      <w:pPr>
        <w:spacing w:line="360" w:lineRule="auto"/>
        <w:contextualSpacing/>
        <w:rPr>
          <w:rFonts w:ascii="Verdana" w:hAnsi="Verdana"/>
          <w:sz w:val="18"/>
          <w:szCs w:val="18"/>
          <w:u w:val="single"/>
        </w:rPr>
      </w:pPr>
      <w:r w:rsidRPr="00923AA4">
        <w:rPr>
          <w:rFonts w:ascii="Verdana" w:hAnsi="Verdana"/>
          <w:sz w:val="18"/>
          <w:szCs w:val="18"/>
          <w:u w:val="single"/>
        </w:rPr>
        <w:t>Nederlandse positie</w:t>
      </w:r>
    </w:p>
    <w:p w:rsidRPr="00923AA4" w:rsidR="00193AFB" w:rsidP="00193AFB" w:rsidRDefault="00193AFB">
      <w:pPr>
        <w:spacing w:line="360" w:lineRule="auto"/>
        <w:contextualSpacing/>
        <w:rPr>
          <w:rFonts w:ascii="Verdana" w:hAnsi="Verdana"/>
          <w:sz w:val="18"/>
          <w:szCs w:val="18"/>
        </w:rPr>
      </w:pPr>
      <w:r w:rsidRPr="00923AA4">
        <w:rPr>
          <w:rFonts w:ascii="Verdana" w:hAnsi="Verdana"/>
          <w:sz w:val="18"/>
          <w:szCs w:val="18"/>
        </w:rPr>
        <w:t>Nederland is voornemens het STCW-F ‘95 Verdrag te ratificeren en kan instemmen met voorliggend ontwerp Raadsbesluit. Nederland zal het belang onderstrepen van ratificatie van STCW-F ’95 voor de Europese harmonisatie van beroepsvereisten voor zeevarenden op visserijschepen. De belangrijkste argumenten voor Nederland om in te stemmen zijn:</w:t>
      </w:r>
    </w:p>
    <w:p w:rsidRPr="00923AA4" w:rsidR="00193AFB" w:rsidP="00193AFB" w:rsidRDefault="00193AFB">
      <w:pPr>
        <w:numPr>
          <w:ilvl w:val="0"/>
          <w:numId w:val="1"/>
        </w:numPr>
        <w:spacing w:line="360" w:lineRule="auto"/>
        <w:contextualSpacing/>
        <w:rPr>
          <w:rFonts w:ascii="Verdana" w:hAnsi="Verdana"/>
          <w:sz w:val="18"/>
          <w:szCs w:val="18"/>
        </w:rPr>
      </w:pPr>
      <w:r w:rsidRPr="00923AA4">
        <w:rPr>
          <w:rFonts w:ascii="Verdana" w:hAnsi="Verdana"/>
          <w:sz w:val="18"/>
          <w:szCs w:val="18"/>
        </w:rPr>
        <w:t>De veiligheid op zee -zowel qua vissersvaartuigen als ook hun bemanning;</w:t>
      </w:r>
    </w:p>
    <w:p w:rsidRPr="00923AA4" w:rsidR="00193AFB" w:rsidP="00193AFB" w:rsidRDefault="00193AFB">
      <w:pPr>
        <w:numPr>
          <w:ilvl w:val="0"/>
          <w:numId w:val="1"/>
        </w:numPr>
        <w:spacing w:line="360" w:lineRule="auto"/>
        <w:contextualSpacing/>
        <w:rPr>
          <w:rFonts w:ascii="Verdana" w:hAnsi="Verdana"/>
          <w:sz w:val="18"/>
          <w:szCs w:val="18"/>
        </w:rPr>
      </w:pPr>
      <w:r w:rsidRPr="00923AA4">
        <w:rPr>
          <w:rFonts w:ascii="Verdana" w:hAnsi="Verdana"/>
          <w:sz w:val="18"/>
          <w:szCs w:val="18"/>
        </w:rPr>
        <w:t>Gelijke EU-beroepsvereisten voor zeevarenden op visserijschepen waardoor het werkzaam zijn binnen gehele EU eenvoudiger wordt;</w:t>
      </w:r>
    </w:p>
    <w:p w:rsidRPr="00923AA4" w:rsidR="00193AFB" w:rsidP="00193AFB" w:rsidRDefault="00193AFB">
      <w:pPr>
        <w:numPr>
          <w:ilvl w:val="0"/>
          <w:numId w:val="1"/>
        </w:numPr>
        <w:spacing w:line="360" w:lineRule="auto"/>
        <w:contextualSpacing/>
        <w:rPr>
          <w:rFonts w:ascii="Verdana" w:hAnsi="Verdana"/>
          <w:sz w:val="18"/>
          <w:szCs w:val="18"/>
        </w:rPr>
      </w:pPr>
      <w:r w:rsidRPr="00923AA4">
        <w:rPr>
          <w:rFonts w:ascii="Verdana" w:hAnsi="Verdana"/>
          <w:sz w:val="18"/>
          <w:szCs w:val="18"/>
        </w:rPr>
        <w:t xml:space="preserve">Het bereiken van een </w:t>
      </w:r>
      <w:r w:rsidRPr="00923AA4">
        <w:rPr>
          <w:rFonts w:ascii="Verdana" w:hAnsi="Verdana"/>
          <w:i/>
          <w:sz w:val="18"/>
          <w:szCs w:val="18"/>
        </w:rPr>
        <w:t>level playing field</w:t>
      </w:r>
      <w:r w:rsidRPr="00923AA4">
        <w:rPr>
          <w:rFonts w:ascii="Verdana" w:hAnsi="Verdana"/>
          <w:sz w:val="18"/>
          <w:szCs w:val="18"/>
        </w:rPr>
        <w:t xml:space="preserve"> in de zeevisserij.</w:t>
      </w:r>
    </w:p>
    <w:p w:rsidRPr="00923AA4" w:rsidR="00193AFB" w:rsidP="00193AFB" w:rsidRDefault="00193AFB">
      <w:pPr>
        <w:spacing w:line="360" w:lineRule="auto"/>
        <w:contextualSpacing/>
        <w:rPr>
          <w:rFonts w:ascii="Verdana" w:hAnsi="Verdana"/>
          <w:sz w:val="18"/>
          <w:szCs w:val="18"/>
        </w:rPr>
      </w:pPr>
    </w:p>
    <w:p w:rsidRPr="00923AA4" w:rsidR="00193AFB" w:rsidP="00193AFB" w:rsidRDefault="00193AFB">
      <w:pPr>
        <w:spacing w:line="360" w:lineRule="auto"/>
        <w:rPr>
          <w:rFonts w:ascii="Verdana" w:hAnsi="Verdana"/>
          <w:b/>
          <w:sz w:val="18"/>
          <w:szCs w:val="18"/>
        </w:rPr>
      </w:pPr>
      <w:r w:rsidRPr="00923AA4">
        <w:rPr>
          <w:rFonts w:ascii="Verdana" w:hAnsi="Verdana"/>
          <w:b/>
          <w:sz w:val="18"/>
          <w:szCs w:val="18"/>
        </w:rPr>
        <w:t>Europa 2020 (Investeringen in transportinfrastructuur)</w:t>
      </w:r>
    </w:p>
    <w:p w:rsidRPr="00923AA4" w:rsidR="00193AFB" w:rsidP="00193AFB" w:rsidRDefault="00193AFB">
      <w:pPr>
        <w:spacing w:line="360" w:lineRule="auto"/>
        <w:rPr>
          <w:rFonts w:ascii="Verdana" w:hAnsi="Verdana"/>
          <w:i/>
          <w:sz w:val="18"/>
          <w:szCs w:val="18"/>
        </w:rPr>
      </w:pPr>
      <w:r w:rsidRPr="00923AA4">
        <w:rPr>
          <w:rFonts w:ascii="Verdana" w:hAnsi="Verdana"/>
          <w:i/>
          <w:sz w:val="18"/>
          <w:szCs w:val="18"/>
        </w:rPr>
        <w:t>Raadsconclusies</w:t>
      </w:r>
    </w:p>
    <w:p w:rsidRPr="00923AA4" w:rsidR="00193AFB" w:rsidP="00193AFB" w:rsidRDefault="00193AFB">
      <w:pPr>
        <w:spacing w:line="360" w:lineRule="auto"/>
        <w:rPr>
          <w:rFonts w:ascii="Verdana" w:hAnsi="Verdana"/>
          <w:sz w:val="18"/>
          <w:szCs w:val="18"/>
          <w:u w:val="single"/>
        </w:rPr>
      </w:pPr>
      <w:r w:rsidRPr="00923AA4">
        <w:rPr>
          <w:rFonts w:ascii="Verdana" w:hAnsi="Verdana"/>
          <w:sz w:val="18"/>
          <w:szCs w:val="18"/>
          <w:u w:val="single"/>
        </w:rPr>
        <w:t>Inhoud</w:t>
      </w:r>
    </w:p>
    <w:p w:rsidRPr="00923AA4" w:rsidR="00193AFB" w:rsidP="00193AFB" w:rsidRDefault="00193AFB">
      <w:pPr>
        <w:spacing w:line="360" w:lineRule="auto"/>
        <w:rPr>
          <w:rFonts w:ascii="Verdana" w:hAnsi="Verdana"/>
          <w:sz w:val="18"/>
          <w:szCs w:val="18"/>
        </w:rPr>
      </w:pPr>
      <w:r w:rsidRPr="00923AA4">
        <w:rPr>
          <w:rFonts w:ascii="Verdana" w:hAnsi="Verdana"/>
          <w:sz w:val="18"/>
          <w:szCs w:val="18"/>
        </w:rPr>
        <w:t xml:space="preserve">De Raad en het Europees Parlement stelden eind 2013 de ligging van het Trans Europese vervoernetwerk (TEN-T) vast. Bovendien werd een akkoord bereikt over de spelregels voor de Europese financiële ondersteuning voor infrastructuur investeringen in de lidstaten tot en met het jaar 2020. Deze ondersteuning kan bestaan uit TEN-T subsidies of innovatieve financiële instrumenten zoals projectobligaties. In de Europese begroting (2014-2020) is 26 miljard euro gereserveerd voor de ondersteuning van realisatie van transportinfrastructuur, voornamelijk op het kernnetwerk, dat de belangrijkste economische centra van de Unie verbindt. </w:t>
      </w:r>
    </w:p>
    <w:p w:rsidRPr="00923AA4" w:rsidR="00193AFB" w:rsidP="00193AFB" w:rsidRDefault="00193AFB">
      <w:pPr>
        <w:spacing w:line="360" w:lineRule="auto"/>
        <w:rPr>
          <w:rFonts w:ascii="Verdana" w:hAnsi="Verdana"/>
          <w:sz w:val="18"/>
          <w:szCs w:val="18"/>
          <w:u w:val="single"/>
        </w:rPr>
      </w:pPr>
      <w:r w:rsidRPr="00923AA4">
        <w:rPr>
          <w:rFonts w:ascii="Verdana" w:hAnsi="Verdana"/>
          <w:sz w:val="18"/>
          <w:szCs w:val="18"/>
          <w:u w:val="single"/>
        </w:rPr>
        <w:t>Stand van zaken en krachtenveld</w:t>
      </w:r>
    </w:p>
    <w:p w:rsidRPr="00923AA4" w:rsidR="00193AFB" w:rsidP="00193AFB" w:rsidRDefault="00193AFB">
      <w:pPr>
        <w:spacing w:line="360" w:lineRule="auto"/>
        <w:rPr>
          <w:rFonts w:ascii="Verdana" w:hAnsi="Verdana"/>
          <w:sz w:val="18"/>
          <w:szCs w:val="18"/>
        </w:rPr>
      </w:pPr>
      <w:r w:rsidRPr="00923AA4">
        <w:rPr>
          <w:rFonts w:ascii="Verdana" w:hAnsi="Verdana"/>
          <w:sz w:val="18"/>
          <w:szCs w:val="18"/>
        </w:rPr>
        <w:t>Op basis van de ideeën die naar voren zijn gebracht tijdens de informele Transportraad op 16 en 17 september 2014 in Milaan heeft het voorzitterschap raadsconclusies voorbereid. Deze ideeën betreffen de intensiteit van de samenwerking bij de programmering van investeringen op trans-europese corridors (</w:t>
      </w:r>
      <w:r w:rsidRPr="00923AA4">
        <w:rPr>
          <w:rFonts w:ascii="Verdana" w:hAnsi="Verdana"/>
          <w:i/>
          <w:sz w:val="18"/>
          <w:szCs w:val="18"/>
        </w:rPr>
        <w:t>governance</w:t>
      </w:r>
      <w:r w:rsidRPr="00923AA4">
        <w:rPr>
          <w:rFonts w:ascii="Verdana" w:hAnsi="Verdana"/>
          <w:sz w:val="18"/>
          <w:szCs w:val="18"/>
        </w:rPr>
        <w:t xml:space="preserve">) en opties om investeringen in de lidstaten op een hoger peil te brengen. </w:t>
      </w:r>
    </w:p>
    <w:p w:rsidRPr="00923AA4" w:rsidR="00193AFB" w:rsidP="00193AFB" w:rsidRDefault="00193AFB">
      <w:pPr>
        <w:spacing w:line="360" w:lineRule="auto"/>
        <w:rPr>
          <w:rFonts w:ascii="Verdana" w:hAnsi="Verdana"/>
          <w:sz w:val="18"/>
          <w:szCs w:val="18"/>
        </w:rPr>
      </w:pPr>
      <w:r w:rsidRPr="00923AA4">
        <w:rPr>
          <w:rFonts w:ascii="Verdana" w:hAnsi="Verdana"/>
          <w:sz w:val="18"/>
          <w:szCs w:val="18"/>
        </w:rPr>
        <w:t xml:space="preserve">De meeste landen staan terughoudend tegenover de voorgestelde conclusies op het gebied van governance en positief tegenover de conclusies over verhogen van investeringen. Nederland is juist voorstander van meer afstemming over de grenzen heen. Bovendien bevindt Nederland zich in een minderheidsgroep die bedenkingen heeft tegen een voortvarende uitbreiding van het pakket financiële instrumenten en ook tegen benutting van de investeringsclausule in het stabiliteits- en groeipact SGP (begrotingsflexibiliteit). </w:t>
      </w:r>
    </w:p>
    <w:p w:rsidRPr="00923AA4" w:rsidR="00193AFB" w:rsidP="00193AFB" w:rsidRDefault="00193AFB">
      <w:pPr>
        <w:spacing w:line="360" w:lineRule="auto"/>
        <w:rPr>
          <w:rFonts w:ascii="Verdana" w:hAnsi="Verdana"/>
          <w:sz w:val="18"/>
          <w:szCs w:val="18"/>
        </w:rPr>
      </w:pPr>
      <w:r w:rsidRPr="00923AA4">
        <w:rPr>
          <w:rFonts w:ascii="Verdana" w:hAnsi="Verdana"/>
          <w:sz w:val="18"/>
          <w:szCs w:val="18"/>
        </w:rPr>
        <w:t>Hoewel het voorzitterschap zeer hecht aan een akkoord over de conclusies, staat wat Nederland betreft de inhoud voorop.</w:t>
      </w:r>
    </w:p>
    <w:p w:rsidRPr="00923AA4" w:rsidR="00193AFB" w:rsidP="00193AFB" w:rsidRDefault="00193AFB">
      <w:pPr>
        <w:spacing w:line="360" w:lineRule="auto"/>
        <w:rPr>
          <w:rFonts w:ascii="Verdana" w:hAnsi="Verdana"/>
          <w:sz w:val="18"/>
          <w:szCs w:val="18"/>
          <w:u w:val="single"/>
        </w:rPr>
      </w:pPr>
      <w:r w:rsidRPr="00923AA4">
        <w:rPr>
          <w:rFonts w:ascii="Verdana" w:hAnsi="Verdana"/>
          <w:sz w:val="18"/>
          <w:szCs w:val="18"/>
          <w:u w:val="single"/>
        </w:rPr>
        <w:t>Nederlandse positie</w:t>
      </w:r>
    </w:p>
    <w:p w:rsidRPr="00DF1C51" w:rsidR="00193AFB" w:rsidP="00193AFB" w:rsidRDefault="00193AFB">
      <w:pPr>
        <w:pStyle w:val="PlainText"/>
        <w:spacing w:line="360" w:lineRule="auto"/>
        <w:rPr>
          <w:rFonts w:ascii="Verdana" w:hAnsi="Verdana"/>
          <w:sz w:val="18"/>
          <w:szCs w:val="18"/>
        </w:rPr>
      </w:pPr>
      <w:r w:rsidRPr="00923AA4">
        <w:rPr>
          <w:rFonts w:ascii="Verdana" w:hAnsi="Verdana"/>
          <w:sz w:val="18"/>
          <w:szCs w:val="18"/>
        </w:rPr>
        <w:t>Nederland steunt de versterkte afstemming van investeringen binnen corridors maar acht de uiteindelijke programmering en financiële besluitvorming een nationale aangelegenheid.</w:t>
      </w:r>
      <w:r w:rsidRPr="00DF1C51">
        <w:rPr>
          <w:rFonts w:ascii="Verdana" w:hAnsi="Verdana"/>
          <w:sz w:val="18"/>
          <w:szCs w:val="18"/>
        </w:rPr>
        <w:t xml:space="preserve"> </w:t>
      </w:r>
    </w:p>
    <w:p w:rsidRPr="00DF1C51" w:rsidR="00193AFB" w:rsidP="00193AFB" w:rsidRDefault="00193AFB">
      <w:pPr>
        <w:spacing w:line="360" w:lineRule="auto"/>
        <w:rPr>
          <w:rFonts w:ascii="Verdana" w:hAnsi="Verdana"/>
          <w:sz w:val="18"/>
          <w:szCs w:val="18"/>
          <w:u w:val="single"/>
        </w:rPr>
      </w:pPr>
      <w:r w:rsidRPr="002B631C">
        <w:rPr>
          <w:rFonts w:ascii="Verdana" w:hAnsi="Verdana"/>
          <w:sz w:val="18"/>
          <w:szCs w:val="20"/>
        </w:rPr>
        <w:t>Nederland steunt actief de inzet van bestaande financiële instrumenten, zoals leningen en projectobligaties vanuit de EIB</w:t>
      </w:r>
      <w:r>
        <w:rPr>
          <w:rFonts w:ascii="Verdana" w:hAnsi="Verdana"/>
          <w:sz w:val="18"/>
          <w:szCs w:val="20"/>
        </w:rPr>
        <w:t>.</w:t>
      </w:r>
    </w:p>
    <w:p w:rsidRPr="0057162C" w:rsidR="001E3577" w:rsidP="0057162C" w:rsidRDefault="001E3577">
      <w:pPr>
        <w:rPr>
          <w:szCs w:val="20"/>
        </w:rPr>
      </w:pPr>
    </w:p>
    <w:sectPr w:rsidRPr="0057162C" w:rsidR="001E3577"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DD" w:rsidRDefault="00851BDD" w:rsidP="00E00C54">
      <w:pPr>
        <w:spacing w:after="0" w:line="240" w:lineRule="auto"/>
      </w:pPr>
      <w:r>
        <w:separator/>
      </w:r>
    </w:p>
  </w:endnote>
  <w:endnote w:type="continuationSeparator" w:id="0">
    <w:p w:rsidR="00851BDD" w:rsidRDefault="00851BDD" w:rsidP="00E0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DD" w:rsidRDefault="00851BDD" w:rsidP="00E00C54">
      <w:pPr>
        <w:spacing w:after="0" w:line="240" w:lineRule="auto"/>
      </w:pPr>
      <w:r>
        <w:separator/>
      </w:r>
    </w:p>
  </w:footnote>
  <w:footnote w:type="continuationSeparator" w:id="0">
    <w:p w:rsidR="00851BDD" w:rsidRDefault="00851BDD" w:rsidP="00E00C54">
      <w:pPr>
        <w:spacing w:after="0" w:line="240" w:lineRule="auto"/>
      </w:pPr>
      <w:r>
        <w:continuationSeparator/>
      </w:r>
    </w:p>
  </w:footnote>
  <w:footnote w:id="1">
    <w:p w:rsidR="00193AFB" w:rsidRPr="00AE320A" w:rsidRDefault="00193AFB" w:rsidP="00193AFB">
      <w:pPr>
        <w:spacing w:line="360" w:lineRule="auto"/>
        <w:contextualSpacing/>
        <w:rPr>
          <w:rFonts w:ascii="Verdana" w:hAnsi="Verdana"/>
          <w:sz w:val="20"/>
          <w:szCs w:val="20"/>
        </w:rPr>
      </w:pPr>
      <w:r>
        <w:rPr>
          <w:rStyle w:val="FootnoteReference"/>
        </w:rPr>
        <w:footnoteRef/>
      </w:r>
      <w:r>
        <w:t xml:space="preserve"> </w:t>
      </w:r>
      <w:r w:rsidRPr="00E00C54">
        <w:rPr>
          <w:rFonts w:ascii="Verdana" w:hAnsi="Verdana"/>
          <w:sz w:val="16"/>
          <w:szCs w:val="16"/>
        </w:rPr>
        <w:t>De Nederlandse inzet over de marktpijler zal conform de kabinetsbrief van 11 november 2013 zijn (Kamerstuk 33546, nr. 12) alsmede conform de Benelux verklaring van april 2014 over het marktopeningvoorstel van het Vierde spoorpakket (bijlage bij Kamerstuk 21501-33, nr. 480).</w:t>
      </w:r>
    </w:p>
    <w:p w:rsidR="00193AFB" w:rsidRDefault="00193AFB" w:rsidP="00193AF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2921"/>
    <w:multiLevelType w:val="hybridMultilevel"/>
    <w:tmpl w:val="246212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C8C66FD"/>
    <w:multiLevelType w:val="hybridMultilevel"/>
    <w:tmpl w:val="7C507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5EB354B"/>
    <w:multiLevelType w:val="hybridMultilevel"/>
    <w:tmpl w:val="6CD6DD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F856959"/>
    <w:multiLevelType w:val="hybridMultilevel"/>
    <w:tmpl w:val="A456E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8D24306"/>
    <w:multiLevelType w:val="hybridMultilevel"/>
    <w:tmpl w:val="4C0E42DC"/>
    <w:lvl w:ilvl="0" w:tplc="77DCD80E">
      <w:start w:val="1"/>
      <w:numFmt w:val="upperRoman"/>
      <w:lvlText w:val="%1."/>
      <w:lvlJc w:val="left"/>
      <w:pPr>
        <w:ind w:left="780" w:hanging="360"/>
      </w:pPr>
      <w:rPr>
        <w:rFonts w:ascii="Verdana" w:eastAsiaTheme="minorEastAsia" w:hAnsi="Verdana" w:cstheme="minorBidi"/>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nsid w:val="64612741"/>
    <w:multiLevelType w:val="hybridMultilevel"/>
    <w:tmpl w:val="264204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5E83A14"/>
    <w:multiLevelType w:val="hybridMultilevel"/>
    <w:tmpl w:val="86D064F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5AAE"/>
    <w:rsid w:val="0007188C"/>
    <w:rsid w:val="000918F4"/>
    <w:rsid w:val="0009775E"/>
    <w:rsid w:val="000B185E"/>
    <w:rsid w:val="000C4243"/>
    <w:rsid w:val="001301BE"/>
    <w:rsid w:val="00165019"/>
    <w:rsid w:val="00170731"/>
    <w:rsid w:val="00193AFB"/>
    <w:rsid w:val="001944B2"/>
    <w:rsid w:val="001E3577"/>
    <w:rsid w:val="00280C7D"/>
    <w:rsid w:val="002B2AE6"/>
    <w:rsid w:val="002C307A"/>
    <w:rsid w:val="002D0C05"/>
    <w:rsid w:val="002E7A61"/>
    <w:rsid w:val="00305AE3"/>
    <w:rsid w:val="00306062"/>
    <w:rsid w:val="00337C8B"/>
    <w:rsid w:val="00371A52"/>
    <w:rsid w:val="00373B39"/>
    <w:rsid w:val="003A42E5"/>
    <w:rsid w:val="003C252C"/>
    <w:rsid w:val="00410551"/>
    <w:rsid w:val="004241A3"/>
    <w:rsid w:val="0043441A"/>
    <w:rsid w:val="00456CBF"/>
    <w:rsid w:val="0045737C"/>
    <w:rsid w:val="004668ED"/>
    <w:rsid w:val="004A797E"/>
    <w:rsid w:val="004D1B58"/>
    <w:rsid w:val="004D247C"/>
    <w:rsid w:val="005216A8"/>
    <w:rsid w:val="00537EA4"/>
    <w:rsid w:val="00542587"/>
    <w:rsid w:val="00542F36"/>
    <w:rsid w:val="00553DD4"/>
    <w:rsid w:val="0057162C"/>
    <w:rsid w:val="005757BE"/>
    <w:rsid w:val="005A2D1D"/>
    <w:rsid w:val="005C089E"/>
    <w:rsid w:val="006263FD"/>
    <w:rsid w:val="006353DA"/>
    <w:rsid w:val="00663E19"/>
    <w:rsid w:val="00676033"/>
    <w:rsid w:val="00694ED4"/>
    <w:rsid w:val="00696ED2"/>
    <w:rsid w:val="006A3B98"/>
    <w:rsid w:val="006D3B4E"/>
    <w:rsid w:val="0072318A"/>
    <w:rsid w:val="00741F78"/>
    <w:rsid w:val="00753332"/>
    <w:rsid w:val="00765520"/>
    <w:rsid w:val="00770287"/>
    <w:rsid w:val="00794CFF"/>
    <w:rsid w:val="007969F9"/>
    <w:rsid w:val="007A344E"/>
    <w:rsid w:val="007C1A85"/>
    <w:rsid w:val="007C628A"/>
    <w:rsid w:val="00800CD8"/>
    <w:rsid w:val="00833308"/>
    <w:rsid w:val="00850882"/>
    <w:rsid w:val="00851BDD"/>
    <w:rsid w:val="00862DC7"/>
    <w:rsid w:val="008B6076"/>
    <w:rsid w:val="008B6542"/>
    <w:rsid w:val="008B7669"/>
    <w:rsid w:val="008C5AAE"/>
    <w:rsid w:val="008E2636"/>
    <w:rsid w:val="009008E7"/>
    <w:rsid w:val="0098382A"/>
    <w:rsid w:val="00995E69"/>
    <w:rsid w:val="00996F87"/>
    <w:rsid w:val="009A2C10"/>
    <w:rsid w:val="009A4294"/>
    <w:rsid w:val="009E2949"/>
    <w:rsid w:val="009F04BB"/>
    <w:rsid w:val="009F46D6"/>
    <w:rsid w:val="00A1350D"/>
    <w:rsid w:val="00A17C6E"/>
    <w:rsid w:val="00A40A7D"/>
    <w:rsid w:val="00AA51C2"/>
    <w:rsid w:val="00B0787A"/>
    <w:rsid w:val="00B10D30"/>
    <w:rsid w:val="00B934FD"/>
    <w:rsid w:val="00BA7B5F"/>
    <w:rsid w:val="00BC197B"/>
    <w:rsid w:val="00BD13ED"/>
    <w:rsid w:val="00C14BB4"/>
    <w:rsid w:val="00C34CF0"/>
    <w:rsid w:val="00C366C2"/>
    <w:rsid w:val="00C3707C"/>
    <w:rsid w:val="00C412AB"/>
    <w:rsid w:val="00C43FC9"/>
    <w:rsid w:val="00C47E8E"/>
    <w:rsid w:val="00C73144"/>
    <w:rsid w:val="00CF2538"/>
    <w:rsid w:val="00D62EBA"/>
    <w:rsid w:val="00D659AD"/>
    <w:rsid w:val="00D71047"/>
    <w:rsid w:val="00D81640"/>
    <w:rsid w:val="00D83A20"/>
    <w:rsid w:val="00D97E22"/>
    <w:rsid w:val="00DB2427"/>
    <w:rsid w:val="00DC5139"/>
    <w:rsid w:val="00DD5B7C"/>
    <w:rsid w:val="00DD6592"/>
    <w:rsid w:val="00E00C54"/>
    <w:rsid w:val="00E1039F"/>
    <w:rsid w:val="00E205AF"/>
    <w:rsid w:val="00E30465"/>
    <w:rsid w:val="00E31C60"/>
    <w:rsid w:val="00E94BB1"/>
    <w:rsid w:val="00F11D87"/>
    <w:rsid w:val="00F22CDC"/>
    <w:rsid w:val="00F4373E"/>
    <w:rsid w:val="00F44D62"/>
    <w:rsid w:val="00F7237B"/>
    <w:rsid w:val="00FB5475"/>
    <w:rsid w:val="00FC78FE"/>
    <w:rsid w:val="00FE1F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AE"/>
    <w:rPr>
      <w:rFonts w:eastAsiaTheme="minorEastAsia"/>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AAE"/>
    <w:pPr>
      <w:spacing w:after="0" w:line="240" w:lineRule="auto"/>
    </w:pPr>
    <w:rPr>
      <w:rFonts w:eastAsiaTheme="minorEastAsia"/>
      <w:lang w:eastAsia="nl-NL"/>
    </w:rPr>
  </w:style>
  <w:style w:type="table" w:styleId="TableGrid">
    <w:name w:val="Table Grid"/>
    <w:basedOn w:val="TableNormal"/>
    <w:uiPriority w:val="59"/>
    <w:rsid w:val="008C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EBA"/>
    <w:pPr>
      <w:ind w:left="720"/>
      <w:contextualSpacing/>
    </w:pPr>
  </w:style>
  <w:style w:type="character" w:styleId="CommentReference">
    <w:name w:val="annotation reference"/>
    <w:basedOn w:val="DefaultParagraphFont"/>
    <w:uiPriority w:val="99"/>
    <w:semiHidden/>
    <w:unhideWhenUsed/>
    <w:rsid w:val="00D62EBA"/>
    <w:rPr>
      <w:sz w:val="16"/>
      <w:szCs w:val="16"/>
    </w:rPr>
  </w:style>
  <w:style w:type="paragraph" w:styleId="CommentText">
    <w:name w:val="annotation text"/>
    <w:basedOn w:val="Normal"/>
    <w:link w:val="CommentTextChar"/>
    <w:uiPriority w:val="99"/>
    <w:semiHidden/>
    <w:unhideWhenUsed/>
    <w:rsid w:val="00D62EBA"/>
    <w:pPr>
      <w:spacing w:line="240" w:lineRule="auto"/>
    </w:pPr>
    <w:rPr>
      <w:sz w:val="20"/>
      <w:szCs w:val="20"/>
    </w:rPr>
  </w:style>
  <w:style w:type="character" w:customStyle="1" w:styleId="CommentTextChar">
    <w:name w:val="Comment Text Char"/>
    <w:basedOn w:val="DefaultParagraphFont"/>
    <w:link w:val="CommentText"/>
    <w:uiPriority w:val="99"/>
    <w:semiHidden/>
    <w:rsid w:val="00D62EBA"/>
    <w:rPr>
      <w:rFonts w:eastAsiaTheme="minorEastAsia"/>
      <w:sz w:val="20"/>
      <w:szCs w:val="20"/>
      <w:lang w:eastAsia="nl-NL"/>
    </w:rPr>
  </w:style>
  <w:style w:type="paragraph" w:styleId="CommentSubject">
    <w:name w:val="annotation subject"/>
    <w:basedOn w:val="CommentText"/>
    <w:next w:val="CommentText"/>
    <w:link w:val="CommentSubjectChar"/>
    <w:uiPriority w:val="99"/>
    <w:semiHidden/>
    <w:unhideWhenUsed/>
    <w:rsid w:val="00D62EBA"/>
    <w:rPr>
      <w:b/>
      <w:bCs/>
    </w:rPr>
  </w:style>
  <w:style w:type="character" w:customStyle="1" w:styleId="CommentSubjectChar">
    <w:name w:val="Comment Subject Char"/>
    <w:basedOn w:val="CommentTextChar"/>
    <w:link w:val="CommentSubject"/>
    <w:uiPriority w:val="99"/>
    <w:semiHidden/>
    <w:rsid w:val="00D62EBA"/>
    <w:rPr>
      <w:rFonts w:eastAsiaTheme="minorEastAsia"/>
      <w:b/>
      <w:bCs/>
      <w:sz w:val="20"/>
      <w:szCs w:val="20"/>
      <w:lang w:eastAsia="nl-NL"/>
    </w:rPr>
  </w:style>
  <w:style w:type="paragraph" w:styleId="BalloonText">
    <w:name w:val="Balloon Text"/>
    <w:basedOn w:val="Normal"/>
    <w:link w:val="BalloonTextChar"/>
    <w:uiPriority w:val="99"/>
    <w:semiHidden/>
    <w:unhideWhenUsed/>
    <w:rsid w:val="00D6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EBA"/>
    <w:rPr>
      <w:rFonts w:ascii="Tahoma" w:eastAsiaTheme="minorEastAsia" w:hAnsi="Tahoma" w:cs="Tahoma"/>
      <w:sz w:val="16"/>
      <w:szCs w:val="16"/>
      <w:lang w:eastAsia="nl-NL"/>
    </w:rPr>
  </w:style>
  <w:style w:type="paragraph" w:styleId="FootnoteText">
    <w:name w:val="footnote text"/>
    <w:basedOn w:val="Normal"/>
    <w:link w:val="FootnoteTextChar"/>
    <w:uiPriority w:val="99"/>
    <w:semiHidden/>
    <w:unhideWhenUsed/>
    <w:rsid w:val="00E00C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C54"/>
    <w:rPr>
      <w:rFonts w:eastAsiaTheme="minorEastAsia"/>
      <w:sz w:val="20"/>
      <w:szCs w:val="20"/>
      <w:lang w:eastAsia="nl-NL"/>
    </w:rPr>
  </w:style>
  <w:style w:type="character" w:styleId="FootnoteReference">
    <w:name w:val="footnote reference"/>
    <w:basedOn w:val="DefaultParagraphFont"/>
    <w:uiPriority w:val="99"/>
    <w:semiHidden/>
    <w:unhideWhenUsed/>
    <w:rsid w:val="00E00C54"/>
    <w:rPr>
      <w:vertAlign w:val="superscript"/>
    </w:rPr>
  </w:style>
  <w:style w:type="paragraph" w:styleId="PlainText">
    <w:name w:val="Plain Text"/>
    <w:basedOn w:val="Normal"/>
    <w:link w:val="PlainTextChar"/>
    <w:uiPriority w:val="99"/>
    <w:semiHidden/>
    <w:unhideWhenUsed/>
    <w:rsid w:val="0057162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57162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5851">
      <w:bodyDiv w:val="1"/>
      <w:marLeft w:val="0"/>
      <w:marRight w:val="0"/>
      <w:marTop w:val="0"/>
      <w:marBottom w:val="0"/>
      <w:divBdr>
        <w:top w:val="none" w:sz="0" w:space="0" w:color="auto"/>
        <w:left w:val="none" w:sz="0" w:space="0" w:color="auto"/>
        <w:bottom w:val="none" w:sz="0" w:space="0" w:color="auto"/>
        <w:right w:val="none" w:sz="0" w:space="0" w:color="auto"/>
      </w:divBdr>
    </w:div>
    <w:div w:id="200253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1850</ap:Words>
  <ap:Characters>10175</ap:Characters>
  <ap:DocSecurity>0</ap:DocSecurity>
  <ap:Lines>84</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2014-11-04T15:53:00.0000000Z</lastPrinted>
  <dcterms:created xsi:type="dcterms:W3CDTF">2014-11-11T16:18:00.0000000Z</dcterms:created>
  <dcterms:modified xsi:type="dcterms:W3CDTF">2014-11-11T16:18:00.0000000Z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0x01010064A16BBA6C2E40428A23A833E187D03A</vt:lpwstr>
  </property>
</Properties>
</file>