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W06.14.0339/III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november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F4481" w:rsidRDefault="00663686">
              <w:r>
                <w:t>Bij Kabinetsmissive van 26 september 2014, no.2014001786, heeft Uwe Majesteit, op voordracht van de Minister van Buitenlandse Zaken, mede namens de Staatssecretaris van Financiën, bij de Afdeling advisering van de Raad van State ter overweging aanhangig gemaakt het Protocol tot wijziging van het Verdrag tussen het Koninkrijk der Nederlanden en de Federale Democratische Republiek Ethiopië tot het vermijden van dubbele belasting en het voorkomen van het ontgaan van belasting met betrekking tot belastingen naar het inkomen; Addis Abeba, 18 augustus 2014 (Trb. 2014, ), met toelichtende nota.</w:t>
              </w:r>
            </w:p>
          </w:sdtContent>
        </w:sdt>
        <w:p w:rsidRPr="00831363" w:rsidR="00CE4655" w:rsidP="003C7608" w:rsidRDefault="00CE4655"/>
        <w:sdt>
          <w:sdtPr>
            <w:alias w:val="VrijeTekst1"/>
            <w:tag w:val="VrijeTekst1"/>
            <w:id w:val="-437221631"/>
            <w:lock w:val="sdtLocked"/>
          </w:sdtPr>
          <w:sdtEndPr/>
          <w:sdtContent>
            <w:p w:rsidR="009E208E" w:rsidP="00891BB0" w:rsidRDefault="00663686">
              <w:r>
                <w:t>Het Protocol sterkt ertoe een anti-misbruikbepaling</w:t>
              </w:r>
              <w:r>
                <w:rPr>
                  <w:rStyle w:val="FootnoteReference"/>
                </w:rPr>
                <w:footnoteReference w:id="1"/>
              </w:r>
              <w:r>
                <w:t xml:space="preserve"> toe te voegen aan het op 10 augustus 2012 met Ethiopië gesloten Verdrag tot het vermijden van dubbele belasting en het voorkomen van het ontgaan van belasting met betrekking tot belastingen naar het inkomen (hierna: Verdrag met Ethiopië).</w:t>
              </w:r>
              <w:r>
                <w:rPr>
                  <w:rStyle w:val="FootnoteReference"/>
                </w:rPr>
                <w:footnoteReference w:id="2"/>
              </w:r>
              <w:r>
                <w:t xml:space="preserve"> Daarnaast herstelt het Protocol enkele onjuiste verwijzingen in het bij het Verdrag met Ethiopië behorende Protocol.</w:t>
              </w:r>
              <w:r>
                <w:rPr>
                  <w:rStyle w:val="FootnoteReference"/>
                </w:rPr>
                <w:footnoteReference w:id="3"/>
              </w:r>
              <w:r>
                <w:t xml:space="preserve">  </w:t>
              </w:r>
            </w:p>
            <w:p w:rsidR="009E208E" w:rsidP="00891BB0" w:rsidRDefault="00663686">
              <w:r w:rsidRPr="009E208E">
                <w:t xml:space="preserve">De Afdeling advisering van de Raad van State onderschrijft de goedkeuring van het </w:t>
              </w:r>
              <w:r>
                <w:t>Protocol</w:t>
              </w:r>
              <w:r w:rsidRPr="009E208E">
                <w:t>, maar maakt daarbij de volgende kanttekeningen.</w:t>
              </w:r>
            </w:p>
            <w:p w:rsidR="009E208E" w:rsidP="00891BB0" w:rsidRDefault="00BA26D3"/>
            <w:p w:rsidR="003206E7" w:rsidP="00891BB0" w:rsidRDefault="00663686">
              <w:r>
                <w:t>1.</w:t>
              </w:r>
              <w:r>
                <w:tab/>
              </w:r>
              <w:r>
                <w:rPr>
                  <w:u w:val="single"/>
                </w:rPr>
                <w:t>Terugwerkende kracht</w:t>
              </w:r>
            </w:p>
            <w:p w:rsidR="003206E7" w:rsidP="00891BB0" w:rsidRDefault="00BA26D3"/>
            <w:p w:rsidR="0045314E" w:rsidP="00891BB0" w:rsidRDefault="00663686">
              <w:pPr>
                <w:rPr>
                  <w:lang w:val="nl"/>
                </w:rPr>
              </w:pPr>
              <w:r>
                <w:rPr>
                  <w:lang w:val="nl"/>
                </w:rPr>
                <w:t>Het</w:t>
              </w:r>
              <w:r w:rsidRPr="0045314E">
                <w:rPr>
                  <w:lang w:val="nl"/>
                </w:rPr>
                <w:t xml:space="preserve"> Protocol </w:t>
              </w:r>
              <w:r>
                <w:rPr>
                  <w:lang w:val="nl"/>
                </w:rPr>
                <w:t>werkt terug</w:t>
              </w:r>
              <w:r w:rsidRPr="0045314E">
                <w:rPr>
                  <w:lang w:val="nl"/>
                </w:rPr>
                <w:t xml:space="preserve"> tot de dag waarop het Verdrag </w:t>
              </w:r>
              <w:r>
                <w:rPr>
                  <w:lang w:val="nl"/>
                </w:rPr>
                <w:t xml:space="preserve">met Ethiopië </w:t>
              </w:r>
              <w:r w:rsidRPr="0045314E">
                <w:rPr>
                  <w:lang w:val="nl"/>
                </w:rPr>
                <w:t>in werking is getreden.</w:t>
              </w:r>
              <w:r>
                <w:rPr>
                  <w:rStyle w:val="FootnoteReference"/>
                  <w:lang w:val="nl"/>
                </w:rPr>
                <w:footnoteReference w:id="4"/>
              </w:r>
              <w:r>
                <w:rPr>
                  <w:lang w:val="nl"/>
                </w:rPr>
                <w:t xml:space="preserve"> De Afdeling merkt hier het volgende over op.</w:t>
              </w:r>
            </w:p>
            <w:p w:rsidR="0045314E" w:rsidP="00891BB0" w:rsidRDefault="00BA26D3">
              <w:pPr>
                <w:rPr>
                  <w:lang w:val="nl"/>
                </w:rPr>
              </w:pPr>
            </w:p>
            <w:p w:rsidR="00A330A4" w:rsidP="00891BB0" w:rsidRDefault="00663686">
              <w:pPr>
                <w:rPr>
                  <w:lang w:val="nl"/>
                </w:rPr>
              </w:pPr>
              <w:r>
                <w:rPr>
                  <w:lang w:val="nl"/>
                </w:rPr>
                <w:t>Het Verdrag met Ethiopië heeft in Nederland inmiddels parlementaire goedkeuring verkregen</w:t>
              </w:r>
              <w:r>
                <w:rPr>
                  <w:rStyle w:val="FootnoteReference"/>
                  <w:lang w:val="nl"/>
                </w:rPr>
                <w:footnoteReference w:id="5"/>
              </w:r>
              <w:r>
                <w:rPr>
                  <w:lang w:val="nl"/>
                </w:rPr>
                <w:t xml:space="preserve">, maar is nog niet in werking getreden, omdat de regeringen van Nederland en Ethiopië elkaar nog niet schriftelijk hebben </w:t>
              </w:r>
              <w:proofErr w:type="gramStart"/>
              <w:r>
                <w:rPr>
                  <w:lang w:val="nl"/>
                </w:rPr>
                <w:t>medegedeeld</w:t>
              </w:r>
              <w:proofErr w:type="gramEnd"/>
              <w:r>
                <w:rPr>
                  <w:lang w:val="nl"/>
                </w:rPr>
                <w:t xml:space="preserve"> dat de grondwettelijk vereiste formaliteiten zijn vervuld</w:t>
              </w:r>
              <w:r>
                <w:rPr>
                  <w:rStyle w:val="FootnoteReference"/>
                  <w:lang w:val="nl"/>
                </w:rPr>
                <w:footnoteReference w:id="6"/>
              </w:r>
              <w:r>
                <w:rPr>
                  <w:lang w:val="nl"/>
                </w:rPr>
                <w:t xml:space="preserve">. Indien het tijdstip van inwerkingtreding van het Verdrag met Ethiopië zal komen te liggen vóór het tijdstip waarop het voorliggende Protocol in werking treedt, zal sprake zijn van terugwerkende kracht van het Protocol. Deze terugwerkende kracht geldt ook voor de anti-misbruikbepaling, die op basis van objectieve criteria bepaalt of personen recht hebben op verdragsvoordelen (anders gezegd: of zij een kwalificerend persoon zijn). Het met terugwerkende kracht toepassen van de anti-misbruikbepaling zodanig dat daarmee aan </w:t>
              </w:r>
              <w:proofErr w:type="gramStart"/>
              <w:r>
                <w:rPr>
                  <w:lang w:val="nl"/>
                </w:rPr>
                <w:t>een</w:t>
              </w:r>
              <w:proofErr w:type="gramEnd"/>
              <w:r>
                <w:rPr>
                  <w:lang w:val="nl"/>
                </w:rPr>
                <w:t xml:space="preserve"> belanghebbende verdragsvoordelen worden ontzegd (omdat zij niet kwalificeren), is een voor die belanghebbende belastende maatregel. </w:t>
              </w:r>
            </w:p>
            <w:p w:rsidR="00A330A4" w:rsidP="00891BB0" w:rsidRDefault="00BA26D3">
              <w:pPr>
                <w:rPr>
                  <w:lang w:val="nl"/>
                </w:rPr>
              </w:pPr>
            </w:p>
            <w:p w:rsidRPr="00A330A4" w:rsidR="00A330A4" w:rsidP="00A330A4" w:rsidRDefault="00663686">
              <w:r w:rsidRPr="00A330A4">
                <w:lastRenderedPageBreak/>
                <w:t xml:space="preserve">Zoals uit onderscheiden adviezen in het verleden al is gebleken, is de Afdeling van oordeel dat aan belastende maatregelen geen </w:t>
              </w:r>
              <w:r w:rsidRPr="00A330A4">
                <w:rPr>
                  <w:iCs/>
                </w:rPr>
                <w:t>terugwerkende</w:t>
              </w:r>
              <w:r w:rsidRPr="00A330A4">
                <w:t xml:space="preserve"> kracht mag worden gegeven, tenzij bijzondere omstandigheden een afwijking van deze regel rechtvaardigen.</w:t>
              </w:r>
              <w:r>
                <w:rPr>
                  <w:rStyle w:val="FootnoteReference"/>
                </w:rPr>
                <w:footnoteReference w:id="7"/>
              </w:r>
              <w:r w:rsidRPr="00A330A4">
                <w:t xml:space="preserve"> Die omstandigheden kunnen worden gevormd door een omvangrijk oneigenlijk gebruik of misbruik van een wettelijke voorziening of door aanmerkelijke aankondigingseffecten. Bij een eventuele </w:t>
              </w:r>
              <w:r w:rsidRPr="00A330A4">
                <w:rPr>
                  <w:iCs/>
                </w:rPr>
                <w:t>terugwerkende</w:t>
              </w:r>
              <w:r w:rsidRPr="00A330A4">
                <w:t xml:space="preserve"> kracht dient de maatregel voor belastingplichtigen in elk geval voldoende kenbaar te zijn.</w:t>
              </w:r>
            </w:p>
            <w:p w:rsidRPr="00A330A4" w:rsidR="00A330A4" w:rsidP="00A330A4" w:rsidRDefault="00663686">
              <w:r w:rsidRPr="00A330A4">
                <w:t>De toelicht</w:t>
              </w:r>
              <w:r>
                <w:t>ende nota</w:t>
              </w:r>
              <w:r w:rsidRPr="00A330A4">
                <w:t xml:space="preserve"> </w:t>
              </w:r>
              <w:r>
                <w:t>besteedt geen aandacht aan deze aspecten</w:t>
              </w:r>
              <w:r w:rsidRPr="00A330A4">
                <w:t>.</w:t>
              </w:r>
            </w:p>
            <w:p w:rsidR="00A330A4" w:rsidP="00A330A4" w:rsidRDefault="00BA26D3"/>
            <w:p w:rsidR="003206E7" w:rsidP="00891BB0" w:rsidRDefault="00663686">
              <w:r w:rsidRPr="00A330A4">
                <w:t xml:space="preserve">De Afdeling adviseert in de </w:t>
              </w:r>
              <w:r>
                <w:t xml:space="preserve">toelichtende </w:t>
              </w:r>
              <w:r w:rsidRPr="00A330A4">
                <w:t xml:space="preserve">nota op </w:t>
              </w:r>
              <w:r>
                <w:t>het vorenstaande in te gaan.</w:t>
              </w:r>
            </w:p>
            <w:p w:rsidR="003206E7" w:rsidP="00891BB0" w:rsidRDefault="00BA26D3"/>
            <w:p w:rsidR="003206E7" w:rsidP="00891BB0" w:rsidRDefault="00663686">
              <w:r>
                <w:t>2.</w:t>
              </w:r>
              <w:r>
                <w:tab/>
              </w:r>
              <w:r w:rsidRPr="000C7DEB">
                <w:rPr>
                  <w:u w:val="single"/>
                </w:rPr>
                <w:t>Kw</w:t>
              </w:r>
              <w:r>
                <w:rPr>
                  <w:u w:val="single"/>
                </w:rPr>
                <w:t>al</w:t>
              </w:r>
              <w:r w:rsidRPr="000C7DEB">
                <w:rPr>
                  <w:u w:val="single"/>
                </w:rPr>
                <w:t>ificerend lichaam</w:t>
              </w:r>
              <w:r>
                <w:t xml:space="preserve"> </w:t>
              </w:r>
            </w:p>
            <w:p w:rsidR="003206E7" w:rsidP="00891BB0" w:rsidRDefault="00BA26D3"/>
            <w:p w:rsidR="000C7DEB" w:rsidP="00891BB0" w:rsidRDefault="00663686">
              <w:r>
                <w:t>Volgens de anti-misbruikbepaling is een lichaam een kwalificerend lichaam (waarmee het in aanmerking komt voor verdragsvoordelen), indien de aandelen van het lichaam regelmatig worden verhandeld op een erkende effectenbeurs (de zogenoemde beurstoets).</w:t>
              </w:r>
              <w:r>
                <w:rPr>
                  <w:rStyle w:val="FootnoteReference"/>
                </w:rPr>
                <w:footnoteReference w:id="8"/>
              </w:r>
              <w:r>
                <w:t xml:space="preserve"> Een lichaam kwalificeert ook – naast nog enkele aanvullende voorwaarden waaraan moet zijn voldaan – indien de aandelen van het lichaam voor </w:t>
              </w:r>
              <w:proofErr w:type="gramStart"/>
              <w:r>
                <w:t>ten minste</w:t>
              </w:r>
              <w:proofErr w:type="gramEnd"/>
              <w:r>
                <w:t xml:space="preserve"> 50% ”direct” in handen zijn van een of meer lichamen waarvan de aandelen regelmatig worden verhandeld op een erkende effectenbeurs (de zogenoemde indirecte beurstoets).</w:t>
              </w:r>
              <w:r>
                <w:rPr>
                  <w:rStyle w:val="FootnoteReference"/>
                </w:rPr>
                <w:footnoteReference w:id="9"/>
              </w:r>
            </w:p>
            <w:p w:rsidR="000C7DEB" w:rsidP="00891BB0" w:rsidRDefault="00663686">
              <w:r>
                <w:t xml:space="preserve">De Afdeling maakt hier twee opmerkingen over. </w:t>
              </w:r>
            </w:p>
            <w:p w:rsidR="000C7DEB" w:rsidP="00891BB0" w:rsidRDefault="00BA26D3"/>
            <w:p w:rsidR="004541FA" w:rsidP="00891BB0" w:rsidRDefault="00663686">
              <w:proofErr w:type="gramStart"/>
              <w:r>
                <w:t>a</w:t>
              </w:r>
              <w:proofErr w:type="gramEnd"/>
              <w:r>
                <w:t>.</w:t>
              </w:r>
              <w:r>
                <w:tab/>
              </w:r>
              <w:r>
                <w:rPr>
                  <w:i/>
                </w:rPr>
                <w:t>E</w:t>
              </w:r>
              <w:r w:rsidRPr="000C7DEB">
                <w:rPr>
                  <w:i/>
                </w:rPr>
                <w:t>rkende effectenbeurs</w:t>
              </w:r>
              <w:r>
                <w:t xml:space="preserve"> </w:t>
              </w:r>
            </w:p>
            <w:p w:rsidR="00000892" w:rsidP="00891BB0" w:rsidRDefault="00663686">
              <w:r>
                <w:t>Voor de betekenis van het begrip erkende effectenbeurs bij de toepassing van de anti-misbruikbepaling wordt een specifieke definitie gehanteerd</w:t>
              </w:r>
              <w:r>
                <w:rPr>
                  <w:rStyle w:val="FootnoteReference"/>
                </w:rPr>
                <w:footnoteReference w:id="10"/>
              </w:r>
              <w:r>
                <w:t xml:space="preserve"> die op verschillende onderdelen afwijkt van de al in het Verdrag met Ethiopië voor datzelfde begrip opgenomen definitie.</w:t>
              </w:r>
              <w:r>
                <w:rPr>
                  <w:rStyle w:val="FootnoteReference"/>
                </w:rPr>
                <w:footnoteReference w:id="11"/>
              </w:r>
              <w:r>
                <w:t xml:space="preserve"> In de toelichtende nota ontbreekt een verklaring voor deze verschillen.</w:t>
              </w:r>
            </w:p>
            <w:p w:rsidR="00000892" w:rsidP="00891BB0" w:rsidRDefault="00BA26D3"/>
            <w:p w:rsidR="004541FA" w:rsidP="00891BB0" w:rsidRDefault="00663686">
              <w:r>
                <w:t xml:space="preserve">De Afdeling adviseert in de toelichtende nota de reden voor het verschil in definities toe te lichten. </w:t>
              </w:r>
            </w:p>
            <w:p w:rsidR="004541FA" w:rsidP="00891BB0" w:rsidRDefault="00BA26D3"/>
            <w:p w:rsidR="000C7DEB" w:rsidP="00891BB0" w:rsidRDefault="00663686">
              <w:r>
                <w:t>b.</w:t>
              </w:r>
              <w:r>
                <w:tab/>
              </w:r>
              <w:r>
                <w:rPr>
                  <w:i/>
                </w:rPr>
                <w:t>Direct a</w:t>
              </w:r>
              <w:r w:rsidRPr="000C7DEB">
                <w:rPr>
                  <w:i/>
                </w:rPr>
                <w:t>andelenbezi</w:t>
              </w:r>
              <w:r>
                <w:rPr>
                  <w:i/>
                </w:rPr>
                <w:t>t</w:t>
              </w:r>
            </w:p>
            <w:p w:rsidR="00C86D7D" w:rsidP="00891BB0" w:rsidRDefault="00663686">
              <w:r>
                <w:t>De toelichtende nota geeft aan dat de anti-misbruikbepaling is geïnspireerd op soortgelijke bepalingen die zijn opgenomen in de belastingverdragen met Hongkong en Panama.</w:t>
              </w:r>
              <w:r>
                <w:rPr>
                  <w:rStyle w:val="FootnoteReference"/>
                </w:rPr>
                <w:footnoteReference w:id="12"/>
              </w:r>
              <w:r>
                <w:t xml:space="preserve"> Met betrekking tot het vereiste aandelenbezit (in de indirecte beurstoets) van </w:t>
              </w:r>
              <w:proofErr w:type="gramStart"/>
              <w:r>
                <w:t>ten minste</w:t>
              </w:r>
              <w:proofErr w:type="gramEnd"/>
              <w:r>
                <w:t xml:space="preserve"> 50%, lopen de desbetreffende bepalingen uiteen, niet alleen ten </w:t>
              </w:r>
              <w:r>
                <w:lastRenderedPageBreak/>
                <w:t>opzichte van elkaar maar ook ten opzichte van het voorliggende Protocol. Bij het Verdrag met Panama gaat het om een “direct of indirect” aandelenbezit</w:t>
              </w:r>
              <w:r>
                <w:rPr>
                  <w:rStyle w:val="FootnoteReference"/>
                </w:rPr>
                <w:footnoteReference w:id="13"/>
              </w:r>
              <w:r>
                <w:t>, bij het Verdrag met Hongkong ontbreekt de toevoeging “direct of indirect”</w:t>
              </w:r>
              <w:r>
                <w:rPr>
                  <w:rStyle w:val="FootnoteReference"/>
                </w:rPr>
                <w:footnoteReference w:id="14"/>
              </w:r>
              <w:r>
                <w:t>, terwijl het Protocol streng is door, zoals hiervoor is aangegeven, alleen te spreken over “direct”. In de toelichtende nota ontbreekt een verklaring voor deze verschillen.</w:t>
              </w:r>
            </w:p>
            <w:p w:rsidR="00C86D7D" w:rsidP="00891BB0" w:rsidRDefault="00BA26D3"/>
            <w:p w:rsidR="00891BB0" w:rsidP="00891BB0" w:rsidRDefault="00663686">
              <w:r>
                <w:t xml:space="preserve">De Afdeling adviseert in de toelichtende nota de reden voor het verschil in benadering toe te lichten.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63686">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F4481" w:rsidRDefault="00663686">
              <w:r>
                <w:t>De Afdeling advisering van de Raad van State geeft U in overweging goed te vinden dat bedoeld verdrag wordt overgelegd aan de beide Kamers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W06.14.0339</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2D210D" w:rsidP="00D969CB" w:rsidRDefault="00663686">
              <w:pPr>
                <w:numPr>
                  <w:ilvl w:val="0"/>
                  <w:numId w:val="1"/>
                </w:numPr>
              </w:pPr>
              <w:r>
                <w:t>In de toelichtende nota aandacht besteden aan het feit dat er na het (</w:t>
              </w:r>
              <w:proofErr w:type="gramStart"/>
              <w:r>
                <w:t>ingevolge</w:t>
              </w:r>
              <w:proofErr w:type="gramEnd"/>
              <w:r>
                <w:t xml:space="preserve"> artikel I van het Protocol) in het Verdrag met Ethiopië in te voegen artikel 21A, eerste lid, twee leden zijn opgenomen die beide zijn aangemerkt als tweede lid. Daarbij voorts aandacht besteden aan het feit dat het eerste van die twee leden eindigt met “; or”, waarmee niet duidelijk is of er na “or” tekst is weggevallen dan wel of er na de tekst van onderdeel </w:t>
              </w:r>
              <w:proofErr w:type="gramStart"/>
              <w:r>
                <w:t>bb</w:t>
              </w:r>
              <w:proofErr w:type="gramEnd"/>
              <w:r>
                <w:t>) een punt had moeten staan.</w:t>
              </w:r>
            </w:p>
            <w:p w:rsidR="00E70C71" w:rsidP="00D969CB" w:rsidRDefault="00663686">
              <w:pPr>
                <w:numPr>
                  <w:ilvl w:val="0"/>
                  <w:numId w:val="1"/>
                </w:numPr>
              </w:pPr>
              <w:r>
                <w:t xml:space="preserve">Met het oog op de zelfstandige leesbaarheid van de toelichtende nota, de derde alinea van paragraaf “Inleiding” (onder I. Algemeen) van de toelichtende nota aanvullen met de belangrijkste passages en achtergronden voor het opnemen van antimisbruikbepalingen in verdragen met ontwikkelingslanden, zoals die zijn verwoord in de Kamerstukken waar in deze alinea naar wordt verwezen. </w:t>
              </w:r>
            </w:p>
          </w:sdtContent>
        </w:sdt>
        <w:p w:rsidR="00C50D4F" w:rsidP="005841EA" w:rsidRDefault="00BA26D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663686" w:rsidP="001410FD">
      <w:r>
        <w:separator/>
      </w:r>
    </w:p>
  </w:endnote>
  <w:endnote w:type="continuationSeparator" w:id="0">
    <w:p w:rsidR="00225B7E" w:rsidRDefault="0066368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663686" w:rsidP="001410FD">
      <w:r>
        <w:separator/>
      </w:r>
    </w:p>
  </w:footnote>
  <w:footnote w:type="continuationSeparator" w:id="0">
    <w:p w:rsidR="00225B7E" w:rsidRDefault="00663686" w:rsidP="001410FD">
      <w:r>
        <w:continuationSeparator/>
      </w:r>
    </w:p>
  </w:footnote>
  <w:footnote w:id="1">
    <w:p w:rsidR="00930FE4" w:rsidRDefault="00663686">
      <w:pPr>
        <w:pStyle w:val="FootnoteText"/>
      </w:pPr>
      <w:r>
        <w:rPr>
          <w:rStyle w:val="FootnoteReference"/>
        </w:rPr>
        <w:footnoteRef/>
      </w:r>
      <w:r>
        <w:t xml:space="preserve"> </w:t>
      </w:r>
      <w:r>
        <w:tab/>
        <w:t>Een nieuw artikel 21A LIMITATION ON BENEFITS (zie artikel I van het Protocol).</w:t>
      </w:r>
    </w:p>
  </w:footnote>
  <w:footnote w:id="2">
    <w:p w:rsidR="009E208E" w:rsidRDefault="00663686">
      <w:pPr>
        <w:pStyle w:val="FootnoteText"/>
      </w:pPr>
      <w:r>
        <w:rPr>
          <w:rStyle w:val="FootnoteReference"/>
        </w:rPr>
        <w:footnoteRef/>
      </w:r>
      <w:r>
        <w:t xml:space="preserve"> </w:t>
      </w:r>
      <w:r>
        <w:tab/>
        <w:t>Verdrag tussen het Koninkrijk der Nederlanden en de Federale Democratische Republiek Ethiopië</w:t>
      </w:r>
      <w:r>
        <w:tab/>
        <w:t xml:space="preserve">tot het vermijden van dubbele belasting en het voorkomen van het ontgaan van belasting met </w:t>
      </w:r>
      <w:r>
        <w:tab/>
        <w:t xml:space="preserve">betrekking tot belastingen naar het inkomen, met Protocol; Addis Abeba, 10 augustus 2012 </w:t>
      </w:r>
      <w:r>
        <w:tab/>
        <w:t>(Trb. 2012, 179 en 192, en Trb. 2013, 84).</w:t>
      </w:r>
    </w:p>
  </w:footnote>
  <w:footnote w:id="3">
    <w:p w:rsidR="00930FE4" w:rsidRDefault="00663686">
      <w:pPr>
        <w:pStyle w:val="FootnoteText"/>
      </w:pPr>
      <w:r>
        <w:rPr>
          <w:rStyle w:val="FootnoteReference"/>
        </w:rPr>
        <w:footnoteRef/>
      </w:r>
      <w:r>
        <w:t xml:space="preserve"> </w:t>
      </w:r>
      <w:r>
        <w:tab/>
        <w:t>Zie artikel II van het Protocol.</w:t>
      </w:r>
    </w:p>
  </w:footnote>
  <w:footnote w:id="4">
    <w:p w:rsidR="0045314E" w:rsidRDefault="00663686">
      <w:pPr>
        <w:pStyle w:val="FootnoteText"/>
      </w:pPr>
      <w:r>
        <w:rPr>
          <w:rStyle w:val="FootnoteReference"/>
        </w:rPr>
        <w:footnoteRef/>
      </w:r>
      <w:r>
        <w:t xml:space="preserve"> </w:t>
      </w:r>
      <w:r>
        <w:tab/>
        <w:t>Zie artikel III, eerste lid, slotzinsnede, van het Protocol.</w:t>
      </w:r>
    </w:p>
  </w:footnote>
  <w:footnote w:id="5">
    <w:p w:rsidR="0045314E" w:rsidRDefault="00663686">
      <w:pPr>
        <w:pStyle w:val="FootnoteText"/>
      </w:pPr>
      <w:r>
        <w:rPr>
          <w:rStyle w:val="FootnoteReference"/>
        </w:rPr>
        <w:footnoteRef/>
      </w:r>
      <w:r>
        <w:t xml:space="preserve"> </w:t>
      </w:r>
      <w:r>
        <w:tab/>
        <w:t>Wet van 14 juni 2014, Stb. 2014, 257.</w:t>
      </w:r>
    </w:p>
  </w:footnote>
  <w:footnote w:id="6">
    <w:p w:rsidR="0045314E" w:rsidRDefault="00663686">
      <w:pPr>
        <w:pStyle w:val="FootnoteText"/>
      </w:pPr>
      <w:r>
        <w:rPr>
          <w:rStyle w:val="FootnoteReference"/>
        </w:rPr>
        <w:footnoteRef/>
      </w:r>
      <w:r>
        <w:t xml:space="preserve"> </w:t>
      </w:r>
      <w:r>
        <w:tab/>
        <w:t xml:space="preserve">Artikel 28 van het Verdrag met Ethiopië bepaalt dat het Verdrag in werking treedt op de eerste </w:t>
      </w:r>
      <w:r>
        <w:tab/>
        <w:t xml:space="preserve">dag van de tweede maand na de laatste van de data waarop de regeringen van Nederland en </w:t>
      </w:r>
      <w:r>
        <w:tab/>
        <w:t xml:space="preserve">Ethiopië elkaar schriftelijk hebben </w:t>
      </w:r>
      <w:proofErr w:type="gramStart"/>
      <w:r>
        <w:t>medegedeeld</w:t>
      </w:r>
      <w:proofErr w:type="gramEnd"/>
      <w:r>
        <w:t xml:space="preserve"> dat de </w:t>
      </w:r>
      <w:r w:rsidRPr="0045314E">
        <w:t xml:space="preserve">in hun onderscheiden staten </w:t>
      </w:r>
      <w:r>
        <w:tab/>
      </w:r>
      <w:r w:rsidRPr="0045314E">
        <w:t>grondwettelijk vereiste formaliteiten zijn vervuld.</w:t>
      </w:r>
    </w:p>
  </w:footnote>
  <w:footnote w:id="7">
    <w:p w:rsidR="00BB6E51" w:rsidRDefault="00663686">
      <w:pPr>
        <w:pStyle w:val="FootnoteText"/>
      </w:pPr>
      <w:r>
        <w:rPr>
          <w:rStyle w:val="FootnoteReference"/>
        </w:rPr>
        <w:footnoteRef/>
      </w:r>
      <w:r>
        <w:t xml:space="preserve"> </w:t>
      </w:r>
      <w:r>
        <w:tab/>
      </w:r>
      <w:r w:rsidRPr="00A330A4">
        <w:t xml:space="preserve">Zie onder meer de adviezen van de Afdeling advisering van de Raad van State van 24 juli 2013 </w:t>
      </w:r>
      <w:r>
        <w:tab/>
      </w:r>
      <w:r w:rsidRPr="00A330A4">
        <w:t xml:space="preserve">over het voorstel van wet tot wijziging van de Wet op de vennootschapsbelasting 1969 in </w:t>
      </w:r>
      <w:r>
        <w:tab/>
      </w:r>
      <w:r w:rsidRPr="00A330A4">
        <w:t xml:space="preserve">verband met de invoering van een compartimenteringsreserve (Wet compartimenteringsreserve), </w:t>
      </w:r>
      <w:r>
        <w:tab/>
      </w:r>
      <w:r w:rsidRPr="00A330A4">
        <w:t xml:space="preserve">(W06.13.0221/III), Kamerstukken II 2012/13, 33 713, nr. 4, en van 10 januari 2013 over het </w:t>
      </w:r>
      <w:r>
        <w:tab/>
      </w:r>
      <w:r w:rsidRPr="00A330A4">
        <w:t>voorstel van wet tot wijziging van de Wet verhuurderheffing, (W04.12.0513/I),</w:t>
      </w:r>
      <w:r>
        <w:t xml:space="preserve"> </w:t>
      </w:r>
    </w:p>
    <w:p w:rsidR="00A330A4" w:rsidRDefault="00663686">
      <w:pPr>
        <w:pStyle w:val="FootnoteText"/>
      </w:pPr>
      <w:r>
        <w:tab/>
      </w:r>
      <w:r w:rsidRPr="00A330A4">
        <w:t>Kamerstukken II</w:t>
      </w:r>
      <w:r>
        <w:t xml:space="preserve"> </w:t>
      </w:r>
      <w:r w:rsidRPr="00A330A4">
        <w:t xml:space="preserve">2012/13, 33 515, nr. 4. Zie ook aanwijzing 167 van de Aanwijzingen voor de </w:t>
      </w:r>
      <w:r>
        <w:tab/>
      </w:r>
      <w:r w:rsidRPr="00A330A4">
        <w:t>regelgeving.</w:t>
      </w:r>
    </w:p>
  </w:footnote>
  <w:footnote w:id="8">
    <w:p w:rsidR="000C7DEB" w:rsidRDefault="00663686">
      <w:pPr>
        <w:pStyle w:val="FootnoteText"/>
      </w:pPr>
      <w:r>
        <w:rPr>
          <w:rStyle w:val="FootnoteReference"/>
        </w:rPr>
        <w:footnoteRef/>
      </w:r>
      <w:r>
        <w:t xml:space="preserve"> </w:t>
      </w:r>
      <w:r>
        <w:tab/>
        <w:t xml:space="preserve">Het nieuwe artikel 21A, tweede lid, onderdeel d), onder i), van het Verdrag met Ethiopië (artikel I </w:t>
      </w:r>
      <w:r>
        <w:tab/>
        <w:t>van het Protocol).</w:t>
      </w:r>
    </w:p>
  </w:footnote>
  <w:footnote w:id="9">
    <w:p w:rsidR="000C7DEB" w:rsidRDefault="00663686">
      <w:pPr>
        <w:pStyle w:val="FootnoteText"/>
      </w:pPr>
      <w:r>
        <w:rPr>
          <w:rStyle w:val="FootnoteReference"/>
        </w:rPr>
        <w:footnoteRef/>
      </w:r>
      <w:r>
        <w:t xml:space="preserve"> </w:t>
      </w:r>
      <w:r>
        <w:tab/>
        <w:t xml:space="preserve">Het nieuwe artikel 21A, tweede lid, onderdeel d), onder ii), van het Verdrag met Ethiopië (artikel I </w:t>
      </w:r>
      <w:r>
        <w:tab/>
        <w:t>van het Protocol).</w:t>
      </w:r>
    </w:p>
  </w:footnote>
  <w:footnote w:id="10">
    <w:p w:rsidR="000C7DEB" w:rsidRDefault="00663686">
      <w:pPr>
        <w:pStyle w:val="FootnoteText"/>
      </w:pPr>
      <w:r>
        <w:rPr>
          <w:rStyle w:val="FootnoteReference"/>
        </w:rPr>
        <w:footnoteRef/>
      </w:r>
      <w:r>
        <w:t xml:space="preserve"> </w:t>
      </w:r>
      <w:r>
        <w:tab/>
        <w:t>Het nieuwe artikel 21A, zesde lid, van het Verdrag met Ethiopië (artikel I van het Protocol).</w:t>
      </w:r>
    </w:p>
  </w:footnote>
  <w:footnote w:id="11">
    <w:p w:rsidR="000C7DEB" w:rsidRDefault="00663686">
      <w:pPr>
        <w:pStyle w:val="FootnoteText"/>
      </w:pPr>
      <w:r>
        <w:rPr>
          <w:rStyle w:val="FootnoteReference"/>
        </w:rPr>
        <w:footnoteRef/>
      </w:r>
      <w:r>
        <w:tab/>
        <w:t>Artikel 3, eerste lid, onderdeel l, van het Verdrag met Ethiopië.</w:t>
      </w:r>
    </w:p>
  </w:footnote>
  <w:footnote w:id="12">
    <w:p w:rsidR="00C86D7D" w:rsidRDefault="00663686">
      <w:pPr>
        <w:pStyle w:val="FootnoteText"/>
      </w:pPr>
      <w:r>
        <w:rPr>
          <w:rStyle w:val="FootnoteReference"/>
        </w:rPr>
        <w:footnoteRef/>
      </w:r>
      <w:r>
        <w:t xml:space="preserve"> </w:t>
      </w:r>
      <w:r>
        <w:tab/>
        <w:t xml:space="preserve">Zie paragraaf “Inleiding” (onder I. Algemeen), voorlaatste volzin, van de toelichtende nota. </w:t>
      </w:r>
    </w:p>
  </w:footnote>
  <w:footnote w:id="13">
    <w:p w:rsidR="00CC52AC" w:rsidRDefault="00663686">
      <w:pPr>
        <w:pStyle w:val="FootnoteText"/>
      </w:pPr>
      <w:r>
        <w:rPr>
          <w:rStyle w:val="FootnoteReference"/>
        </w:rPr>
        <w:footnoteRef/>
      </w:r>
      <w:r>
        <w:tab/>
      </w:r>
      <w:proofErr w:type="gramStart"/>
      <w:r>
        <w:t xml:space="preserve">Artikel 10, derde lid, onderdeel a), onder (ii), van het </w:t>
      </w:r>
      <w:r w:rsidRPr="00CC52AC">
        <w:t xml:space="preserve">Verdrag tussen het Koninkrijk der </w:t>
      </w:r>
      <w:r>
        <w:tab/>
      </w:r>
      <w:r w:rsidRPr="00CC52AC">
        <w:t xml:space="preserve">Nederlanden en de Republiek </w:t>
      </w:r>
      <w:r>
        <w:t>Panama</w:t>
      </w:r>
      <w:r w:rsidRPr="00CC52AC">
        <w:t xml:space="preserve"> tot het vermijden van dubbele belasting en het voorkomen </w:t>
      </w:r>
      <w:r>
        <w:tab/>
      </w:r>
      <w:r w:rsidRPr="00CC52AC">
        <w:t>van het ontgaan van belasting met betrekking tot belastingen naar het inkomen</w:t>
      </w:r>
      <w:r>
        <w:t xml:space="preserve"> </w:t>
      </w:r>
      <w:r w:rsidRPr="00CC52AC">
        <w:t>(Trb.</w:t>
      </w:r>
      <w:proofErr w:type="gramEnd"/>
      <w:r w:rsidRPr="00CC52AC">
        <w:t> 201</w:t>
      </w:r>
      <w:r>
        <w:t>1</w:t>
      </w:r>
      <w:r w:rsidRPr="00CC52AC">
        <w:t>, 1</w:t>
      </w:r>
      <w:r>
        <w:t>1</w:t>
      </w:r>
      <w:r w:rsidRPr="00CC52AC">
        <w:t>).</w:t>
      </w:r>
    </w:p>
  </w:footnote>
  <w:footnote w:id="14">
    <w:p w:rsidR="00CC52AC" w:rsidRDefault="00663686">
      <w:pPr>
        <w:pStyle w:val="FootnoteText"/>
      </w:pPr>
      <w:r>
        <w:rPr>
          <w:rStyle w:val="FootnoteReference"/>
        </w:rPr>
        <w:footnoteRef/>
      </w:r>
      <w:r>
        <w:tab/>
      </w:r>
      <w:proofErr w:type="gramStart"/>
      <w:r>
        <w:t xml:space="preserve">Artikel 10, derde lid, onderdeel a), onder (ii), van het </w:t>
      </w:r>
      <w:r w:rsidRPr="00CC52AC">
        <w:t xml:space="preserve">Verdrag tussen het Koninkrijk der </w:t>
      </w:r>
      <w:r>
        <w:tab/>
      </w:r>
      <w:r w:rsidRPr="00CC52AC">
        <w:t xml:space="preserve">Nederlanden en de </w:t>
      </w:r>
      <w:r>
        <w:t>Speciale Administratieve Regio Hongkong van de Volksrepubliek China</w:t>
      </w:r>
      <w:r w:rsidRPr="00CC52AC">
        <w:t xml:space="preserve"> tot het </w:t>
      </w:r>
      <w:r>
        <w:tab/>
      </w:r>
      <w:r w:rsidRPr="00CC52AC">
        <w:t>vermijden van dubbele belasting en het voorkomen van het ontgaan van belasting</w:t>
      </w:r>
      <w:r>
        <w:t xml:space="preserve"> </w:t>
      </w:r>
      <w:r w:rsidRPr="00CC52AC">
        <w:t xml:space="preserve">met betrekking </w:t>
      </w:r>
      <w:r>
        <w:tab/>
      </w:r>
      <w:r w:rsidRPr="00CC52AC">
        <w:t>tot belastingen naar het inkomen</w:t>
      </w:r>
      <w:r>
        <w:t xml:space="preserve"> </w:t>
      </w:r>
      <w:r w:rsidRPr="00CC52AC">
        <w:t>(Trb.</w:t>
      </w:r>
      <w:proofErr w:type="gramEnd"/>
      <w:r w:rsidRPr="00CC52AC">
        <w:t> 201</w:t>
      </w:r>
      <w:r>
        <w:t>0, 198</w:t>
      </w:r>
      <w:r w:rsidRPr="00CC52A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BA26D3">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6D3">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63686"/>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BA26D3"/>
    <w:rsid w:val="00C5066A"/>
    <w:rsid w:val="00C50D4F"/>
    <w:rsid w:val="00C5589A"/>
    <w:rsid w:val="00C93CC0"/>
    <w:rsid w:val="00C94D31"/>
    <w:rsid w:val="00CA109A"/>
    <w:rsid w:val="00CE4655"/>
    <w:rsid w:val="00CF4481"/>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733CC8"/>
    <w:pPr>
      <w:tabs>
        <w:tab w:val="left" w:pos="227"/>
      </w:tabs>
    </w:pPr>
    <w:rPr>
      <w:sz w:val="18"/>
      <w:szCs w:val="20"/>
    </w:rPr>
  </w:style>
  <w:style w:type="character" w:customStyle="1" w:styleId="FootnoteTextChar">
    <w:name w:val="Footnote Text Char"/>
    <w:link w:val="FootnoteText"/>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9E20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733CC8"/>
    <w:pPr>
      <w:tabs>
        <w:tab w:val="left" w:pos="227"/>
      </w:tabs>
    </w:pPr>
    <w:rPr>
      <w:sz w:val="18"/>
      <w:szCs w:val="20"/>
    </w:rPr>
  </w:style>
  <w:style w:type="character" w:customStyle="1" w:styleId="FootnoteTextChar">
    <w:name w:val="Footnote Text Char"/>
    <w:link w:val="FootnoteText"/>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9E2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971</ap:Words>
  <ap:Characters>5341</ap:Characters>
  <ap:DocSecurity>0</ap:DocSecurity>
  <ap:Lines>44</ap:Lines>
  <ap:Paragraphs>12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2015-03-04T17:21:00.0000000Z</dcterms:created>
  <dcterms:modified xsi:type="dcterms:W3CDTF">2015-03-04T17:21:00.0000000Z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0x0101000A605461E7897245A5C38BC0A4DB61A7</vt:lpwstr>
  </property>
</Properties>
</file>