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W06.15.0021/III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27 maart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6610F" w:rsidRDefault="000A0334">
              <w:r>
                <w:t>Bij Kabinetsmissive van 4 februari 2015, no.2015000181, heeft Uwe Majesteit, op voordracht van de Staatssecretaris van Financiën, mede namens de Minister van Binnenlandse Zaken en Koninkrijksrelaties, bij de Afdeling advisering van de Raad van State ter ov</w:t>
              </w:r>
              <w:r>
                <w:t>erweging aanhangig gemaakt het voorstel van wet tot wijziging van de Algemene wet inzake rijksbelastingen en enige andere wetten in verband met een regeling voor het elektronische berichtenverkeer (Wet elektronisch berichtenverkeer Belastingdienst), met me</w:t>
              </w:r>
              <w:r>
                <w:t>morie van toelichting.</w:t>
              </w:r>
            </w:p>
          </w:sdtContent>
        </w:sdt>
        <w:p w:rsidRPr="00831363" w:rsidR="00CE4655" w:rsidP="003C7608" w:rsidRDefault="00CE4655"/>
        <w:sdt>
          <w:sdtPr>
            <w:alias w:val="VrijeTekst1"/>
            <w:tag w:val="VrijeTekst1"/>
            <w:id w:val="-437221631"/>
            <w:lock w:val="sdtLocked"/>
          </w:sdtPr>
          <w:sdtEndPr/>
          <w:sdtContent>
            <w:p w:rsidR="002C7DDD" w:rsidP="002C7DDD" w:rsidRDefault="000A0334">
              <w:pPr>
                <w:rPr>
                  <w:iCs/>
                </w:rPr>
              </w:pPr>
              <w:r>
                <w:rPr>
                  <w:iCs/>
                </w:rPr>
                <w:t>Het wetsv</w:t>
              </w:r>
              <w:r w:rsidRPr="00261A9F">
                <w:rPr>
                  <w:iCs/>
                </w:rPr>
                <w:t xml:space="preserve">oorstel </w:t>
              </w:r>
              <w:r>
                <w:rPr>
                  <w:iCs/>
                </w:rPr>
                <w:t xml:space="preserve">voert een wettelijke basis in voor het verplicht stellen van </w:t>
              </w:r>
              <w:r w:rsidRPr="00261A9F">
                <w:rPr>
                  <w:iCs/>
                </w:rPr>
                <w:t xml:space="preserve">elektronisch berichtenverkeer </w:t>
              </w:r>
              <w:r>
                <w:rPr>
                  <w:iCs/>
                </w:rPr>
                <w:t>van en met de Belastingdienst en voor</w:t>
              </w:r>
              <w:r w:rsidRPr="00261A9F">
                <w:rPr>
                  <w:iCs/>
                </w:rPr>
                <w:t xml:space="preserve"> voorzieningen voor elektronisch berichtenverkeer (MijnOverheid</w:t>
              </w:r>
              <w:r>
                <w:rPr>
                  <w:iCs/>
                </w:rPr>
                <w:t>/</w:t>
              </w:r>
              <w:r w:rsidRPr="00261A9F">
                <w:rPr>
                  <w:iCs/>
                </w:rPr>
                <w:t>Berichtenbox), elektr</w:t>
              </w:r>
              <w:r w:rsidRPr="00261A9F">
                <w:rPr>
                  <w:iCs/>
                </w:rPr>
                <w:t>onische authenticatie (DigiD) en elektronische registratie van machtigingen en het raadplegen ervan (DigiD Machtigen)</w:t>
              </w:r>
              <w:r>
                <w:rPr>
                  <w:iCs/>
                </w:rPr>
                <w:t>.</w:t>
              </w:r>
            </w:p>
            <w:p w:rsidR="002C7DDD" w:rsidP="002C7DDD" w:rsidRDefault="000A0334">
              <w:pPr>
                <w:rPr>
                  <w:iCs/>
                </w:rPr>
              </w:pPr>
            </w:p>
            <w:p w:rsidR="002C7DDD" w:rsidP="002C7DDD" w:rsidRDefault="000A0334">
              <w:pPr>
                <w:rPr>
                  <w:iCs/>
                </w:rPr>
              </w:pPr>
              <w:r w:rsidRPr="00261A9F">
                <w:rPr>
                  <w:iCs/>
                </w:rPr>
                <w:t xml:space="preserve">De Afdeling </w:t>
              </w:r>
              <w:r>
                <w:rPr>
                  <w:iCs/>
                </w:rPr>
                <w:t xml:space="preserve">advisering van de Raad van State </w:t>
              </w:r>
              <w:r w:rsidRPr="00261A9F">
                <w:rPr>
                  <w:iCs/>
                </w:rPr>
                <w:t>adviseert het voorstel naar</w:t>
              </w:r>
              <w:r>
                <w:rPr>
                  <w:iCs/>
                </w:rPr>
                <w:t xml:space="preserve"> de Tweede Kamer te zenden, maar acht op onderdelen</w:t>
              </w:r>
              <w:r w:rsidRPr="00261A9F">
                <w:rPr>
                  <w:iCs/>
                </w:rPr>
                <w:t xml:space="preserve"> een </w:t>
              </w:r>
              <w:r>
                <w:rPr>
                  <w:iCs/>
                </w:rPr>
                <w:t>nadere</w:t>
              </w:r>
              <w:r>
                <w:rPr>
                  <w:b/>
                  <w:iCs/>
                </w:rPr>
                <w:t xml:space="preserve"> </w:t>
              </w:r>
              <w:r w:rsidRPr="00261A9F">
                <w:rPr>
                  <w:iCs/>
                </w:rPr>
                <w:t>m</w:t>
              </w:r>
              <w:r w:rsidRPr="00261A9F">
                <w:rPr>
                  <w:iCs/>
                </w:rPr>
                <w:t>otivering of aanpassing van het voorstel wenselijk</w:t>
              </w:r>
              <w:r>
                <w:rPr>
                  <w:iCs/>
                </w:rPr>
                <w:t xml:space="preserve">. </w:t>
              </w:r>
            </w:p>
            <w:p w:rsidR="002C7DDD" w:rsidP="002C7DDD" w:rsidRDefault="000A0334">
              <w:pPr>
                <w:rPr>
                  <w:iCs/>
                </w:rPr>
              </w:pPr>
              <w:r>
                <w:rPr>
                  <w:iCs/>
                </w:rPr>
                <w:t>Zo dient de reikwijdte van de wettelijke grondslag voor voorzieningen voor elektronisch berichtenverkeer te worden verduidelijkt, aangezien die grondslag ruimer lijkt dan noodzakelijk is voor verplicht e</w:t>
              </w:r>
              <w:r>
                <w:rPr>
                  <w:iCs/>
                </w:rPr>
                <w:t xml:space="preserve">lektronisch berichtenverkeer met de Belastingdienst. Voorts is niet duidelijk hoe dit berichtenverkeer (via </w:t>
              </w:r>
              <w:proofErr w:type="spellStart"/>
              <w:r>
                <w:rPr>
                  <w:iCs/>
                </w:rPr>
                <w:t>MijnOverheid</w:t>
              </w:r>
              <w:proofErr w:type="spellEnd"/>
              <w:r>
                <w:rPr>
                  <w:iCs/>
                </w:rPr>
                <w:t>/</w:t>
              </w:r>
              <w:proofErr w:type="spellStart"/>
              <w:r w:rsidRPr="009D71FD">
                <w:rPr>
                  <w:iCs/>
                </w:rPr>
                <w:t>Berichtenbox</w:t>
              </w:r>
              <w:proofErr w:type="spellEnd"/>
              <w:r>
                <w:rPr>
                  <w:iCs/>
                </w:rPr>
                <w:t xml:space="preserve">, </w:t>
              </w:r>
              <w:proofErr w:type="spellStart"/>
              <w:r w:rsidRPr="009D71FD">
                <w:rPr>
                  <w:iCs/>
                </w:rPr>
                <w:t>MijnBelastingdienst</w:t>
              </w:r>
              <w:proofErr w:type="spellEnd"/>
              <w:r>
                <w:rPr>
                  <w:iCs/>
                </w:rPr>
                <w:t xml:space="preserve"> en </w:t>
              </w:r>
              <w:proofErr w:type="spellStart"/>
              <w:r>
                <w:rPr>
                  <w:iCs/>
                </w:rPr>
                <w:t>MijnToeslagen</w:t>
              </w:r>
              <w:proofErr w:type="spellEnd"/>
              <w:r>
                <w:rPr>
                  <w:iCs/>
                </w:rPr>
                <w:t xml:space="preserve">) in de praktijk verloopt en in hoeverre de formeelrechtelijke bepalingen toereikend </w:t>
              </w:r>
              <w:r>
                <w:rPr>
                  <w:iCs/>
                </w:rPr>
                <w:t>zijn. Gelet op de positie van juist die groep belanghebbenden die niet zelf in staat is aan zijn digitale verplichtingen te voldoen, dienen het verplicht stellen van berichtenverkeer langs elektronische weg en het moment waarop die verplichting ingaat, nad</w:t>
              </w:r>
              <w:r>
                <w:rPr>
                  <w:iCs/>
                </w:rPr>
                <w:t>er te worden toegelicht.</w:t>
              </w:r>
            </w:p>
            <w:p w:rsidR="00432A47" w:rsidP="002C7DDD" w:rsidRDefault="000A0334">
              <w:pPr>
                <w:rPr>
                  <w:iCs/>
                </w:rPr>
              </w:pPr>
            </w:p>
            <w:p w:rsidR="00672C66" w:rsidRDefault="000A0334">
              <w:pPr>
                <w:rPr>
                  <w:iCs/>
                </w:rPr>
              </w:pPr>
              <w:r>
                <w:rPr>
                  <w:iCs/>
                </w:rPr>
                <w:t>1.</w:t>
              </w:r>
              <w:r>
                <w:rPr>
                  <w:iCs/>
                </w:rPr>
                <w:tab/>
              </w:r>
              <w:r w:rsidRPr="005B251E">
                <w:rPr>
                  <w:iCs/>
                  <w:u w:val="single"/>
                </w:rPr>
                <w:t>Reikwijdte</w:t>
              </w:r>
              <w:r>
                <w:rPr>
                  <w:iCs/>
                  <w:u w:val="single"/>
                </w:rPr>
                <w:t xml:space="preserve"> en kader</w:t>
              </w:r>
            </w:p>
            <w:p w:rsidR="002C7DDD" w:rsidP="002C7DDD" w:rsidRDefault="000A0334">
              <w:pPr>
                <w:rPr>
                  <w:iCs/>
                </w:rPr>
              </w:pPr>
            </w:p>
            <w:p w:rsidRPr="00F6265F" w:rsidR="00432A47" w:rsidP="002C7DDD" w:rsidRDefault="000A0334">
              <w:pPr>
                <w:rPr>
                  <w:i/>
                  <w:iCs/>
                </w:rPr>
              </w:pPr>
              <w:r w:rsidRPr="00432A47">
                <w:rPr>
                  <w:i/>
                  <w:iCs/>
                </w:rPr>
                <w:t>Inleiding</w:t>
              </w:r>
            </w:p>
            <w:p w:rsidR="00C40AD2" w:rsidP="002C7DDD" w:rsidRDefault="000A0334">
              <w:pPr>
                <w:rPr>
                  <w:iCs/>
                </w:rPr>
              </w:pPr>
              <w:r>
                <w:t>Voorliggend wets</w:t>
              </w:r>
              <w:r w:rsidRPr="00261A9F">
                <w:rPr>
                  <w:iCs/>
                </w:rPr>
                <w:t xml:space="preserve">voorstel bevat een deel van de maatregelen die eerder zijn opgenomen in </w:t>
              </w:r>
              <w:r>
                <w:rPr>
                  <w:iCs/>
                </w:rPr>
                <w:t>het</w:t>
              </w:r>
              <w:r w:rsidRPr="00261A9F">
                <w:rPr>
                  <w:iCs/>
                </w:rPr>
                <w:t xml:space="preserve"> bij de Tweede Kamer aanhangig</w:t>
              </w:r>
              <w:r>
                <w:rPr>
                  <w:iCs/>
                </w:rPr>
                <w:t>e</w:t>
              </w:r>
              <w:r w:rsidRPr="00261A9F">
                <w:rPr>
                  <w:iCs/>
                </w:rPr>
                <w:t xml:space="preserve"> wetsvoorstel Wet vereenvoudiging formeel verkeer Belastingdienst</w:t>
              </w:r>
              <w:r w:rsidRPr="00261A9F">
                <w:rPr>
                  <w:iCs/>
                  <w:vertAlign w:val="superscript"/>
                </w:rPr>
                <w:footnoteReference w:id="1"/>
              </w:r>
              <w:r w:rsidRPr="00261A9F">
                <w:rPr>
                  <w:iCs/>
                </w:rPr>
                <w:t>. D</w:t>
              </w:r>
              <w:r>
                <w:rPr>
                  <w:iCs/>
                </w:rPr>
                <w:t>i</w:t>
              </w:r>
              <w:r w:rsidRPr="00261A9F">
                <w:rPr>
                  <w:iCs/>
                </w:rPr>
                <w:t xml:space="preserve">t aanhangige voorstel bestaat uit twee delen: 1) het </w:t>
              </w:r>
              <w:r>
                <w:rPr>
                  <w:iCs/>
                </w:rPr>
                <w:t xml:space="preserve">invoeren van een wettelijke basis voor het verplicht stellen van </w:t>
              </w:r>
              <w:r w:rsidRPr="00261A9F">
                <w:rPr>
                  <w:iCs/>
                </w:rPr>
                <w:t xml:space="preserve">elektronisch berichtenverkeer </w:t>
              </w:r>
              <w:r>
                <w:rPr>
                  <w:iCs/>
                </w:rPr>
                <w:t xml:space="preserve">van en met de Belastingdienst, </w:t>
              </w:r>
              <w:r w:rsidRPr="00261A9F">
                <w:rPr>
                  <w:iCs/>
                </w:rPr>
                <w:t>en 2) een nieuw heffingss</w:t>
              </w:r>
              <w:r>
                <w:rPr>
                  <w:iCs/>
                </w:rPr>
                <w:t xml:space="preserve">ysteem voor aanslagbelastingen. Het tweede deel van </w:t>
              </w:r>
              <w:r>
                <w:rPr>
                  <w:iCs/>
                </w:rPr>
                <w:t>dat voorstel is in heroverweging genomen en daarvoor is extra tijd nodig</w:t>
              </w:r>
              <w:r w:rsidRPr="00261A9F">
                <w:rPr>
                  <w:iCs/>
                </w:rPr>
                <w:t>.</w:t>
              </w:r>
              <w:r w:rsidRPr="00261A9F">
                <w:rPr>
                  <w:iCs/>
                  <w:vertAlign w:val="superscript"/>
                </w:rPr>
                <w:footnoteReference w:id="2"/>
              </w:r>
              <w:r>
                <w:rPr>
                  <w:iCs/>
                </w:rPr>
                <w:t xml:space="preserve"> Omdat het belangrijk wordt gevonden dat het eerste deel geen verdere vertraging ondervindt, is dat deel nu opgenomen in voorliggend voorstel.</w:t>
              </w:r>
              <w:r>
                <w:rPr>
                  <w:rStyle w:val="Voetnootmarkering"/>
                  <w:iCs/>
                </w:rPr>
                <w:footnoteReference w:id="3"/>
              </w:r>
              <w:r w:rsidRPr="00261A9F">
                <w:rPr>
                  <w:iCs/>
                </w:rPr>
                <w:t xml:space="preserve"> </w:t>
              </w:r>
            </w:p>
            <w:p w:rsidR="00C40AD2" w:rsidP="002C7DDD" w:rsidRDefault="000A0334">
              <w:pPr>
                <w:rPr>
                  <w:iCs/>
                </w:rPr>
              </w:pPr>
            </w:p>
            <w:p w:rsidR="002C7DDD" w:rsidP="002C7DDD" w:rsidRDefault="000A0334">
              <w:pPr>
                <w:rPr>
                  <w:iCs/>
                </w:rPr>
              </w:pPr>
              <w:r>
                <w:rPr>
                  <w:iCs/>
                </w:rPr>
                <w:t>Daarnaast is in het voorliggende voo</w:t>
              </w:r>
              <w:r>
                <w:rPr>
                  <w:iCs/>
                </w:rPr>
                <w:t>rstel een nieuwe maatregel opgenomen. Deze maatregel (artikel X) voorziet:</w:t>
              </w:r>
            </w:p>
            <w:p w:rsidR="002C7DDD" w:rsidP="002C7DDD" w:rsidRDefault="000A0334">
              <w:pPr>
                <w:rPr>
                  <w:iCs/>
                </w:rPr>
              </w:pPr>
              <w:r>
                <w:rPr>
                  <w:iCs/>
                </w:rPr>
                <w:tab/>
                <w:t>a)</w:t>
              </w:r>
              <w:r w:rsidRPr="00261A9F">
                <w:rPr>
                  <w:iCs/>
                </w:rPr>
                <w:t xml:space="preserve"> </w:t>
              </w:r>
              <w:r>
                <w:rPr>
                  <w:iCs/>
                </w:rPr>
                <w:t xml:space="preserve">in een wettelijke </w:t>
              </w:r>
              <w:r w:rsidRPr="00261A9F">
                <w:rPr>
                  <w:iCs/>
                </w:rPr>
                <w:t>grondslag voor</w:t>
              </w:r>
              <w:r>
                <w:rPr>
                  <w:iCs/>
                </w:rPr>
                <w:t xml:space="preserve"> de inrichting, beschikbaarstelling, instandhouding, werking, beveiliging en betrouwbaarheid van:</w:t>
              </w:r>
            </w:p>
            <w:p w:rsidR="002C7DDD" w:rsidP="002C7DDD" w:rsidRDefault="000A0334">
              <w:pPr>
                <w:rPr>
                  <w:iCs/>
                </w:rPr>
              </w:pPr>
              <w:r>
                <w:rPr>
                  <w:iCs/>
                </w:rPr>
                <w:tab/>
              </w:r>
              <w:r>
                <w:rPr>
                  <w:iCs/>
                </w:rPr>
                <w:tab/>
                <w:t xml:space="preserve">i) </w:t>
              </w:r>
              <w:r w:rsidRPr="00261A9F">
                <w:rPr>
                  <w:iCs/>
                </w:rPr>
                <w:t>voorzieningen voor elektronisch berichtenv</w:t>
              </w:r>
              <w:r w:rsidRPr="00261A9F">
                <w:rPr>
                  <w:iCs/>
                </w:rPr>
                <w:t xml:space="preserve">erkeer </w:t>
              </w:r>
              <w:r>
                <w:rPr>
                  <w:iCs/>
                </w:rPr>
                <w:t>en informatieverschaffing; en</w:t>
              </w:r>
            </w:p>
            <w:p w:rsidR="002C7DDD" w:rsidP="002C7DDD" w:rsidRDefault="000A0334">
              <w:pPr>
                <w:rPr>
                  <w:iCs/>
                </w:rPr>
              </w:pPr>
              <w:r>
                <w:rPr>
                  <w:iCs/>
                </w:rPr>
                <w:tab/>
              </w:r>
              <w:r>
                <w:rPr>
                  <w:iCs/>
                </w:rPr>
                <w:tab/>
                <w:t>ii) voorzieningen voor</w:t>
              </w:r>
              <w:r w:rsidRPr="00261A9F">
                <w:rPr>
                  <w:iCs/>
                </w:rPr>
                <w:t xml:space="preserve"> elektronische authenticatie</w:t>
              </w:r>
              <w:r>
                <w:rPr>
                  <w:iCs/>
                </w:rPr>
                <w:t xml:space="preserve"> </w:t>
              </w:r>
              <w:r w:rsidRPr="00261A9F">
                <w:rPr>
                  <w:iCs/>
                </w:rPr>
                <w:t>en elektronische registratie van machtigingen</w:t>
              </w:r>
              <w:r>
                <w:rPr>
                  <w:iCs/>
                </w:rPr>
                <w:t>;</w:t>
              </w:r>
              <w:r>
                <w:rPr>
                  <w:rStyle w:val="Voetnootmarkering"/>
                  <w:iCs/>
                </w:rPr>
                <w:footnoteReference w:id="4"/>
              </w:r>
              <w:r>
                <w:rPr>
                  <w:iCs/>
                </w:rPr>
                <w:t xml:space="preserve"> alsmede</w:t>
              </w:r>
            </w:p>
            <w:p w:rsidR="002C7DDD" w:rsidP="002C7DDD" w:rsidRDefault="000A0334">
              <w:pPr>
                <w:rPr>
                  <w:iCs/>
                </w:rPr>
              </w:pPr>
              <w:r>
                <w:rPr>
                  <w:iCs/>
                </w:rPr>
                <w:tab/>
                <w:t>b) in een wettelijke grondslag voor de in dat verband noodzakelijke verwerking van persoonsgegevens</w:t>
              </w:r>
              <w:r>
                <w:rPr>
                  <w:rStyle w:val="Voetnootmarkering"/>
                  <w:iCs/>
                </w:rPr>
                <w:footnoteReference w:id="5"/>
              </w:r>
              <w:r>
                <w:rPr>
                  <w:iCs/>
                </w:rPr>
                <w:t>.</w:t>
              </w:r>
            </w:p>
            <w:p w:rsidR="00C40AD2" w:rsidP="002C7DDD" w:rsidRDefault="000A0334">
              <w:pPr>
                <w:rPr>
                  <w:iCs/>
                </w:rPr>
              </w:pPr>
              <w:r w:rsidRPr="00C40AD2">
                <w:rPr>
                  <w:iCs/>
                </w:rPr>
                <w:t>Het gaa</w:t>
              </w:r>
              <w:r w:rsidRPr="00C40AD2">
                <w:rPr>
                  <w:iCs/>
                </w:rPr>
                <w:t>t bij genoemde “voorzieningen voor elektronisch</w:t>
              </w:r>
              <w:r>
                <w:rPr>
                  <w:iCs/>
                </w:rPr>
                <w:t xml:space="preserve"> </w:t>
              </w:r>
              <w:r w:rsidRPr="00C40AD2">
                <w:rPr>
                  <w:iCs/>
                </w:rPr>
                <w:t>berichtenverkeer en informatieverschaffing” om MijnOverheid/Berichtenbox</w:t>
              </w:r>
              <w:r>
                <w:rPr>
                  <w:rStyle w:val="Voetnootmarkering"/>
                  <w:iCs/>
                </w:rPr>
                <w:footnoteReference w:id="6"/>
              </w:r>
              <w:r w:rsidRPr="00C40AD2">
                <w:rPr>
                  <w:iCs/>
                </w:rPr>
                <w:t xml:space="preserve"> </w:t>
              </w:r>
              <w:r>
                <w:rPr>
                  <w:iCs/>
                </w:rPr>
                <w:t>(</w:t>
              </w:r>
              <w:r w:rsidRPr="00C40AD2">
                <w:rPr>
                  <w:iCs/>
                </w:rPr>
                <w:t>en de eventuele opvolgers</w:t>
              </w:r>
              <w:r>
                <w:rPr>
                  <w:iCs/>
                </w:rPr>
                <w:t xml:space="preserve"> </w:t>
              </w:r>
              <w:r w:rsidRPr="00C40AD2">
                <w:rPr>
                  <w:iCs/>
                </w:rPr>
                <w:t>daarvan</w:t>
              </w:r>
              <w:r>
                <w:rPr>
                  <w:iCs/>
                </w:rPr>
                <w:t>). B</w:t>
              </w:r>
              <w:r w:rsidRPr="00C40AD2">
                <w:rPr>
                  <w:iCs/>
                </w:rPr>
                <w:t>ij genoemde “voorzieningen voor elektronische authenticat</w:t>
              </w:r>
              <w:r>
                <w:rPr>
                  <w:iCs/>
                </w:rPr>
                <w:t>ie en elektronische registratie v</w:t>
              </w:r>
              <w:r w:rsidRPr="00C40AD2">
                <w:rPr>
                  <w:iCs/>
                </w:rPr>
                <w:t xml:space="preserve">an machtigingen” </w:t>
              </w:r>
              <w:r>
                <w:rPr>
                  <w:iCs/>
                </w:rPr>
                <w:t xml:space="preserve">gaat het </w:t>
              </w:r>
              <w:r w:rsidRPr="00C40AD2">
                <w:rPr>
                  <w:iCs/>
                </w:rPr>
                <w:t>om DigiD respectievel</w:t>
              </w:r>
              <w:r>
                <w:rPr>
                  <w:iCs/>
                </w:rPr>
                <w:t>ijk DigiD Machtigen (</w:t>
              </w:r>
              <w:r w:rsidRPr="00C40AD2">
                <w:rPr>
                  <w:iCs/>
                </w:rPr>
                <w:t>en om de eventuele opvolgers daarvan</w:t>
              </w:r>
              <w:r>
                <w:rPr>
                  <w:iCs/>
                </w:rPr>
                <w:t>)</w:t>
              </w:r>
              <w:r w:rsidRPr="00C40AD2">
                <w:rPr>
                  <w:iCs/>
                </w:rPr>
                <w:t xml:space="preserve">. </w:t>
              </w:r>
            </w:p>
            <w:p w:rsidR="002C7DDD" w:rsidP="002C7DDD" w:rsidRDefault="000A0334">
              <w:pPr>
                <w:rPr>
                  <w:iCs/>
                </w:rPr>
              </w:pPr>
              <w:r>
                <w:rPr>
                  <w:iCs/>
                </w:rPr>
                <w:t xml:space="preserve"> </w:t>
              </w:r>
            </w:p>
            <w:p w:rsidR="002C7DDD" w:rsidP="002C7DDD" w:rsidRDefault="000A0334">
              <w:pPr>
                <w:rPr>
                  <w:iCs/>
                </w:rPr>
              </w:pPr>
              <w:r>
                <w:rPr>
                  <w:iCs/>
                </w:rPr>
                <w:t xml:space="preserve">De Afdeling merkt op dat de reikwijdte van artikel X niet duidelijk is (zie hierna onder a) en dat een toelichting ontbreekt op het bredere kader </w:t>
              </w:r>
              <w:r>
                <w:rPr>
                  <w:iCs/>
                </w:rPr>
                <w:t>(digitale overheid/Digitaal 2017) (zie hierna onder b).</w:t>
              </w:r>
            </w:p>
            <w:p w:rsidR="002C7DDD" w:rsidP="002C7DDD" w:rsidRDefault="000A0334">
              <w:pPr>
                <w:rPr>
                  <w:iCs/>
                </w:rPr>
              </w:pPr>
            </w:p>
            <w:p w:rsidR="002C7DDD" w:rsidP="002C7DDD" w:rsidRDefault="000A0334">
              <w:pPr>
                <w:rPr>
                  <w:iCs/>
                </w:rPr>
              </w:pPr>
              <w:r>
                <w:rPr>
                  <w:i/>
                  <w:iCs/>
                </w:rPr>
                <w:t>a.</w:t>
              </w:r>
              <w:r>
                <w:rPr>
                  <w:i/>
                  <w:iCs/>
                </w:rPr>
                <w:tab/>
                <w:t>Reikwijdte</w:t>
              </w:r>
            </w:p>
            <w:p w:rsidR="002C7DDD" w:rsidP="002C7DDD" w:rsidRDefault="000A0334">
              <w:pPr>
                <w:rPr>
                  <w:iCs/>
                </w:rPr>
              </w:pPr>
              <w:r>
                <w:rPr>
                  <w:iCs/>
                </w:rPr>
                <w:t xml:space="preserve">De Afdeling maakt een opmerking over de reikwijdte van het voorstel waar het voorstel niet alleen een grondslag biedt voor </w:t>
              </w:r>
              <w:r w:rsidRPr="00A902A7">
                <w:rPr>
                  <w:i/>
                  <w:iCs/>
                </w:rPr>
                <w:t>verplicht</w:t>
              </w:r>
              <w:r>
                <w:rPr>
                  <w:i/>
                  <w:iCs/>
                </w:rPr>
                <w:t xml:space="preserve"> </w:t>
              </w:r>
              <w:r>
                <w:rPr>
                  <w:iCs/>
                </w:rPr>
                <w:t>elektronisch berichtenverkeer, maar ook een grondsla</w:t>
              </w:r>
              <w:r>
                <w:rPr>
                  <w:iCs/>
                </w:rPr>
                <w:t>g biedt voor</w:t>
              </w:r>
              <w:r w:rsidRPr="00A902A7">
                <w:rPr>
                  <w:i/>
                  <w:iCs/>
                </w:rPr>
                <w:t xml:space="preserve"> vrijwillig</w:t>
              </w:r>
              <w:r>
                <w:rPr>
                  <w:iCs/>
                </w:rPr>
                <w:t xml:space="preserve"> elektronisch berichtenverkeer. Het gaat daarbij om het volgende.</w:t>
              </w:r>
            </w:p>
            <w:p w:rsidR="002C7DDD" w:rsidP="002C7DDD" w:rsidRDefault="000A0334">
              <w:pPr>
                <w:rPr>
                  <w:iCs/>
                </w:rPr>
              </w:pPr>
            </w:p>
            <w:p w:rsidR="002C7DDD" w:rsidP="002C7DDD" w:rsidRDefault="000A0334">
              <w:pPr>
                <w:rPr>
                  <w:iCs/>
                </w:rPr>
              </w:pPr>
              <w:r>
                <w:rPr>
                  <w:iCs/>
                </w:rPr>
                <w:t>De toelichting vermeldt: “</w:t>
              </w:r>
              <w:r w:rsidRPr="0003478C">
                <w:rPr>
                  <w:iCs/>
                </w:rPr>
                <w:t>Het gebruik van de Berichtenbox en DigiD geschiedt nu op basis van vrijwilligheid; de verwerking van persoonsgegevens ten behoeve van MijnOv</w:t>
              </w:r>
              <w:r w:rsidRPr="0003478C">
                <w:rPr>
                  <w:iCs/>
                </w:rPr>
                <w:t xml:space="preserve">erheid en DigiD vindt plaats op basis van </w:t>
              </w:r>
              <w:r w:rsidRPr="0000646D">
                <w:rPr>
                  <w:iCs/>
                </w:rPr>
                <w:t>toestemming</w:t>
              </w:r>
              <w:r w:rsidRPr="0003478C">
                <w:rPr>
                  <w:iCs/>
                </w:rPr>
                <w:t xml:space="preserve"> door de betrokken burger en </w:t>
              </w:r>
              <w:r w:rsidRPr="0000646D">
                <w:rPr>
                  <w:iCs/>
                </w:rPr>
                <w:t>acceptatie</w:t>
              </w:r>
              <w:r w:rsidRPr="0003478C">
                <w:rPr>
                  <w:iCs/>
                </w:rPr>
                <w:t xml:space="preserve"> door de betrokken burger van gebruiksvoorwaarden. Bij invoering van verplicht gebruik van de Berichtenbox is </w:t>
              </w:r>
              <w:r w:rsidRPr="0000646D">
                <w:rPr>
                  <w:iCs/>
                </w:rPr>
                <w:t>dit</w:t>
              </w:r>
              <w:r>
                <w:rPr>
                  <w:iCs/>
                </w:rPr>
                <w:t xml:space="preserve"> echter niet langer mogelijk”.</w:t>
              </w:r>
              <w:r>
                <w:rPr>
                  <w:rStyle w:val="Voetnootmarkering"/>
                  <w:iCs/>
                </w:rPr>
                <w:footnoteReference w:id="7"/>
              </w:r>
            </w:p>
            <w:p w:rsidR="002C7DDD" w:rsidP="002C7DDD" w:rsidRDefault="000A0334">
              <w:pPr>
                <w:rPr>
                  <w:iCs/>
                </w:rPr>
              </w:pPr>
            </w:p>
            <w:p w:rsidR="00791546" w:rsidP="00205C86" w:rsidRDefault="000A0334">
              <w:pPr>
                <w:rPr>
                  <w:iCs/>
                </w:rPr>
              </w:pPr>
              <w:r>
                <w:rPr>
                  <w:iCs/>
                </w:rPr>
                <w:t xml:space="preserve">De Afdeling merkt </w:t>
              </w:r>
              <w:r>
                <w:rPr>
                  <w:iCs/>
                </w:rPr>
                <w:t xml:space="preserve">op dat met het vervallen van het </w:t>
              </w:r>
              <w:r w:rsidRPr="003D2F48">
                <w:rPr>
                  <w:i/>
                  <w:iCs/>
                </w:rPr>
                <w:t>vrijwillig</w:t>
              </w:r>
              <w:r>
                <w:rPr>
                  <w:iCs/>
                </w:rPr>
                <w:t xml:space="preserve"> gebruik van MijnOverheid/Berichtenbox en met een daarvoor in de plaats komend wettelijk </w:t>
              </w:r>
              <w:r w:rsidRPr="003D2F48">
                <w:rPr>
                  <w:i/>
                  <w:iCs/>
                </w:rPr>
                <w:t>verplicht</w:t>
              </w:r>
              <w:r>
                <w:rPr>
                  <w:iCs/>
                </w:rPr>
                <w:t xml:space="preserve"> elektronisch berichtenverkeer, inderdaad een verwerking van persoonsgegevens met </w:t>
              </w:r>
              <w:r>
                <w:rPr>
                  <w:iCs/>
                </w:rPr>
                <w:lastRenderedPageBreak/>
                <w:t>toestemming en acceptatie van geb</w:t>
              </w:r>
              <w:r>
                <w:rPr>
                  <w:iCs/>
                </w:rPr>
                <w:t xml:space="preserve">ruiksvoorwaarden niet langer aan de orde is, en dat in dat geval een wettelijke regeling voor de verwerking van persoonsgegevens noodzakelijk is. Gelet op het voorgenomen </w:t>
              </w:r>
              <w:r w:rsidRPr="003D2F48">
                <w:rPr>
                  <w:i/>
                  <w:iCs/>
                </w:rPr>
                <w:t>verplicht</w:t>
              </w:r>
              <w:r>
                <w:rPr>
                  <w:iCs/>
                </w:rPr>
                <w:t xml:space="preserve"> gebruik van elektronisch berichtenverkeer in de fiscaliteit (en bij toeslag</w:t>
              </w:r>
              <w:r>
                <w:rPr>
                  <w:iCs/>
                </w:rPr>
                <w:t xml:space="preserve">en) is het voorgestelde artikel X dan ook te begrijpen. </w:t>
              </w:r>
            </w:p>
            <w:p w:rsidR="00791546" w:rsidP="00205C86" w:rsidRDefault="000A0334">
              <w:pPr>
                <w:rPr>
                  <w:iCs/>
                </w:rPr>
              </w:pPr>
            </w:p>
            <w:p w:rsidR="00205C86" w:rsidP="00205C86" w:rsidRDefault="000A0334">
              <w:pPr>
                <w:rPr>
                  <w:iCs/>
                </w:rPr>
              </w:pPr>
              <w:r>
                <w:rPr>
                  <w:iCs/>
                </w:rPr>
                <w:t>De formulering van artikel X (“</w:t>
              </w:r>
              <w:r w:rsidRPr="00261A9F">
                <w:rPr>
                  <w:iCs/>
                </w:rPr>
                <w:t xml:space="preserve">voorzieningen voor elektronisch berichtenverkeer </w:t>
              </w:r>
              <w:r>
                <w:rPr>
                  <w:iCs/>
                </w:rPr>
                <w:t xml:space="preserve">en informatieverschaffing”) is echter veel ruimer. Daar valt niet alleen het </w:t>
              </w:r>
              <w:r w:rsidRPr="003D2F48">
                <w:rPr>
                  <w:i/>
                  <w:iCs/>
                </w:rPr>
                <w:t>verplichte</w:t>
              </w:r>
              <w:r>
                <w:rPr>
                  <w:iCs/>
                </w:rPr>
                <w:t xml:space="preserve"> </w:t>
              </w:r>
              <w:r>
                <w:rPr>
                  <w:i/>
                  <w:iCs/>
                </w:rPr>
                <w:t xml:space="preserve">wederzijdse </w:t>
              </w:r>
              <w:r>
                <w:rPr>
                  <w:iCs/>
                </w:rPr>
                <w:t>elektronische verk</w:t>
              </w:r>
              <w:r>
                <w:rPr>
                  <w:iCs/>
                </w:rPr>
                <w:t>eer tussen belanghebbenden en de Belastingdienst onder, alsmede MijnOverheid/Berichtenbox, maar in wezen alle elektronische verkeer, ook met decentrale overheden. Daarmee lijkt het voorstel de gehele Generieke Digitale Infrastructuur (GDI)</w:t>
              </w:r>
              <w:r>
                <w:rPr>
                  <w:rStyle w:val="Voetnootmarkering"/>
                  <w:iCs/>
                </w:rPr>
                <w:footnoteReference w:id="8"/>
              </w:r>
              <w:r>
                <w:rPr>
                  <w:iCs/>
                </w:rPr>
                <w:t xml:space="preserve"> te bestrijken </w:t>
              </w:r>
              <w:r w:rsidRPr="00E2066F">
                <w:rPr>
                  <w:iCs/>
                </w:rPr>
                <w:t>(</w:t>
              </w:r>
              <w:r w:rsidRPr="00E2066F">
                <w:rPr>
                  <w:iCs/>
                </w:rPr>
                <w:t xml:space="preserve">zie </w:t>
              </w:r>
              <w:r>
                <w:rPr>
                  <w:iCs/>
                </w:rPr>
                <w:t>nader ook</w:t>
              </w:r>
              <w:r w:rsidRPr="00E2066F">
                <w:rPr>
                  <w:iCs/>
                </w:rPr>
                <w:t xml:space="preserve"> onder </w:t>
              </w:r>
              <w:r>
                <w:rPr>
                  <w:iCs/>
                </w:rPr>
                <w:t xml:space="preserve">b </w:t>
              </w:r>
              <w:r w:rsidRPr="00E2066F">
                <w:rPr>
                  <w:iCs/>
                </w:rPr>
                <w:t>hierna).</w:t>
              </w:r>
            </w:p>
            <w:p w:rsidR="002C7DDD" w:rsidP="002C7DDD" w:rsidRDefault="000A0334">
              <w:pPr>
                <w:rPr>
                  <w:iCs/>
                </w:rPr>
              </w:pPr>
              <w:r>
                <w:rPr>
                  <w:iCs/>
                </w:rPr>
                <w:t xml:space="preserve">Aldus ziet artikel X ook op de verwerking van persoonsgegevens in situaties waarin geen sprake is van wettelijk </w:t>
              </w:r>
              <w:r w:rsidRPr="003D2F48">
                <w:rPr>
                  <w:i/>
                  <w:iCs/>
                </w:rPr>
                <w:t>verplicht</w:t>
              </w:r>
              <w:r>
                <w:rPr>
                  <w:iCs/>
                </w:rPr>
                <w:t xml:space="preserve"> elektronisch berichtenverkeer maar  van – al dan niet een recht op – </w:t>
              </w:r>
              <w:r w:rsidRPr="003D2F48">
                <w:rPr>
                  <w:i/>
                  <w:iCs/>
                </w:rPr>
                <w:t>vrijwillig</w:t>
              </w:r>
              <w:r>
                <w:rPr>
                  <w:iCs/>
                </w:rPr>
                <w:t xml:space="preserve"> elektronisch berichtenverkeer. In geval van </w:t>
              </w:r>
              <w:r>
                <w:rPr>
                  <w:i/>
                  <w:iCs/>
                </w:rPr>
                <w:t xml:space="preserve">vrijwillig </w:t>
              </w:r>
              <w:r>
                <w:rPr>
                  <w:iCs/>
                </w:rPr>
                <w:t xml:space="preserve">berichtenverkeer heeft de wettelijke regeling daarmee een grotere reikwijdte dan noodzakelijk is voor het realiseren van </w:t>
              </w:r>
              <w:r>
                <w:rPr>
                  <w:i/>
                  <w:iCs/>
                </w:rPr>
                <w:t xml:space="preserve">verplicht </w:t>
              </w:r>
              <w:r>
                <w:rPr>
                  <w:iCs/>
                </w:rPr>
                <w:t>elektronisch verkeer met de Belastingdienst. Dit roept de vraag op wa</w:t>
              </w:r>
              <w:r>
                <w:rPr>
                  <w:iCs/>
                </w:rPr>
                <w:t xml:space="preserve">arom de wettelijke regeling niet wordt beperkt tot situaties waarin een </w:t>
              </w:r>
              <w:r w:rsidRPr="003D2F48">
                <w:rPr>
                  <w:i/>
                  <w:iCs/>
                </w:rPr>
                <w:t>verplichting</w:t>
              </w:r>
              <w:r>
                <w:rPr>
                  <w:iCs/>
                </w:rPr>
                <w:t xml:space="preserve"> bestaat tot elektronisch berichtenverkeer in de fiscaliteit/toeslagen. Een eventuele regeling voor elektronisch berichtenverkeer buiten de fiscaliteit/toeslagen kan dan wo</w:t>
              </w:r>
              <w:r>
                <w:rPr>
                  <w:iCs/>
                </w:rPr>
                <w:t xml:space="preserve">rden opgenomen in een separaat wetsvoorstel. </w:t>
              </w:r>
            </w:p>
            <w:p w:rsidR="002C7DDD" w:rsidP="002C7DDD" w:rsidRDefault="000A0334">
              <w:pPr>
                <w:rPr>
                  <w:iCs/>
                </w:rPr>
              </w:pPr>
            </w:p>
            <w:p w:rsidR="002C7DDD" w:rsidP="002C7DDD" w:rsidRDefault="000A0334">
              <w:pPr>
                <w:rPr>
                  <w:iCs/>
                </w:rPr>
              </w:pPr>
              <w:r>
                <w:rPr>
                  <w:iCs/>
                </w:rPr>
                <w:t xml:space="preserve">In dit verband wijst de Afdeling op het voorgenomen </w:t>
              </w:r>
              <w:r w:rsidRPr="003D2F48">
                <w:rPr>
                  <w:i/>
                  <w:iCs/>
                </w:rPr>
                <w:t>verplicht</w:t>
              </w:r>
              <w:r>
                <w:rPr>
                  <w:iCs/>
                </w:rPr>
                <w:t xml:space="preserve"> elektronisch verzenden (naar de Berichtenbox) door de Belastingdienst/Toeslagen van voorschotbeschikkingen op grond van een met onderhavig artikel </w:t>
              </w:r>
              <w:r>
                <w:rPr>
                  <w:iCs/>
                </w:rPr>
                <w:t>X vergelijkbaar artikel</w:t>
              </w:r>
              <w:r>
                <w:rPr>
                  <w:rStyle w:val="Voetnootmarkering"/>
                  <w:iCs/>
                </w:rPr>
                <w:footnoteReference w:id="9"/>
              </w:r>
              <w:r>
                <w:rPr>
                  <w:iCs/>
                </w:rPr>
                <w:t xml:space="preserve"> in de toeslagenwetgeving. Deze verplicht elektronische verzending</w:t>
              </w:r>
              <w:r>
                <w:rPr>
                  <w:rStyle w:val="Voetnootmarkering"/>
                  <w:iCs/>
                </w:rPr>
                <w:footnoteReference w:id="10"/>
              </w:r>
              <w:r>
                <w:rPr>
                  <w:iCs/>
                </w:rPr>
                <w:t xml:space="preserve"> zou gaan plaatsvinden op het moment waarop het eerder genoemde (oorspronkelijke) wetsvoorstel </w:t>
              </w:r>
              <w:r w:rsidRPr="00261A9F">
                <w:rPr>
                  <w:iCs/>
                </w:rPr>
                <w:t>Wet vereenvoudiging formeel verkeer Belastingdienst</w:t>
              </w:r>
              <w:r>
                <w:rPr>
                  <w:iCs/>
                </w:rPr>
                <w:t xml:space="preserve"> in werking zou tre</w:t>
              </w:r>
              <w:r>
                <w:rPr>
                  <w:iCs/>
                </w:rPr>
                <w:t>den.</w:t>
              </w:r>
              <w:r>
                <w:rPr>
                  <w:rStyle w:val="Voetnootmarkering"/>
                  <w:iCs/>
                </w:rPr>
                <w:footnoteReference w:id="11"/>
              </w:r>
              <w:r>
                <w:rPr>
                  <w:iCs/>
                </w:rPr>
                <w:t xml:space="preserve"> In dit oorspronkelijke wetsvoorstel ontbrak een ruim artikel X zoals dat thans wel in voorliggend wetsvoorstel is opgenomen, en daarmee werd de wettelijke grondslag voor verzending van voorschotbeschikkingen naar de Berichtenbox beperkt tot uitsluite</w:t>
              </w:r>
              <w:r>
                <w:rPr>
                  <w:iCs/>
                </w:rPr>
                <w:t xml:space="preserve">nd </w:t>
              </w:r>
              <w:r>
                <w:rPr>
                  <w:i/>
                  <w:iCs/>
                </w:rPr>
                <w:t>verplicht</w:t>
              </w:r>
              <w:r>
                <w:rPr>
                  <w:iCs/>
                </w:rPr>
                <w:t xml:space="preserve"> elektronisch berichtenverkeer. </w:t>
              </w:r>
            </w:p>
            <w:p w:rsidR="002C7DDD" w:rsidP="002C7DDD" w:rsidRDefault="000A0334">
              <w:pPr>
                <w:rPr>
                  <w:iCs/>
                </w:rPr>
              </w:pPr>
            </w:p>
            <w:p w:rsidR="002C7DDD" w:rsidP="002C7DDD" w:rsidRDefault="000A0334">
              <w:pPr>
                <w:rPr>
                  <w:iCs/>
                </w:rPr>
              </w:pPr>
              <w:r>
                <w:rPr>
                  <w:iCs/>
                </w:rPr>
                <w:t xml:space="preserve">De Afdeling adviseert in de toelichting op het vorenstaande in te gaan, daarbij te motiveren waarom het voorgestelde artikel X niet is beperkt tot situaties waarin een </w:t>
              </w:r>
              <w:r w:rsidRPr="003D2F48">
                <w:rPr>
                  <w:i/>
                  <w:iCs/>
                </w:rPr>
                <w:t>verplichting</w:t>
              </w:r>
              <w:r>
                <w:rPr>
                  <w:iCs/>
                </w:rPr>
                <w:t xml:space="preserve"> bestaat tot elektronisch beri</w:t>
              </w:r>
              <w:r>
                <w:rPr>
                  <w:iCs/>
                </w:rPr>
                <w:t>chtenverkeer, en zo nodig het voorstel aan te passen.</w:t>
              </w:r>
              <w:r>
                <w:rPr>
                  <w:iCs/>
                </w:rPr>
                <w:tab/>
              </w:r>
            </w:p>
            <w:p w:rsidR="002C7DDD" w:rsidP="002C7DDD" w:rsidRDefault="000A0334">
              <w:pPr>
                <w:rPr>
                  <w:iCs/>
                </w:rPr>
              </w:pPr>
            </w:p>
            <w:p w:rsidR="002C7DDD" w:rsidP="002C7DDD" w:rsidRDefault="000A0334">
              <w:pPr>
                <w:rPr>
                  <w:iCs/>
                </w:rPr>
              </w:pPr>
              <w:r>
                <w:rPr>
                  <w:i/>
                  <w:iCs/>
                </w:rPr>
                <w:t>b.</w:t>
              </w:r>
              <w:r>
                <w:rPr>
                  <w:i/>
                  <w:iCs/>
                </w:rPr>
                <w:tab/>
                <w:t>Bredere kader (</w:t>
              </w:r>
              <w:r w:rsidRPr="00A902A7">
                <w:rPr>
                  <w:i/>
                  <w:iCs/>
                </w:rPr>
                <w:t>digitale overheid/Digitaal 2017</w:t>
              </w:r>
              <w:r>
                <w:rPr>
                  <w:i/>
                  <w:iCs/>
                </w:rPr>
                <w:t>)</w:t>
              </w:r>
            </w:p>
            <w:p w:rsidR="002C7DDD" w:rsidP="002C7DDD" w:rsidRDefault="000A0334">
              <w:pPr>
                <w:rPr>
                  <w:iCs/>
                </w:rPr>
              </w:pPr>
              <w:r>
                <w:rPr>
                  <w:iCs/>
                </w:rPr>
                <w:lastRenderedPageBreak/>
                <w:t>Over het bredere kader (digitale overheid/Digitaal 2017</w:t>
              </w:r>
              <w:r>
                <w:rPr>
                  <w:rStyle w:val="Voetnootmarkering"/>
                  <w:iCs/>
                </w:rPr>
                <w:footnoteReference w:id="12"/>
              </w:r>
              <w:r>
                <w:rPr>
                  <w:iCs/>
                </w:rPr>
                <w:t>) merkt de Afdeling het volgende op.</w:t>
              </w:r>
            </w:p>
            <w:p w:rsidR="002C7DDD" w:rsidP="002C7DDD" w:rsidRDefault="000A0334">
              <w:pPr>
                <w:rPr>
                  <w:iCs/>
                </w:rPr>
              </w:pPr>
            </w:p>
            <w:p w:rsidR="002C7DDD" w:rsidP="002C7DDD" w:rsidRDefault="000A0334">
              <w:pPr>
                <w:rPr>
                  <w:iCs/>
                </w:rPr>
              </w:pPr>
              <w:r>
                <w:rPr>
                  <w:iCs/>
                </w:rPr>
                <w:t xml:space="preserve">Zoals onder a hiervoor is aangeduid, is het niet </w:t>
              </w:r>
              <w:r>
                <w:rPr>
                  <w:iCs/>
                </w:rPr>
                <w:t>duidelijk in hoeverre ook de GDI door het voorstel wordt bestreken. Uit de toelichting kan worden opgemaakt dat er een verband is met de GDI, nu de toelichting vermeldt</w:t>
              </w:r>
              <w:r>
                <w:rPr>
                  <w:rStyle w:val="Voetnootmarkering"/>
                  <w:iCs/>
                </w:rPr>
                <w:footnoteReference w:id="13"/>
              </w:r>
              <w:r>
                <w:rPr>
                  <w:iCs/>
                </w:rPr>
                <w:t>: “</w:t>
              </w:r>
              <w:r w:rsidRPr="00F332C2">
                <w:rPr>
                  <w:iCs/>
                </w:rPr>
                <w:t>Ingevolge artikel XI, tweede lid, vervalt artikel X wanneer de wet waarin de generie</w:t>
              </w:r>
              <w:r w:rsidRPr="00F332C2">
                <w:rPr>
                  <w:iCs/>
                </w:rPr>
                <w:t>ke digitale infrastructuur wordt geregeld, die thans in voorbereiding is, in werking treedt. Een voorstel voor deze wet, dat naar verwachting in 2016 bij de Tweede Kamer wordt ingediend, regelt onder meer het gebruik door bestuursorganen van een aantal voo</w:t>
              </w:r>
              <w:r w:rsidRPr="00F332C2">
                <w:rPr>
                  <w:iCs/>
                </w:rPr>
                <w:t>rzieningen in het kader van de generieke digitale infrastructuur. Het bepaalde in artikel X zal dan eveneens in die wet worden opgenomen</w:t>
              </w:r>
              <w:r>
                <w:rPr>
                  <w:iCs/>
                </w:rPr>
                <w:t>”</w:t>
              </w:r>
              <w:r w:rsidRPr="00F332C2">
                <w:rPr>
                  <w:iCs/>
                </w:rPr>
                <w:t>.</w:t>
              </w:r>
              <w:r>
                <w:rPr>
                  <w:iCs/>
                </w:rPr>
                <w:t xml:space="preserve"> </w:t>
              </w:r>
            </w:p>
            <w:p w:rsidR="002C7DDD" w:rsidP="002C7DDD" w:rsidRDefault="000A0334">
              <w:pPr>
                <w:rPr>
                  <w:iCs/>
                </w:rPr>
              </w:pPr>
            </w:p>
            <w:p w:rsidR="002C7DDD" w:rsidP="002C7DDD" w:rsidRDefault="000A0334">
              <w:pPr>
                <w:rPr>
                  <w:iCs/>
                </w:rPr>
              </w:pPr>
              <w:r>
                <w:rPr>
                  <w:iCs/>
                </w:rPr>
                <w:t>Met deze passage komt de vraag op naar het verband tussen het voorgestelde artikel X en de te verwachten wettelijke</w:t>
              </w:r>
              <w:r>
                <w:rPr>
                  <w:iCs/>
                </w:rPr>
                <w:t xml:space="preserve"> maatregelen zoals recent aangekondigd in het “Programma Digitale Overheid” (Digiprogramma 2015)”</w:t>
              </w:r>
              <w:r>
                <w:rPr>
                  <w:rStyle w:val="Voetnootmarkering"/>
                  <w:iCs/>
                </w:rPr>
                <w:footnoteReference w:id="14"/>
              </w:r>
              <w:r>
                <w:rPr>
                  <w:iCs/>
                </w:rPr>
                <w:t xml:space="preserve"> van de Digicommissaris</w:t>
              </w:r>
              <w:r>
                <w:rPr>
                  <w:rStyle w:val="Voetnootmarkering"/>
                  <w:iCs/>
                </w:rPr>
                <w:footnoteReference w:id="15"/>
              </w:r>
              <w:r>
                <w:rPr>
                  <w:iCs/>
                </w:rPr>
                <w:t xml:space="preserve">. Nu uit dit programma niet is op te maken hoe de GDI er uit zal komen te zien, is het ook niet duidelijk of en in hoeverre artikel X </w:t>
              </w:r>
              <w:r>
                <w:rPr>
                  <w:iCs/>
                </w:rPr>
                <w:t>vooruitloopt op die aangekondigde maatregelen en daar eventueel op gespannen voet mee staat. Eventuele aanpassingen in 2016 zouden afbreuk doen aan het vereiste van bestendige wetgeving. Het ligt in de rede thans zo veel mogelijk duidelijkheid te bieden op</w:t>
              </w:r>
              <w:r>
                <w:rPr>
                  <w:iCs/>
                </w:rPr>
                <w:t xml:space="preserve"> dit punt.</w:t>
              </w:r>
            </w:p>
            <w:p w:rsidR="002C7DDD" w:rsidP="002C7DDD" w:rsidRDefault="000A0334">
              <w:pPr>
                <w:rPr>
                  <w:iCs/>
                </w:rPr>
              </w:pPr>
            </w:p>
            <w:p w:rsidR="002C7DDD" w:rsidP="002C7DDD" w:rsidRDefault="000A0334">
              <w:pPr>
                <w:rPr>
                  <w:iCs/>
                </w:rPr>
              </w:pPr>
              <w:r>
                <w:rPr>
                  <w:iCs/>
                </w:rPr>
                <w:t>De Afdeling adviseert in de toelichting op het vorenstaande in te gaan en zo nodig het voorstel aan te passen.</w:t>
              </w:r>
            </w:p>
            <w:p w:rsidR="002C7DDD" w:rsidP="002C7DDD" w:rsidRDefault="000A0334">
              <w:pPr>
                <w:rPr>
                  <w:iCs/>
                </w:rPr>
              </w:pPr>
            </w:p>
            <w:p w:rsidR="002C7DDD" w:rsidP="002C7DDD" w:rsidRDefault="000A0334">
              <w:pPr>
                <w:rPr>
                  <w:iCs/>
                  <w:u w:val="single"/>
                </w:rPr>
              </w:pPr>
              <w:r>
                <w:rPr>
                  <w:iCs/>
                </w:rPr>
                <w:t>2.</w:t>
              </w:r>
              <w:r>
                <w:rPr>
                  <w:iCs/>
                </w:rPr>
                <w:tab/>
              </w:r>
              <w:r w:rsidRPr="008B069E">
                <w:rPr>
                  <w:iCs/>
                  <w:u w:val="single"/>
                </w:rPr>
                <w:t>Verhouding</w:t>
              </w:r>
              <w:r w:rsidRPr="00A902A7">
                <w:rPr>
                  <w:iCs/>
                  <w:u w:val="single"/>
                </w:rPr>
                <w:t xml:space="preserve"> </w:t>
              </w:r>
              <w:proofErr w:type="spellStart"/>
              <w:r w:rsidRPr="008B069E">
                <w:rPr>
                  <w:iCs/>
                  <w:u w:val="single"/>
                </w:rPr>
                <w:t>MijnOverheid</w:t>
              </w:r>
              <w:proofErr w:type="spellEnd"/>
              <w:r w:rsidRPr="008B069E">
                <w:rPr>
                  <w:iCs/>
                  <w:u w:val="single"/>
                </w:rPr>
                <w:t>/</w:t>
              </w:r>
              <w:proofErr w:type="spellStart"/>
              <w:r w:rsidRPr="008B069E">
                <w:rPr>
                  <w:iCs/>
                  <w:u w:val="single"/>
                </w:rPr>
                <w:t>Berichtenbox</w:t>
              </w:r>
              <w:proofErr w:type="spellEnd"/>
              <w:r>
                <w:rPr>
                  <w:iCs/>
                  <w:u w:val="single"/>
                </w:rPr>
                <w:t xml:space="preserve"> tot </w:t>
              </w:r>
              <w:proofErr w:type="spellStart"/>
              <w:r>
                <w:rPr>
                  <w:iCs/>
                  <w:u w:val="single"/>
                </w:rPr>
                <w:t>MijnBelastingdienst</w:t>
              </w:r>
              <w:proofErr w:type="spellEnd"/>
              <w:r>
                <w:rPr>
                  <w:iCs/>
                  <w:u w:val="single"/>
                </w:rPr>
                <w:t xml:space="preserve"> en </w:t>
              </w:r>
              <w:r>
                <w:rPr>
                  <w:iCs/>
                </w:rPr>
                <w:tab/>
              </w:r>
              <w:proofErr w:type="spellStart"/>
              <w:r w:rsidRPr="00C40AD2">
                <w:rPr>
                  <w:iCs/>
                  <w:u w:val="single"/>
                </w:rPr>
                <w:t>MijnToeslagen</w:t>
              </w:r>
              <w:proofErr w:type="spellEnd"/>
              <w:r w:rsidRPr="00C40AD2">
                <w:rPr>
                  <w:iCs/>
                  <w:u w:val="single"/>
                </w:rPr>
                <w:t>; formeelrechtelijke</w:t>
              </w:r>
              <w:r w:rsidRPr="00EA2458">
                <w:rPr>
                  <w:iCs/>
                  <w:u w:val="single"/>
                </w:rPr>
                <w:tab/>
              </w:r>
              <w:r w:rsidRPr="00C40AD2">
                <w:rPr>
                  <w:iCs/>
                  <w:u w:val="single"/>
                </w:rPr>
                <w:t>bepalingen</w:t>
              </w:r>
            </w:p>
            <w:p w:rsidR="002C7DDD" w:rsidP="002C7DDD" w:rsidRDefault="000A0334">
              <w:pPr>
                <w:rPr>
                  <w:iCs/>
                  <w:u w:val="single"/>
                </w:rPr>
              </w:pPr>
            </w:p>
            <w:p w:rsidR="002C7DDD" w:rsidP="002C7DDD" w:rsidRDefault="000A0334">
              <w:pPr>
                <w:rPr>
                  <w:iCs/>
                </w:rPr>
              </w:pPr>
              <w:r>
                <w:rPr>
                  <w:iCs/>
                </w:rPr>
                <w:t xml:space="preserve">Enerzijds is het voorstel gericht op het bieden van een grondslag voor </w:t>
              </w:r>
              <w:r w:rsidRPr="003D2F48">
                <w:rPr>
                  <w:i/>
                  <w:iCs/>
                </w:rPr>
                <w:t>verplicht</w:t>
              </w:r>
              <w:r>
                <w:rPr>
                  <w:iCs/>
                </w:rPr>
                <w:t xml:space="preserve"> elektronisch berichtenverkeer door het bieden van een wettelijke grondslag voor MijnOverheid/Berichtenbox (artikel X), anderzijds is het voorstel gericht op het </w:t>
              </w:r>
              <w:r w:rsidRPr="003D2F48">
                <w:rPr>
                  <w:iCs/>
                </w:rPr>
                <w:t>mogelijk</w:t>
              </w:r>
              <w:r>
                <w:rPr>
                  <w:iCs/>
                </w:rPr>
                <w:t xml:space="preserve"> maken</w:t>
              </w:r>
              <w:r>
                <w:rPr>
                  <w:iCs/>
                </w:rPr>
                <w:t xml:space="preserve"> van </w:t>
              </w:r>
              <w:r w:rsidRPr="003D2F48">
                <w:rPr>
                  <w:i/>
                  <w:iCs/>
                </w:rPr>
                <w:t>verplicht</w:t>
              </w:r>
              <w:r>
                <w:rPr>
                  <w:iCs/>
                </w:rPr>
                <w:t xml:space="preserve"> elektronisch berichtenverkeer in het wederzijdse contact tussen belanghebbende enerzijds en de Belastingdienst anderzijds via MijnBelastingdienst of MijnToeslagen (</w:t>
              </w:r>
              <w:r w:rsidRPr="003D2F48">
                <w:rPr>
                  <w:iCs/>
                </w:rPr>
                <w:t>artikelen I, II, III, IV en V</w:t>
              </w:r>
              <w:r>
                <w:rPr>
                  <w:iCs/>
                </w:rPr>
                <w:t>).</w:t>
              </w:r>
              <w:r w:rsidRPr="003D2F48">
                <w:rPr>
                  <w:iCs/>
                </w:rPr>
                <w:t xml:space="preserve"> </w:t>
              </w:r>
            </w:p>
            <w:p w:rsidR="002C7DDD" w:rsidP="002C7DDD" w:rsidRDefault="000A0334"/>
            <w:p w:rsidR="00C40AD2" w:rsidP="002C7DDD" w:rsidRDefault="000A0334">
              <w:r>
                <w:rPr>
                  <w:iCs/>
                </w:rPr>
                <w:t>De Afdeling merkt het volgende op over de v</w:t>
              </w:r>
              <w:r w:rsidRPr="00EA2458">
                <w:rPr>
                  <w:iCs/>
                </w:rPr>
                <w:t xml:space="preserve">erhouding MijnOverheid/Berichtenbox </w:t>
              </w:r>
              <w:r>
                <w:rPr>
                  <w:iCs/>
                </w:rPr>
                <w:t xml:space="preserve">tot </w:t>
              </w:r>
              <w:r w:rsidRPr="00EA2458">
                <w:rPr>
                  <w:iCs/>
                </w:rPr>
                <w:t>MijnBelastingdienst</w:t>
              </w:r>
              <w:r>
                <w:rPr>
                  <w:iCs/>
                </w:rPr>
                <w:t xml:space="preserve"> en MijnToeslagen</w:t>
              </w:r>
              <w:r>
                <w:rPr>
                  <w:i/>
                  <w:iCs/>
                </w:rPr>
                <w:t xml:space="preserve"> </w:t>
              </w:r>
              <w:r>
                <w:rPr>
                  <w:iCs/>
                </w:rPr>
                <w:t>(zie hierna onder a) en over de formeelrechtelijke bepalingen ter zake (zie hierna onder b).</w:t>
              </w:r>
            </w:p>
            <w:p w:rsidR="00C40AD2" w:rsidP="002C7DDD" w:rsidRDefault="000A0334"/>
            <w:p w:rsidRPr="00EA2458" w:rsidR="00C40AD2" w:rsidP="002C7DDD" w:rsidRDefault="000A0334">
              <w:pPr>
                <w:rPr>
                  <w:i/>
                  <w:iCs/>
                </w:rPr>
              </w:pPr>
              <w:r w:rsidRPr="00EA2458">
                <w:rPr>
                  <w:i/>
                </w:rPr>
                <w:lastRenderedPageBreak/>
                <w:t>a.</w:t>
              </w:r>
              <w:r w:rsidRPr="00EA2458">
                <w:rPr>
                  <w:i/>
                </w:rPr>
                <w:tab/>
              </w:r>
              <w:r w:rsidRPr="00EA2458">
                <w:rPr>
                  <w:i/>
                  <w:iCs/>
                </w:rPr>
                <w:t xml:space="preserve">Verhouding </w:t>
              </w:r>
              <w:r>
                <w:rPr>
                  <w:i/>
                  <w:iCs/>
                </w:rPr>
                <w:t xml:space="preserve">MijnOverheid/Berichtenbox tot MijnBelastingdienst en </w:t>
              </w:r>
              <w:r>
                <w:rPr>
                  <w:i/>
                  <w:iCs/>
                </w:rPr>
                <w:tab/>
                <w:t>MijnToeslagen</w:t>
              </w:r>
            </w:p>
            <w:p w:rsidR="00742F50" w:rsidP="002C7DDD" w:rsidRDefault="000A0334"/>
            <w:p w:rsidR="002C7DDD" w:rsidP="002C7DDD" w:rsidRDefault="000A0334">
              <w:pPr>
                <w:rPr>
                  <w:iCs/>
                </w:rPr>
              </w:pPr>
              <w:r>
                <w:t>i.</w:t>
              </w:r>
              <w:r>
                <w:tab/>
                <w:t xml:space="preserve">MijnOverheid/Berichtenbox is thans een brievenbus waarin burgers post/berichten van (onder meer) de Belastingdienst slechts kunnen </w:t>
              </w:r>
              <w:r w:rsidRPr="003D2F48">
                <w:rPr>
                  <w:i/>
                </w:rPr>
                <w:t>ontvangen</w:t>
              </w:r>
              <w:r>
                <w:t>, maar waarin verdere communicatie (</w:t>
              </w:r>
              <w:r w:rsidRPr="003D2F48">
                <w:rPr>
                  <w:i/>
                </w:rPr>
                <w:t>verzenden</w:t>
              </w:r>
              <w:r>
                <w:t xml:space="preserve">) richting de Belastingdienst </w:t>
              </w:r>
              <w:r w:rsidRPr="003D2F48">
                <w:t>over</w:t>
              </w:r>
              <w:r>
                <w:t xml:space="preserve"> die berichten</w:t>
              </w:r>
              <w:r>
                <w:rPr>
                  <w:rStyle w:val="Voetnootmarkering"/>
                </w:rPr>
                <w:footnoteReference w:id="16"/>
              </w:r>
              <w:r>
                <w:t xml:space="preserve"> niet via de Berichte</w:t>
              </w:r>
              <w:r>
                <w:t>nbox zal lopen, maar via een (</w:t>
              </w:r>
              <w:r w:rsidRPr="003D2F48">
                <w:rPr>
                  <w:iCs/>
                </w:rPr>
                <w:t>beveiligde</w:t>
              </w:r>
              <w:r>
                <w:rPr>
                  <w:iCs/>
                </w:rPr>
                <w:t>)</w:t>
              </w:r>
              <w:r w:rsidRPr="003D2F48">
                <w:rPr>
                  <w:iCs/>
                </w:rPr>
                <w:t xml:space="preserve"> site </w:t>
              </w:r>
              <w:r>
                <w:rPr>
                  <w:iCs/>
                </w:rPr>
                <w:t>(</w:t>
              </w:r>
              <w:proofErr w:type="spellStart"/>
              <w:r w:rsidRPr="003D2F48">
                <w:rPr>
                  <w:iCs/>
                </w:rPr>
                <w:t>webporta</w:t>
              </w:r>
              <w:r>
                <w:rPr>
                  <w:iCs/>
                </w:rPr>
                <w:t>al</w:t>
              </w:r>
              <w:proofErr w:type="spellEnd"/>
              <w:r>
                <w:rPr>
                  <w:iCs/>
                </w:rPr>
                <w:t>), zoals</w:t>
              </w:r>
              <w:r w:rsidRPr="003D2F48">
                <w:rPr>
                  <w:iCs/>
                </w:rPr>
                <w:t xml:space="preserve"> </w:t>
              </w:r>
              <w:proofErr w:type="spellStart"/>
              <w:r>
                <w:rPr>
                  <w:iCs/>
                </w:rPr>
                <w:t>MijnBelastingdienst</w:t>
              </w:r>
              <w:proofErr w:type="spellEnd"/>
              <w:r w:rsidRPr="003D2F48">
                <w:rPr>
                  <w:iCs/>
                </w:rPr>
                <w:t xml:space="preserve"> of </w:t>
              </w:r>
              <w:proofErr w:type="spellStart"/>
              <w:r w:rsidRPr="003D2F48">
                <w:rPr>
                  <w:iCs/>
                </w:rPr>
                <w:t>Mijn</w:t>
              </w:r>
              <w:r>
                <w:rPr>
                  <w:iCs/>
                </w:rPr>
                <w:t>Toeslagen</w:t>
              </w:r>
              <w:proofErr w:type="spellEnd"/>
              <w:r>
                <w:rPr>
                  <w:iCs/>
                </w:rPr>
                <w:t>.</w:t>
              </w:r>
            </w:p>
            <w:p w:rsidR="002C7DDD" w:rsidP="002C7DDD" w:rsidRDefault="000A0334">
              <w:pPr>
                <w:rPr>
                  <w:iCs/>
                </w:rPr>
              </w:pPr>
            </w:p>
            <w:p w:rsidR="002C7DDD" w:rsidP="002C7DDD" w:rsidRDefault="000A0334">
              <w:pPr>
                <w:rPr>
                  <w:iCs/>
                </w:rPr>
              </w:pPr>
              <w:r>
                <w:rPr>
                  <w:iCs/>
                </w:rPr>
                <w:t>De Afdeling merkt op dat de toelichting niet vermeldt welke de betekenis is van de Berichtenbox in verhouding tot bijvoorbeeld MijnBelastingdienst, nu een bericht van de Belastingdienst ook zou kunnen worden geplaatst op het beveiligde webportaal van de Be</w:t>
              </w:r>
              <w:r>
                <w:rPr>
                  <w:iCs/>
                </w:rPr>
                <w:t xml:space="preserve">lastingdienst. Evenmin geeft de toelichting aan hoe de interactie in de praktijk verloopt tussen enerzijds de Berichtenbox (waar de Minister van Binnenlandse Zaken en Koninkrijksrelaties verantwoordelijk voor is) en anderzijds </w:t>
              </w:r>
              <w:proofErr w:type="spellStart"/>
              <w:r>
                <w:rPr>
                  <w:iCs/>
                </w:rPr>
                <w:t>MijnBelastingdienst</w:t>
              </w:r>
              <w:proofErr w:type="spellEnd"/>
              <w:r>
                <w:rPr>
                  <w:iCs/>
                </w:rPr>
                <w:t xml:space="preserve"> of </w:t>
              </w:r>
              <w:proofErr w:type="spellStart"/>
              <w:r>
                <w:rPr>
                  <w:iCs/>
                </w:rPr>
                <w:t>MijnTo</w:t>
              </w:r>
              <w:r>
                <w:rPr>
                  <w:iCs/>
                </w:rPr>
                <w:t>eslagen</w:t>
              </w:r>
              <w:proofErr w:type="spellEnd"/>
              <w:r>
                <w:rPr>
                  <w:iCs/>
                </w:rPr>
                <w:t xml:space="preserve"> (die vallen onder de verantwoordelijkheid van de Staatssecretaris van Financiën). Hoe weet een belanghebbende bijvoorbeeld dat er een bericht in zijn Berichtenbox zit: krijgt hij een notificatie per e-mail, app, of anderszins? En hoe kan een belang</w:t>
              </w:r>
              <w:r>
                <w:rPr>
                  <w:iCs/>
                </w:rPr>
                <w:t xml:space="preserve">hebbende met zekerheid worden bereikt? </w:t>
              </w:r>
            </w:p>
            <w:p w:rsidR="00791546" w:rsidP="002C7DDD" w:rsidRDefault="000A0334">
              <w:pPr>
                <w:rPr>
                  <w:iCs/>
                </w:rPr>
              </w:pPr>
            </w:p>
            <w:p w:rsidR="00742F50" w:rsidP="002C7DDD" w:rsidRDefault="000A0334">
              <w:pPr>
                <w:rPr>
                  <w:iCs/>
                </w:rPr>
              </w:pPr>
              <w:r>
                <w:rPr>
                  <w:iCs/>
                </w:rPr>
                <w:t>De toelichting vermeldt dat een ministeriële regeling zal voorzien in de wijze van notificatie aan burgers en dat het daarbij gaat om zaken die thans in de gebruiksvoorwaarden van de Berichtenbox zijn opgenomen.</w:t>
              </w:r>
              <w:r>
                <w:rPr>
                  <w:rStyle w:val="Voetnootmarkering"/>
                  <w:iCs/>
                </w:rPr>
                <w:footnoteReference w:id="17"/>
              </w:r>
              <w:r>
                <w:rPr>
                  <w:iCs/>
                </w:rPr>
                <w:t xml:space="preserve"> Di</w:t>
              </w:r>
              <w:r>
                <w:rPr>
                  <w:iCs/>
                </w:rPr>
                <w:t>e gebruiksvoorwaarden bieden evenwel geen duidelijkheid over de wijze van notificatie. Zo is notificatie per e-mail (indien er een bericht in de Berichtenbox is geplaatst) facultatief. Nu mag worden aangenomen dat het systeem dat gaat gelden voor situaties</w:t>
              </w:r>
              <w:r>
                <w:rPr>
                  <w:iCs/>
                </w:rPr>
                <w:t xml:space="preserve"> waarin berichtenv</w:t>
              </w:r>
              <w:r>
                <w:rPr>
                  <w:iCs/>
                </w:rPr>
                <w:t>erkeer verplicht digitaal wordt</w:t>
              </w:r>
              <w:r>
                <w:rPr>
                  <w:iCs/>
                </w:rPr>
                <w:t xml:space="preserve"> thans al bekend is, valt niet in te zien waarom de wijze van notificatie niet nu al in de toelichting wordt geduid, en waarom daarvoor een ministeriële regeling moet worden afgewacht.</w:t>
              </w:r>
            </w:p>
            <w:p w:rsidR="00742F50" w:rsidP="002C7DDD" w:rsidRDefault="000A0334">
              <w:pPr>
                <w:rPr>
                  <w:iCs/>
                </w:rPr>
              </w:pPr>
            </w:p>
            <w:p w:rsidR="00742F50" w:rsidP="002C7DDD" w:rsidRDefault="000A0334">
              <w:pPr>
                <w:rPr>
                  <w:iCs/>
                </w:rPr>
              </w:pPr>
              <w:r>
                <w:rPr>
                  <w:iCs/>
                </w:rPr>
                <w:t>Tot slot merkt de Afd</w:t>
              </w:r>
              <w:r>
                <w:rPr>
                  <w:iCs/>
                </w:rPr>
                <w:t>eling op dat het niet duidelijk is op welke wijze het verplichte digitale verkeer van belanghebbende richting Belastingdienst (</w:t>
              </w:r>
              <w:r>
                <w:rPr>
                  <w:i/>
                  <w:iCs/>
                </w:rPr>
                <w:t>verzenden</w:t>
              </w:r>
              <w:r>
                <w:rPr>
                  <w:iCs/>
                </w:rPr>
                <w:t>) gaat verlopen.</w:t>
              </w:r>
            </w:p>
            <w:p w:rsidR="00742F50" w:rsidP="002C7DDD" w:rsidRDefault="000A0334">
              <w:pPr>
                <w:rPr>
                  <w:iCs/>
                </w:rPr>
              </w:pPr>
            </w:p>
            <w:p w:rsidR="00742F50" w:rsidP="00742F50" w:rsidRDefault="000A0334">
              <w:pPr>
                <w:rPr>
                  <w:iCs/>
                </w:rPr>
              </w:pPr>
              <w:r w:rsidRPr="00980F26">
                <w:rPr>
                  <w:iCs/>
                </w:rPr>
                <w:t>De Afdeling adviseert in de toelichting op het vorenstaande in te gaan.</w:t>
              </w:r>
            </w:p>
            <w:p w:rsidR="00742F50" w:rsidP="002C7DDD" w:rsidRDefault="000A0334">
              <w:pPr>
                <w:rPr>
                  <w:iCs/>
                </w:rPr>
              </w:pPr>
              <w:r>
                <w:rPr>
                  <w:iCs/>
                </w:rPr>
                <w:t xml:space="preserve"> </w:t>
              </w:r>
            </w:p>
            <w:p w:rsidR="00742F50" w:rsidP="002C7DDD" w:rsidRDefault="000A0334">
              <w:pPr>
                <w:rPr>
                  <w:iCs/>
                </w:rPr>
              </w:pPr>
              <w:r>
                <w:rPr>
                  <w:iCs/>
                </w:rPr>
                <w:t>ii.</w:t>
              </w:r>
              <w:r>
                <w:rPr>
                  <w:iCs/>
                </w:rPr>
                <w:tab/>
                <w:t>Over het niveau van rege</w:t>
              </w:r>
              <w:r>
                <w:rPr>
                  <w:iCs/>
                </w:rPr>
                <w:t>lgeving dat is voorzien voor de wijze van notificatie (ministeriële regeling) merkt de Afdeling op dat van delegatie van de bevoegdheid tot het vaststellen van algemeen verbindende voorschriften (in verband met het uitgangspunt dat deze op zo hoog mogelijk</w:t>
              </w:r>
              <w:r>
                <w:rPr>
                  <w:iCs/>
                </w:rPr>
                <w:t xml:space="preserve"> regelniveau worden vastgesteld), terughoudend gebruik moet worden gemaakt. Delegatie aan een minister moet bovendien beperkt blijven tot voorschriften van administratieve aard, uitwerking van de details van een regeling, voorschriften die dikwijls wijzigi</w:t>
              </w:r>
              <w:r>
                <w:rPr>
                  <w:iCs/>
                </w:rPr>
                <w:t>ng behoeven en voorschriften waarvan te voorzien is dat zij met grote spoed moeten worden vastgesteld.</w:t>
              </w:r>
              <w:r>
                <w:rPr>
                  <w:rStyle w:val="Voetnootmarkering"/>
                  <w:iCs/>
                </w:rPr>
                <w:footnoteReference w:id="18"/>
              </w:r>
              <w:r>
                <w:rPr>
                  <w:iCs/>
                </w:rPr>
                <w:t xml:space="preserve"> </w:t>
              </w:r>
            </w:p>
            <w:p w:rsidR="00CD2E50" w:rsidP="002C7DDD" w:rsidRDefault="000A0334">
              <w:pPr>
                <w:rPr>
                  <w:iCs/>
                </w:rPr>
              </w:pPr>
            </w:p>
            <w:p w:rsidR="002C7DDD" w:rsidP="002C7DDD" w:rsidRDefault="000A0334">
              <w:pPr>
                <w:rPr>
                  <w:iCs/>
                </w:rPr>
              </w:pPr>
              <w:r>
                <w:rPr>
                  <w:iCs/>
                </w:rPr>
                <w:lastRenderedPageBreak/>
                <w:t>De Afdeling is van oordeel dat de wijze van notificatie een wezenlijk onderdeel vormt van het beoogde elektronische berichtenverkeer – mede omdat een essentieel element bij de te maken keuze wordt gevormd door het antwoord op de vraag of het notificatieber</w:t>
              </w:r>
              <w:r>
                <w:rPr>
                  <w:iCs/>
                </w:rPr>
                <w:t xml:space="preserve">icht belanghebbende met zekerheid zal bereiken – en daarmee meer omvat dan hiervoor aangeduide elementen zoals het vaststellen van voorschriften van administratieve aard of het uitwerken van details van de regeling. </w:t>
              </w:r>
            </w:p>
            <w:p w:rsidR="00791546" w:rsidP="002C7DDD" w:rsidRDefault="000A0334">
              <w:pPr>
                <w:rPr>
                  <w:iCs/>
                </w:rPr>
              </w:pPr>
            </w:p>
            <w:p w:rsidR="00672C66" w:rsidRDefault="000A0334">
              <w:pPr>
                <w:rPr>
                  <w:iCs/>
                </w:rPr>
              </w:pPr>
              <w:r>
                <w:rPr>
                  <w:iCs/>
                </w:rPr>
                <w:t>De Afdeling adviseert de wijze van not</w:t>
              </w:r>
              <w:r>
                <w:rPr>
                  <w:iCs/>
                </w:rPr>
                <w:t>ificatie op een hoger niveau van regelgeving vast te stellen dan bij ministeriële regeling.</w:t>
              </w:r>
            </w:p>
            <w:p w:rsidR="00672C66" w:rsidRDefault="000A0334">
              <w:pPr>
                <w:rPr>
                  <w:b/>
                  <w:iCs/>
                </w:rPr>
              </w:pPr>
            </w:p>
            <w:p w:rsidR="00C40AD2" w:rsidP="002C7DDD" w:rsidRDefault="000A0334">
              <w:pPr>
                <w:rPr>
                  <w:iCs/>
                  <w:u w:val="single"/>
                </w:rPr>
              </w:pPr>
              <w:r w:rsidRPr="00EA2458">
                <w:rPr>
                  <w:i/>
                  <w:iCs/>
                </w:rPr>
                <w:t>b.</w:t>
              </w:r>
              <w:r w:rsidRPr="00EA2458">
                <w:rPr>
                  <w:i/>
                  <w:iCs/>
                </w:rPr>
                <w:tab/>
              </w:r>
              <w:r>
                <w:rPr>
                  <w:i/>
                  <w:iCs/>
                </w:rPr>
                <w:t>F</w:t>
              </w:r>
              <w:r w:rsidRPr="00EA2458">
                <w:rPr>
                  <w:i/>
                  <w:iCs/>
                </w:rPr>
                <w:t>orme</w:t>
              </w:r>
              <w:r>
                <w:rPr>
                  <w:i/>
                  <w:iCs/>
                </w:rPr>
                <w:t xml:space="preserve">elrechtelijke </w:t>
              </w:r>
              <w:r w:rsidRPr="00EA2458">
                <w:rPr>
                  <w:i/>
                  <w:iCs/>
                </w:rPr>
                <w:t>bepalingen</w:t>
              </w:r>
            </w:p>
            <w:p w:rsidR="002C7DDD" w:rsidP="002C7DDD" w:rsidRDefault="000A0334">
              <w:pPr>
                <w:rPr>
                  <w:iCs/>
                </w:rPr>
              </w:pPr>
              <w:r>
                <w:rPr>
                  <w:iCs/>
                </w:rPr>
                <w:t>De Afdeling merkt op dat in vorengenoemd Digiprogramma 2015</w:t>
              </w:r>
              <w:r>
                <w:rPr>
                  <w:rStyle w:val="Voetnootmarkering"/>
                  <w:iCs/>
                </w:rPr>
                <w:footnoteReference w:id="19"/>
              </w:r>
              <w:r>
                <w:rPr>
                  <w:iCs/>
                </w:rPr>
                <w:t xml:space="preserve"> wordt aangekondigd dat naast het wettraject voor de wet eOverheid de </w:t>
              </w:r>
              <w:r>
                <w:rPr>
                  <w:iCs/>
                </w:rPr>
                <w:t>Algemene wet bestuursrecht (Awb) zal worden aangepast “om het digitale rechtsverkeer van de overheid met burgers en bedrijven gelijk te schakelen met het traditionele rechtsverkeer”. Het voorliggende voorstel kent echter geen aanpassing van formeelrechteli</w:t>
              </w:r>
              <w:r>
                <w:rPr>
                  <w:iCs/>
                </w:rPr>
                <w:t xml:space="preserve">jke bepalingen. Dat roept de vraag op of en in hoeverre de formeelrechtelijke bepalingen toereikend zijn die gelden bij het elektronische berichtenverkeer, bijvoorbeeld inzake het tijdstip van ontvangst of verzending van een bericht (onder meer van belang </w:t>
              </w:r>
              <w:r>
                <w:rPr>
                  <w:iCs/>
                </w:rPr>
                <w:t xml:space="preserve">in verband met de aanvang van de bezwaartermijn), inzake de periode gedurende welke berichten in de Berichtenbox zullen worden bewaard, inzake de (wijze van) notificatie (per </w:t>
              </w:r>
              <w:proofErr w:type="spellStart"/>
              <w:r>
                <w:rPr>
                  <w:iCs/>
                </w:rPr>
                <w:t>app</w:t>
              </w:r>
              <w:proofErr w:type="spellEnd"/>
              <w:r>
                <w:rPr>
                  <w:iCs/>
                </w:rPr>
                <w:t xml:space="preserve"> of op andere digitale wijze), of inzake al dan niet voorziene storingen in he</w:t>
              </w:r>
              <w:r>
                <w:rPr>
                  <w:iCs/>
                </w:rPr>
                <w:t>t digitale berichtenverkeer. Er zij daarbij op gewezen dat de Berichtenbox als specifieke vorm van elektronisch berichtenverkeer nog niet bestond ten tijde van de totstandkoming van Afdeling 2.3 van de Algemene wet bestuursrecht</w:t>
              </w:r>
              <w:r>
                <w:rPr>
                  <w:b/>
                  <w:iCs/>
                </w:rPr>
                <w:t>.</w:t>
              </w:r>
              <w:r>
                <w:rPr>
                  <w:iCs/>
                </w:rPr>
                <w:t xml:space="preserve"> </w:t>
              </w:r>
            </w:p>
            <w:p w:rsidR="002C7DDD" w:rsidP="002C7DDD" w:rsidRDefault="000A0334">
              <w:pPr>
                <w:rPr>
                  <w:iCs/>
                </w:rPr>
              </w:pPr>
            </w:p>
            <w:p w:rsidRPr="003D2F48" w:rsidR="002C7DDD" w:rsidP="002C7DDD" w:rsidRDefault="000A0334">
              <w:pPr>
                <w:rPr>
                  <w:iCs/>
                </w:rPr>
              </w:pPr>
              <w:r>
                <w:rPr>
                  <w:iCs/>
                </w:rPr>
                <w:t>De Afdeling adviseert in</w:t>
              </w:r>
              <w:r>
                <w:rPr>
                  <w:iCs/>
                </w:rPr>
                <w:t xml:space="preserve"> de toelichting op het vorenstaande in te gaan en zo nodig het voorstel aan te passen.</w:t>
              </w:r>
            </w:p>
            <w:p w:rsidR="002C7DDD" w:rsidP="002C7DDD" w:rsidRDefault="000A0334">
              <w:pPr>
                <w:rPr>
                  <w:iCs/>
                </w:rPr>
              </w:pPr>
            </w:p>
            <w:p w:rsidR="002C7DDD" w:rsidP="002C7DDD" w:rsidRDefault="000A0334">
              <w:pPr>
                <w:rPr>
                  <w:iCs/>
                </w:rPr>
              </w:pPr>
              <w:r>
                <w:rPr>
                  <w:iCs/>
                </w:rPr>
                <w:t>3.</w:t>
              </w:r>
              <w:r>
                <w:rPr>
                  <w:iCs/>
                </w:rPr>
                <w:tab/>
              </w:r>
              <w:r>
                <w:rPr>
                  <w:iCs/>
                  <w:u w:val="single"/>
                </w:rPr>
                <w:t xml:space="preserve">Verplichtstelling; ontheffing bij ministeriële regeling </w:t>
              </w:r>
            </w:p>
            <w:p w:rsidR="002C7DDD" w:rsidP="002C7DDD" w:rsidRDefault="000A0334">
              <w:pPr>
                <w:rPr>
                  <w:iCs/>
                </w:rPr>
              </w:pPr>
            </w:p>
            <w:p w:rsidR="002C7DDD" w:rsidP="002C7DDD" w:rsidRDefault="000A0334">
              <w:pPr>
                <w:rPr>
                  <w:iCs/>
                </w:rPr>
              </w:pPr>
              <w:r>
                <w:rPr>
                  <w:iCs/>
                </w:rPr>
                <w:t>Volgens de toelichting is het streven erop gericht om het berichtenverkeer tussen belastingplichtigen en de</w:t>
              </w:r>
              <w:r>
                <w:rPr>
                  <w:iCs/>
                </w:rPr>
                <w:t xml:space="preserve"> Belastingdienst op langere termijn uitsluitend nog langs elektronische weg te laten plaatsvinden.</w:t>
              </w:r>
              <w:r>
                <w:rPr>
                  <w:rStyle w:val="Voetnootmarkering"/>
                  <w:iCs/>
                </w:rPr>
                <w:footnoteReference w:id="20"/>
              </w:r>
              <w:r>
                <w:rPr>
                  <w:iCs/>
                </w:rPr>
                <w:t xml:space="preserve"> Waar de huidige regelgeving uitgaat van het principe “op papier, tenzij elektronisch de verplicht aangewezen weg is”</w:t>
              </w:r>
              <w:r>
                <w:rPr>
                  <w:rStyle w:val="Voetnootmarkering"/>
                  <w:iCs/>
                </w:rPr>
                <w:footnoteReference w:id="21"/>
              </w:r>
              <w:r>
                <w:rPr>
                  <w:iCs/>
                </w:rPr>
                <w:t>, gaat het voorstel uit van het omgekee</w:t>
              </w:r>
              <w:r>
                <w:rPr>
                  <w:iCs/>
                </w:rPr>
                <w:t>rde principe, namelijk “in principe elektronisch, tenzij sprake is van een bij ministeriële regeling aangeduide uitzondering”</w:t>
              </w:r>
              <w:r>
                <w:rPr>
                  <w:rStyle w:val="Voetnootmarkering"/>
                  <w:iCs/>
                </w:rPr>
                <w:footnoteReference w:id="22"/>
              </w:r>
              <w:r>
                <w:rPr>
                  <w:iCs/>
                </w:rPr>
                <w:t>. Omdat ineens en volledig verplicht elektronisch berichtenverkeer zowel voor belastingplichtigen als voor de Belastingdienst te s</w:t>
              </w:r>
              <w:r>
                <w:rPr>
                  <w:iCs/>
                </w:rPr>
                <w:t xml:space="preserve">nel zou gaan, wordt een ingroeimodel gehanteerd “waarbij de techniek, de maatschappelijke ontwikkelingen rond digitalisering en het juridische </w:t>
              </w:r>
              <w:r>
                <w:rPr>
                  <w:iCs/>
                </w:rPr>
                <w:lastRenderedPageBreak/>
                <w:t>kader zich in een gelijk tempo ontwikkelen”, aldus de toelichting.</w:t>
              </w:r>
              <w:r>
                <w:rPr>
                  <w:rStyle w:val="Voetnootmarkering"/>
                  <w:iCs/>
                </w:rPr>
                <w:footnoteReference w:id="23"/>
              </w:r>
              <w:r>
                <w:rPr>
                  <w:iCs/>
                </w:rPr>
                <w:t xml:space="preserve"> Het ingroeimodel is vormgegeven door bij ministeriële regeling een lijst uitzonderingen te formuleren op het verplichte elektronische berichtenverkeer, die de eerste jaren nog veel berichten zal omvatten.</w:t>
              </w:r>
              <w:r>
                <w:rPr>
                  <w:rStyle w:val="Voetnootmarkering"/>
                  <w:iCs/>
                </w:rPr>
                <w:footnoteReference w:id="24"/>
              </w:r>
            </w:p>
            <w:p w:rsidR="002C7DDD" w:rsidP="002C7DDD" w:rsidRDefault="000A0334">
              <w:pPr>
                <w:rPr>
                  <w:iCs/>
                </w:rPr>
              </w:pPr>
            </w:p>
            <w:p w:rsidR="002C7DDD" w:rsidP="002C7DDD" w:rsidRDefault="000A0334">
              <w:pPr>
                <w:rPr>
                  <w:iCs/>
                </w:rPr>
              </w:pPr>
              <w:r>
                <w:t xml:space="preserve">Zoals onder punt 1, </w:t>
              </w:r>
              <w:r w:rsidRPr="00D664C7">
                <w:rPr>
                  <w:i/>
                </w:rPr>
                <w:t>Inleiding</w:t>
              </w:r>
              <w:r>
                <w:t>, van dit advies al</w:t>
              </w:r>
              <w:r>
                <w:t xml:space="preserve"> is aangegeven waren deze maatregelen </w:t>
              </w:r>
              <w:r w:rsidRPr="00261A9F">
                <w:rPr>
                  <w:iCs/>
                </w:rPr>
                <w:t xml:space="preserve">eerder opgenomen in </w:t>
              </w:r>
              <w:r>
                <w:rPr>
                  <w:iCs/>
                </w:rPr>
                <w:t xml:space="preserve">het bij koninklijke boodschap van 30 augustus 2013 </w:t>
              </w:r>
              <w:r w:rsidRPr="00261A9F">
                <w:rPr>
                  <w:iCs/>
                </w:rPr>
                <w:t xml:space="preserve">bij de Tweede Kamer </w:t>
              </w:r>
              <w:r>
                <w:rPr>
                  <w:iCs/>
                </w:rPr>
                <w:t xml:space="preserve">ingediende </w:t>
              </w:r>
              <w:r w:rsidRPr="00261A9F">
                <w:rPr>
                  <w:iCs/>
                </w:rPr>
                <w:t xml:space="preserve">wetsvoorstel Wet vereenvoudiging formeel verkeer Belastingdienst. </w:t>
              </w:r>
              <w:r>
                <w:rPr>
                  <w:iCs/>
                </w:rPr>
                <w:t>Omdat andere maatregelen in dat voorstel in herove</w:t>
              </w:r>
              <w:r>
                <w:rPr>
                  <w:iCs/>
                </w:rPr>
                <w:t>rweging zijn genomen (en daar extra tijd voor nodig is) en omdat het belangrijk wordt gevonden dat de verplichtstelling van elektronisch berichtenverkeer met de Belastingdienst geen verdere vertraging ondervindt, is dat deel nu opgenomen in voorliggend voo</w:t>
              </w:r>
              <w:r>
                <w:rPr>
                  <w:iCs/>
                </w:rPr>
                <w:t>rstel. Sinds 30 augustus 2013 hebben zich enkele ontwikkelingen voorgedaan die de Afdeling aanleiding geven tot het maken van opmerkingen over het aanwijzen van niet-verplicht/verplicht</w:t>
              </w:r>
              <w:r>
                <w:rPr>
                  <w:rStyle w:val="Voetnootmarkering"/>
                  <w:iCs/>
                </w:rPr>
                <w:footnoteReference w:id="25"/>
              </w:r>
              <w:r>
                <w:rPr>
                  <w:iCs/>
                </w:rPr>
                <w:t xml:space="preserve"> digitaal berichtenverkeer met de Belastingdienst (zie hierna onder a)</w:t>
              </w:r>
              <w:r>
                <w:rPr>
                  <w:iCs/>
                </w:rPr>
                <w:t xml:space="preserve"> en over het niveau – ministeriële regeling – waarop die aanwijzing plaatsvindt (zie hierna onder b). </w:t>
              </w:r>
            </w:p>
            <w:p w:rsidR="002C7DDD" w:rsidP="002C7DDD" w:rsidRDefault="000A0334">
              <w:pPr>
                <w:rPr>
                  <w:iCs/>
                </w:rPr>
              </w:pPr>
            </w:p>
            <w:p w:rsidR="00340B13" w:rsidP="002C7DDD" w:rsidRDefault="000A0334">
              <w:pPr>
                <w:rPr>
                  <w:iCs/>
                </w:rPr>
              </w:pPr>
              <w:r w:rsidRPr="00EA2458">
                <w:rPr>
                  <w:i/>
                  <w:iCs/>
                </w:rPr>
                <w:t>a.</w:t>
              </w:r>
              <w:r>
                <w:rPr>
                  <w:iCs/>
                </w:rPr>
                <w:tab/>
              </w:r>
              <w:r w:rsidRPr="00EA2458">
                <w:rPr>
                  <w:i/>
                  <w:iCs/>
                </w:rPr>
                <w:t>Verplichtstelling</w:t>
              </w:r>
            </w:p>
            <w:p w:rsidR="00B66330" w:rsidP="002C7DDD" w:rsidRDefault="000A0334">
              <w:pPr>
                <w:rPr>
                  <w:iCs/>
                </w:rPr>
              </w:pPr>
              <w:r>
                <w:rPr>
                  <w:iCs/>
                </w:rPr>
                <w:t>De toelichting</w:t>
              </w:r>
              <w:r>
                <w:rPr>
                  <w:rStyle w:val="Voetnootmarkering"/>
                  <w:iCs/>
                </w:rPr>
                <w:footnoteReference w:id="26"/>
              </w:r>
              <w:r>
                <w:rPr>
                  <w:iCs/>
                </w:rPr>
                <w:t xml:space="preserve"> vermeldt dat de aangifte inkomstenbelasting verplicht elektronisch gedaan moet worden “zodra het portaal MijnBelast</w:t>
              </w:r>
              <w:r>
                <w:rPr>
                  <w:iCs/>
                </w:rPr>
                <w:t>ingdienst.nl beschikbaar is” (dit portaal is thans al beschikbaar). Voorts vermeldt de toelichting</w:t>
              </w:r>
              <w:r>
                <w:rPr>
                  <w:rStyle w:val="Voetnootmarkering"/>
                  <w:iCs/>
                </w:rPr>
                <w:footnoteReference w:id="27"/>
              </w:r>
              <w:r>
                <w:rPr>
                  <w:iCs/>
                </w:rPr>
                <w:t xml:space="preserve"> met betrekking tot het aanvragen van toeslagen dat na invoering van voorliggend wetsvoorstel “ook die stromen verplicht digitaal worden”.</w:t>
              </w:r>
            </w:p>
            <w:p w:rsidR="00B66330" w:rsidP="002C7DDD" w:rsidRDefault="000A0334">
              <w:pPr>
                <w:rPr>
                  <w:iCs/>
                </w:rPr>
              </w:pPr>
            </w:p>
            <w:p w:rsidR="002C7DDD" w:rsidP="002C7DDD" w:rsidRDefault="000A0334">
              <w:pPr>
                <w:rPr>
                  <w:iCs/>
                </w:rPr>
              </w:pPr>
              <w:r>
                <w:rPr>
                  <w:iCs/>
                </w:rPr>
                <w:t>De Afdeling merkt</w:t>
              </w:r>
              <w:r>
                <w:rPr>
                  <w:iCs/>
                </w:rPr>
                <w:t xml:space="preserve"> hier het volgende over op.</w:t>
              </w:r>
              <w:r>
                <w:rPr>
                  <w:iCs/>
                </w:rPr>
                <w:tab/>
              </w:r>
            </w:p>
            <w:p w:rsidR="002C7DDD" w:rsidP="002C7DDD" w:rsidRDefault="000A0334">
              <w:pPr>
                <w:rPr>
                  <w:iCs/>
                </w:rPr>
              </w:pPr>
            </w:p>
            <w:p w:rsidR="00B66330" w:rsidP="002C7DDD" w:rsidRDefault="000A0334">
              <w:pPr>
                <w:rPr>
                  <w:iCs/>
                </w:rPr>
              </w:pPr>
              <w:r>
                <w:rPr>
                  <w:iCs/>
                </w:rPr>
                <w:t>Sinds de aanhangig making van het wets</w:t>
              </w:r>
              <w:r w:rsidRPr="00261A9F">
                <w:rPr>
                  <w:iCs/>
                </w:rPr>
                <w:t>voorstel Wet vereenvoudiging formeel verkeer Belastingdienst</w:t>
              </w:r>
              <w:r>
                <w:rPr>
                  <w:iCs/>
                </w:rPr>
                <w:t xml:space="preserve"> bij de Tweede Kamer, is op herhaalde wijze aandacht gevraagd voor de positie van juist die groep die niet zelf in staat is aan </w:t>
              </w:r>
              <w:r>
                <w:rPr>
                  <w:iCs/>
                </w:rPr>
                <w:t>zijn digitale verplichtingen te voldoen. De Afdeling wijst hierbij op het rapport van de Nationale ombudsman</w:t>
              </w:r>
              <w:r>
                <w:rPr>
                  <w:rStyle w:val="Voetnootmarkering"/>
                  <w:iCs/>
                </w:rPr>
                <w:footnoteReference w:id="28"/>
              </w:r>
              <w:r>
                <w:rPr>
                  <w:iCs/>
                </w:rPr>
                <w:t>, op Kamervragen</w:t>
              </w:r>
              <w:r>
                <w:rPr>
                  <w:rStyle w:val="Voetnootmarkering"/>
                  <w:iCs/>
                </w:rPr>
                <w:footnoteReference w:id="29"/>
              </w:r>
              <w:r>
                <w:rPr>
                  <w:iCs/>
                </w:rPr>
                <w:t xml:space="preserve"> en op de recent door de Minister van Binnenlandse Zaken en Koninkrijksrelaties uitgesproken verantwoordelijkheid “er voor te zorg</w:t>
              </w:r>
              <w:r>
                <w:rPr>
                  <w:iCs/>
                </w:rPr>
                <w:t>en dat de overheid voor iedereen toegankelijk is, waarbij elke organisatie zijn eigen verantwoordelijkheid heeft bij het realiseren ervan”</w:t>
              </w:r>
              <w:r>
                <w:rPr>
                  <w:rStyle w:val="Voetnootmarkering"/>
                  <w:iCs/>
                </w:rPr>
                <w:footnoteReference w:id="30"/>
              </w:r>
              <w:r>
                <w:rPr>
                  <w:iCs/>
                </w:rPr>
                <w:t xml:space="preserve">. </w:t>
              </w:r>
            </w:p>
            <w:p w:rsidR="00B66330" w:rsidP="002C7DDD" w:rsidRDefault="000A0334">
              <w:pPr>
                <w:rPr>
                  <w:iCs/>
                </w:rPr>
              </w:pPr>
            </w:p>
            <w:p w:rsidRPr="00A902A7" w:rsidR="002C7DDD" w:rsidP="002C7DDD" w:rsidRDefault="000A0334">
              <w:pPr>
                <w:rPr>
                  <w:iCs/>
                </w:rPr>
              </w:pPr>
              <w:r w:rsidRPr="00A902A7">
                <w:rPr>
                  <w:iCs/>
                </w:rPr>
                <w:lastRenderedPageBreak/>
                <w:t xml:space="preserve">Ter </w:t>
              </w:r>
              <w:r>
                <w:rPr>
                  <w:iCs/>
                </w:rPr>
                <w:t xml:space="preserve">motivering </w:t>
              </w:r>
              <w:r w:rsidRPr="00A902A7">
                <w:rPr>
                  <w:iCs/>
                </w:rPr>
                <w:t xml:space="preserve">van een </w:t>
              </w:r>
              <w:r>
                <w:rPr>
                  <w:iCs/>
                </w:rPr>
                <w:t xml:space="preserve">volledig </w:t>
              </w:r>
              <w:r w:rsidRPr="00A902A7">
                <w:rPr>
                  <w:iCs/>
                </w:rPr>
                <w:t>verplicht elektronisch berichtenverkeer voert de toelichting onder meer als argum</w:t>
              </w:r>
              <w:r w:rsidRPr="00A902A7">
                <w:rPr>
                  <w:iCs/>
                </w:rPr>
                <w:t>ent aan dat elektronisch berichtenverkeer aansluit bij de maatschappelijke ontwikkelingen op het vlak van digitalisering en dat 95% van de aangiften digitaal wordt ingediend.</w:t>
              </w:r>
              <w:r>
                <w:rPr>
                  <w:rStyle w:val="Voetnootmarkering"/>
                  <w:iCs/>
                </w:rPr>
                <w:footnoteReference w:id="31"/>
              </w:r>
              <w:r w:rsidRPr="00A902A7">
                <w:rPr>
                  <w:iCs/>
                </w:rPr>
                <w:t xml:space="preserve"> Voor de toeslagen stelt de toelichting</w:t>
              </w:r>
              <w:r>
                <w:rPr>
                  <w:rStyle w:val="Voetnootmarkering"/>
                  <w:iCs/>
                </w:rPr>
                <w:footnoteReference w:id="32"/>
              </w:r>
              <w:r w:rsidRPr="00A902A7">
                <w:rPr>
                  <w:iCs/>
                </w:rPr>
                <w:t xml:space="preserve"> dat in 2013 88% van de aanvragen voor to</w:t>
              </w:r>
              <w:r w:rsidRPr="00A902A7">
                <w:rPr>
                  <w:iCs/>
                </w:rPr>
                <w:t>eslagen elektronisch werd ingediend.</w:t>
              </w:r>
            </w:p>
            <w:p w:rsidR="002C7DDD" w:rsidP="002C7DDD" w:rsidRDefault="000A0334">
              <w:pPr>
                <w:rPr>
                  <w:iCs/>
                </w:rPr>
              </w:pPr>
            </w:p>
            <w:p w:rsidR="002C7DDD" w:rsidP="002C7DDD" w:rsidRDefault="000A0334">
              <w:pPr>
                <w:rPr>
                  <w:iCs/>
                </w:rPr>
              </w:pPr>
              <w:r>
                <w:rPr>
                  <w:iCs/>
                </w:rPr>
                <w:t xml:space="preserve">Het valt de Afdeling op dat genoemde 95% twee jaar geleden ook al voorkwam in de toelichting op het </w:t>
              </w:r>
              <w:r w:rsidRPr="00261A9F">
                <w:rPr>
                  <w:iCs/>
                </w:rPr>
                <w:t>bij de Tweede Kamer aanhangig</w:t>
              </w:r>
              <w:r>
                <w:rPr>
                  <w:iCs/>
                </w:rPr>
                <w:t xml:space="preserve"> gemaakte</w:t>
              </w:r>
              <w:r w:rsidRPr="00261A9F">
                <w:rPr>
                  <w:iCs/>
                </w:rPr>
                <w:t xml:space="preserve"> </w:t>
              </w:r>
              <w:r>
                <w:rPr>
                  <w:iCs/>
                </w:rPr>
                <w:t>wets</w:t>
              </w:r>
              <w:r w:rsidRPr="00261A9F">
                <w:rPr>
                  <w:iCs/>
                </w:rPr>
                <w:t>voorstel Wet vereenvoudiging formeel verkeer Belastingdienst</w:t>
              </w:r>
              <w:r>
                <w:rPr>
                  <w:iCs/>
                </w:rPr>
                <w:t>.</w:t>
              </w:r>
              <w:r>
                <w:rPr>
                  <w:rStyle w:val="Voetnootmarkering"/>
                  <w:iCs/>
                </w:rPr>
                <w:footnoteReference w:id="33"/>
              </w:r>
              <w:r>
                <w:rPr>
                  <w:iCs/>
                </w:rPr>
                <w:t xml:space="preserve"> Daarmee lijk</w:t>
              </w:r>
              <w:r>
                <w:rPr>
                  <w:iCs/>
                </w:rPr>
                <w:t>en de maatschappelijke ontwikkelingen een grens te bereiken en achter te blijven bij de ontwikkeling van de techniek. Van een gelijk tempo van ontwikkeling, op grond waarvan volgens de toelichting een verplicht elektronisch berichtenverkeer gerechtvaardigd</w:t>
              </w:r>
              <w:r>
                <w:rPr>
                  <w:iCs/>
                </w:rPr>
                <w:t xml:space="preserve"> zou zijn, is daarmee naar het oordeel van de Afdeling in mindere mate sprake. Het is daarbij de vraag of het in de toelichting beschreven aanbieden van gerichte ondersteuning bij het digitale berichtenverkeer</w:t>
              </w:r>
              <w:r>
                <w:rPr>
                  <w:rStyle w:val="Voetnootmarkering"/>
                  <w:iCs/>
                </w:rPr>
                <w:footnoteReference w:id="34"/>
              </w:r>
              <w:r>
                <w:rPr>
                  <w:iCs/>
                </w:rPr>
                <w:t>, het (bij de techniek) achterblijven van de m</w:t>
              </w:r>
              <w:r>
                <w:rPr>
                  <w:iCs/>
                </w:rPr>
                <w:t>aatschappelijke ontwikkelingen in die mate compenseert dat een verplichting tot elektronisch berichtenverkeer gerechtvaardigd is.</w:t>
              </w:r>
            </w:p>
            <w:p w:rsidR="00F65226" w:rsidP="002C7DDD" w:rsidRDefault="000A0334">
              <w:pPr>
                <w:rPr>
                  <w:iCs/>
                </w:rPr>
              </w:pPr>
            </w:p>
            <w:p w:rsidR="00F65226" w:rsidP="002C7DDD" w:rsidRDefault="000A0334">
              <w:pPr>
                <w:rPr>
                  <w:iCs/>
                </w:rPr>
              </w:pPr>
              <w:r>
                <w:rPr>
                  <w:iCs/>
                </w:rPr>
                <w:t>Inzake het achterblijven van de maatschappelijke ontwikkelingen wijst de Afdeling meer in het bijzonder nog op twee recent bi</w:t>
              </w:r>
              <w:r>
                <w:rPr>
                  <w:iCs/>
                </w:rPr>
                <w:t>j de Tweede Kamer ingediende voorstellen van wet die strekken tot vereenvoudiging en digitalisering van het procesrecht.</w:t>
              </w:r>
              <w:r>
                <w:rPr>
                  <w:rStyle w:val="Voetnootmarkering"/>
                  <w:iCs/>
                </w:rPr>
                <w:footnoteReference w:id="35"/>
              </w:r>
              <w:r>
                <w:rPr>
                  <w:iCs/>
                </w:rPr>
                <w:t xml:space="preserve"> Gegeven de doelstelling van die wetgeving om op</w:t>
              </w:r>
              <w:r w:rsidRPr="00B66330">
                <w:rPr>
                  <w:iCs/>
                </w:rPr>
                <w:t xml:space="preserve"> </w:t>
              </w:r>
              <w:r>
                <w:rPr>
                  <w:iCs/>
                </w:rPr>
                <w:t xml:space="preserve">verplicht </w:t>
              </w:r>
              <w:r w:rsidRPr="00B66330">
                <w:rPr>
                  <w:iCs/>
                </w:rPr>
                <w:t>digitaal procederen over te gaan</w:t>
              </w:r>
              <w:r>
                <w:rPr>
                  <w:iCs/>
                </w:rPr>
                <w:t xml:space="preserve">, is niettemin vastgelegd </w:t>
              </w:r>
              <w:r w:rsidRPr="00B66330">
                <w:rPr>
                  <w:iCs/>
                </w:rPr>
                <w:t xml:space="preserve">dat natuurlijke </w:t>
              </w:r>
              <w:r w:rsidRPr="00B66330">
                <w:rPr>
                  <w:iCs/>
                </w:rPr>
                <w:t>personen die geen gebruik maken van een rechtshulpverlener worden uitgezonderd van de verplichting om digitaal te gaan procederen.</w:t>
              </w:r>
              <w:r>
                <w:rPr>
                  <w:rStyle w:val="Voetnootmarkering"/>
                  <w:iCs/>
                </w:rPr>
                <w:footnoteReference w:id="36"/>
              </w:r>
              <w:r w:rsidRPr="00B66330">
                <w:rPr>
                  <w:iCs/>
                </w:rPr>
                <w:t xml:space="preserve"> De regering vindt het </w:t>
              </w:r>
              <w:r>
                <w:rPr>
                  <w:iCs/>
                </w:rPr>
                <w:t xml:space="preserve">in die sfeer </w:t>
              </w:r>
              <w:r w:rsidRPr="00B66330">
                <w:rPr>
                  <w:iCs/>
                </w:rPr>
                <w:t>kennelijk nog een stap te ver om de verplichting ook voor natuurlijke personen in te voer</w:t>
              </w:r>
              <w:r w:rsidRPr="00B66330">
                <w:rPr>
                  <w:iCs/>
                </w:rPr>
                <w:t>en.</w:t>
              </w:r>
            </w:p>
            <w:p w:rsidR="006147C5" w:rsidP="002C7DDD" w:rsidRDefault="000A0334">
              <w:pPr>
                <w:rPr>
                  <w:iCs/>
                </w:rPr>
              </w:pPr>
            </w:p>
            <w:p w:rsidR="006147C5" w:rsidP="002C7DDD" w:rsidRDefault="000A0334">
              <w:pPr>
                <w:rPr>
                  <w:iCs/>
                </w:rPr>
              </w:pPr>
              <w:r>
                <w:rPr>
                  <w:iCs/>
                </w:rPr>
                <w:t xml:space="preserve">Inzake de ontwikkeling van de techniek wijst </w:t>
              </w:r>
              <w:r>
                <w:rPr>
                  <w:iCs/>
                </w:rPr>
                <w:t xml:space="preserve">de Afdeling nog op het recente </w:t>
              </w:r>
              <w:r>
                <w:t xml:space="preserve">persbericht van de Minister van Financiën van 23 maart 2015, waarin </w:t>
              </w:r>
              <w:r>
                <w:rPr>
                  <w:iCs/>
                </w:rPr>
                <w:t>de verplichte termijn voor het doen van aangifte inkomstenbelasting over het jaar 2014 wordt verruimd van 1</w:t>
              </w:r>
              <w:r>
                <w:rPr>
                  <w:iCs/>
                </w:rPr>
                <w:t xml:space="preserve"> april naar 15 april. Daarmee</w:t>
              </w:r>
              <w:r w:rsidRPr="00AB12D5">
                <w:rPr>
                  <w:iCs/>
                </w:rPr>
                <w:t xml:space="preserve"> </w:t>
              </w:r>
              <w:r>
                <w:rPr>
                  <w:iCs/>
                </w:rPr>
                <w:t xml:space="preserve">wil </w:t>
              </w:r>
              <w:r w:rsidRPr="00AB12D5">
                <w:rPr>
                  <w:iCs/>
                </w:rPr>
                <w:t xml:space="preserve">de Belastingdienst </w:t>
              </w:r>
              <w:r>
                <w:rPr>
                  <w:iCs/>
                </w:rPr>
                <w:t xml:space="preserve"> </w:t>
              </w:r>
              <w:r w:rsidRPr="00AB12D5">
                <w:rPr>
                  <w:iCs/>
                </w:rPr>
                <w:t xml:space="preserve">voorkomen dat </w:t>
              </w:r>
              <w:r>
                <w:rPr>
                  <w:iCs/>
                </w:rPr>
                <w:t xml:space="preserve">de website van de Belastingdienst vastloopt wanneer </w:t>
              </w:r>
              <w:r w:rsidRPr="00AB12D5">
                <w:rPr>
                  <w:iCs/>
                </w:rPr>
                <w:t xml:space="preserve">men nu nog </w:t>
              </w:r>
              <w:r>
                <w:rPr>
                  <w:iCs/>
                </w:rPr>
                <w:t xml:space="preserve">(kort voor 1 april) </w:t>
              </w:r>
              <w:r w:rsidRPr="00AB12D5">
                <w:rPr>
                  <w:iCs/>
                </w:rPr>
                <w:t>massaal aangifte gaat doen</w:t>
              </w:r>
              <w:r>
                <w:rPr>
                  <w:iCs/>
                </w:rPr>
                <w:t xml:space="preserve">. Daarmee zijn ook bij de techniek vraagtekens te plaatsen. </w:t>
              </w:r>
            </w:p>
            <w:p w:rsidR="002C7DDD" w:rsidP="002C7DDD" w:rsidRDefault="000A0334">
              <w:pPr>
                <w:rPr>
                  <w:iCs/>
                </w:rPr>
              </w:pPr>
            </w:p>
            <w:p w:rsidR="002C7DDD" w:rsidP="002C7DDD" w:rsidRDefault="000A0334">
              <w:pPr>
                <w:rPr>
                  <w:iCs/>
                </w:rPr>
              </w:pPr>
              <w:r>
                <w:rPr>
                  <w:iCs/>
                </w:rPr>
                <w:t>De Afdeling advis</w:t>
              </w:r>
              <w:r>
                <w:rPr>
                  <w:iCs/>
                </w:rPr>
                <w:t>eert, gelet op het vorenstaande, het moment van en de verplichting tot elektronisch berichtenverkeer met de Belastingdienst nader toe te lichten.</w:t>
              </w:r>
            </w:p>
            <w:p w:rsidR="002C7DDD" w:rsidP="002C7DDD" w:rsidRDefault="000A0334">
              <w:pPr>
                <w:rPr>
                  <w:iCs/>
                </w:rPr>
              </w:pPr>
            </w:p>
            <w:p w:rsidR="00672C66" w:rsidRDefault="000A0334">
              <w:pPr>
                <w:rPr>
                  <w:i/>
                  <w:iCs/>
                </w:rPr>
              </w:pPr>
              <w:r w:rsidRPr="00EA2458">
                <w:rPr>
                  <w:i/>
                  <w:iCs/>
                </w:rPr>
                <w:lastRenderedPageBreak/>
                <w:t>b.</w:t>
              </w:r>
              <w:r w:rsidRPr="00EA2458">
                <w:rPr>
                  <w:i/>
                  <w:iCs/>
                </w:rPr>
                <w:tab/>
                <w:t>Ontheffing bij min</w:t>
              </w:r>
              <w:r>
                <w:rPr>
                  <w:i/>
                  <w:iCs/>
                </w:rPr>
                <w:t>i</w:t>
              </w:r>
              <w:r w:rsidRPr="00EA2458">
                <w:rPr>
                  <w:i/>
                  <w:iCs/>
                </w:rPr>
                <w:t>steriële regeling</w:t>
              </w:r>
            </w:p>
            <w:p w:rsidR="00006DEE" w:rsidP="002C7DDD" w:rsidRDefault="000A0334">
              <w:pPr>
                <w:rPr>
                  <w:iCs/>
                </w:rPr>
              </w:pPr>
              <w:r>
                <w:rPr>
                  <w:iCs/>
                </w:rPr>
                <w:t xml:space="preserve">De Afdeling merkt ten slotte op dat van delegatie van de bevoegdheid </w:t>
              </w:r>
              <w:r>
                <w:rPr>
                  <w:iCs/>
                </w:rPr>
                <w:t>tot het vaststellen van algemeen verbindende voorschriften – in verband met het uitgangspunt dat deze op zo hoog mogelijk regelniveau wordt vastgesteld – terughoudend gebruik moet worden gemaakt. Delegatie aan een minister moet bovendien beperkt blijven to</w:t>
              </w:r>
              <w:r>
                <w:rPr>
                  <w:iCs/>
                </w:rPr>
                <w:t>t voorschriften van administratieve aard, uitwerking van de details van een regeling, voorschriften die dikwijls wijziging behoeven en voorschriften waarvan te voorzien is dat zij met grote spoed moeten worden vastgesteld.</w:t>
              </w:r>
              <w:r>
                <w:rPr>
                  <w:rStyle w:val="Voetnootmarkering"/>
                  <w:iCs/>
                </w:rPr>
                <w:footnoteReference w:id="37"/>
              </w:r>
            </w:p>
            <w:p w:rsidR="00006DEE" w:rsidP="002C7DDD" w:rsidRDefault="000A0334">
              <w:pPr>
                <w:rPr>
                  <w:iCs/>
                </w:rPr>
              </w:pPr>
            </w:p>
            <w:p w:rsidR="002C7DDD" w:rsidP="002C7DDD" w:rsidRDefault="000A0334">
              <w:pPr>
                <w:rPr>
                  <w:iCs/>
                </w:rPr>
              </w:pPr>
              <w:r>
                <w:rPr>
                  <w:iCs/>
                </w:rPr>
                <w:t>Mede gelet op hetgeen zij onder</w:t>
              </w:r>
              <w:r>
                <w:rPr>
                  <w:iCs/>
                </w:rPr>
                <w:t xml:space="preserve"> a hiervoor heeft opgemerkt, is de Afdeling van oordeel dat het al dan niet verplichten van groepen belastingplichtigen tot elektronisch berichtenverkeer met de Belastingdienst, meer omvat dan elementen zoals het vaststellen van voorschriften van administr</w:t>
              </w:r>
              <w:r>
                <w:rPr>
                  <w:iCs/>
                </w:rPr>
                <w:t>atieve aard of het uitwerken van details van de regeling. Het al dan niet verplichten van groepen belastingplichtigen tot</w:t>
              </w:r>
              <w:r w:rsidRPr="002C7DDD">
                <w:rPr>
                  <w:iCs/>
                </w:rPr>
                <w:t xml:space="preserve"> elektronisch berichtenverkeer </w:t>
              </w:r>
              <w:r>
                <w:rPr>
                  <w:iCs/>
                </w:rPr>
                <w:t>met de Belastingdienst dient dan ook op een hoger niveau van regelgeving te worden vastgesteld dan bij m</w:t>
              </w:r>
              <w:r>
                <w:rPr>
                  <w:iCs/>
                </w:rPr>
                <w:t>inisteriële regeling, zeker nu in de delegatiegrondslag voor de ministeriële regeling criteria ontbreken voor het moment van (niet langer) aanwijzen.</w:t>
              </w:r>
            </w:p>
            <w:p w:rsidR="00672C66" w:rsidRDefault="000A0334">
              <w:pPr>
                <w:rPr>
                  <w:i/>
                </w:rPr>
              </w:pPr>
            </w:p>
            <w:p w:rsidR="00672C66" w:rsidRDefault="000A0334">
              <w:r>
                <w:rPr>
                  <w:iCs/>
                </w:rPr>
                <w:t>De</w:t>
              </w:r>
              <w:r w:rsidRPr="002C7DDD">
                <w:rPr>
                  <w:iCs/>
                </w:rPr>
                <w:t xml:space="preserve"> Afdeling </w:t>
              </w:r>
              <w:r>
                <w:rPr>
                  <w:iCs/>
                </w:rPr>
                <w:t>adviseert het al dan niet verplichten van groepen belastingplichtigen tot</w:t>
              </w:r>
              <w:r w:rsidRPr="002C7DDD">
                <w:rPr>
                  <w:iCs/>
                </w:rPr>
                <w:t xml:space="preserve"> elektronisch berich</w:t>
              </w:r>
              <w:r w:rsidRPr="002C7DDD">
                <w:rPr>
                  <w:iCs/>
                </w:rPr>
                <w:t xml:space="preserve">tenverkeer </w:t>
              </w:r>
              <w:r>
                <w:rPr>
                  <w:iCs/>
                </w:rPr>
                <w:t xml:space="preserve">met de Belastingdienst </w:t>
              </w:r>
              <w:r w:rsidRPr="002C7DDD">
                <w:rPr>
                  <w:iCs/>
                </w:rPr>
                <w:t xml:space="preserve">op </w:t>
              </w:r>
              <w:r>
                <w:rPr>
                  <w:iCs/>
                </w:rPr>
                <w:t xml:space="preserve">een hoger </w:t>
              </w:r>
              <w:r w:rsidRPr="002C7DDD">
                <w:rPr>
                  <w:iCs/>
                </w:rPr>
                <w:t xml:space="preserve">niveau </w:t>
              </w:r>
              <w:r>
                <w:rPr>
                  <w:iCs/>
                </w:rPr>
                <w:t>van regelgeving vast te stellen dan bij</w:t>
              </w:r>
              <w:r w:rsidRPr="002C7DDD">
                <w:rPr>
                  <w:iCs/>
                </w:rPr>
                <w:t xml:space="preserve"> ministeriële regeling</w:t>
              </w:r>
              <w:r>
                <w:rPr>
                  <w:iCs/>
                </w:rPr>
                <w:t xml:space="preserve">, dan wel criteria voor het moment van (niet langer) aanwijzen op te nemen in de delegatiegrondslag voor de ministeriële regeling.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A0334">
              <w:r>
                <w:t>4.</w:t>
              </w:r>
              <w:r>
                <w:tab/>
              </w:r>
              <w:r w:rsidRPr="005F7A2B">
                <w:t xml:space="preserve">De </w:t>
              </w:r>
              <w:r w:rsidRPr="005F7A2B">
                <w:t>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6610F" w:rsidRDefault="000A033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W06.15.0021</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03478C" w:rsidP="00D969CB" w:rsidRDefault="000A0334">
              <w:pPr>
                <w:numPr>
                  <w:ilvl w:val="0"/>
                  <w:numId w:val="1"/>
                </w:numPr>
              </w:pPr>
              <w:r>
                <w:t>In de in artikelen I, onderdeel A, II, onderdeel A, en III, onderdeel A, opgenomen artikelen 3a, eerste lid, (nieuw), van de Algemene wet inzake rijksbelastingen, 7c, eerste lid, (nieuw), van de Invorderingswet 1990, respectievelijk 13a, eerste lid, (nieuw</w:t>
              </w:r>
              <w:r>
                <w:t>), van de Algemene wet inkomensafhankelijke regelingen, de zinsnede “In afwijking van artikel 2:14, eerste lid, van de Algemene wet bestuursrecht” vervangen door “In afwijking van de artikelen 2:14, eerste lid, en 2:15, eerste lid, van de Algemene wet best</w:t>
              </w:r>
              <w:r>
                <w:t xml:space="preserve">uursrecht”, in overeenstemming ook met de vierde alinea van de toelichting op artikel I, onderdeel A. </w:t>
              </w:r>
            </w:p>
            <w:p w:rsidR="00E70C71" w:rsidP="00D969CB" w:rsidRDefault="000A0334">
              <w:pPr>
                <w:numPr>
                  <w:ilvl w:val="0"/>
                  <w:numId w:val="1"/>
                </w:numPr>
              </w:pPr>
              <w:r>
                <w:t>De aanduiding van het in artikel III van het voorstel opgenomen artikel 13a (nieuw) van de Algemene wet inkomensafhankelijke regelingen wijzigen in 13.</w:t>
              </w:r>
            </w:p>
          </w:sdtContent>
        </w:sdt>
        <w:p w:rsidR="00C50D4F" w:rsidP="005841EA" w:rsidRDefault="000A033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0A0334" w:rsidP="001410FD">
      <w:r>
        <w:separator/>
      </w:r>
    </w:p>
  </w:endnote>
  <w:endnote w:type="continuationSeparator" w:id="0">
    <w:p w:rsidR="00225B7E" w:rsidRDefault="000A033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0A0334" w:rsidP="001410FD">
      <w:r>
        <w:separator/>
      </w:r>
    </w:p>
  </w:footnote>
  <w:footnote w:type="continuationSeparator" w:id="0">
    <w:p w:rsidR="00225B7E" w:rsidRDefault="000A0334" w:rsidP="001410FD">
      <w:r>
        <w:continuationSeparator/>
      </w:r>
    </w:p>
  </w:footnote>
  <w:footnote w:id="1">
    <w:p w:rsidR="00432A47" w:rsidRPr="00555AE2" w:rsidRDefault="000A0334" w:rsidP="00432A47">
      <w:pPr>
        <w:pStyle w:val="Voetnoottekst"/>
        <w:rPr>
          <w:sz w:val="16"/>
          <w:szCs w:val="16"/>
        </w:rPr>
      </w:pPr>
      <w:r w:rsidRPr="00555AE2">
        <w:rPr>
          <w:rStyle w:val="Voetnootmarkering"/>
          <w:sz w:val="16"/>
          <w:szCs w:val="16"/>
        </w:rPr>
        <w:footnoteRef/>
      </w:r>
      <w:r>
        <w:rPr>
          <w:sz w:val="16"/>
          <w:szCs w:val="16"/>
        </w:rPr>
        <w:tab/>
      </w:r>
      <w:r w:rsidRPr="00EA2458">
        <w:rPr>
          <w:szCs w:val="18"/>
        </w:rPr>
        <w:t xml:space="preserve">Het bij koninklijke boodschap van 30 augustus 2013 ingediende voorstel van wet houdende </w:t>
      </w:r>
      <w:r>
        <w:rPr>
          <w:szCs w:val="18"/>
        </w:rPr>
        <w:tab/>
      </w:r>
      <w:r w:rsidRPr="00EA2458">
        <w:rPr>
          <w:szCs w:val="18"/>
        </w:rPr>
        <w:t xml:space="preserve">wijziging van de Algemene wet inzake rijksbelastingen en enige andere wetten in verband met de </w:t>
      </w:r>
      <w:r>
        <w:rPr>
          <w:szCs w:val="18"/>
        </w:rPr>
        <w:tab/>
      </w:r>
      <w:r w:rsidRPr="00EA2458">
        <w:rPr>
          <w:szCs w:val="18"/>
        </w:rPr>
        <w:t>invoering van herziening bij</w:t>
      </w:r>
      <w:r>
        <w:rPr>
          <w:szCs w:val="18"/>
        </w:rPr>
        <w:t xml:space="preserve"> </w:t>
      </w:r>
      <w:r w:rsidRPr="00EA2458">
        <w:rPr>
          <w:szCs w:val="18"/>
        </w:rPr>
        <w:t xml:space="preserve">aanslagen en een regeling voor het elektronisch berichtenverkeer (Wet </w:t>
      </w:r>
      <w:r>
        <w:rPr>
          <w:szCs w:val="18"/>
        </w:rPr>
        <w:tab/>
      </w:r>
      <w:r w:rsidRPr="00EA2458">
        <w:rPr>
          <w:szCs w:val="18"/>
        </w:rPr>
        <w:t>vereenvoudiging formeel verkeer</w:t>
      </w:r>
      <w:r>
        <w:rPr>
          <w:szCs w:val="18"/>
        </w:rPr>
        <w:t xml:space="preserve"> </w:t>
      </w:r>
      <w:r w:rsidRPr="00EA2458">
        <w:rPr>
          <w:szCs w:val="18"/>
        </w:rPr>
        <w:t>Belastingdienst) (Kamerstukken II 2012/13, 33 714, nr</w:t>
      </w:r>
      <w:r>
        <w:rPr>
          <w:szCs w:val="18"/>
        </w:rPr>
        <w:t xml:space="preserve">. </w:t>
      </w:r>
      <w:r w:rsidRPr="00EA2458">
        <w:rPr>
          <w:szCs w:val="18"/>
        </w:rPr>
        <w:t>1).</w:t>
      </w:r>
    </w:p>
  </w:footnote>
  <w:footnote w:id="2">
    <w:p w:rsidR="00432A47" w:rsidRPr="00555AE2" w:rsidRDefault="000A0334" w:rsidP="00432A47">
      <w:pPr>
        <w:pStyle w:val="Voetnoottekst"/>
        <w:rPr>
          <w:sz w:val="16"/>
          <w:szCs w:val="16"/>
        </w:rPr>
      </w:pPr>
      <w:r w:rsidRPr="00555AE2">
        <w:rPr>
          <w:rStyle w:val="Voetnootmarkering"/>
          <w:sz w:val="16"/>
          <w:szCs w:val="16"/>
        </w:rPr>
        <w:footnoteRef/>
      </w:r>
      <w:r>
        <w:rPr>
          <w:sz w:val="16"/>
          <w:szCs w:val="16"/>
        </w:rPr>
        <w:tab/>
      </w:r>
      <w:r w:rsidRPr="00EA2458">
        <w:rPr>
          <w:szCs w:val="18"/>
        </w:rPr>
        <w:t xml:space="preserve">Brief van 18 december 2014 aan de Voorzitter van de Tweede Kamer, Kamerstukken II 2014/15, </w:t>
      </w:r>
      <w:r>
        <w:rPr>
          <w:szCs w:val="18"/>
        </w:rPr>
        <w:tab/>
      </w:r>
      <w:r w:rsidRPr="00EA2458">
        <w:rPr>
          <w:szCs w:val="18"/>
        </w:rPr>
        <w:t>31 066,</w:t>
      </w:r>
      <w:r>
        <w:rPr>
          <w:szCs w:val="18"/>
        </w:rPr>
        <w:t xml:space="preserve"> </w:t>
      </w:r>
      <w:r w:rsidRPr="00EA2458">
        <w:rPr>
          <w:szCs w:val="18"/>
        </w:rPr>
        <w:t>nr. 226, blz. 1, tweede tekstblok, en blz. 3, laatste tekstblok.</w:t>
      </w:r>
    </w:p>
  </w:footnote>
  <w:footnote w:id="3">
    <w:p w:rsidR="00432A47" w:rsidRDefault="000A0334" w:rsidP="00432A47">
      <w:pPr>
        <w:pStyle w:val="Voetnoottekst"/>
      </w:pPr>
      <w:r>
        <w:rPr>
          <w:rStyle w:val="Voetnootmarkering"/>
        </w:rPr>
        <w:footnoteRef/>
      </w:r>
      <w:r>
        <w:t xml:space="preserve"> </w:t>
      </w:r>
      <w:r>
        <w:tab/>
      </w:r>
      <w:r w:rsidRPr="00EA2458">
        <w:rPr>
          <w:szCs w:val="18"/>
        </w:rPr>
        <w:t xml:space="preserve">De artikelen I, II, III, IV en V van het voorliggende voorstel zijn daartoe inhoudelijk ongewijzigd </w:t>
      </w:r>
      <w:r>
        <w:rPr>
          <w:szCs w:val="18"/>
        </w:rPr>
        <w:tab/>
      </w:r>
      <w:r w:rsidRPr="00EA2458">
        <w:rPr>
          <w:szCs w:val="18"/>
        </w:rPr>
        <w:t xml:space="preserve">overgenomen </w:t>
      </w:r>
      <w:r w:rsidRPr="00EA2458">
        <w:rPr>
          <w:szCs w:val="18"/>
        </w:rPr>
        <w:tab/>
        <w:t>uit het bij de Tweede Kamer aanhangige wetsvoorstel Wet vereenvoud</w:t>
      </w:r>
      <w:r w:rsidRPr="00EA2458">
        <w:rPr>
          <w:szCs w:val="18"/>
        </w:rPr>
        <w:t xml:space="preserve">iging formeel </w:t>
      </w:r>
      <w:r>
        <w:rPr>
          <w:szCs w:val="18"/>
        </w:rPr>
        <w:tab/>
      </w:r>
      <w:r w:rsidRPr="00EA2458">
        <w:rPr>
          <w:szCs w:val="18"/>
        </w:rPr>
        <w:t xml:space="preserve">verkeer Belastingdienst. De artikelen VI/VII en VIII/IX van het voorliggende voorstel zijn weliswaar </w:t>
      </w:r>
      <w:r>
        <w:rPr>
          <w:szCs w:val="18"/>
        </w:rPr>
        <w:tab/>
      </w:r>
      <w:r w:rsidRPr="00EA2458">
        <w:rPr>
          <w:szCs w:val="18"/>
        </w:rPr>
        <w:t xml:space="preserve">nieuw, maar hangen samen met de in genoemde artikelen I tot en met V opgenomen systematiek </w:t>
      </w:r>
      <w:r>
        <w:rPr>
          <w:szCs w:val="18"/>
        </w:rPr>
        <w:tab/>
      </w:r>
      <w:r w:rsidRPr="00EA2458">
        <w:rPr>
          <w:szCs w:val="18"/>
        </w:rPr>
        <w:t>voor het verplicht stellen van elektronisch ber</w:t>
      </w:r>
      <w:r w:rsidRPr="00EA2458">
        <w:rPr>
          <w:szCs w:val="18"/>
        </w:rPr>
        <w:t xml:space="preserve">ichtenverkeer met de Belastingdienst. In die artikelen </w:t>
      </w:r>
      <w:r>
        <w:rPr>
          <w:szCs w:val="18"/>
        </w:rPr>
        <w:tab/>
      </w:r>
      <w:r w:rsidRPr="00EA2458">
        <w:rPr>
          <w:szCs w:val="18"/>
        </w:rPr>
        <w:t>VI/VII en VIII/IX zijn namelijk de uitkomsten verwerkt</w:t>
      </w:r>
      <w:r>
        <w:rPr>
          <w:szCs w:val="18"/>
        </w:rPr>
        <w:t xml:space="preserve"> </w:t>
      </w:r>
      <w:r w:rsidRPr="00EA2458">
        <w:rPr>
          <w:szCs w:val="18"/>
        </w:rPr>
        <w:t xml:space="preserve">van het overleg met decentrale overheden: </w:t>
      </w:r>
      <w:r>
        <w:rPr>
          <w:szCs w:val="18"/>
        </w:rPr>
        <w:tab/>
      </w:r>
      <w:r w:rsidRPr="00EA2458">
        <w:rPr>
          <w:szCs w:val="18"/>
        </w:rPr>
        <w:t xml:space="preserve">de gemeenten respectievelijk de waterschappen geven er (in tegenstelling tot de provincies) op dit </w:t>
      </w:r>
      <w:r>
        <w:rPr>
          <w:szCs w:val="18"/>
        </w:rPr>
        <w:tab/>
      </w:r>
      <w:r w:rsidRPr="00EA2458">
        <w:rPr>
          <w:szCs w:val="18"/>
        </w:rPr>
        <w:t>mo</w:t>
      </w:r>
      <w:r w:rsidRPr="00EA2458">
        <w:rPr>
          <w:szCs w:val="18"/>
        </w:rPr>
        <w:t>ment de voorkeur aan om de systematiek van verplichtstelling van elektronisch</w:t>
      </w:r>
      <w:r>
        <w:rPr>
          <w:szCs w:val="18"/>
        </w:rPr>
        <w:t xml:space="preserve"> </w:t>
      </w:r>
      <w:r>
        <w:rPr>
          <w:szCs w:val="18"/>
        </w:rPr>
        <w:tab/>
      </w:r>
      <w:r w:rsidRPr="00EA2458">
        <w:rPr>
          <w:szCs w:val="18"/>
        </w:rPr>
        <w:t xml:space="preserve">berichtenverkeer met de Belastingdienst, niet van toepassing te laten zijn op hun  </w:t>
      </w:r>
      <w:r w:rsidRPr="00EA2458">
        <w:rPr>
          <w:szCs w:val="18"/>
        </w:rPr>
        <w:tab/>
        <w:t>belastingen/heffingen.</w:t>
      </w:r>
      <w:r>
        <w:rPr>
          <w:sz w:val="16"/>
          <w:szCs w:val="16"/>
        </w:rPr>
        <w:t xml:space="preserve"> </w:t>
      </w:r>
    </w:p>
  </w:footnote>
  <w:footnote w:id="4">
    <w:p w:rsidR="002C7DDD" w:rsidRDefault="000A0334" w:rsidP="002C7DDD">
      <w:pPr>
        <w:pStyle w:val="Voetnoottekst"/>
      </w:pPr>
      <w:r>
        <w:rPr>
          <w:rStyle w:val="Voetnootmarkering"/>
        </w:rPr>
        <w:footnoteRef/>
      </w:r>
      <w:r>
        <w:t xml:space="preserve"> </w:t>
      </w:r>
      <w:r>
        <w:tab/>
      </w:r>
      <w:r w:rsidRPr="001840AE">
        <w:rPr>
          <w:szCs w:val="18"/>
        </w:rPr>
        <w:t>Artikel X, eerste lid, van het voorstel.</w:t>
      </w:r>
      <w:r w:rsidRPr="00EA2458">
        <w:rPr>
          <w:sz w:val="16"/>
          <w:szCs w:val="16"/>
        </w:rPr>
        <w:t xml:space="preserve"> </w:t>
      </w:r>
    </w:p>
  </w:footnote>
  <w:footnote w:id="5">
    <w:p w:rsidR="002C7DDD" w:rsidRDefault="000A0334" w:rsidP="002C7DDD">
      <w:pPr>
        <w:pStyle w:val="Voetnoottekst"/>
      </w:pPr>
      <w:r>
        <w:rPr>
          <w:rStyle w:val="Voetnootmarkering"/>
        </w:rPr>
        <w:footnoteRef/>
      </w:r>
      <w:r>
        <w:t xml:space="preserve"> </w:t>
      </w:r>
      <w:r>
        <w:tab/>
      </w:r>
      <w:r w:rsidRPr="001840AE">
        <w:rPr>
          <w:szCs w:val="18"/>
        </w:rPr>
        <w:t>Artikel X, derde lid,</w:t>
      </w:r>
      <w:r w:rsidRPr="001840AE">
        <w:rPr>
          <w:szCs w:val="18"/>
        </w:rPr>
        <w:t xml:space="preserve"> van het voorstel</w:t>
      </w:r>
      <w:r>
        <w:t>.</w:t>
      </w:r>
    </w:p>
  </w:footnote>
  <w:footnote w:id="6">
    <w:p w:rsidR="00C40AD2" w:rsidRDefault="000A0334">
      <w:pPr>
        <w:pStyle w:val="Voetnoottekst"/>
      </w:pPr>
      <w:r>
        <w:rPr>
          <w:rStyle w:val="Voetnootmarkering"/>
        </w:rPr>
        <w:footnoteRef/>
      </w:r>
      <w:r>
        <w:t xml:space="preserve"> </w:t>
      </w:r>
      <w:r>
        <w:tab/>
        <w:t xml:space="preserve">De Berichtenbox van MijnOverheid.nl is de persoonlijke (met DigiD beveiligde en toegankelijke) </w:t>
      </w:r>
      <w:r>
        <w:tab/>
        <w:t xml:space="preserve">brievenbus waarin burgers post/berichten van niet alleen de Belastingdienst maar ook van </w:t>
      </w:r>
      <w:r>
        <w:tab/>
        <w:t>bijvoorbeeld de Dienst Wegverkeer (RDW), de Soci</w:t>
      </w:r>
      <w:r>
        <w:t xml:space="preserve">ale Verzekeringsbank (SVB) en het </w:t>
      </w:r>
      <w:r>
        <w:tab/>
        <w:t xml:space="preserve">Uitvoeringsinstituut werknemersverzekeringen (UWV) kunnen ontvangen. Het gaat daarbij alleen </w:t>
      </w:r>
      <w:r>
        <w:tab/>
        <w:t xml:space="preserve">om het ontvangen van berichten; verder verkeer loopt via beveiligde sites – </w:t>
      </w:r>
      <w:proofErr w:type="spellStart"/>
      <w:r>
        <w:t>webportalen</w:t>
      </w:r>
      <w:proofErr w:type="spellEnd"/>
      <w:r>
        <w:t xml:space="preserve"> – van </w:t>
      </w:r>
      <w:r>
        <w:tab/>
        <w:t>genoemde organisaties, zoals – b</w:t>
      </w:r>
      <w:r>
        <w:t xml:space="preserve">ij de Belastingdienst – </w:t>
      </w:r>
      <w:r>
        <w:tab/>
      </w:r>
      <w:proofErr w:type="spellStart"/>
      <w:r>
        <w:t>MijnToeslagen</w:t>
      </w:r>
      <w:proofErr w:type="spellEnd"/>
      <w:r>
        <w:t xml:space="preserve"> of </w:t>
      </w:r>
      <w:proofErr w:type="spellStart"/>
      <w:r>
        <w:t>MijnBelastingdienst</w:t>
      </w:r>
      <w:proofErr w:type="spellEnd"/>
      <w:r>
        <w:t xml:space="preserve">. </w:t>
      </w:r>
    </w:p>
  </w:footnote>
  <w:footnote w:id="7">
    <w:p w:rsidR="002C7DDD" w:rsidRDefault="000A0334" w:rsidP="002C7DDD">
      <w:pPr>
        <w:pStyle w:val="Voetnoottekst"/>
      </w:pPr>
      <w:r>
        <w:rPr>
          <w:rStyle w:val="Voetnootmarkering"/>
        </w:rPr>
        <w:footnoteRef/>
      </w:r>
      <w:r>
        <w:t xml:space="preserve"> </w:t>
      </w:r>
      <w:r>
        <w:tab/>
        <w:t>Toelichting, paragraaf 2.5, derde en vierde volzin.</w:t>
      </w:r>
    </w:p>
  </w:footnote>
  <w:footnote w:id="8">
    <w:p w:rsidR="00205C86" w:rsidRDefault="000A0334" w:rsidP="00205C86">
      <w:pPr>
        <w:pStyle w:val="Voetnoottekst"/>
      </w:pPr>
      <w:r>
        <w:rPr>
          <w:rStyle w:val="Voetnootmarkering"/>
        </w:rPr>
        <w:footnoteRef/>
      </w:r>
      <w:r>
        <w:t xml:space="preserve"> </w:t>
      </w:r>
      <w:r>
        <w:tab/>
        <w:t xml:space="preserve">De GDI van de overheid bestaat uit standaarden, producten en voorzieningen (waar </w:t>
      </w:r>
      <w:r>
        <w:tab/>
        <w:t>MijnOverheid/Berichtenbox er een van is) die gezamen</w:t>
      </w:r>
      <w:r>
        <w:t xml:space="preserve">lijk gebruikt worden door meerdere </w:t>
      </w:r>
      <w:r>
        <w:tab/>
        <w:t xml:space="preserve">overheden, vele publieke organisaties en in een aantal gevallen ook private partijen. De GDI is naar </w:t>
      </w:r>
      <w:r>
        <w:tab/>
        <w:t xml:space="preserve">zijn aard niet organisatie-, sector- of domeinspecifiek. De GDI moet het fundament worden van de </w:t>
      </w:r>
      <w:r>
        <w:tab/>
        <w:t>digitale overheid.</w:t>
      </w:r>
    </w:p>
  </w:footnote>
  <w:footnote w:id="9">
    <w:p w:rsidR="002C7DDD" w:rsidRDefault="000A0334" w:rsidP="002C7DDD">
      <w:pPr>
        <w:pStyle w:val="Voetnoottekst"/>
      </w:pPr>
      <w:r>
        <w:rPr>
          <w:rStyle w:val="Voetnootmarkering"/>
        </w:rPr>
        <w:footnoteRef/>
      </w:r>
      <w:r>
        <w:t xml:space="preserve"> </w:t>
      </w:r>
      <w:r>
        <w:tab/>
        <w:t xml:space="preserve">Artikel 1c van het Uitvoeringsbesluit </w:t>
      </w:r>
      <w:r>
        <w:rPr>
          <w:iCs/>
        </w:rPr>
        <w:t>Algemene wet inkomensafhankelijke regelingen.</w:t>
      </w:r>
    </w:p>
  </w:footnote>
  <w:footnote w:id="10">
    <w:p w:rsidR="002C7DDD" w:rsidRDefault="000A0334" w:rsidP="002C7DDD">
      <w:pPr>
        <w:pStyle w:val="Voetnoottekst"/>
      </w:pPr>
      <w:r>
        <w:rPr>
          <w:rStyle w:val="Voetnootmarkering"/>
        </w:rPr>
        <w:footnoteRef/>
      </w:r>
      <w:r>
        <w:t xml:space="preserve"> </w:t>
      </w:r>
      <w:r>
        <w:tab/>
        <w:t>Die</w:t>
      </w:r>
      <w:r w:rsidRPr="00DF57E3">
        <w:rPr>
          <w:iCs/>
        </w:rPr>
        <w:t>, gelet op de delegatiegrondslag</w:t>
      </w:r>
      <w:r>
        <w:rPr>
          <w:iCs/>
        </w:rPr>
        <w:t xml:space="preserve"> van </w:t>
      </w:r>
      <w:r>
        <w:t xml:space="preserve">artikel 38a van de </w:t>
      </w:r>
      <w:r>
        <w:rPr>
          <w:iCs/>
        </w:rPr>
        <w:t xml:space="preserve">Algemene wet inkomensafhankelijke </w:t>
      </w:r>
      <w:r>
        <w:rPr>
          <w:iCs/>
        </w:rPr>
        <w:tab/>
        <w:t>regelingen</w:t>
      </w:r>
      <w:r w:rsidRPr="00DF57E3">
        <w:rPr>
          <w:iCs/>
        </w:rPr>
        <w:t>, alleen kan zien op de uitvoering van de toeslagenwetgeving ze</w:t>
      </w:r>
      <w:r w:rsidRPr="00DF57E3">
        <w:rPr>
          <w:iCs/>
        </w:rPr>
        <w:t>lf</w:t>
      </w:r>
      <w:r>
        <w:rPr>
          <w:iCs/>
        </w:rPr>
        <w:t>.</w:t>
      </w:r>
    </w:p>
  </w:footnote>
  <w:footnote w:id="11">
    <w:p w:rsidR="002C7DDD" w:rsidRDefault="000A0334" w:rsidP="002C7DDD">
      <w:pPr>
        <w:pStyle w:val="Voetnoottekst"/>
      </w:pPr>
      <w:r>
        <w:rPr>
          <w:rStyle w:val="Voetnootmarkering"/>
        </w:rPr>
        <w:footnoteRef/>
      </w:r>
      <w:r>
        <w:t xml:space="preserve"> </w:t>
      </w:r>
      <w:r>
        <w:tab/>
        <w:t xml:space="preserve">Nota van toelichting op het Besluit van 18 december 2013 tot wijziging van enige </w:t>
      </w:r>
      <w:r>
        <w:tab/>
        <w:t xml:space="preserve">uitvoeringsbesluiten op het gebied van belastingen en toeslagen, Stb. 2013, 569, blz. 23, tweede </w:t>
      </w:r>
      <w:r>
        <w:tab/>
        <w:t>tekstblok (Ingroeitraject na 1 januari 2014), eerste en tweede volzin</w:t>
      </w:r>
      <w:r>
        <w:t>.</w:t>
      </w:r>
    </w:p>
  </w:footnote>
  <w:footnote w:id="12">
    <w:p w:rsidR="002C7DDD" w:rsidRDefault="000A0334" w:rsidP="002C7DDD">
      <w:pPr>
        <w:pStyle w:val="Voetnoottekst"/>
      </w:pPr>
      <w:r>
        <w:rPr>
          <w:rStyle w:val="Voetnootmarkering"/>
        </w:rPr>
        <w:footnoteRef/>
      </w:r>
      <w:r>
        <w:t xml:space="preserve"> “Digitaal 2017” geeft invulling aan de doelstelling van het kabinet dat burgers en bedrijven in </w:t>
      </w:r>
      <w:r>
        <w:tab/>
        <w:t xml:space="preserve">2017 hun zaken met de overheid digitaal kunnen afhandelen (een wettelijk recht – dus geen </w:t>
      </w:r>
      <w:r>
        <w:tab/>
        <w:t>verplichting – op te nemen in onder meer de Algemene wet bestuur</w:t>
      </w:r>
      <w:r>
        <w:t>srecht).</w:t>
      </w:r>
    </w:p>
  </w:footnote>
  <w:footnote w:id="13">
    <w:p w:rsidR="00631574" w:rsidRDefault="000A0334">
      <w:pPr>
        <w:pStyle w:val="Voetnoottekst"/>
      </w:pPr>
      <w:r>
        <w:rPr>
          <w:rStyle w:val="Voetnootmarkering"/>
        </w:rPr>
        <w:footnoteRef/>
      </w:r>
      <w:r>
        <w:t xml:space="preserve"> </w:t>
      </w:r>
      <w:r>
        <w:tab/>
        <w:t>Toelichting op artikel XI van het voorstel, vierde tot en met zesde volzin.</w:t>
      </w:r>
    </w:p>
  </w:footnote>
  <w:footnote w:id="14">
    <w:p w:rsidR="002C7DDD" w:rsidRDefault="000A0334" w:rsidP="002C7DDD">
      <w:pPr>
        <w:pStyle w:val="Voetnoottekst"/>
      </w:pPr>
      <w:r>
        <w:rPr>
          <w:rStyle w:val="Voetnootmarkering"/>
        </w:rPr>
        <w:footnoteRef/>
      </w:r>
      <w:r>
        <w:t xml:space="preserve"> </w:t>
      </w:r>
      <w:r>
        <w:tab/>
        <w:t xml:space="preserve">Digiprogramma 2015, januari 2015, paragraaf 5.3 (Wetgeving). </w:t>
      </w:r>
    </w:p>
  </w:footnote>
  <w:footnote w:id="15">
    <w:p w:rsidR="002C7DDD" w:rsidRDefault="000A0334" w:rsidP="002C7DDD">
      <w:pPr>
        <w:pStyle w:val="Voetnoottekst"/>
      </w:pPr>
      <w:r>
        <w:rPr>
          <w:rStyle w:val="Voetnootmarkering"/>
        </w:rPr>
        <w:footnoteRef/>
      </w:r>
      <w:r>
        <w:tab/>
        <w:t xml:space="preserve">In de brief van 28 mei 2014 heeft het kabinet de Tweede Kamer geïnformeerd over het besluit om </w:t>
      </w:r>
      <w:r>
        <w:tab/>
      </w:r>
      <w:r>
        <w:t xml:space="preserve">een Nationaal Commissaris Digitale Overheid (NCDO) in te stellen met het oog op de noodzaak </w:t>
      </w:r>
      <w:r>
        <w:tab/>
        <w:t xml:space="preserve">“om de overheidsbrede digitale basisinfrastructuur van Nederland robuust en toekomstbestendig </w:t>
      </w:r>
      <w:r>
        <w:tab/>
        <w:t>te maken, de sturing hierop te versterken met een passend governance</w:t>
      </w:r>
      <w:r>
        <w:t xml:space="preserve">- en </w:t>
      </w:r>
      <w:r>
        <w:tab/>
        <w:t xml:space="preserve">financieringsarrangement en om een stevige overheidsbrede agenda op te stellen om het gebruik </w:t>
      </w:r>
      <w:r>
        <w:tab/>
        <w:t xml:space="preserve">van de digitale dienstverlening aantrekkelijker te maken en verder te laten toenemen” </w:t>
      </w:r>
      <w:r>
        <w:tab/>
        <w:t>(Kamerstukken II 2013/14, 26 643, nr. 314, blz. 1).</w:t>
      </w:r>
    </w:p>
  </w:footnote>
  <w:footnote w:id="16">
    <w:p w:rsidR="002C7DDD" w:rsidRDefault="000A0334" w:rsidP="002C7DDD">
      <w:pPr>
        <w:pStyle w:val="Voetnoottekst"/>
      </w:pPr>
      <w:r>
        <w:rPr>
          <w:rStyle w:val="Voetnootmarkering"/>
        </w:rPr>
        <w:footnoteRef/>
      </w:r>
      <w:r>
        <w:t xml:space="preserve"> </w:t>
      </w:r>
      <w:r>
        <w:tab/>
        <w:t xml:space="preserve">Bijvoorbeeld </w:t>
      </w:r>
      <w:r>
        <w:t xml:space="preserve">een voorlopige aanslag, een definitieve aanslag of een uitnodiging tot het doen van </w:t>
      </w:r>
      <w:r>
        <w:tab/>
        <w:t>aangifte.</w:t>
      </w:r>
    </w:p>
  </w:footnote>
  <w:footnote w:id="17">
    <w:p w:rsidR="00742F50" w:rsidRDefault="000A0334">
      <w:pPr>
        <w:pStyle w:val="Voetnoottekst"/>
      </w:pPr>
      <w:r>
        <w:rPr>
          <w:rStyle w:val="Voetnootmarkering"/>
        </w:rPr>
        <w:footnoteRef/>
      </w:r>
      <w:r>
        <w:t xml:space="preserve"> </w:t>
      </w:r>
      <w:r>
        <w:tab/>
        <w:t>Toelichting op artikel X van het voorstel, tweede alinea, derde volzin.</w:t>
      </w:r>
    </w:p>
  </w:footnote>
  <w:footnote w:id="18">
    <w:p w:rsidR="003D50BD" w:rsidRDefault="000A0334" w:rsidP="003D50BD">
      <w:pPr>
        <w:pStyle w:val="Voetnoottekst"/>
      </w:pPr>
      <w:r>
        <w:rPr>
          <w:rStyle w:val="Voetnootmarkering"/>
        </w:rPr>
        <w:footnoteRef/>
      </w:r>
      <w:r>
        <w:tab/>
        <w:t>Zie ook aanwijzing 26 Ar.</w:t>
      </w:r>
    </w:p>
  </w:footnote>
  <w:footnote w:id="19">
    <w:p w:rsidR="002059C8" w:rsidRDefault="000A0334" w:rsidP="002059C8">
      <w:pPr>
        <w:pStyle w:val="Voetnoottekst"/>
      </w:pPr>
      <w:r>
        <w:rPr>
          <w:rStyle w:val="Voetnootmarkering"/>
        </w:rPr>
        <w:footnoteRef/>
      </w:r>
      <w:r>
        <w:tab/>
        <w:t>Digiprogramma 2015, januari 2015, paragraaf 5.3 (Wetgevi</w:t>
      </w:r>
      <w:r>
        <w:t xml:space="preserve">ng), derde tekstblok. </w:t>
      </w:r>
    </w:p>
  </w:footnote>
  <w:footnote w:id="20">
    <w:p w:rsidR="002C7DDD" w:rsidRDefault="000A0334" w:rsidP="002C7DDD">
      <w:pPr>
        <w:pStyle w:val="Voetnoottekst"/>
      </w:pPr>
      <w:r>
        <w:rPr>
          <w:rStyle w:val="Voetnootmarkering"/>
        </w:rPr>
        <w:footnoteRef/>
      </w:r>
      <w:r>
        <w:tab/>
        <w:t>Toelichting, paragraaf 1.1, laatste volzin.</w:t>
      </w:r>
    </w:p>
  </w:footnote>
  <w:footnote w:id="21">
    <w:p w:rsidR="002C7DDD" w:rsidRPr="00A902A7" w:rsidRDefault="000A0334" w:rsidP="002C7DDD">
      <w:pPr>
        <w:pStyle w:val="Voetnoottekst"/>
        <w:rPr>
          <w:b/>
        </w:rPr>
      </w:pPr>
      <w:r>
        <w:rPr>
          <w:rStyle w:val="Voetnootmarkering"/>
        </w:rPr>
        <w:footnoteRef/>
      </w:r>
      <w:r>
        <w:tab/>
      </w:r>
      <w:r w:rsidRPr="00A902A7">
        <w:t xml:space="preserve">Zie </w:t>
      </w:r>
      <w:r>
        <w:t xml:space="preserve">artikel 8, tweede lid, van de Algemene wet inzake rijksbelastingen (AWR), op grond waarvan </w:t>
      </w:r>
      <w:r>
        <w:tab/>
        <w:t>belastingen of groepen van belastingplichtigen/inhoudingsplichtigen bij ministeriële rege</w:t>
      </w:r>
      <w:r>
        <w:t xml:space="preserve">ling kunnen </w:t>
      </w:r>
      <w:r>
        <w:tab/>
        <w:t xml:space="preserve">worden aangewezen, voor wie het doen van aangifte uitsluitend langs elektronische weg dient </w:t>
      </w:r>
      <w:r>
        <w:tab/>
        <w:t xml:space="preserve">plaats te vinden. Deze bevoegdheid tot aanwijzing is in de slotzin van genoemd tweede lid </w:t>
      </w:r>
      <w:r>
        <w:tab/>
        <w:t>(wettelijk dus) geclausuleerd tot ondernemers</w:t>
      </w:r>
      <w:r>
        <w:rPr>
          <w:b/>
        </w:rPr>
        <w:t>.</w:t>
      </w:r>
    </w:p>
  </w:footnote>
  <w:footnote w:id="22">
    <w:p w:rsidR="002C7DDD" w:rsidRPr="00A902A7" w:rsidRDefault="000A0334" w:rsidP="002C7DDD">
      <w:pPr>
        <w:pStyle w:val="Voetnoottekst"/>
        <w:rPr>
          <w:b/>
        </w:rPr>
      </w:pPr>
      <w:r>
        <w:rPr>
          <w:rStyle w:val="Voetnootmarkering"/>
        </w:rPr>
        <w:footnoteRef/>
      </w:r>
      <w:r>
        <w:tab/>
      </w:r>
      <w:r>
        <w:t xml:space="preserve">Zie in het voorstel </w:t>
      </w:r>
      <w:r w:rsidRPr="00E512A0">
        <w:t>a</w:t>
      </w:r>
      <w:r w:rsidRPr="00A902A7">
        <w:t xml:space="preserve">rtikel I, onderdeel A (artikel 3a, eerste en derde lid, </w:t>
      </w:r>
      <w:r>
        <w:t xml:space="preserve">(nieuw) </w:t>
      </w:r>
      <w:r w:rsidRPr="00A902A7">
        <w:t>van de AWR),</w:t>
      </w:r>
      <w:r>
        <w:t xml:space="preserve"> </w:t>
      </w:r>
      <w:r>
        <w:tab/>
        <w:t>artikel</w:t>
      </w:r>
      <w:r w:rsidRPr="00A902A7">
        <w:t xml:space="preserve"> II, onderdeel A </w:t>
      </w:r>
      <w:r>
        <w:tab/>
      </w:r>
      <w:r w:rsidRPr="00A902A7">
        <w:t xml:space="preserve">(artikel 7c, eerste en derde lid, </w:t>
      </w:r>
      <w:r>
        <w:t xml:space="preserve">(nieuw) </w:t>
      </w:r>
      <w:r w:rsidRPr="00A902A7">
        <w:t xml:space="preserve">van de Invorderingswet 1990) en </w:t>
      </w:r>
      <w:r>
        <w:tab/>
        <w:t xml:space="preserve">artikel </w:t>
      </w:r>
      <w:r w:rsidRPr="00A902A7">
        <w:t>III, onderdeel A (artikel</w:t>
      </w:r>
      <w:r>
        <w:t xml:space="preserve"> </w:t>
      </w:r>
      <w:r w:rsidRPr="00A902A7">
        <w:t>13a, eerste en derde li</w:t>
      </w:r>
      <w:r w:rsidRPr="00A902A7">
        <w:t xml:space="preserve">d, </w:t>
      </w:r>
      <w:r>
        <w:t xml:space="preserve">(nieuw) </w:t>
      </w:r>
      <w:r w:rsidRPr="00A902A7">
        <w:t>van de Awir).</w:t>
      </w:r>
    </w:p>
  </w:footnote>
  <w:footnote w:id="23">
    <w:p w:rsidR="002C7DDD" w:rsidRDefault="000A0334" w:rsidP="002C7DDD">
      <w:pPr>
        <w:pStyle w:val="Voetnoottekst"/>
      </w:pPr>
      <w:r>
        <w:rPr>
          <w:rStyle w:val="Voetnootmarkering"/>
        </w:rPr>
        <w:footnoteRef/>
      </w:r>
      <w:r>
        <w:tab/>
        <w:t>Toelichting, paragraaf 2.2, tweede tekstblok, eerste tot en met derde volzin.</w:t>
      </w:r>
    </w:p>
  </w:footnote>
  <w:footnote w:id="24">
    <w:p w:rsidR="004C20F4" w:rsidRDefault="000A0334">
      <w:pPr>
        <w:pStyle w:val="Voetnoottekst"/>
      </w:pPr>
      <w:r>
        <w:rPr>
          <w:rStyle w:val="Voetnootmarkering"/>
        </w:rPr>
        <w:footnoteRef/>
      </w:r>
      <w:r>
        <w:t xml:space="preserve"> </w:t>
      </w:r>
      <w:r>
        <w:tab/>
        <w:t>Toelichting, paragraaf 2.2, tweede tekstblok, vierde volzin.</w:t>
      </w:r>
    </w:p>
  </w:footnote>
  <w:footnote w:id="25">
    <w:p w:rsidR="002C7DDD" w:rsidRPr="00AF6A4C" w:rsidRDefault="000A0334" w:rsidP="002C7DDD">
      <w:pPr>
        <w:pStyle w:val="Voetnoottekst"/>
      </w:pPr>
      <w:r>
        <w:rPr>
          <w:rStyle w:val="Voetnootmarkering"/>
        </w:rPr>
        <w:footnoteRef/>
      </w:r>
      <w:r>
        <w:tab/>
        <w:t>Indien een bericht dan wel een belastingplichtige, inhoudingsplichtige, belastingschu</w:t>
      </w:r>
      <w:r>
        <w:t xml:space="preserve">ldige of </w:t>
      </w:r>
      <w:r>
        <w:tab/>
        <w:t xml:space="preserve">belanghebbende </w:t>
      </w:r>
      <w:r>
        <w:rPr>
          <w:u w:val="single"/>
        </w:rPr>
        <w:t>niet</w:t>
      </w:r>
      <w:r>
        <w:t xml:space="preserve"> in de ministeriële regeling is aangewezen, impliceert dit een </w:t>
      </w:r>
      <w:r w:rsidRPr="00372A57">
        <w:rPr>
          <w:u w:val="single"/>
        </w:rPr>
        <w:t>verplicht</w:t>
      </w:r>
      <w:r>
        <w:t xml:space="preserve"> </w:t>
      </w:r>
      <w:r>
        <w:tab/>
        <w:t>elektronisch berichtenverkeer voor die berichten of personen.</w:t>
      </w:r>
    </w:p>
  </w:footnote>
  <w:footnote w:id="26">
    <w:p w:rsidR="002C7DDD" w:rsidRDefault="000A0334" w:rsidP="002C7DDD">
      <w:pPr>
        <w:pStyle w:val="Voetnoottekst"/>
      </w:pPr>
      <w:r>
        <w:rPr>
          <w:rStyle w:val="Voetnootmarkering"/>
        </w:rPr>
        <w:footnoteRef/>
      </w:r>
      <w:r>
        <w:tab/>
        <w:t>Toelichting, paragraaf 2.2, laatste tekstblok, tweede alinea, tweede volzin.</w:t>
      </w:r>
    </w:p>
  </w:footnote>
  <w:footnote w:id="27">
    <w:p w:rsidR="002C7DDD" w:rsidRDefault="000A0334" w:rsidP="002C7DDD">
      <w:pPr>
        <w:pStyle w:val="Voetnoottekst"/>
      </w:pPr>
      <w:r>
        <w:rPr>
          <w:rStyle w:val="Voetnootmarkering"/>
        </w:rPr>
        <w:footnoteRef/>
      </w:r>
      <w:r>
        <w:tab/>
        <w:t>Toelichtin</w:t>
      </w:r>
      <w:r>
        <w:t>g, paragraaf 2.2, laatste tekstblok, tweede alinea, derde en vierde volzin.</w:t>
      </w:r>
    </w:p>
  </w:footnote>
  <w:footnote w:id="28">
    <w:p w:rsidR="00B66330" w:rsidRPr="00A902A7" w:rsidRDefault="000A0334" w:rsidP="00B66330">
      <w:pPr>
        <w:pStyle w:val="Voetnoottekst"/>
        <w:rPr>
          <w:b/>
        </w:rPr>
      </w:pPr>
      <w:r>
        <w:rPr>
          <w:rStyle w:val="Voetnootmarkering"/>
        </w:rPr>
        <w:footnoteRef/>
      </w:r>
      <w:r>
        <w:tab/>
        <w:t>De burger gaat digitaal, 9 december 2013, 2013/170.</w:t>
      </w:r>
    </w:p>
  </w:footnote>
  <w:footnote w:id="29">
    <w:p w:rsidR="00B66330" w:rsidRPr="009250A4" w:rsidRDefault="000A0334" w:rsidP="00B66330">
      <w:pPr>
        <w:pStyle w:val="Voetnoottekst"/>
      </w:pPr>
      <w:r w:rsidRPr="009250A4">
        <w:rPr>
          <w:rStyle w:val="Voetnootmarkering"/>
        </w:rPr>
        <w:footnoteRef/>
      </w:r>
      <w:r>
        <w:tab/>
        <w:t>Kamerstukken II 2013/14, 33 714, nr. 5, blz. 11, eerste en tweede tekstblok</w:t>
      </w:r>
      <w:r w:rsidRPr="00372A57">
        <w:t>.</w:t>
      </w:r>
    </w:p>
  </w:footnote>
  <w:footnote w:id="30">
    <w:p w:rsidR="00B66330" w:rsidRDefault="000A0334" w:rsidP="00B66330">
      <w:pPr>
        <w:pStyle w:val="Voetnoottekst"/>
      </w:pPr>
      <w:r>
        <w:rPr>
          <w:rStyle w:val="Voetnootmarkering"/>
        </w:rPr>
        <w:footnoteRef/>
      </w:r>
      <w:r>
        <w:t xml:space="preserve"> </w:t>
      </w:r>
      <w:r>
        <w:tab/>
        <w:t xml:space="preserve">Brief van 27 januari 2015 aan de Voorzitter </w:t>
      </w:r>
      <w:r>
        <w:t xml:space="preserve">van de Tweede Kamer (Kamerstukken II 2014/15, </w:t>
      </w:r>
      <w:r>
        <w:tab/>
        <w:t xml:space="preserve">26 643, nr. 347) naar aanleiding van een aanvaarde motie (Kamerstukken II 2014/15, 34 000 VII, </w:t>
      </w:r>
      <w:r>
        <w:tab/>
        <w:t xml:space="preserve">nr. 22) waarin wordt overwogen dat </w:t>
      </w:r>
      <w:r w:rsidRPr="001D5077">
        <w:t xml:space="preserve">10% van de Nederlanders laaggeletterd is en meer dan 6% </w:t>
      </w:r>
      <w:r>
        <w:tab/>
      </w:r>
      <w:r w:rsidRPr="001D5077">
        <w:t>niet of nauwelijks to</w:t>
      </w:r>
      <w:r w:rsidRPr="001D5077">
        <w:t>egang heeft tot digitale media</w:t>
      </w:r>
      <w:r>
        <w:t xml:space="preserve"> en waarin</w:t>
      </w:r>
      <w:r w:rsidRPr="001D5077">
        <w:t xml:space="preserve"> de regering</w:t>
      </w:r>
      <w:r>
        <w:t xml:space="preserve"> wordt verzocht</w:t>
      </w:r>
      <w:r w:rsidRPr="001D5077">
        <w:t xml:space="preserve"> te </w:t>
      </w:r>
      <w:r>
        <w:tab/>
      </w:r>
      <w:r w:rsidRPr="001D5077">
        <w:t xml:space="preserve">expliciteren welke rol de Nationaal Commissaris heeft voor deze doelgroep en het tot zijn taak te </w:t>
      </w:r>
      <w:r>
        <w:tab/>
        <w:t>rekenen dat de toeganke</w:t>
      </w:r>
      <w:r w:rsidRPr="001D5077">
        <w:t>lijkheid van de digitale overheid voor allen bevorderd wordt</w:t>
      </w:r>
      <w:r>
        <w:t>.</w:t>
      </w:r>
    </w:p>
  </w:footnote>
  <w:footnote w:id="31">
    <w:p w:rsidR="002C7DDD" w:rsidRDefault="000A0334" w:rsidP="002C7DDD">
      <w:pPr>
        <w:pStyle w:val="Voetnoottekst"/>
      </w:pPr>
      <w:r>
        <w:rPr>
          <w:rStyle w:val="Voetnootmarkering"/>
        </w:rPr>
        <w:footnoteRef/>
      </w:r>
      <w:r>
        <w:tab/>
        <w:t>Toelichting, paragraaf 2.1, laatste tekstblok, eerste en tweede volzin.</w:t>
      </w:r>
    </w:p>
  </w:footnote>
  <w:footnote w:id="32">
    <w:p w:rsidR="002C7DDD" w:rsidRDefault="000A0334" w:rsidP="002C7DDD">
      <w:pPr>
        <w:pStyle w:val="Voetnoottekst"/>
      </w:pPr>
      <w:r>
        <w:rPr>
          <w:rStyle w:val="Voetnootmarkering"/>
        </w:rPr>
        <w:footnoteRef/>
      </w:r>
      <w:r>
        <w:tab/>
        <w:t>Toelichting, paragraaf 2.1, laatste tekstblok, vijfde volzin.</w:t>
      </w:r>
    </w:p>
  </w:footnote>
  <w:footnote w:id="33">
    <w:p w:rsidR="002C7DDD" w:rsidRPr="00A902A7" w:rsidRDefault="000A0334" w:rsidP="002C7DDD">
      <w:pPr>
        <w:pStyle w:val="Voetnoottekst"/>
        <w:rPr>
          <w:b/>
        </w:rPr>
      </w:pPr>
      <w:r w:rsidRPr="00D24D1F">
        <w:rPr>
          <w:rStyle w:val="Voetnootmarkering"/>
        </w:rPr>
        <w:footnoteRef/>
      </w:r>
      <w:r>
        <w:tab/>
      </w:r>
      <w:r w:rsidRPr="00372A57">
        <w:t>Kamerstukken II 201</w:t>
      </w:r>
      <w:r>
        <w:t xml:space="preserve">2/13, 33 714, nr. 3, blz. 18, paragraaf 9.1, laatste tekstblok, eerste en </w:t>
      </w:r>
      <w:r>
        <w:tab/>
        <w:t>tweede volzin.</w:t>
      </w:r>
    </w:p>
  </w:footnote>
  <w:footnote w:id="34">
    <w:p w:rsidR="00DF148C" w:rsidRDefault="000A0334">
      <w:pPr>
        <w:pStyle w:val="Voetnoottekst"/>
      </w:pPr>
      <w:r>
        <w:rPr>
          <w:rStyle w:val="Voetnootmarkering"/>
        </w:rPr>
        <w:footnoteRef/>
      </w:r>
      <w:r>
        <w:t xml:space="preserve"> Toeli</w:t>
      </w:r>
      <w:r>
        <w:t xml:space="preserve">chting, paragraaf 2.3. Deze paragraaf is tekstueel nagenoeg gelijk aan paragraaf 9.3 van </w:t>
      </w:r>
      <w:r>
        <w:tab/>
        <w:t>het bij de Tweede Kamer aanhangige</w:t>
      </w:r>
      <w:r w:rsidRPr="0025712F">
        <w:rPr>
          <w:iCs/>
        </w:rPr>
        <w:t xml:space="preserve"> </w:t>
      </w:r>
      <w:r>
        <w:rPr>
          <w:iCs/>
        </w:rPr>
        <w:t>wets</w:t>
      </w:r>
      <w:r w:rsidRPr="0025712F">
        <w:rPr>
          <w:iCs/>
        </w:rPr>
        <w:t xml:space="preserve">voorstel Wet vereenvoudiging formeel verkeer </w:t>
      </w:r>
      <w:r>
        <w:rPr>
          <w:iCs/>
        </w:rPr>
        <w:tab/>
      </w:r>
      <w:r w:rsidRPr="0025712F">
        <w:rPr>
          <w:iCs/>
        </w:rPr>
        <w:t xml:space="preserve">Belastingdienst </w:t>
      </w:r>
      <w:r>
        <w:rPr>
          <w:iCs/>
        </w:rPr>
        <w:t>(Kamer</w:t>
      </w:r>
      <w:r>
        <w:t>stukken II 2012/13, 33 714, nr. 3, blz. 19/20).</w:t>
      </w:r>
    </w:p>
  </w:footnote>
  <w:footnote w:id="35">
    <w:p w:rsidR="00F65226" w:rsidRDefault="000A0334">
      <w:pPr>
        <w:pStyle w:val="Voetnoottekst"/>
      </w:pPr>
      <w:r>
        <w:rPr>
          <w:rStyle w:val="Voetnootmarkering"/>
        </w:rPr>
        <w:footnoteRef/>
      </w:r>
      <w:r>
        <w:t xml:space="preserve"> </w:t>
      </w:r>
      <w:r>
        <w:tab/>
        <w:t xml:space="preserve">Het bij </w:t>
      </w:r>
      <w:r>
        <w:t xml:space="preserve">koninklijke boodschap van 16 oktober 2014 ingediende wetsvoorstel tot Wijziging van het </w:t>
      </w:r>
      <w:r>
        <w:tab/>
        <w:t xml:space="preserve">Wetboek van Burgerlijke Rechtsvordering en de Algemene wet bestuursrecht in verband met </w:t>
      </w:r>
      <w:r>
        <w:tab/>
        <w:t>vereenvoudiging en digitalisering van het procesrecht (Kamerstukken II 2014/15</w:t>
      </w:r>
      <w:r>
        <w:t xml:space="preserve">, 34 059, nr. 1) </w:t>
      </w:r>
      <w:r>
        <w:tab/>
        <w:t xml:space="preserve">en het bij koninklijke boodschap van 22 januari 2015 ingediende  wetsvoorstel tot Wijziging van </w:t>
      </w:r>
      <w:r>
        <w:tab/>
        <w:t xml:space="preserve">het Wetboek van Burgerlijke Rechtsvordering in verband met vereenvoudiging en digitalisering van </w:t>
      </w:r>
      <w:r>
        <w:tab/>
        <w:t>het procesrecht in hoger beroep en cassatie</w:t>
      </w:r>
      <w:r>
        <w:t xml:space="preserve"> (Kamerstukken II 2014/15, 34 138, nr. 1).</w:t>
      </w:r>
    </w:p>
  </w:footnote>
  <w:footnote w:id="36">
    <w:p w:rsidR="00B678FF" w:rsidRDefault="000A0334">
      <w:pPr>
        <w:pStyle w:val="Voetnoottekst"/>
      </w:pPr>
      <w:r>
        <w:rPr>
          <w:rStyle w:val="Voetnootmarkering"/>
        </w:rPr>
        <w:footnoteRef/>
      </w:r>
      <w:r>
        <w:t xml:space="preserve"> </w:t>
      </w:r>
      <w:r>
        <w:tab/>
        <w:t xml:space="preserve">Het in artikel I, onderdeel N, voorgestelde artikel 30c, vierde lid, (nieuw), van het Wetboek van </w:t>
      </w:r>
      <w:r>
        <w:tab/>
        <w:t>Burgerlijke Rechtsvordering (Kamerstukken II 2014/15, 34 059, nr. 2)</w:t>
      </w:r>
    </w:p>
  </w:footnote>
  <w:footnote w:id="37">
    <w:p w:rsidR="002C7DDD" w:rsidRDefault="000A0334" w:rsidP="002C7DDD">
      <w:pPr>
        <w:pStyle w:val="Voetnoottekst"/>
      </w:pPr>
      <w:r>
        <w:rPr>
          <w:rStyle w:val="Voetnootmarkering"/>
        </w:rPr>
        <w:footnoteRef/>
      </w:r>
      <w:r>
        <w:tab/>
        <w:t>Zie ook aanwijzing 26 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A033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033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0334"/>
    <w:rsid w:val="000C7C1C"/>
    <w:rsid w:val="00102C23"/>
    <w:rsid w:val="00122633"/>
    <w:rsid w:val="00127596"/>
    <w:rsid w:val="001410FD"/>
    <w:rsid w:val="00156F0B"/>
    <w:rsid w:val="001E27B0"/>
    <w:rsid w:val="002276F4"/>
    <w:rsid w:val="002B7D8A"/>
    <w:rsid w:val="002F16D1"/>
    <w:rsid w:val="0031280A"/>
    <w:rsid w:val="00365EF8"/>
    <w:rsid w:val="0036610F"/>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unhideWhenUsed/>
    <w:rsid w:val="00261A9F"/>
    <w:rPr>
      <w:vertAlign w:val="superscript"/>
    </w:rPr>
  </w:style>
  <w:style w:type="character" w:customStyle="1" w:styleId="LogoKoninginnepapier">
    <w:name w:val="Logo Koninginnepapier"/>
    <w:rsid w:val="00636D17"/>
    <w:rPr>
      <w:rFonts w:ascii="Bembo" w:hAnsi="Bembo"/>
      <w:spacing w:val="0"/>
      <w:sz w:val="32"/>
      <w:szCs w:val="32"/>
    </w:rPr>
  </w:style>
  <w:style w:type="paragraph" w:styleId="Normaalweb">
    <w:name w:val="Normal (Web)"/>
    <w:basedOn w:val="Standaard"/>
    <w:rsid w:val="00AB12D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unhideWhenUsed/>
    <w:rsid w:val="00261A9F"/>
    <w:rPr>
      <w:vertAlign w:val="superscript"/>
    </w:rPr>
  </w:style>
  <w:style w:type="character" w:customStyle="1" w:styleId="LogoKoninginnepapier">
    <w:name w:val="Logo Koninginnepapier"/>
    <w:rsid w:val="00636D17"/>
    <w:rPr>
      <w:rFonts w:ascii="Bembo" w:hAnsi="Bembo"/>
      <w:spacing w:val="0"/>
      <w:sz w:val="32"/>
      <w:szCs w:val="32"/>
    </w:rPr>
  </w:style>
  <w:style w:type="paragraph" w:styleId="Normaalweb">
    <w:name w:val="Normal (Web)"/>
    <w:basedOn w:val="Standaard"/>
    <w:rsid w:val="00AB12D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3195</ap:Words>
  <ap:Characters>19683</ap:Characters>
  <ap:DocSecurity>4</ap:DocSecurity>
  <ap:Lines>164</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2015-04-29T19:27:00.0000000Z</dcterms:created>
  <dcterms:modified xsi:type="dcterms:W3CDTF">2015-04-29T19:27:00.0000000Z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0x0101005BD54F4368C54F48B217CABCA4C3C99C</vt:lpwstr>
  </property>
</Properties>
</file>