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2488" w:rsidR="00A26CF3" w:rsidP="002D6B18" w:rsidRDefault="00A26CF3" w14:paraId="73754886" w14:textId="77777777">
      <w:pPr>
        <w:widowControl w:val="0"/>
        <w:autoSpaceDE w:val="0"/>
        <w:autoSpaceDN w:val="0"/>
        <w:adjustRightInd w:val="0"/>
        <w:spacing w:line="360" w:lineRule="auto"/>
        <w:rPr>
          <w:rFonts w:ascii="Verdana" w:hAnsi="Verdana" w:cs="TTE1688A08t00"/>
          <w:b/>
          <w:sz w:val="18"/>
          <w:szCs w:val="18"/>
        </w:rPr>
      </w:pPr>
      <w:bookmarkStart w:name="_GoBack" w:id="0"/>
      <w:bookmarkEnd w:id="0"/>
      <w:r w:rsidRPr="00A42488">
        <w:rPr>
          <w:rFonts w:ascii="Verdana" w:hAnsi="Verdana" w:cs="TTE1688A08t00"/>
          <w:b/>
          <w:sz w:val="18"/>
          <w:szCs w:val="18"/>
        </w:rPr>
        <w:t>Inleiding</w:t>
      </w:r>
    </w:p>
    <w:p w:rsidR="0006168C" w:rsidP="002D6B18" w:rsidRDefault="00A26CF3" w14:paraId="756C2580" w14:textId="77777777">
      <w:pPr>
        <w:spacing w:line="360" w:lineRule="auto"/>
        <w:rPr>
          <w:rFonts w:ascii="Verdana" w:hAnsi="Verdana"/>
          <w:sz w:val="18"/>
        </w:rPr>
      </w:pPr>
      <w:r w:rsidRPr="00A42488">
        <w:rPr>
          <w:rFonts w:ascii="Verdana" w:hAnsi="Verdana" w:cs="TTE1688A08t00"/>
          <w:sz w:val="18"/>
          <w:szCs w:val="18"/>
        </w:rPr>
        <w:t xml:space="preserve">Op </w:t>
      </w:r>
      <w:r w:rsidR="00ED20B8">
        <w:rPr>
          <w:rFonts w:ascii="Verdana" w:hAnsi="Verdana" w:cs="TTE1688A08t00"/>
          <w:sz w:val="18"/>
          <w:szCs w:val="18"/>
        </w:rPr>
        <w:t xml:space="preserve">woensdag </w:t>
      </w:r>
      <w:r w:rsidR="006E5171">
        <w:rPr>
          <w:rFonts w:ascii="Verdana" w:hAnsi="Verdana" w:cs="TTE1688A08t00"/>
          <w:sz w:val="18"/>
          <w:szCs w:val="18"/>
        </w:rPr>
        <w:t>13 mei</w:t>
      </w:r>
      <w:r w:rsidRPr="00A42488">
        <w:rPr>
          <w:rFonts w:ascii="Verdana" w:hAnsi="Verdana" w:cs="TTE1688A08t00"/>
          <w:sz w:val="18"/>
          <w:szCs w:val="18"/>
        </w:rPr>
        <w:t xml:space="preserve"> jl. publiceerde de Europese Commissie haar voorstel voor landenspecifieke aanbevelingen in het kader van het Europees Semester</w:t>
      </w:r>
      <w:r w:rsidR="006E5171">
        <w:rPr>
          <w:rFonts w:ascii="Verdana" w:hAnsi="Verdana" w:cs="TTE1688A08t00"/>
          <w:sz w:val="18"/>
          <w:szCs w:val="18"/>
        </w:rPr>
        <w:t>.</w:t>
      </w:r>
      <w:r w:rsidRPr="00A42488">
        <w:rPr>
          <w:rFonts w:ascii="Verdana" w:hAnsi="Verdana" w:cs="TTE1688A08t00"/>
          <w:sz w:val="18"/>
          <w:szCs w:val="18"/>
        </w:rPr>
        <w:t xml:space="preserve"> De aanbevelingen zijn gebaseerd op de Nationale Hervormingsprogramma’s en de Stabiliteits- en Convergentieprogramma’s die de lidstaten </w:t>
      </w:r>
      <w:r w:rsidR="006E5171">
        <w:rPr>
          <w:rFonts w:ascii="Verdana" w:hAnsi="Verdana" w:cs="TTE1688A08t00"/>
          <w:sz w:val="18"/>
          <w:szCs w:val="18"/>
        </w:rPr>
        <w:t xml:space="preserve">in </w:t>
      </w:r>
      <w:r w:rsidRPr="00A42488">
        <w:rPr>
          <w:rFonts w:ascii="Verdana" w:hAnsi="Verdana" w:cs="TTE1688A08t00"/>
          <w:sz w:val="18"/>
          <w:szCs w:val="18"/>
        </w:rPr>
        <w:t xml:space="preserve">april bij de Europese Commissie hebben ingediend. </w:t>
      </w:r>
      <w:r w:rsidRPr="00A42488">
        <w:rPr>
          <w:rFonts w:ascii="Verdana" w:hAnsi="Verdana"/>
          <w:sz w:val="18"/>
        </w:rPr>
        <w:t>In deze brief geeft het kabinet een appreciatie van het Commissievoorstel voor landenspecifieke aanbevelingen</w:t>
      </w:r>
      <w:r w:rsidR="007C5D2D">
        <w:rPr>
          <w:rFonts w:ascii="Verdana" w:hAnsi="Verdana"/>
          <w:sz w:val="18"/>
        </w:rPr>
        <w:t>.</w:t>
      </w:r>
      <w:r w:rsidR="0006168C">
        <w:rPr>
          <w:rFonts w:ascii="Verdana" w:hAnsi="Verdana"/>
          <w:sz w:val="18"/>
        </w:rPr>
        <w:t xml:space="preserve"> </w:t>
      </w:r>
    </w:p>
    <w:p w:rsidR="00483846" w:rsidP="002D6B18" w:rsidRDefault="00483846" w14:paraId="50E7A433" w14:textId="77777777">
      <w:pPr>
        <w:spacing w:line="360" w:lineRule="auto"/>
        <w:rPr>
          <w:rFonts w:ascii="Verdana" w:hAnsi="Verdana"/>
          <w:sz w:val="18"/>
        </w:rPr>
      </w:pPr>
    </w:p>
    <w:p w:rsidR="0006168C" w:rsidP="002D6B18" w:rsidRDefault="0006168C" w14:paraId="61930660" w14:textId="77777777">
      <w:pPr>
        <w:spacing w:line="360" w:lineRule="auto"/>
        <w:rPr>
          <w:rFonts w:ascii="Verdana" w:hAnsi="Verdana"/>
          <w:sz w:val="18"/>
        </w:rPr>
      </w:pPr>
      <w:r>
        <w:rPr>
          <w:rFonts w:ascii="Verdana" w:hAnsi="Verdana"/>
          <w:sz w:val="18"/>
        </w:rPr>
        <w:t xml:space="preserve">De Commissie heeft er dit jaar voor gekozen om de landenspecifieke aanbevelingen meer te richten op de </w:t>
      </w:r>
      <w:r w:rsidR="00EE1E5C">
        <w:rPr>
          <w:rFonts w:ascii="Verdana" w:hAnsi="Verdana"/>
          <w:sz w:val="18"/>
        </w:rPr>
        <w:t xml:space="preserve">meest </w:t>
      </w:r>
      <w:r>
        <w:rPr>
          <w:rFonts w:ascii="Verdana" w:hAnsi="Verdana"/>
          <w:sz w:val="18"/>
        </w:rPr>
        <w:t>belangrijk</w:t>
      </w:r>
      <w:r w:rsidR="00EE1E5C">
        <w:rPr>
          <w:rFonts w:ascii="Verdana" w:hAnsi="Verdana"/>
          <w:sz w:val="18"/>
        </w:rPr>
        <w:t>e</w:t>
      </w:r>
      <w:r>
        <w:rPr>
          <w:rFonts w:ascii="Verdana" w:hAnsi="Verdana"/>
          <w:sz w:val="18"/>
        </w:rPr>
        <w:t xml:space="preserve"> uitdagingen van lidstaten. Lidstaten met excessieve economische onevenwichtigheden krijgen relatief meer en/of meer gedetailleerde aanbevelingen dan landen die er relatief goed voorstaan. </w:t>
      </w:r>
      <w:r w:rsidR="00483846">
        <w:rPr>
          <w:rFonts w:ascii="Verdana" w:hAnsi="Verdana"/>
          <w:sz w:val="18"/>
        </w:rPr>
        <w:t xml:space="preserve">Deze beslissing sluit goed aan bij de ambitie van het kabinet om het Europees Semester </w:t>
      </w:r>
      <w:r w:rsidR="002871BB">
        <w:rPr>
          <w:rFonts w:ascii="Verdana" w:hAnsi="Verdana"/>
          <w:sz w:val="18"/>
        </w:rPr>
        <w:t xml:space="preserve">meer </w:t>
      </w:r>
      <w:r w:rsidR="00483846">
        <w:rPr>
          <w:rFonts w:ascii="Verdana" w:hAnsi="Verdana"/>
          <w:sz w:val="18"/>
        </w:rPr>
        <w:t>te stroomlijnen en te versterken</w:t>
      </w:r>
      <w:r w:rsidR="002871BB">
        <w:rPr>
          <w:rFonts w:ascii="Verdana" w:hAnsi="Verdana"/>
          <w:sz w:val="18"/>
        </w:rPr>
        <w:t>.</w:t>
      </w:r>
      <w:r w:rsidR="00C13A4A">
        <w:rPr>
          <w:rFonts w:ascii="Verdana" w:hAnsi="Verdana"/>
          <w:sz w:val="18"/>
        </w:rPr>
        <w:t xml:space="preserve"> </w:t>
      </w:r>
      <w:r w:rsidR="002871BB">
        <w:rPr>
          <w:rFonts w:ascii="Verdana" w:hAnsi="Verdana"/>
          <w:sz w:val="18"/>
        </w:rPr>
        <w:t>H</w:t>
      </w:r>
      <w:r>
        <w:rPr>
          <w:rFonts w:ascii="Verdana" w:hAnsi="Verdana"/>
          <w:sz w:val="18"/>
        </w:rPr>
        <w:t>ierdoor</w:t>
      </w:r>
      <w:r w:rsidR="002871BB">
        <w:rPr>
          <w:rFonts w:ascii="Verdana" w:hAnsi="Verdana"/>
          <w:sz w:val="18"/>
        </w:rPr>
        <w:t xml:space="preserve"> ontstaat</w:t>
      </w:r>
      <w:r>
        <w:rPr>
          <w:rFonts w:ascii="Verdana" w:hAnsi="Verdana"/>
          <w:sz w:val="18"/>
        </w:rPr>
        <w:t xml:space="preserve"> meer druk op lidstaten om </w:t>
      </w:r>
      <w:r w:rsidR="00B51E4B">
        <w:rPr>
          <w:rFonts w:ascii="Verdana" w:hAnsi="Verdana"/>
          <w:sz w:val="18"/>
        </w:rPr>
        <w:t>essentiële</w:t>
      </w:r>
      <w:r>
        <w:rPr>
          <w:rFonts w:ascii="Verdana" w:hAnsi="Verdana"/>
          <w:sz w:val="18"/>
        </w:rPr>
        <w:t xml:space="preserve"> hervormingen door te voeren. Dat is in het belang van de lidstaat zelf, maar ook in het belang van de EU als geheel. De crisis heeft aangetoond dat lidstaten sterk met elkaar verweven zijn, waa</w:t>
      </w:r>
      <w:r w:rsidR="00483846">
        <w:rPr>
          <w:rFonts w:ascii="Verdana" w:hAnsi="Verdana"/>
          <w:sz w:val="18"/>
        </w:rPr>
        <w:t xml:space="preserve">rdoor risico’s in een lidstaat </w:t>
      </w:r>
      <w:r>
        <w:rPr>
          <w:rFonts w:ascii="Verdana" w:hAnsi="Verdana"/>
          <w:sz w:val="18"/>
        </w:rPr>
        <w:t xml:space="preserve">vergaande gevolgen kunnen hebben voor andere lidstaten. </w:t>
      </w:r>
    </w:p>
    <w:p w:rsidR="00C43D4E" w:rsidP="002D6B18" w:rsidRDefault="00C43D4E" w14:paraId="60688683" w14:textId="77777777">
      <w:pPr>
        <w:spacing w:line="360" w:lineRule="auto"/>
        <w:rPr>
          <w:rFonts w:ascii="Verdana" w:hAnsi="Verdana"/>
          <w:sz w:val="18"/>
        </w:rPr>
      </w:pPr>
    </w:p>
    <w:p w:rsidR="00BD3271" w:rsidP="00B71F89" w:rsidRDefault="00483846" w14:paraId="24FD302D" w14:textId="77777777">
      <w:pPr>
        <w:spacing w:line="360" w:lineRule="auto"/>
        <w:rPr>
          <w:rFonts w:ascii="Verdana" w:hAnsi="Verdana" w:cs="TTE1688A08t00"/>
          <w:sz w:val="18"/>
          <w:szCs w:val="18"/>
        </w:rPr>
      </w:pPr>
      <w:r>
        <w:rPr>
          <w:rFonts w:ascii="Verdana" w:hAnsi="Verdana" w:cs="TTE1688A08t00"/>
          <w:sz w:val="18"/>
          <w:szCs w:val="18"/>
        </w:rPr>
        <w:t xml:space="preserve">De landenspecifieke aanbevelingen worden gepubliceerd tegen de achtergrond van een </w:t>
      </w:r>
      <w:r w:rsidR="00417792">
        <w:rPr>
          <w:rFonts w:ascii="Verdana" w:hAnsi="Verdana" w:cs="TTE1688A08t00"/>
          <w:sz w:val="18"/>
          <w:szCs w:val="18"/>
        </w:rPr>
        <w:t xml:space="preserve">verbeterd </w:t>
      </w:r>
      <w:r>
        <w:rPr>
          <w:rFonts w:ascii="Verdana" w:hAnsi="Verdana" w:cs="TTE1688A08t00"/>
          <w:sz w:val="18"/>
          <w:szCs w:val="18"/>
        </w:rPr>
        <w:t>economisch klimaat in de EU.</w:t>
      </w:r>
      <w:r w:rsidR="00B71F89">
        <w:rPr>
          <w:rFonts w:ascii="Verdana" w:hAnsi="Verdana"/>
          <w:sz w:val="18"/>
        </w:rPr>
        <w:t xml:space="preserve"> </w:t>
      </w:r>
      <w:r w:rsidR="00F91229">
        <w:rPr>
          <w:rFonts w:ascii="Verdana" w:hAnsi="Verdana"/>
          <w:sz w:val="18"/>
        </w:rPr>
        <w:t xml:space="preserve">Voor het eerst sinds de financiële crisis van 2008, verwacht de </w:t>
      </w:r>
      <w:r w:rsidR="00C13A4A">
        <w:rPr>
          <w:rFonts w:ascii="Verdana" w:hAnsi="Verdana"/>
          <w:sz w:val="18"/>
        </w:rPr>
        <w:t xml:space="preserve">Europese </w:t>
      </w:r>
      <w:r w:rsidR="002871BB">
        <w:rPr>
          <w:rFonts w:ascii="Verdana" w:hAnsi="Verdana"/>
          <w:sz w:val="18"/>
        </w:rPr>
        <w:t>C</w:t>
      </w:r>
      <w:r w:rsidR="00F91229">
        <w:rPr>
          <w:rFonts w:ascii="Verdana" w:hAnsi="Verdana"/>
          <w:sz w:val="18"/>
        </w:rPr>
        <w:t xml:space="preserve">ommissie economische groei in alle EU-lidstaten. </w:t>
      </w:r>
      <w:r w:rsidR="00B71F89">
        <w:rPr>
          <w:rFonts w:ascii="Verdana" w:hAnsi="Verdana"/>
          <w:sz w:val="18"/>
        </w:rPr>
        <w:t xml:space="preserve">Ook in Nederland </w:t>
      </w:r>
      <w:r w:rsidR="00F91229">
        <w:rPr>
          <w:rFonts w:ascii="Verdana" w:hAnsi="Verdana"/>
          <w:sz w:val="18"/>
        </w:rPr>
        <w:t xml:space="preserve">is </w:t>
      </w:r>
      <w:r w:rsidR="00417792">
        <w:rPr>
          <w:rFonts w:ascii="Verdana" w:hAnsi="Verdana"/>
          <w:sz w:val="18"/>
        </w:rPr>
        <w:t>breed gedragen economisch</w:t>
      </w:r>
      <w:r w:rsidR="00B71F89">
        <w:rPr>
          <w:rFonts w:ascii="Verdana" w:hAnsi="Verdana"/>
          <w:sz w:val="18"/>
        </w:rPr>
        <w:t xml:space="preserve"> herstel zichtbaar. </w:t>
      </w:r>
      <w:r>
        <w:rPr>
          <w:rFonts w:ascii="Verdana" w:hAnsi="Verdana"/>
          <w:sz w:val="18"/>
        </w:rPr>
        <w:t xml:space="preserve">Nederland is erin geslaagd om de begroting op orde te brengen en heeft vergaande hervormingen doorgevoerd. De Commissie ziet dat deze hervormingen hun vruchten afwerpen en heeft er </w:t>
      </w:r>
      <w:r w:rsidR="00C13A4A">
        <w:rPr>
          <w:rFonts w:ascii="Verdana" w:hAnsi="Verdana"/>
          <w:sz w:val="18"/>
        </w:rPr>
        <w:t>mede daarom</w:t>
      </w:r>
      <w:r>
        <w:rPr>
          <w:rFonts w:ascii="Verdana" w:hAnsi="Verdana"/>
          <w:sz w:val="18"/>
        </w:rPr>
        <w:t xml:space="preserve"> voor gekozen om Nederland niet langer aanbevelingen te geven op het gebied van arbeidsmarkt en zorg.</w:t>
      </w:r>
      <w:r w:rsidR="00B71F89">
        <w:rPr>
          <w:rFonts w:ascii="Verdana" w:hAnsi="Verdana"/>
          <w:sz w:val="18"/>
        </w:rPr>
        <w:t xml:space="preserve"> </w:t>
      </w:r>
      <w:r w:rsidRPr="00651027" w:rsidR="00964895">
        <w:rPr>
          <w:rFonts w:ascii="Verdana" w:hAnsi="Verdana" w:cs="TTE1688A08t00"/>
          <w:sz w:val="18"/>
          <w:szCs w:val="18"/>
        </w:rPr>
        <w:t>De Commissie</w:t>
      </w:r>
      <w:r w:rsidR="00964895">
        <w:rPr>
          <w:rFonts w:ascii="Verdana" w:hAnsi="Verdana" w:cs="TTE1688A08t00"/>
          <w:sz w:val="18"/>
          <w:szCs w:val="18"/>
        </w:rPr>
        <w:t xml:space="preserve"> heeft daarnaast geen aanbeveling gegeven die ziet op de vereisten uit het Stabiliteits- en Groeipact (SGP). W</w:t>
      </w:r>
      <w:r w:rsidRPr="00651027" w:rsidR="00964895">
        <w:rPr>
          <w:rFonts w:ascii="Verdana" w:hAnsi="Verdana" w:cs="TTE1688A08t00"/>
          <w:sz w:val="18"/>
          <w:szCs w:val="18"/>
        </w:rPr>
        <w:t xml:space="preserve">el </w:t>
      </w:r>
      <w:r w:rsidR="00964895">
        <w:rPr>
          <w:rFonts w:ascii="Verdana" w:hAnsi="Verdana" w:cs="TTE1688A08t00"/>
          <w:sz w:val="18"/>
          <w:szCs w:val="18"/>
        </w:rPr>
        <w:t xml:space="preserve">merkt de Commissie </w:t>
      </w:r>
      <w:r w:rsidRPr="00651027" w:rsidR="00964895">
        <w:rPr>
          <w:rFonts w:ascii="Verdana" w:hAnsi="Verdana" w:cs="TTE1688A08t00"/>
          <w:sz w:val="18"/>
          <w:szCs w:val="18"/>
        </w:rPr>
        <w:t xml:space="preserve">op dat het structureel saldo van Nederland in zowel 2015 als 2016 in lijn is met de </w:t>
      </w:r>
      <w:proofErr w:type="spellStart"/>
      <w:r w:rsidRPr="00651027" w:rsidR="00964895">
        <w:rPr>
          <w:rFonts w:ascii="Verdana" w:hAnsi="Verdana" w:cs="TTE1688A08t00"/>
          <w:sz w:val="18"/>
          <w:szCs w:val="18"/>
        </w:rPr>
        <w:t>middellangetermijndoelstelling</w:t>
      </w:r>
      <w:proofErr w:type="spellEnd"/>
      <w:r w:rsidRPr="00651027" w:rsidR="00964895">
        <w:rPr>
          <w:rFonts w:ascii="Verdana" w:hAnsi="Verdana" w:cs="TTE1688A08t00"/>
          <w:sz w:val="18"/>
          <w:szCs w:val="18"/>
        </w:rPr>
        <w:t xml:space="preserve"> (MTO) van -0,5%. Hiermee voldoet Nederland aan de eisen van de preventieve arm van het SGP.</w:t>
      </w:r>
    </w:p>
    <w:p w:rsidR="00BD3271" w:rsidP="00B71F89" w:rsidRDefault="00BD3271" w14:paraId="202DE6FF" w14:textId="77777777">
      <w:pPr>
        <w:spacing w:line="360" w:lineRule="auto"/>
        <w:rPr>
          <w:rFonts w:ascii="Verdana" w:hAnsi="Verdana" w:cs="TTE1688A08t00"/>
          <w:sz w:val="18"/>
          <w:szCs w:val="18"/>
        </w:rPr>
      </w:pPr>
    </w:p>
    <w:p w:rsidR="001508F9" w:rsidP="001508F9" w:rsidRDefault="00B71F89" w14:paraId="6DFE49D7" w14:textId="77777777">
      <w:pPr>
        <w:spacing w:line="360" w:lineRule="auto"/>
        <w:rPr>
          <w:rFonts w:ascii="Verdana" w:hAnsi="Verdana"/>
          <w:sz w:val="18"/>
        </w:rPr>
      </w:pPr>
      <w:r w:rsidRPr="0036146C">
        <w:rPr>
          <w:rFonts w:ascii="Verdana" w:hAnsi="Verdana"/>
          <w:sz w:val="18"/>
          <w:szCs w:val="18"/>
        </w:rPr>
        <w:t xml:space="preserve">De Europese Commissie stelt </w:t>
      </w:r>
      <w:r w:rsidR="00F91229">
        <w:rPr>
          <w:rFonts w:ascii="Verdana" w:hAnsi="Verdana"/>
          <w:sz w:val="18"/>
          <w:szCs w:val="18"/>
        </w:rPr>
        <w:t xml:space="preserve">dit jaar </w:t>
      </w:r>
      <w:r w:rsidRPr="0036146C">
        <w:rPr>
          <w:rFonts w:ascii="Verdana" w:hAnsi="Verdana"/>
          <w:sz w:val="18"/>
          <w:szCs w:val="18"/>
        </w:rPr>
        <w:t xml:space="preserve">voor Nederland </w:t>
      </w:r>
      <w:r>
        <w:rPr>
          <w:rFonts w:ascii="Verdana" w:hAnsi="Verdana"/>
          <w:sz w:val="18"/>
          <w:szCs w:val="18"/>
        </w:rPr>
        <w:t xml:space="preserve">drie </w:t>
      </w:r>
      <w:r w:rsidRPr="0036146C">
        <w:rPr>
          <w:rFonts w:ascii="Verdana" w:hAnsi="Verdana"/>
          <w:sz w:val="18"/>
          <w:szCs w:val="18"/>
        </w:rPr>
        <w:t>landenspecifieke aanbevelingen voor</w:t>
      </w:r>
      <w:r>
        <w:rPr>
          <w:rFonts w:ascii="Verdana" w:hAnsi="Verdana" w:cs="TTE1688A08t00"/>
          <w:sz w:val="18"/>
          <w:szCs w:val="18"/>
        </w:rPr>
        <w:t>: het waarborgen van investeringen in onderzoek en innovatie</w:t>
      </w:r>
      <w:r w:rsidR="002871BB">
        <w:rPr>
          <w:rFonts w:ascii="Verdana" w:hAnsi="Verdana" w:cs="TTE1688A08t00"/>
          <w:sz w:val="18"/>
          <w:szCs w:val="18"/>
        </w:rPr>
        <w:t xml:space="preserve"> en de randvoorwaarden daarvoor</w:t>
      </w:r>
      <w:r>
        <w:rPr>
          <w:rFonts w:ascii="Verdana" w:hAnsi="Verdana" w:cs="TTE1688A08t00"/>
          <w:sz w:val="18"/>
          <w:szCs w:val="18"/>
        </w:rPr>
        <w:t xml:space="preserve">, </w:t>
      </w:r>
      <w:r w:rsidR="002871BB">
        <w:rPr>
          <w:rFonts w:ascii="Verdana" w:hAnsi="Verdana" w:cs="TTE1688A08t00"/>
          <w:sz w:val="18"/>
          <w:szCs w:val="18"/>
        </w:rPr>
        <w:t xml:space="preserve">het opvoeren van </w:t>
      </w:r>
      <w:r>
        <w:rPr>
          <w:rFonts w:ascii="Verdana" w:hAnsi="Verdana" w:cs="TTE1688A08t00"/>
          <w:sz w:val="18"/>
          <w:szCs w:val="18"/>
        </w:rPr>
        <w:t xml:space="preserve">de </w:t>
      </w:r>
      <w:r w:rsidRPr="0036146C">
        <w:rPr>
          <w:rFonts w:ascii="Verdana" w:hAnsi="Verdana" w:cs="TTE1688A08t00"/>
          <w:sz w:val="18"/>
          <w:szCs w:val="18"/>
        </w:rPr>
        <w:t>hervorming</w:t>
      </w:r>
      <w:r w:rsidR="002871BB">
        <w:rPr>
          <w:rFonts w:ascii="Verdana" w:hAnsi="Verdana" w:cs="TTE1688A08t00"/>
          <w:sz w:val="18"/>
          <w:szCs w:val="18"/>
        </w:rPr>
        <w:t>en</w:t>
      </w:r>
      <w:r w:rsidRPr="0036146C">
        <w:rPr>
          <w:rFonts w:ascii="Verdana" w:hAnsi="Verdana" w:cs="TTE1688A08t00"/>
          <w:sz w:val="18"/>
          <w:szCs w:val="18"/>
        </w:rPr>
        <w:t xml:space="preserve"> </w:t>
      </w:r>
      <w:r w:rsidR="002871BB">
        <w:rPr>
          <w:rFonts w:ascii="Verdana" w:hAnsi="Verdana" w:cs="TTE1688A08t00"/>
          <w:sz w:val="18"/>
          <w:szCs w:val="18"/>
        </w:rPr>
        <w:t>op</w:t>
      </w:r>
      <w:r w:rsidRPr="0036146C">
        <w:rPr>
          <w:rFonts w:ascii="Verdana" w:hAnsi="Verdana" w:cs="TTE1688A08t00"/>
          <w:sz w:val="18"/>
          <w:szCs w:val="18"/>
        </w:rPr>
        <w:t xml:space="preserve"> de woningmarkt en</w:t>
      </w:r>
      <w:r>
        <w:rPr>
          <w:rFonts w:ascii="Verdana" w:hAnsi="Verdana" w:cs="TTE1688A08t00"/>
          <w:sz w:val="18"/>
          <w:szCs w:val="18"/>
        </w:rPr>
        <w:t xml:space="preserve"> de</w:t>
      </w:r>
      <w:r w:rsidRPr="0036146C">
        <w:rPr>
          <w:rFonts w:ascii="Verdana" w:hAnsi="Verdana" w:cs="TTE1688A08t00"/>
          <w:sz w:val="18"/>
          <w:szCs w:val="18"/>
        </w:rPr>
        <w:t xml:space="preserve"> heroverweging van de pensioenopbouw</w:t>
      </w:r>
      <w:r>
        <w:rPr>
          <w:rFonts w:ascii="Verdana" w:hAnsi="Verdana" w:cs="TTE1688A08t00"/>
          <w:sz w:val="18"/>
          <w:szCs w:val="18"/>
        </w:rPr>
        <w:t xml:space="preserve">. </w:t>
      </w:r>
      <w:r w:rsidR="00F91229">
        <w:rPr>
          <w:rFonts w:ascii="Verdana" w:hAnsi="Verdana" w:cs="TTE1688A08t00"/>
          <w:sz w:val="18"/>
          <w:szCs w:val="18"/>
        </w:rPr>
        <w:t>Het kabinet herkent zich in de aandachtspunten die de Commissie hiermee schetst, zoals ook o.a. blijkt uit</w:t>
      </w:r>
      <w:r>
        <w:rPr>
          <w:rFonts w:ascii="Verdana" w:hAnsi="Verdana" w:cs="TTE1688A08t00"/>
          <w:sz w:val="18"/>
          <w:szCs w:val="18"/>
        </w:rPr>
        <w:t xml:space="preserve"> de stroomlijning van het innovatie-instrumentarium, het brede pakket aan hervormingen op de woningmarkt en de heroverweging van ons pensioenstelsel die momenteel plaatsvindt. Hoewel het kabinet zich kan vinden in de aandachtspunten van de Commissie, is </w:t>
      </w:r>
      <w:r w:rsidR="00C75772">
        <w:rPr>
          <w:rFonts w:ascii="Verdana" w:hAnsi="Verdana" w:cs="TTE1688A08t00"/>
          <w:sz w:val="18"/>
          <w:szCs w:val="18"/>
        </w:rPr>
        <w:t xml:space="preserve">het kabinet </w:t>
      </w:r>
      <w:r>
        <w:rPr>
          <w:rFonts w:ascii="Verdana" w:hAnsi="Verdana" w:cs="TTE1688A08t00"/>
          <w:sz w:val="18"/>
          <w:szCs w:val="18"/>
        </w:rPr>
        <w:t>het niet eens met</w:t>
      </w:r>
      <w:r w:rsidR="00FE5F17">
        <w:rPr>
          <w:rFonts w:ascii="Verdana" w:hAnsi="Verdana" w:cs="TTE1688A08t00"/>
          <w:sz w:val="18"/>
          <w:szCs w:val="18"/>
        </w:rPr>
        <w:t xml:space="preserve"> het</w:t>
      </w:r>
      <w:r>
        <w:rPr>
          <w:rFonts w:ascii="Verdana" w:hAnsi="Verdana" w:cs="TTE1688A08t00"/>
          <w:sz w:val="18"/>
          <w:szCs w:val="18"/>
        </w:rPr>
        <w:t xml:space="preserve"> tempo dat de Commissie aanbeveelt </w:t>
      </w:r>
      <w:r w:rsidR="00F91229">
        <w:rPr>
          <w:rFonts w:ascii="Verdana" w:hAnsi="Verdana" w:cs="TTE1688A08t00"/>
          <w:sz w:val="18"/>
          <w:szCs w:val="18"/>
        </w:rPr>
        <w:t>ten aanzien van</w:t>
      </w:r>
      <w:r>
        <w:rPr>
          <w:rFonts w:ascii="Verdana" w:hAnsi="Verdana" w:cs="TTE1688A08t00"/>
          <w:sz w:val="18"/>
          <w:szCs w:val="18"/>
        </w:rPr>
        <w:t xml:space="preserve"> de afbouw van de hypotheekrenteaftrek. Het kabinet is van mening dat d</w:t>
      </w:r>
      <w:r w:rsidRPr="006664F2">
        <w:rPr>
          <w:rFonts w:ascii="Verdana" w:hAnsi="Verdana" w:cs="TTE1688A08t00"/>
          <w:sz w:val="18"/>
          <w:szCs w:val="18"/>
        </w:rPr>
        <w:t xml:space="preserve">e koopwoningmarkt gebaat </w:t>
      </w:r>
      <w:r>
        <w:rPr>
          <w:rFonts w:ascii="Verdana" w:hAnsi="Verdana" w:cs="TTE1688A08t00"/>
          <w:sz w:val="18"/>
          <w:szCs w:val="18"/>
        </w:rPr>
        <w:t xml:space="preserve">is bij </w:t>
      </w:r>
      <w:r w:rsidRPr="006664F2">
        <w:rPr>
          <w:rFonts w:ascii="Verdana" w:hAnsi="Verdana" w:cs="TTE1688A08t00"/>
          <w:sz w:val="18"/>
          <w:szCs w:val="18"/>
        </w:rPr>
        <w:t xml:space="preserve">duidelijkheid en rust, daarom zijn er geen plannen om de </w:t>
      </w:r>
      <w:r>
        <w:rPr>
          <w:rFonts w:ascii="Verdana" w:hAnsi="Verdana" w:cs="TTE1688A08t00"/>
          <w:sz w:val="18"/>
          <w:szCs w:val="18"/>
        </w:rPr>
        <w:t>afbouw</w:t>
      </w:r>
      <w:r w:rsidR="002871BB">
        <w:rPr>
          <w:rFonts w:ascii="Verdana" w:hAnsi="Verdana" w:cs="TTE1688A08t00"/>
          <w:sz w:val="18"/>
          <w:szCs w:val="18"/>
        </w:rPr>
        <w:t xml:space="preserve"> van de hypotheekrenteaftrek</w:t>
      </w:r>
      <w:r w:rsidRPr="006664F2">
        <w:rPr>
          <w:rFonts w:ascii="Verdana" w:hAnsi="Verdana" w:cs="TTE1688A08t00"/>
          <w:sz w:val="18"/>
          <w:szCs w:val="18"/>
        </w:rPr>
        <w:t xml:space="preserve"> te versnellen. </w:t>
      </w:r>
      <w:r w:rsidR="001508F9">
        <w:rPr>
          <w:rFonts w:ascii="Verdana" w:hAnsi="Verdana" w:cs="TTE1688A08t00"/>
          <w:sz w:val="18"/>
          <w:szCs w:val="18"/>
        </w:rPr>
        <w:t>Ook is het kabinet ten aanzien van de pensioenaanbeveling van mening dat er meerdere oplossingen denkbaar zijn om de door de Commissie gesignaleerde uitdaging op het gebied van de</w:t>
      </w:r>
      <w:r w:rsidR="001508F9">
        <w:t xml:space="preserve"> </w:t>
      </w:r>
      <w:r w:rsidR="001508F9">
        <w:rPr>
          <w:rFonts w:ascii="Verdana" w:hAnsi="Verdana" w:cs="TTE1688A08t00"/>
          <w:sz w:val="18"/>
          <w:szCs w:val="18"/>
        </w:rPr>
        <w:t xml:space="preserve">verdeling van kosten en risico’s binnen en tussen generaties aan te pakken. </w:t>
      </w:r>
    </w:p>
    <w:p w:rsidR="00B71F89" w:rsidP="00B71F89" w:rsidRDefault="00B71F89" w14:paraId="1C038467" w14:textId="77777777">
      <w:pPr>
        <w:spacing w:line="360" w:lineRule="auto"/>
        <w:rPr>
          <w:rFonts w:ascii="Verdana" w:hAnsi="Verdana"/>
          <w:sz w:val="18"/>
        </w:rPr>
      </w:pPr>
    </w:p>
    <w:p w:rsidRPr="00A42488" w:rsidR="00A26CF3" w:rsidP="002D6B18" w:rsidRDefault="00A26CF3" w14:paraId="4DFB2CFF" w14:textId="18036843">
      <w:pPr>
        <w:spacing w:line="360" w:lineRule="auto"/>
        <w:rPr>
          <w:rFonts w:ascii="Verdana" w:hAnsi="Verdana"/>
          <w:b/>
          <w:sz w:val="18"/>
        </w:rPr>
      </w:pPr>
      <w:r w:rsidRPr="00A42488">
        <w:rPr>
          <w:rFonts w:ascii="Verdana" w:hAnsi="Verdana" w:cs="TTE1688A08t00"/>
          <w:sz w:val="18"/>
          <w:szCs w:val="18"/>
        </w:rPr>
        <w:t>In de komende maand</w:t>
      </w:r>
      <w:r w:rsidR="00594349">
        <w:rPr>
          <w:rFonts w:ascii="Verdana" w:hAnsi="Verdana" w:cs="TTE1688A08t00"/>
          <w:sz w:val="18"/>
          <w:szCs w:val="18"/>
        </w:rPr>
        <w:t>en</w:t>
      </w:r>
      <w:r w:rsidRPr="00A42488">
        <w:rPr>
          <w:rFonts w:ascii="Verdana" w:hAnsi="Verdana" w:cs="TTE1688A08t00"/>
          <w:sz w:val="18"/>
          <w:szCs w:val="18"/>
        </w:rPr>
        <w:t xml:space="preserve"> wordt het voorstel voor landenspecifieke aanbevelingen</w:t>
      </w:r>
      <w:r w:rsidR="00EE1E5C">
        <w:rPr>
          <w:rFonts w:ascii="Verdana" w:hAnsi="Verdana"/>
          <w:sz w:val="18"/>
        </w:rPr>
        <w:t xml:space="preserve"> </w:t>
      </w:r>
      <w:r w:rsidRPr="00A42488">
        <w:rPr>
          <w:rFonts w:ascii="Verdana" w:hAnsi="Verdana" w:cs="TTE1688A08t00"/>
          <w:sz w:val="18"/>
          <w:szCs w:val="18"/>
        </w:rPr>
        <w:t xml:space="preserve">besproken </w:t>
      </w:r>
      <w:r w:rsidR="00EE1E5C">
        <w:rPr>
          <w:rFonts w:ascii="Verdana" w:hAnsi="Verdana" w:cs="TTE1688A08t00"/>
          <w:sz w:val="18"/>
          <w:szCs w:val="18"/>
        </w:rPr>
        <w:t xml:space="preserve">en vastgesteld </w:t>
      </w:r>
      <w:r w:rsidRPr="00A42488">
        <w:rPr>
          <w:rFonts w:ascii="Verdana" w:hAnsi="Verdana" w:cs="TTE1688A08t00"/>
          <w:sz w:val="18"/>
          <w:szCs w:val="18"/>
        </w:rPr>
        <w:t>in de ECOFIN-Raad</w:t>
      </w:r>
      <w:r w:rsidR="00EE1E5C">
        <w:rPr>
          <w:rFonts w:ascii="Verdana" w:hAnsi="Verdana" w:cs="TTE1688A08t00"/>
          <w:sz w:val="18"/>
          <w:szCs w:val="18"/>
        </w:rPr>
        <w:t xml:space="preserve"> en</w:t>
      </w:r>
      <w:r w:rsidRPr="00A42488">
        <w:rPr>
          <w:rFonts w:ascii="Verdana" w:hAnsi="Verdana" w:cs="TTE1688A08t00"/>
          <w:sz w:val="18"/>
          <w:szCs w:val="18"/>
        </w:rPr>
        <w:t xml:space="preserve"> de </w:t>
      </w:r>
      <w:r w:rsidR="00846551">
        <w:rPr>
          <w:rFonts w:ascii="Verdana" w:hAnsi="Verdana" w:cs="TTE1688A08t00"/>
          <w:sz w:val="18"/>
          <w:szCs w:val="18"/>
        </w:rPr>
        <w:t>Raad Werkgelegenheid en Sociaal Beleid</w:t>
      </w:r>
      <w:r w:rsidR="00F91229">
        <w:rPr>
          <w:rFonts w:ascii="Verdana" w:hAnsi="Verdana" w:cs="TTE1688A08t00"/>
          <w:sz w:val="18"/>
          <w:szCs w:val="18"/>
        </w:rPr>
        <w:t>,</w:t>
      </w:r>
      <w:r w:rsidRPr="00A42488">
        <w:rPr>
          <w:rFonts w:ascii="Verdana" w:hAnsi="Verdana" w:cs="TTE1688A08t00"/>
          <w:sz w:val="18"/>
          <w:szCs w:val="18"/>
        </w:rPr>
        <w:t xml:space="preserve"> waarna de </w:t>
      </w:r>
      <w:r w:rsidRPr="00A42488">
        <w:rPr>
          <w:rFonts w:ascii="Verdana" w:hAnsi="Verdana" w:cs="TTE1688A08t00"/>
          <w:sz w:val="18"/>
          <w:szCs w:val="18"/>
        </w:rPr>
        <w:lastRenderedPageBreak/>
        <w:t xml:space="preserve">Europese Raad van 26 en 27 juni </w:t>
      </w:r>
      <w:r w:rsidR="00F91229">
        <w:rPr>
          <w:rFonts w:ascii="Verdana" w:hAnsi="Verdana" w:cs="TTE1688A08t00"/>
          <w:sz w:val="18"/>
          <w:szCs w:val="18"/>
        </w:rPr>
        <w:t xml:space="preserve">de aanbevelingen zal </w:t>
      </w:r>
      <w:r w:rsidRPr="00A42488">
        <w:rPr>
          <w:rFonts w:ascii="Verdana" w:hAnsi="Verdana" w:cs="TTE1688A08t00"/>
          <w:sz w:val="18"/>
          <w:szCs w:val="18"/>
        </w:rPr>
        <w:t>bekrachtig</w:t>
      </w:r>
      <w:r w:rsidR="00F91229">
        <w:rPr>
          <w:rFonts w:ascii="Verdana" w:hAnsi="Verdana" w:cs="TTE1688A08t00"/>
          <w:sz w:val="18"/>
          <w:szCs w:val="18"/>
        </w:rPr>
        <w:t>en</w:t>
      </w:r>
      <w:r w:rsidRPr="00A42488">
        <w:rPr>
          <w:rFonts w:ascii="Verdana" w:hAnsi="Verdana" w:cs="TTE1688A08t00"/>
          <w:sz w:val="18"/>
          <w:szCs w:val="18"/>
        </w:rPr>
        <w:t>.</w:t>
      </w:r>
      <w:r w:rsidRPr="00F91229" w:rsidR="00F91229">
        <w:rPr>
          <w:rFonts w:ascii="Verdana" w:hAnsi="Verdana" w:cs="TTE1688A08t00"/>
          <w:sz w:val="18"/>
          <w:szCs w:val="18"/>
        </w:rPr>
        <w:t xml:space="preserve"> </w:t>
      </w:r>
      <w:r w:rsidR="000E55DB">
        <w:rPr>
          <w:rFonts w:ascii="Verdana" w:hAnsi="Verdana" w:cs="TTE1688A08t00"/>
          <w:sz w:val="18"/>
          <w:szCs w:val="18"/>
        </w:rPr>
        <w:t xml:space="preserve">Het parlement </w:t>
      </w:r>
      <w:r w:rsidRPr="00A42488" w:rsidR="00F91229">
        <w:rPr>
          <w:rFonts w:ascii="Verdana" w:hAnsi="Verdana" w:cs="TTE1688A08t00"/>
          <w:sz w:val="18"/>
          <w:szCs w:val="18"/>
        </w:rPr>
        <w:t>wordt op gebruikelijke wijze betrokken bij de voorbereiding van de Rad</w:t>
      </w:r>
      <w:r w:rsidR="00C13A4A">
        <w:rPr>
          <w:rFonts w:ascii="Verdana" w:hAnsi="Verdana" w:cs="TTE1688A08t00"/>
          <w:sz w:val="18"/>
          <w:szCs w:val="18"/>
        </w:rPr>
        <w:t>en</w:t>
      </w:r>
      <w:r w:rsidRPr="00A42488" w:rsidR="00F91229">
        <w:rPr>
          <w:rFonts w:ascii="Verdana" w:hAnsi="Verdana" w:cs="TTE1688A08t00"/>
          <w:sz w:val="18"/>
          <w:szCs w:val="18"/>
        </w:rPr>
        <w:t xml:space="preserve">. </w:t>
      </w:r>
      <w:r w:rsidRPr="00A42488">
        <w:rPr>
          <w:rFonts w:ascii="Verdana" w:hAnsi="Verdana" w:cs="TTE1688A08t00"/>
          <w:sz w:val="18"/>
          <w:szCs w:val="18"/>
        </w:rPr>
        <w:t xml:space="preserve">Lidstaten dienen bij het opstellen van hun nationale begrotingen rekening te houden met de aanbevelingen die de Europese Raad in juni vaststelt. </w:t>
      </w:r>
      <w:r w:rsidR="000E55DB">
        <w:rPr>
          <w:rFonts w:ascii="Verdana" w:hAnsi="Verdana" w:cs="TTE1688A08t00"/>
          <w:sz w:val="18"/>
          <w:szCs w:val="18"/>
        </w:rPr>
        <w:t xml:space="preserve">Ook hierover wordt het parlement geïnformeerd via de </w:t>
      </w:r>
      <w:r w:rsidR="000E55DB">
        <w:rPr>
          <w:rFonts w:ascii="Verdana" w:hAnsi="Verdana"/>
          <w:sz w:val="18"/>
          <w:szCs w:val="18"/>
        </w:rPr>
        <w:t xml:space="preserve">departementale begrotingen en met het Nationaal Hervormingsprogramma conform motie </w:t>
      </w:r>
      <w:r w:rsidR="00E92AF9">
        <w:rPr>
          <w:rFonts w:ascii="Verdana" w:hAnsi="Verdana"/>
          <w:sz w:val="18"/>
          <w:szCs w:val="18"/>
        </w:rPr>
        <w:t>Schouw</w:t>
      </w:r>
      <w:r w:rsidR="00E92AF9">
        <w:rPr>
          <w:rStyle w:val="Voetnootmarkering"/>
          <w:rFonts w:ascii="Verdana" w:hAnsi="Verdana"/>
          <w:sz w:val="18"/>
          <w:szCs w:val="18"/>
        </w:rPr>
        <w:footnoteReference w:id="1"/>
      </w:r>
      <w:r w:rsidR="000E55DB">
        <w:rPr>
          <w:rFonts w:ascii="Verdana" w:hAnsi="Verdana"/>
          <w:sz w:val="18"/>
          <w:szCs w:val="18"/>
        </w:rPr>
        <w:t>.</w:t>
      </w:r>
      <w:r w:rsidRPr="00A42488">
        <w:rPr>
          <w:rFonts w:ascii="Verdana" w:hAnsi="Verdana" w:cs="TTE1688A08t00"/>
          <w:sz w:val="18"/>
          <w:szCs w:val="18"/>
        </w:rPr>
        <w:t xml:space="preserve">Dit is in beginsel een systeem van </w:t>
      </w:r>
      <w:r w:rsidRPr="00A42488">
        <w:rPr>
          <w:rFonts w:ascii="Verdana" w:hAnsi="Verdana" w:cs="TTE1688A08t00"/>
          <w:i/>
          <w:sz w:val="18"/>
          <w:szCs w:val="18"/>
        </w:rPr>
        <w:t xml:space="preserve">peer </w:t>
      </w:r>
      <w:proofErr w:type="spellStart"/>
      <w:r w:rsidRPr="00A42488">
        <w:rPr>
          <w:rFonts w:ascii="Verdana" w:hAnsi="Verdana" w:cs="TTE1688A08t00"/>
          <w:i/>
          <w:sz w:val="18"/>
          <w:szCs w:val="18"/>
        </w:rPr>
        <w:t>pressure</w:t>
      </w:r>
      <w:proofErr w:type="spellEnd"/>
      <w:r w:rsidRPr="00A42488">
        <w:rPr>
          <w:rFonts w:ascii="Verdana" w:hAnsi="Verdana" w:cs="TTE1688A08t00"/>
          <w:sz w:val="18"/>
          <w:szCs w:val="18"/>
        </w:rPr>
        <w:t>: lidstaten spreken elkaar aan op de gemaakte voortgang. De aanbevelingen zijn geen beleidsvoorschriften, l</w:t>
      </w:r>
      <w:r w:rsidRPr="00A42488">
        <w:rPr>
          <w:rFonts w:ascii="Verdana" w:hAnsi="Verdana"/>
          <w:sz w:val="18"/>
        </w:rPr>
        <w:t>idstaten hebben de ruimte om de aanbevelingen op maatregelniveau verder in te vullen</w:t>
      </w:r>
      <w:r w:rsidRPr="00A42488">
        <w:rPr>
          <w:rFonts w:ascii="Verdana" w:hAnsi="Verdana" w:cs="TTE1688A08t00"/>
          <w:sz w:val="18"/>
          <w:szCs w:val="18"/>
        </w:rPr>
        <w:t xml:space="preserve">. Slechts in die situaties waarbij lidstaten onvoldoende actie ondernemen om hun uit de hand lopende overheidsfinanciën en/of </w:t>
      </w:r>
      <w:r w:rsidR="000E44D6">
        <w:rPr>
          <w:rFonts w:ascii="Verdana" w:hAnsi="Verdana" w:cs="TTE1688A08t00"/>
          <w:sz w:val="18"/>
          <w:szCs w:val="18"/>
        </w:rPr>
        <w:t>buitensporige</w:t>
      </w:r>
      <w:r w:rsidRPr="00A42488" w:rsidR="000E44D6">
        <w:rPr>
          <w:rFonts w:ascii="Verdana" w:hAnsi="Verdana" w:cs="TTE1688A08t00"/>
          <w:sz w:val="18"/>
          <w:szCs w:val="18"/>
        </w:rPr>
        <w:t xml:space="preserve"> </w:t>
      </w:r>
      <w:r w:rsidRPr="00A42488">
        <w:rPr>
          <w:rFonts w:ascii="Verdana" w:hAnsi="Verdana" w:cs="TTE1688A08t00"/>
          <w:sz w:val="18"/>
          <w:szCs w:val="18"/>
        </w:rPr>
        <w:t xml:space="preserve">macro-economische onevenwichtigheden te corrigeren kan dit uiteindelijk leiden tot sancties. </w:t>
      </w:r>
    </w:p>
    <w:p w:rsidR="00A26CF3" w:rsidP="002D6B18" w:rsidRDefault="00A26CF3" w14:paraId="37FA1AB7" w14:textId="77777777">
      <w:pPr>
        <w:spacing w:line="360" w:lineRule="auto"/>
        <w:rPr>
          <w:rFonts w:ascii="Verdana" w:hAnsi="Verdana"/>
          <w:b/>
          <w:sz w:val="18"/>
        </w:rPr>
      </w:pPr>
    </w:p>
    <w:p w:rsidRPr="00A42488" w:rsidR="008A3985" w:rsidP="002D6B18" w:rsidRDefault="008A3985" w14:paraId="10DF9D6C" w14:textId="77777777">
      <w:pPr>
        <w:spacing w:line="360" w:lineRule="auto"/>
        <w:rPr>
          <w:rFonts w:ascii="Verdana" w:hAnsi="Verdana"/>
          <w:b/>
          <w:sz w:val="18"/>
        </w:rPr>
      </w:pPr>
    </w:p>
    <w:p w:rsidRPr="00B71F89" w:rsidR="00C43D4E" w:rsidP="002D6B18" w:rsidRDefault="00104504" w14:paraId="6DA701E3" w14:textId="77777777">
      <w:pPr>
        <w:spacing w:line="360" w:lineRule="auto"/>
        <w:rPr>
          <w:rFonts w:ascii="Verdana" w:hAnsi="Verdana"/>
          <w:b/>
          <w:sz w:val="18"/>
        </w:rPr>
      </w:pPr>
      <w:r>
        <w:rPr>
          <w:rFonts w:ascii="Verdana" w:hAnsi="Verdana"/>
          <w:b/>
          <w:sz w:val="18"/>
        </w:rPr>
        <w:t>Drie</w:t>
      </w:r>
      <w:r w:rsidRPr="00A42488" w:rsidR="00A26CF3">
        <w:rPr>
          <w:rFonts w:ascii="Verdana" w:hAnsi="Verdana"/>
          <w:b/>
          <w:sz w:val="18"/>
        </w:rPr>
        <w:t xml:space="preserve"> landenspecifieke aanbevelingen voor Nederland</w:t>
      </w:r>
    </w:p>
    <w:p w:rsidR="00594EF4" w:rsidP="002D6B18" w:rsidRDefault="00B71F89" w14:paraId="3B005082" w14:textId="77777777">
      <w:pPr>
        <w:spacing w:line="360" w:lineRule="auto"/>
        <w:rPr>
          <w:rFonts w:ascii="Verdana" w:hAnsi="Verdana"/>
          <w:sz w:val="18"/>
        </w:rPr>
      </w:pPr>
      <w:r w:rsidRPr="00A42488">
        <w:rPr>
          <w:rFonts w:ascii="Verdana" w:hAnsi="Verdana"/>
          <w:sz w:val="18"/>
        </w:rPr>
        <w:t xml:space="preserve">Hieronder </w:t>
      </w:r>
      <w:r>
        <w:rPr>
          <w:rFonts w:ascii="Verdana" w:hAnsi="Verdana"/>
          <w:sz w:val="18"/>
        </w:rPr>
        <w:t>word</w:t>
      </w:r>
      <w:r w:rsidR="002871BB">
        <w:rPr>
          <w:rFonts w:ascii="Verdana" w:hAnsi="Verdana"/>
          <w:sz w:val="18"/>
        </w:rPr>
        <w:t>en</w:t>
      </w:r>
      <w:r>
        <w:rPr>
          <w:rFonts w:ascii="Verdana" w:hAnsi="Verdana"/>
          <w:sz w:val="18"/>
        </w:rPr>
        <w:t xml:space="preserve"> de </w:t>
      </w:r>
      <w:r w:rsidR="00685DD3">
        <w:rPr>
          <w:rFonts w:ascii="Verdana" w:hAnsi="Verdana"/>
          <w:sz w:val="18"/>
        </w:rPr>
        <w:t xml:space="preserve">letterlijke </w:t>
      </w:r>
      <w:r>
        <w:rPr>
          <w:rFonts w:ascii="Verdana" w:hAnsi="Verdana"/>
          <w:sz w:val="18"/>
        </w:rPr>
        <w:t>aanbeveling</w:t>
      </w:r>
      <w:r w:rsidR="002871BB">
        <w:rPr>
          <w:rFonts w:ascii="Verdana" w:hAnsi="Verdana"/>
          <w:sz w:val="18"/>
        </w:rPr>
        <w:t>en</w:t>
      </w:r>
      <w:r>
        <w:rPr>
          <w:rFonts w:ascii="Verdana" w:hAnsi="Verdana"/>
          <w:sz w:val="18"/>
        </w:rPr>
        <w:t xml:space="preserve"> van de Commissie voor de periode 2015-2016 wee</w:t>
      </w:r>
      <w:r w:rsidR="00685DD3">
        <w:rPr>
          <w:rFonts w:ascii="Verdana" w:hAnsi="Verdana"/>
          <w:sz w:val="18"/>
        </w:rPr>
        <w:t>r</w:t>
      </w:r>
      <w:r>
        <w:rPr>
          <w:rFonts w:ascii="Verdana" w:hAnsi="Verdana"/>
          <w:sz w:val="18"/>
        </w:rPr>
        <w:t>gegeven met daarbij een appreciatie van het kabinet.</w:t>
      </w:r>
    </w:p>
    <w:p w:rsidRPr="00A42488" w:rsidR="00A26CF3" w:rsidP="009C6EB5" w:rsidRDefault="00A26CF3" w14:paraId="161D6C69" w14:textId="77777777">
      <w:pPr>
        <w:pBdr>
          <w:top w:val="single" w:color="auto" w:sz="4" w:space="1"/>
          <w:left w:val="single" w:color="auto" w:sz="4" w:space="4"/>
          <w:bottom w:val="single" w:color="auto" w:sz="4" w:space="1"/>
          <w:right w:val="single" w:color="auto" w:sz="4" w:space="4"/>
        </w:pBdr>
        <w:spacing w:line="360" w:lineRule="auto"/>
        <w:rPr>
          <w:rFonts w:ascii="Verdana" w:hAnsi="Verdana"/>
          <w:b/>
          <w:sz w:val="18"/>
        </w:rPr>
      </w:pPr>
      <w:r w:rsidRPr="00A42488">
        <w:rPr>
          <w:rFonts w:ascii="Verdana" w:hAnsi="Verdana"/>
          <w:b/>
          <w:sz w:val="18"/>
        </w:rPr>
        <w:t>Commissievoorstel voor aanbevelingen voor Nederland</w:t>
      </w:r>
    </w:p>
    <w:p w:rsidRPr="00BB2DD0" w:rsidR="00BB2DD0" w:rsidP="00BB2DD0" w:rsidRDefault="00A26CF3" w14:paraId="01D4C22E"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A42488">
        <w:rPr>
          <w:rFonts w:ascii="Verdana" w:hAnsi="Verdana"/>
          <w:sz w:val="18"/>
        </w:rPr>
        <w:t>BEVEELT AAN dat Nederland in de periode 201</w:t>
      </w:r>
      <w:r w:rsidR="00104504">
        <w:rPr>
          <w:rFonts w:ascii="Verdana" w:hAnsi="Verdana"/>
          <w:sz w:val="18"/>
        </w:rPr>
        <w:t>5-2016</w:t>
      </w:r>
      <w:r w:rsidRPr="00A42488">
        <w:rPr>
          <w:rFonts w:ascii="Verdana" w:hAnsi="Verdana"/>
          <w:sz w:val="18"/>
        </w:rPr>
        <w:t xml:space="preserve"> actie zou moeten ondernemen om:</w:t>
      </w:r>
      <w:r w:rsidR="00BB2DD0">
        <w:rPr>
          <w:rFonts w:ascii="Verdana" w:hAnsi="Verdana"/>
          <w:sz w:val="18"/>
        </w:rPr>
        <w:br/>
      </w:r>
      <w:r w:rsidRPr="00A42488">
        <w:rPr>
          <w:rFonts w:ascii="Verdana" w:hAnsi="Verdana"/>
          <w:sz w:val="18"/>
        </w:rPr>
        <w:br/>
      </w:r>
      <w:r w:rsidR="00BB2DD0">
        <w:rPr>
          <w:rFonts w:ascii="Verdana" w:hAnsi="Verdana"/>
          <w:sz w:val="18"/>
        </w:rPr>
        <w:t xml:space="preserve">1. </w:t>
      </w:r>
      <w:r w:rsidRPr="00BB2DD0" w:rsidR="00BB2DD0">
        <w:rPr>
          <w:rFonts w:ascii="Verdana" w:hAnsi="Verdana"/>
          <w:sz w:val="18"/>
        </w:rPr>
        <w:t xml:space="preserve">Overheidsuitgaven verschuiven naar de ondersteuning van investeringen in </w:t>
      </w:r>
      <w:r w:rsidR="00C75772">
        <w:rPr>
          <w:rFonts w:ascii="Verdana" w:hAnsi="Verdana"/>
          <w:sz w:val="18"/>
        </w:rPr>
        <w:t>onderzoek en ontwikkeling (</w:t>
      </w:r>
      <w:r w:rsidRPr="00BB2DD0" w:rsidR="00BB2DD0">
        <w:rPr>
          <w:rFonts w:ascii="Verdana" w:hAnsi="Verdana"/>
          <w:sz w:val="18"/>
        </w:rPr>
        <w:t>O&amp;O</w:t>
      </w:r>
      <w:r w:rsidR="00C75772">
        <w:rPr>
          <w:rFonts w:ascii="Verdana" w:hAnsi="Verdana"/>
          <w:sz w:val="18"/>
        </w:rPr>
        <w:t>)</w:t>
      </w:r>
      <w:r w:rsidRPr="00BB2DD0" w:rsidR="00BB2DD0">
        <w:rPr>
          <w:rFonts w:ascii="Verdana" w:hAnsi="Verdana"/>
          <w:sz w:val="18"/>
        </w:rPr>
        <w:t xml:space="preserve"> en werken aan randvoorwaarden voor de verbetering van particuliere O&amp;O-uitgaven, teneinde de neerwaartse trend in de publieke O&amp;O-uitgaven te keren en het potentieel voor economische groei te vergroten.</w:t>
      </w:r>
      <w:r w:rsidR="00BB2DD0">
        <w:rPr>
          <w:rFonts w:ascii="Verdana" w:hAnsi="Verdana"/>
          <w:sz w:val="18"/>
        </w:rPr>
        <w:br/>
      </w:r>
    </w:p>
    <w:p w:rsidRPr="00BB2DD0" w:rsidR="00BB2DD0" w:rsidP="00BB2DD0" w:rsidRDefault="00BB2DD0" w14:paraId="5A29FD81"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BB2DD0">
        <w:rPr>
          <w:rFonts w:ascii="Verdana" w:hAnsi="Verdana"/>
          <w:sz w:val="18"/>
        </w:rPr>
        <w:t xml:space="preserve">2. De verlaging van de hypotheekrenteaftrek versnellen zodat fiscale prikkels om in improductieve activa te investeren, worden verminderd. Een marktgerichter prijsmechanisme op de huurwoningenmarkt realiseren en de huren in de </w:t>
      </w:r>
      <w:proofErr w:type="spellStart"/>
      <w:r w:rsidRPr="00BB2DD0">
        <w:rPr>
          <w:rFonts w:ascii="Verdana" w:hAnsi="Verdana"/>
          <w:sz w:val="18"/>
        </w:rPr>
        <w:t>socialewoningsector</w:t>
      </w:r>
      <w:proofErr w:type="spellEnd"/>
      <w:r w:rsidRPr="00BB2DD0">
        <w:rPr>
          <w:rFonts w:ascii="Verdana" w:hAnsi="Verdana"/>
          <w:sz w:val="18"/>
        </w:rPr>
        <w:t xml:space="preserve"> in verdere mate koppelen aan de inkomens van huishoudens.</w:t>
      </w:r>
      <w:r>
        <w:rPr>
          <w:rFonts w:ascii="Verdana" w:hAnsi="Verdana"/>
          <w:sz w:val="18"/>
        </w:rPr>
        <w:br/>
      </w:r>
    </w:p>
    <w:p w:rsidRPr="00A42488" w:rsidR="005D335B" w:rsidP="00104504" w:rsidRDefault="00BB2DD0" w14:paraId="17EF30CF"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rPr>
      </w:pPr>
      <w:r w:rsidRPr="00BB2DD0">
        <w:rPr>
          <w:rFonts w:ascii="Verdana" w:hAnsi="Verdana"/>
          <w:sz w:val="18"/>
        </w:rPr>
        <w:t>3. De omvang van de bijdragen aan de tweede pijler van het pensioenstelsel verlagen voor mensen in de eerste jaren van hun loopbaan.</w:t>
      </w:r>
    </w:p>
    <w:p w:rsidR="005D335B" w:rsidP="00E15DD2" w:rsidRDefault="005D335B" w14:paraId="4E3031BE" w14:textId="77777777">
      <w:pPr>
        <w:spacing w:line="360" w:lineRule="auto"/>
        <w:rPr>
          <w:rFonts w:ascii="Verdana" w:hAnsi="Verdana"/>
          <w:i/>
          <w:sz w:val="18"/>
        </w:rPr>
      </w:pPr>
    </w:p>
    <w:p w:rsidR="00D76C2F" w:rsidP="00D76C2F" w:rsidRDefault="00D76C2F" w14:paraId="29F116DF" w14:textId="77777777">
      <w:pPr>
        <w:spacing w:line="360" w:lineRule="auto"/>
        <w:rPr>
          <w:rFonts w:ascii="Verdana" w:hAnsi="Verdana"/>
          <w:i/>
          <w:sz w:val="18"/>
        </w:rPr>
      </w:pPr>
      <w:r>
        <w:rPr>
          <w:rFonts w:ascii="Verdana" w:hAnsi="Verdana"/>
          <w:i/>
          <w:sz w:val="18"/>
        </w:rPr>
        <w:t>Onderzoek en i</w:t>
      </w:r>
      <w:r w:rsidRPr="00104504">
        <w:rPr>
          <w:rFonts w:ascii="Verdana" w:hAnsi="Verdana"/>
          <w:i/>
          <w:sz w:val="18"/>
        </w:rPr>
        <w:t>nnovatie</w:t>
      </w:r>
    </w:p>
    <w:p w:rsidR="00D76C2F" w:rsidP="00D76C2F" w:rsidRDefault="00D76C2F" w14:paraId="2107427A" w14:textId="77777777">
      <w:pPr>
        <w:spacing w:line="360" w:lineRule="auto"/>
        <w:rPr>
          <w:rFonts w:ascii="Verdana" w:hAnsi="Verdana"/>
          <w:sz w:val="18"/>
          <w:szCs w:val="18"/>
        </w:rPr>
      </w:pPr>
      <w:r>
        <w:rPr>
          <w:rFonts w:ascii="Verdana" w:hAnsi="Verdana"/>
          <w:sz w:val="18"/>
        </w:rPr>
        <w:t>De Commissie</w:t>
      </w:r>
      <w:r w:rsidRPr="00104504">
        <w:rPr>
          <w:rFonts w:ascii="Verdana" w:hAnsi="Verdana"/>
          <w:sz w:val="18"/>
        </w:rPr>
        <w:t xml:space="preserve"> beveelt</w:t>
      </w:r>
      <w:r>
        <w:rPr>
          <w:rFonts w:ascii="Verdana" w:hAnsi="Verdana"/>
          <w:sz w:val="18"/>
        </w:rPr>
        <w:t xml:space="preserve"> </w:t>
      </w:r>
      <w:r w:rsidRPr="00104504">
        <w:rPr>
          <w:rFonts w:ascii="Verdana" w:hAnsi="Verdana"/>
          <w:sz w:val="18"/>
        </w:rPr>
        <w:t>aan om de overheidsuitgaven</w:t>
      </w:r>
      <w:r>
        <w:rPr>
          <w:rFonts w:ascii="Verdana" w:hAnsi="Verdana"/>
          <w:sz w:val="18"/>
        </w:rPr>
        <w:t xml:space="preserve"> meer te richten op de ondersteuning van investeringen in O&amp;O en de randvoorwaarden voor private investeringen te verbeteren. </w:t>
      </w:r>
      <w:r w:rsidRPr="00104504">
        <w:rPr>
          <w:rFonts w:ascii="Verdana" w:hAnsi="Verdana"/>
          <w:sz w:val="18"/>
        </w:rPr>
        <w:t>Het kabinet</w:t>
      </w:r>
      <w:r>
        <w:rPr>
          <w:rFonts w:ascii="Verdana" w:hAnsi="Verdana"/>
          <w:sz w:val="18"/>
        </w:rPr>
        <w:t xml:space="preserve"> erkent </w:t>
      </w:r>
      <w:r w:rsidRPr="00104504">
        <w:rPr>
          <w:rFonts w:ascii="Verdana" w:hAnsi="Verdana"/>
          <w:sz w:val="18"/>
        </w:rPr>
        <w:t>dat</w:t>
      </w:r>
      <w:r>
        <w:rPr>
          <w:rFonts w:ascii="Verdana" w:hAnsi="Verdana"/>
          <w:sz w:val="18"/>
        </w:rPr>
        <w:t xml:space="preserve"> investeringen in onderzoek en</w:t>
      </w:r>
      <w:r w:rsidRPr="00104504">
        <w:rPr>
          <w:rFonts w:ascii="Verdana" w:hAnsi="Verdana"/>
          <w:sz w:val="18"/>
        </w:rPr>
        <w:t xml:space="preserve"> innovatie cruciaal </w:t>
      </w:r>
      <w:r>
        <w:rPr>
          <w:rFonts w:ascii="Verdana" w:hAnsi="Verdana"/>
          <w:sz w:val="18"/>
        </w:rPr>
        <w:t>zijn</w:t>
      </w:r>
      <w:r w:rsidRPr="00104504">
        <w:rPr>
          <w:rFonts w:ascii="Verdana" w:hAnsi="Verdana"/>
          <w:sz w:val="18"/>
        </w:rPr>
        <w:t xml:space="preserve"> voor toekomstige economische groei</w:t>
      </w:r>
      <w:r>
        <w:rPr>
          <w:rFonts w:ascii="Verdana" w:hAnsi="Verdana"/>
          <w:sz w:val="18"/>
          <w:szCs w:val="18"/>
        </w:rPr>
        <w:t>. Hoewel de innovatiekracht van Nederland nog altijd goed is</w:t>
      </w:r>
      <w:r>
        <w:rPr>
          <w:rStyle w:val="Voetnootmarkering"/>
          <w:rFonts w:ascii="Verdana" w:hAnsi="Verdana"/>
          <w:sz w:val="18"/>
          <w:szCs w:val="18"/>
        </w:rPr>
        <w:footnoteReference w:id="2"/>
      </w:r>
      <w:r>
        <w:rPr>
          <w:rFonts w:ascii="Verdana" w:hAnsi="Verdana"/>
          <w:sz w:val="18"/>
          <w:szCs w:val="18"/>
        </w:rPr>
        <w:t>, is het van belang om investeringen</w:t>
      </w:r>
      <w:r w:rsidRPr="00F640D7">
        <w:rPr>
          <w:rFonts w:ascii="Verdana" w:hAnsi="Verdana"/>
          <w:sz w:val="18"/>
          <w:szCs w:val="18"/>
        </w:rPr>
        <w:t xml:space="preserve"> op een hoger peil </w:t>
      </w:r>
      <w:r>
        <w:rPr>
          <w:rFonts w:ascii="Verdana" w:hAnsi="Verdana"/>
          <w:sz w:val="18"/>
          <w:szCs w:val="18"/>
        </w:rPr>
        <w:t xml:space="preserve">te brengen om groei op lange termijn te versterken en om de Nederlandse doelstelling om in 2020 2,5% van het </w:t>
      </w:r>
      <w:proofErr w:type="spellStart"/>
      <w:r>
        <w:rPr>
          <w:rFonts w:ascii="Verdana" w:hAnsi="Verdana"/>
          <w:sz w:val="18"/>
          <w:szCs w:val="18"/>
        </w:rPr>
        <w:t>bbp</w:t>
      </w:r>
      <w:proofErr w:type="spellEnd"/>
      <w:r>
        <w:rPr>
          <w:rFonts w:ascii="Verdana" w:hAnsi="Verdana"/>
          <w:sz w:val="18"/>
          <w:szCs w:val="18"/>
        </w:rPr>
        <w:t xml:space="preserve"> te besteden aan onderzoek en innovatie in zicht te houden </w:t>
      </w:r>
      <w:r>
        <w:rPr>
          <w:rFonts w:ascii="Verdana" w:hAnsi="Verdana"/>
          <w:color w:val="000000"/>
          <w:sz w:val="18"/>
          <w:szCs w:val="18"/>
        </w:rPr>
        <w:t>(in 2013 bedroeg het 1,98%).</w:t>
      </w:r>
      <w:r>
        <w:rPr>
          <w:rFonts w:ascii="Verdana" w:hAnsi="Verdana"/>
          <w:color w:val="000000"/>
          <w:sz w:val="18"/>
          <w:szCs w:val="18"/>
        </w:rPr>
        <w:br/>
      </w:r>
    </w:p>
    <w:p w:rsidR="00272A32" w:rsidP="00D76C2F" w:rsidRDefault="00D76C2F" w14:paraId="2E8E1784" w14:textId="18223881">
      <w:pPr>
        <w:spacing w:line="360" w:lineRule="auto"/>
        <w:rPr>
          <w:rFonts w:ascii="Verdana" w:hAnsi="Verdana"/>
          <w:sz w:val="18"/>
          <w:szCs w:val="18"/>
        </w:rPr>
      </w:pPr>
      <w:r>
        <w:rPr>
          <w:rFonts w:ascii="Verdana" w:hAnsi="Verdana"/>
          <w:sz w:val="18"/>
          <w:szCs w:val="18"/>
        </w:rPr>
        <w:lastRenderedPageBreak/>
        <w:t>Het Nationaal Hervormingsprogramma</w:t>
      </w:r>
      <w:r w:rsidR="00BD3271">
        <w:rPr>
          <w:rFonts w:ascii="Verdana" w:hAnsi="Verdana"/>
          <w:sz w:val="18"/>
          <w:szCs w:val="18"/>
        </w:rPr>
        <w:t xml:space="preserve"> </w:t>
      </w:r>
      <w:r>
        <w:rPr>
          <w:rFonts w:ascii="Verdana" w:hAnsi="Verdana"/>
          <w:sz w:val="18"/>
          <w:szCs w:val="18"/>
        </w:rPr>
        <w:t xml:space="preserve">2015 geeft een overzicht van de Rijksmiddelen voor kennis en innovatie in de periode 2013-2017. Daaruit blijkt dat het totaal van uitgaven aan onderzoek en innovatie relatief gezien ontzien wordt, ondanks de bezuinigingen die als gevolg van de crisis nodig waren. Desondanks </w:t>
      </w:r>
      <w:r w:rsidRPr="009C01FF" w:rsidR="000E55DB">
        <w:rPr>
          <w:rFonts w:ascii="Verdana" w:hAnsi="Verdana"/>
          <w:sz w:val="18"/>
          <w:szCs w:val="18"/>
        </w:rPr>
        <w:t>signaleert de Commissie dat de</w:t>
      </w:r>
      <w:r w:rsidRPr="009C01FF">
        <w:rPr>
          <w:rFonts w:ascii="Verdana" w:hAnsi="Verdana"/>
          <w:sz w:val="18"/>
          <w:szCs w:val="18"/>
        </w:rPr>
        <w:t xml:space="preserve"> publieke middelen voor kennis en innovatie na 2014 per saldo af</w:t>
      </w:r>
      <w:r w:rsidRPr="009C01FF" w:rsidR="000E55DB">
        <w:rPr>
          <w:rFonts w:ascii="Verdana" w:hAnsi="Verdana"/>
          <w:sz w:val="18"/>
          <w:szCs w:val="18"/>
        </w:rPr>
        <w:t>nemen</w:t>
      </w:r>
      <w:r w:rsidRPr="009C01FF">
        <w:rPr>
          <w:rFonts w:ascii="Verdana" w:hAnsi="Verdana"/>
          <w:sz w:val="18"/>
          <w:szCs w:val="18"/>
        </w:rPr>
        <w:t xml:space="preserve">. Deze afname is met name </w:t>
      </w:r>
      <w:r w:rsidRPr="009C01FF" w:rsidR="003F7FDA">
        <w:rPr>
          <w:rFonts w:ascii="Verdana" w:hAnsi="Verdana"/>
          <w:sz w:val="18"/>
          <w:szCs w:val="18"/>
        </w:rPr>
        <w:t xml:space="preserve">zichtbaar </w:t>
      </w:r>
      <w:r w:rsidRPr="009C01FF">
        <w:rPr>
          <w:rFonts w:ascii="Verdana" w:hAnsi="Verdana"/>
          <w:sz w:val="18"/>
          <w:szCs w:val="18"/>
        </w:rPr>
        <w:t xml:space="preserve">in de uitgaven aan toegepast onderzoek </w:t>
      </w:r>
      <w:r w:rsidRPr="009C01FF" w:rsidR="004E1FC2">
        <w:rPr>
          <w:rFonts w:ascii="Verdana" w:hAnsi="Verdana"/>
          <w:sz w:val="18"/>
          <w:szCs w:val="18"/>
        </w:rPr>
        <w:t xml:space="preserve">die </w:t>
      </w:r>
      <w:r w:rsidRPr="009C01FF">
        <w:rPr>
          <w:rFonts w:ascii="Verdana" w:hAnsi="Verdana"/>
          <w:sz w:val="18"/>
          <w:szCs w:val="18"/>
        </w:rPr>
        <w:t xml:space="preserve">circa 115 miljoen </w:t>
      </w:r>
      <w:r w:rsidRPr="009C01FF" w:rsidR="003F7FDA">
        <w:rPr>
          <w:rFonts w:ascii="Verdana" w:hAnsi="Verdana"/>
          <w:sz w:val="18"/>
          <w:szCs w:val="18"/>
        </w:rPr>
        <w:t xml:space="preserve">afnemen </w:t>
      </w:r>
      <w:r w:rsidRPr="009C01FF">
        <w:rPr>
          <w:rFonts w:ascii="Verdana" w:hAnsi="Verdana"/>
          <w:sz w:val="18"/>
          <w:szCs w:val="18"/>
        </w:rPr>
        <w:t>tussen 2013 en 2017</w:t>
      </w:r>
      <w:r w:rsidRPr="009C01FF" w:rsidR="00272A32">
        <w:rPr>
          <w:rFonts w:ascii="Verdana" w:hAnsi="Verdana"/>
          <w:sz w:val="18"/>
          <w:szCs w:val="18"/>
        </w:rPr>
        <w:t>,</w:t>
      </w:r>
      <w:r w:rsidRPr="009C01FF">
        <w:rPr>
          <w:rFonts w:ascii="Verdana" w:hAnsi="Verdana"/>
          <w:sz w:val="18"/>
          <w:szCs w:val="18"/>
        </w:rPr>
        <w:t xml:space="preserve"> </w:t>
      </w:r>
      <w:r w:rsidRPr="009C01FF" w:rsidR="00272A32">
        <w:rPr>
          <w:rFonts w:ascii="Verdana" w:hAnsi="Verdana"/>
          <w:sz w:val="18"/>
          <w:szCs w:val="18"/>
        </w:rPr>
        <w:t>waarbij wel</w:t>
      </w:r>
      <w:r w:rsidRPr="009C01FF" w:rsidR="008E27D9">
        <w:rPr>
          <w:rFonts w:ascii="Verdana" w:hAnsi="Verdana"/>
          <w:sz w:val="18"/>
          <w:szCs w:val="18"/>
        </w:rPr>
        <w:t xml:space="preserve"> mogelijkheden gecreëerd </w:t>
      </w:r>
      <w:r w:rsidRPr="009C01FF" w:rsidR="00272A32">
        <w:rPr>
          <w:rFonts w:ascii="Verdana" w:hAnsi="Verdana"/>
          <w:sz w:val="18"/>
          <w:szCs w:val="18"/>
        </w:rPr>
        <w:t xml:space="preserve">zijn </w:t>
      </w:r>
      <w:r w:rsidRPr="009C01FF" w:rsidR="008E27D9">
        <w:rPr>
          <w:rFonts w:ascii="Verdana" w:hAnsi="Verdana"/>
          <w:sz w:val="18"/>
          <w:szCs w:val="18"/>
        </w:rPr>
        <w:t>voor het verwerven van aanvullende financiering door deze instituten.</w:t>
      </w:r>
      <w:r w:rsidR="008E27D9">
        <w:rPr>
          <w:rFonts w:ascii="Verdana" w:hAnsi="Verdana"/>
          <w:sz w:val="18"/>
          <w:szCs w:val="18"/>
        </w:rPr>
        <w:t xml:space="preserve"> </w:t>
      </w:r>
      <w:r w:rsidR="00DC7622">
        <w:rPr>
          <w:rFonts w:ascii="Verdana" w:hAnsi="Verdana"/>
          <w:sz w:val="18"/>
          <w:szCs w:val="18"/>
        </w:rPr>
        <w:t xml:space="preserve">Daarnaast toont de betreffende tabel uit het Nationaal Hervormingsprogramma dat directe subsidies van diverse departementen afgebouwd worden en dat vanaf 2014 ook de R&amp;D-belastingprikkels voor bedrijven (WBSO, RDA) verlaagd worden, zij het na een substantiële toename van deze belastinguitgaven in voorgaande jaren. </w:t>
      </w:r>
      <w:r>
        <w:rPr>
          <w:rFonts w:ascii="Verdana" w:hAnsi="Verdana"/>
          <w:sz w:val="18"/>
          <w:szCs w:val="18"/>
        </w:rPr>
        <w:t>De publieke uitgaven voor fundamenteel onderzoek stijgen daarentegen licht, doordat het kabinet deze gedurende de kabinetsperiode op verschillende momenten heeft verhoogd.</w:t>
      </w:r>
      <w:r>
        <w:rPr>
          <w:rStyle w:val="Voetnootmarkering"/>
          <w:rFonts w:ascii="Verdana" w:hAnsi="Verdana"/>
          <w:sz w:val="18"/>
          <w:szCs w:val="18"/>
        </w:rPr>
        <w:footnoteReference w:id="3"/>
      </w:r>
      <w:r>
        <w:rPr>
          <w:rFonts w:ascii="Verdana" w:hAnsi="Verdana"/>
          <w:sz w:val="18"/>
          <w:szCs w:val="18"/>
        </w:rPr>
        <w:t xml:space="preserve"> </w:t>
      </w:r>
    </w:p>
    <w:p w:rsidR="00512A91" w:rsidP="005B6195" w:rsidRDefault="00512A91" w14:paraId="1C28EA96" w14:textId="77777777">
      <w:pPr>
        <w:spacing w:line="360" w:lineRule="auto"/>
        <w:rPr>
          <w:rFonts w:ascii="Verdana" w:hAnsi="Verdana"/>
          <w:sz w:val="18"/>
          <w:szCs w:val="18"/>
        </w:rPr>
      </w:pPr>
    </w:p>
    <w:p w:rsidR="005B6195" w:rsidP="005B6195" w:rsidRDefault="00D76C2F" w14:paraId="68BC48D8" w14:textId="51394492">
      <w:pPr>
        <w:spacing w:line="360" w:lineRule="auto"/>
        <w:rPr>
          <w:rFonts w:ascii="Verdana" w:hAnsi="Verdana"/>
          <w:sz w:val="18"/>
          <w:szCs w:val="18"/>
        </w:rPr>
      </w:pPr>
      <w:r w:rsidRPr="00414070">
        <w:rPr>
          <w:rFonts w:ascii="Verdana" w:hAnsi="Verdana"/>
          <w:sz w:val="18"/>
          <w:szCs w:val="18"/>
        </w:rPr>
        <w:t xml:space="preserve">Het kabinet werkt samen met bedrijven, kennisinstellingen en medeoverheden </w:t>
      </w:r>
      <w:r>
        <w:rPr>
          <w:rFonts w:ascii="Verdana" w:hAnsi="Verdana"/>
          <w:sz w:val="18"/>
          <w:szCs w:val="18"/>
        </w:rPr>
        <w:t xml:space="preserve">in het kader van het Bedrijvenbeleid </w:t>
      </w:r>
      <w:r w:rsidRPr="00414070">
        <w:rPr>
          <w:rFonts w:ascii="Verdana" w:hAnsi="Verdana"/>
          <w:sz w:val="18"/>
          <w:szCs w:val="18"/>
        </w:rPr>
        <w:t>aan het versterken</w:t>
      </w:r>
      <w:r>
        <w:rPr>
          <w:rFonts w:ascii="Verdana" w:hAnsi="Verdana"/>
          <w:sz w:val="18"/>
          <w:szCs w:val="18"/>
        </w:rPr>
        <w:t xml:space="preserve"> </w:t>
      </w:r>
      <w:r w:rsidRPr="00414070">
        <w:rPr>
          <w:rFonts w:ascii="Verdana" w:hAnsi="Verdana"/>
          <w:sz w:val="18"/>
          <w:szCs w:val="18"/>
        </w:rPr>
        <w:t>van het verdienvermogen van de Nederlandse economie. De inspanningen zijn erop gericht het</w:t>
      </w:r>
      <w:r>
        <w:rPr>
          <w:rFonts w:ascii="Verdana" w:hAnsi="Verdana"/>
          <w:sz w:val="18"/>
          <w:szCs w:val="18"/>
        </w:rPr>
        <w:t xml:space="preserve"> </w:t>
      </w:r>
      <w:r w:rsidRPr="00414070">
        <w:rPr>
          <w:rFonts w:ascii="Verdana" w:hAnsi="Verdana"/>
          <w:sz w:val="18"/>
          <w:szCs w:val="18"/>
        </w:rPr>
        <w:t xml:space="preserve">totaal aan onderzoek- en innovatie inspanningen in Nederland te vergroten. Door </w:t>
      </w:r>
      <w:r w:rsidR="003A36B4">
        <w:rPr>
          <w:rFonts w:ascii="Verdana" w:hAnsi="Verdana"/>
          <w:sz w:val="18"/>
          <w:szCs w:val="18"/>
        </w:rPr>
        <w:t xml:space="preserve">een deel van </w:t>
      </w:r>
      <w:r w:rsidRPr="00414070">
        <w:rPr>
          <w:rFonts w:ascii="Verdana" w:hAnsi="Verdana"/>
          <w:sz w:val="18"/>
          <w:szCs w:val="18"/>
        </w:rPr>
        <w:t>de beschikbare</w:t>
      </w:r>
      <w:r>
        <w:rPr>
          <w:rFonts w:ascii="Verdana" w:hAnsi="Verdana"/>
          <w:sz w:val="18"/>
          <w:szCs w:val="18"/>
        </w:rPr>
        <w:t xml:space="preserve"> </w:t>
      </w:r>
      <w:r w:rsidRPr="00414070">
        <w:rPr>
          <w:rFonts w:ascii="Verdana" w:hAnsi="Verdana"/>
          <w:sz w:val="18"/>
          <w:szCs w:val="18"/>
        </w:rPr>
        <w:t>publieke middelen slim in te zetten wil het kabinet het aandeel private investeringen in R&amp;D</w:t>
      </w:r>
      <w:r>
        <w:rPr>
          <w:rFonts w:ascii="Verdana" w:hAnsi="Verdana"/>
          <w:sz w:val="18"/>
          <w:szCs w:val="18"/>
        </w:rPr>
        <w:t xml:space="preserve"> </w:t>
      </w:r>
      <w:r w:rsidRPr="00414070">
        <w:rPr>
          <w:rFonts w:ascii="Verdana" w:hAnsi="Verdana"/>
          <w:sz w:val="18"/>
          <w:szCs w:val="18"/>
        </w:rPr>
        <w:t xml:space="preserve">vergroten. </w:t>
      </w:r>
      <w:r>
        <w:rPr>
          <w:rFonts w:ascii="Verdana" w:hAnsi="Verdana"/>
          <w:sz w:val="18"/>
          <w:szCs w:val="18"/>
        </w:rPr>
        <w:t xml:space="preserve">Naast goede generieke randvoorwaarden staat het stimuleren van publiek-private samenwerking daarbij centraal, met de toegepaste kennisinstellingen als centrale bruggenbouwers tussen kennis en innovatie. </w:t>
      </w:r>
      <w:r w:rsidR="00512A91">
        <w:rPr>
          <w:rFonts w:ascii="Verdana" w:hAnsi="Verdana"/>
          <w:sz w:val="18"/>
          <w:szCs w:val="18"/>
        </w:rPr>
        <w:t>D</w:t>
      </w:r>
      <w:r w:rsidRPr="00272A32">
        <w:rPr>
          <w:rFonts w:ascii="Verdana" w:hAnsi="Verdana"/>
          <w:sz w:val="18"/>
          <w:szCs w:val="18"/>
        </w:rPr>
        <w:t>eze inzet heeft de afgelopen jaren geresulteerd in een lichte stijging van de financiering van onderzoek en innovatie door private partijen. Het aand</w:t>
      </w:r>
      <w:r>
        <w:rPr>
          <w:rFonts w:ascii="Verdana" w:hAnsi="Verdana"/>
          <w:sz w:val="18"/>
          <w:szCs w:val="18"/>
        </w:rPr>
        <w:t>eel privaat uitgevoerde O&amp;O is gestegen in de afgelopen jaren (van 1,08% in 2011 naar 1,1% in 2013).</w:t>
      </w:r>
      <w:r>
        <w:rPr>
          <w:rStyle w:val="Voetnootmarkering"/>
          <w:rFonts w:ascii="Verdana" w:hAnsi="Verdana"/>
          <w:sz w:val="18"/>
          <w:szCs w:val="18"/>
        </w:rPr>
        <w:footnoteReference w:id="4"/>
      </w:r>
      <w:r>
        <w:rPr>
          <w:rFonts w:ascii="Verdana" w:hAnsi="Verdana"/>
          <w:sz w:val="18"/>
          <w:szCs w:val="18"/>
        </w:rPr>
        <w:t xml:space="preserve"> Het aandeel blijft wel achter ten opzichte van het Europese gemiddelde (1,23% van het </w:t>
      </w:r>
      <w:proofErr w:type="spellStart"/>
      <w:r>
        <w:rPr>
          <w:rFonts w:ascii="Verdana" w:hAnsi="Verdana"/>
          <w:sz w:val="18"/>
          <w:szCs w:val="18"/>
        </w:rPr>
        <w:t>bbp</w:t>
      </w:r>
      <w:proofErr w:type="spellEnd"/>
      <w:r>
        <w:rPr>
          <w:rFonts w:ascii="Verdana" w:hAnsi="Verdana"/>
          <w:sz w:val="18"/>
          <w:szCs w:val="18"/>
        </w:rPr>
        <w:t xml:space="preserve">). </w:t>
      </w:r>
      <w:r w:rsidRPr="00C37A7C" w:rsidR="005B6195">
        <w:rPr>
          <w:rFonts w:ascii="Verdana" w:hAnsi="Verdana"/>
          <w:sz w:val="18"/>
          <w:szCs w:val="18"/>
        </w:rPr>
        <w:t>Uit een analyse van de OESO blijkt dat Nederland</w:t>
      </w:r>
      <w:r w:rsidR="005B6195">
        <w:rPr>
          <w:rFonts w:ascii="Verdana" w:hAnsi="Verdana"/>
          <w:sz w:val="18"/>
          <w:szCs w:val="18"/>
        </w:rPr>
        <w:t xml:space="preserve"> wel</w:t>
      </w:r>
      <w:r w:rsidRPr="00C37A7C" w:rsidR="005B6195">
        <w:rPr>
          <w:rFonts w:ascii="Verdana" w:hAnsi="Verdana"/>
          <w:sz w:val="18"/>
          <w:szCs w:val="18"/>
        </w:rPr>
        <w:t xml:space="preserve"> boven het OESO-gemiddelde scoort bij de private uitgaven als wordt gecorrigeerd voor de </w:t>
      </w:r>
      <w:r w:rsidR="005B6195">
        <w:rPr>
          <w:rFonts w:ascii="Verdana" w:hAnsi="Verdana"/>
          <w:sz w:val="18"/>
          <w:szCs w:val="18"/>
        </w:rPr>
        <w:t>invloed van de sectorstructuur.</w:t>
      </w:r>
      <w:r w:rsidRPr="00C37A7C" w:rsidR="005B6195">
        <w:rPr>
          <w:rFonts w:ascii="Verdana" w:hAnsi="Verdana"/>
          <w:sz w:val="18"/>
          <w:szCs w:val="18"/>
        </w:rPr>
        <w:t xml:space="preserve"> Die sectorstructuur kenmerkt zich in Nederland door een gering aandeel van hoogtechnologische sectoren in het bruto binnenlands product. Ook scoort Nederland relatief hoog bij uitgaven aan niet-</w:t>
      </w:r>
      <w:r w:rsidR="005B6195">
        <w:rPr>
          <w:rFonts w:ascii="Verdana" w:hAnsi="Verdana"/>
          <w:sz w:val="18"/>
          <w:szCs w:val="18"/>
        </w:rPr>
        <w:t>technologisch kenniskapitaal.</w:t>
      </w:r>
      <w:r w:rsidRPr="00C37A7C" w:rsidR="005B6195">
        <w:rPr>
          <w:rFonts w:ascii="Verdana" w:hAnsi="Verdana"/>
          <w:sz w:val="18"/>
          <w:szCs w:val="18"/>
        </w:rPr>
        <w:t xml:space="preserve"> Mede daardoor weet Nederland een relatief ho</w:t>
      </w:r>
      <w:r w:rsidR="00A3443B">
        <w:rPr>
          <w:rFonts w:ascii="Verdana" w:hAnsi="Verdana"/>
          <w:sz w:val="18"/>
          <w:szCs w:val="18"/>
        </w:rPr>
        <w:t xml:space="preserve">og arbeidsproductiviteitsniveau </w:t>
      </w:r>
      <w:r w:rsidRPr="00C37A7C" w:rsidR="005B6195">
        <w:rPr>
          <w:rFonts w:ascii="Verdana" w:hAnsi="Verdana"/>
          <w:sz w:val="18"/>
          <w:szCs w:val="18"/>
        </w:rPr>
        <w:t>te realiseren on</w:t>
      </w:r>
      <w:r w:rsidR="00D86763">
        <w:rPr>
          <w:rFonts w:ascii="Verdana" w:hAnsi="Verdana"/>
          <w:sz w:val="18"/>
          <w:szCs w:val="18"/>
        </w:rPr>
        <w:t>danks de relatief lage private O</w:t>
      </w:r>
      <w:r w:rsidRPr="00C37A7C" w:rsidR="005B6195">
        <w:rPr>
          <w:rFonts w:ascii="Verdana" w:hAnsi="Verdana"/>
          <w:sz w:val="18"/>
          <w:szCs w:val="18"/>
        </w:rPr>
        <w:t>&amp;</w:t>
      </w:r>
      <w:r w:rsidR="00D86763">
        <w:rPr>
          <w:rFonts w:ascii="Verdana" w:hAnsi="Verdana"/>
          <w:sz w:val="18"/>
          <w:szCs w:val="18"/>
        </w:rPr>
        <w:t>O</w:t>
      </w:r>
      <w:r w:rsidRPr="00C37A7C" w:rsidR="005B6195">
        <w:rPr>
          <w:rFonts w:ascii="Verdana" w:hAnsi="Verdana"/>
          <w:sz w:val="18"/>
          <w:szCs w:val="18"/>
        </w:rPr>
        <w:t>-uitgaven.</w:t>
      </w:r>
    </w:p>
    <w:p w:rsidR="00D76C2F" w:rsidP="00D76C2F" w:rsidRDefault="00D76C2F" w14:paraId="1A4363D5" w14:textId="77777777">
      <w:pPr>
        <w:spacing w:line="360" w:lineRule="auto"/>
        <w:rPr>
          <w:rFonts w:ascii="Verdana" w:hAnsi="Verdana"/>
          <w:sz w:val="18"/>
          <w:szCs w:val="18"/>
        </w:rPr>
      </w:pPr>
    </w:p>
    <w:p w:rsidRPr="00473725" w:rsidR="00D76C2F" w:rsidP="00D76C2F" w:rsidRDefault="00D76C2F" w14:paraId="2659A24B" w14:textId="7A1E65A3">
      <w:pPr>
        <w:spacing w:line="360" w:lineRule="auto"/>
        <w:rPr>
          <w:rFonts w:ascii="Verdana" w:hAnsi="Verdana"/>
          <w:color w:val="000000"/>
          <w:sz w:val="18"/>
          <w:szCs w:val="18"/>
        </w:rPr>
      </w:pPr>
      <w:r w:rsidRPr="00512A91">
        <w:rPr>
          <w:rFonts w:ascii="Verdana" w:hAnsi="Verdana"/>
          <w:sz w:val="18"/>
          <w:szCs w:val="18"/>
        </w:rPr>
        <w:t xml:space="preserve">Met het oog op de toekomst, is het van belang om mogelijkheden te benutten om zowel de </w:t>
      </w:r>
      <w:r w:rsidRPr="00154E08">
        <w:rPr>
          <w:rFonts w:ascii="Verdana" w:hAnsi="Verdana"/>
          <w:sz w:val="18"/>
          <w:szCs w:val="18"/>
        </w:rPr>
        <w:t xml:space="preserve">publieke als private bestedingen aan onderzoek en innovatie op een hoger peil te brengen. </w:t>
      </w:r>
      <w:r w:rsidRPr="00154E08" w:rsidR="00154E08">
        <w:rPr>
          <w:rFonts w:ascii="Verdana" w:hAnsi="Verdana"/>
          <w:sz w:val="18"/>
          <w:szCs w:val="18"/>
        </w:rPr>
        <w:t>Daarbij zou bezien kunnen worden in welke mate private partijen momenteel geprikkeld worden om deel te nemen aan langjarige (meer risicovolle) PPS-programma’s. Daarnaast heeft het kabinet eenmalig € 200 mln. beschikbaar gesteld</w:t>
      </w:r>
      <w:r w:rsidR="00154E08">
        <w:rPr>
          <w:rFonts w:ascii="Verdana" w:hAnsi="Verdana"/>
          <w:sz w:val="18"/>
          <w:szCs w:val="18"/>
        </w:rPr>
        <w:t xml:space="preserve"> </w:t>
      </w:r>
      <w:r w:rsidRPr="00512A91">
        <w:rPr>
          <w:rFonts w:ascii="Verdana" w:hAnsi="Verdana"/>
          <w:sz w:val="18"/>
          <w:szCs w:val="18"/>
        </w:rPr>
        <w:t xml:space="preserve">voor het Toekomstfonds (risicokapitaal voor bedrijven en leningen </w:t>
      </w:r>
      <w:r>
        <w:rPr>
          <w:rFonts w:ascii="Verdana" w:hAnsi="Verdana"/>
          <w:color w:val="000000"/>
          <w:sz w:val="18"/>
          <w:szCs w:val="18"/>
        </w:rPr>
        <w:t>voor O&amp;O-infrastructuur). In de recent afgeronde doorlichting van het ondernemerschap- en innovatiebeleid geeft het kabinet</w:t>
      </w:r>
      <w:r w:rsidR="000E55DB">
        <w:rPr>
          <w:rFonts w:ascii="Verdana" w:hAnsi="Verdana"/>
          <w:color w:val="000000"/>
          <w:sz w:val="18"/>
          <w:szCs w:val="18"/>
        </w:rPr>
        <w:t xml:space="preserve"> onder andere aan dat</w:t>
      </w:r>
      <w:r>
        <w:rPr>
          <w:rFonts w:ascii="Verdana" w:hAnsi="Verdana"/>
          <w:color w:val="000000"/>
          <w:sz w:val="18"/>
          <w:szCs w:val="18"/>
        </w:rPr>
        <w:t xml:space="preserve"> binnen de context van de fiscale stelselherziening wordt bezien in hoeverre het fiscale ondernemerschaps</w:t>
      </w:r>
      <w:r w:rsidR="00272A32">
        <w:rPr>
          <w:rFonts w:ascii="Verdana" w:hAnsi="Verdana"/>
          <w:color w:val="000000"/>
          <w:sz w:val="18"/>
          <w:szCs w:val="18"/>
        </w:rPr>
        <w:t>-</w:t>
      </w:r>
      <w:r>
        <w:rPr>
          <w:rFonts w:ascii="Verdana" w:hAnsi="Verdana"/>
          <w:color w:val="000000"/>
          <w:sz w:val="18"/>
          <w:szCs w:val="18"/>
        </w:rPr>
        <w:t xml:space="preserve">instrumentarium effectiever kan worden gericht op onder andere het bereiken van meer maatschappelijk rendement </w:t>
      </w:r>
      <w:r>
        <w:rPr>
          <w:rFonts w:ascii="Verdana" w:hAnsi="Verdana"/>
          <w:color w:val="000000"/>
          <w:sz w:val="18"/>
          <w:szCs w:val="18"/>
        </w:rPr>
        <w:lastRenderedPageBreak/>
        <w:t xml:space="preserve">in termen van innovatie, productiviteitsgroei, ondernemersklimaat en werkgelegenheid. </w:t>
      </w:r>
      <w:r w:rsidRPr="00E5589C">
        <w:rPr>
          <w:rFonts w:ascii="Verdana" w:hAnsi="Verdana"/>
          <w:sz w:val="18"/>
          <w:szCs w:val="18"/>
        </w:rPr>
        <w:t xml:space="preserve">Het </w:t>
      </w:r>
      <w:r>
        <w:rPr>
          <w:rFonts w:ascii="Verdana" w:hAnsi="Verdana"/>
          <w:sz w:val="18"/>
          <w:szCs w:val="18"/>
        </w:rPr>
        <w:t xml:space="preserve">is ook op EU-niveau van belang om in te zetten op </w:t>
      </w:r>
      <w:r w:rsidRPr="00E5589C">
        <w:rPr>
          <w:rFonts w:ascii="Verdana" w:hAnsi="Verdana"/>
          <w:sz w:val="18"/>
          <w:szCs w:val="18"/>
        </w:rPr>
        <w:t>het vergroten van de hefboom, zodat elke euro die de overheid investeert tot zoveel mogelijk innovatie leidt.</w:t>
      </w:r>
      <w:r>
        <w:rPr>
          <w:rFonts w:ascii="Verdana" w:hAnsi="Verdana"/>
          <w:sz w:val="18"/>
          <w:szCs w:val="18"/>
        </w:rPr>
        <w:t xml:space="preserve"> </w:t>
      </w:r>
      <w:r w:rsidRPr="009A2F3E" w:rsidR="005B6195">
        <w:rPr>
          <w:rFonts w:ascii="Verdana" w:hAnsi="Verdana"/>
          <w:sz w:val="18"/>
          <w:szCs w:val="18"/>
        </w:rPr>
        <w:t>Ook kan het goed benutten van de additionele financieringsmogelijkheden van het EFSI (</w:t>
      </w:r>
      <w:r w:rsidR="005B6195">
        <w:rPr>
          <w:rFonts w:ascii="Verdana" w:hAnsi="Verdana"/>
          <w:sz w:val="18"/>
          <w:szCs w:val="18"/>
        </w:rPr>
        <w:t>Europees Fonds voor Strategische Investeringen</w:t>
      </w:r>
      <w:r w:rsidRPr="009A2F3E" w:rsidR="005B6195">
        <w:rPr>
          <w:rFonts w:ascii="Verdana" w:hAnsi="Verdana"/>
          <w:sz w:val="18"/>
          <w:szCs w:val="18"/>
        </w:rPr>
        <w:t>) dat momenteel wordt opgericht, leiden tot meer investeringen in onderzoek en innovatie</w:t>
      </w:r>
      <w:r w:rsidR="00C4454B">
        <w:rPr>
          <w:rFonts w:ascii="Verdana" w:hAnsi="Verdana"/>
          <w:sz w:val="18"/>
          <w:szCs w:val="18"/>
        </w:rPr>
        <w:t>.</w:t>
      </w:r>
    </w:p>
    <w:p w:rsidR="00886015" w:rsidP="00E15DD2" w:rsidRDefault="00886015" w14:paraId="57B3EEC3" w14:textId="77777777">
      <w:pPr>
        <w:spacing w:line="360" w:lineRule="auto"/>
        <w:rPr>
          <w:rFonts w:ascii="Verdana" w:hAnsi="Verdana"/>
          <w:i/>
          <w:sz w:val="18"/>
        </w:rPr>
      </w:pPr>
    </w:p>
    <w:p w:rsidRPr="00104504" w:rsidR="00104504" w:rsidP="00E15DD2" w:rsidRDefault="00104504" w14:paraId="2CDB8EAD" w14:textId="77777777">
      <w:pPr>
        <w:spacing w:line="360" w:lineRule="auto"/>
        <w:rPr>
          <w:rFonts w:ascii="Verdana" w:hAnsi="Verdana"/>
          <w:i/>
          <w:sz w:val="18"/>
        </w:rPr>
      </w:pPr>
      <w:r w:rsidRPr="00104504">
        <w:rPr>
          <w:rFonts w:ascii="Verdana" w:hAnsi="Verdana"/>
          <w:i/>
          <w:sz w:val="18"/>
        </w:rPr>
        <w:t>Woningmarkt</w:t>
      </w:r>
    </w:p>
    <w:p w:rsidR="007C5D2D" w:rsidP="007C5D2D" w:rsidRDefault="007C5D2D" w14:paraId="7DFD4289" w14:textId="77777777">
      <w:pPr>
        <w:spacing w:line="360" w:lineRule="auto"/>
        <w:rPr>
          <w:rFonts w:ascii="Verdana" w:hAnsi="Verdana"/>
          <w:sz w:val="18"/>
        </w:rPr>
      </w:pPr>
      <w:r>
        <w:rPr>
          <w:rFonts w:ascii="Verdana" w:hAnsi="Verdana"/>
          <w:sz w:val="18"/>
        </w:rPr>
        <w:t>Het kabinet heeft ingezet op brede hervormingen van de woningmarkt. Hiertoe zijn de afgelopen jaren belangrijke maatregelen genomen in zowel de huur- als de koopsector, die tot doel hadden om de woningmarkt in zijn geheel beter te laten functioneren</w:t>
      </w:r>
      <w:r w:rsidRPr="00754C50">
        <w:rPr>
          <w:rFonts w:ascii="Verdana" w:hAnsi="Verdana"/>
          <w:sz w:val="18"/>
        </w:rPr>
        <w:t xml:space="preserve"> </w:t>
      </w:r>
      <w:r>
        <w:rPr>
          <w:rFonts w:ascii="Verdana" w:hAnsi="Verdana"/>
          <w:sz w:val="18"/>
        </w:rPr>
        <w:t>en deze in een stabiel evenwicht te brengen.</w:t>
      </w:r>
      <w:r w:rsidR="009A05B1">
        <w:rPr>
          <w:rFonts w:ascii="Verdana" w:hAnsi="Verdana"/>
          <w:sz w:val="18"/>
        </w:rPr>
        <w:t xml:space="preserve"> De Commissie beschrijft dat deze hervormingen hebben bijgedragen aan herstel en stabiliteit op de woningmarkt en het beperken van de opbouw van private schulden. Wel beveelt de Commissie</w:t>
      </w:r>
      <w:r w:rsidRPr="00A74D77">
        <w:rPr>
          <w:rFonts w:ascii="Verdana" w:hAnsi="Verdana"/>
          <w:sz w:val="18"/>
        </w:rPr>
        <w:t xml:space="preserve"> verdere hervormingen aan binnen z</w:t>
      </w:r>
      <w:r>
        <w:rPr>
          <w:rFonts w:ascii="Verdana" w:hAnsi="Verdana"/>
          <w:sz w:val="18"/>
        </w:rPr>
        <w:t xml:space="preserve">owel de huur- als de koopsector. </w:t>
      </w:r>
    </w:p>
    <w:p w:rsidR="007C5D2D" w:rsidP="007C5D2D" w:rsidRDefault="007C5D2D" w14:paraId="77EE6ABE" w14:textId="77777777">
      <w:pPr>
        <w:spacing w:line="360" w:lineRule="auto"/>
        <w:rPr>
          <w:rFonts w:ascii="Verdana" w:hAnsi="Verdana"/>
          <w:sz w:val="18"/>
        </w:rPr>
      </w:pPr>
    </w:p>
    <w:p w:rsidR="007C5D2D" w:rsidP="007C5D2D" w:rsidRDefault="007C5D2D" w14:paraId="1081E74C" w14:textId="77777777">
      <w:pPr>
        <w:spacing w:line="360" w:lineRule="auto"/>
        <w:rPr>
          <w:rFonts w:ascii="Verdana" w:hAnsi="Verdana"/>
          <w:sz w:val="18"/>
        </w:rPr>
      </w:pPr>
      <w:r>
        <w:rPr>
          <w:rFonts w:ascii="Verdana" w:hAnsi="Verdana"/>
          <w:sz w:val="18"/>
        </w:rPr>
        <w:t xml:space="preserve">Voor de koopwoningmarkt beveelt de Commissie aan om de hypotheekrente versneld af te bouwen. Het kabinet heeft de afgelopen jaren belangrijke hervormingen geïmplementeerd in de koopsector. Als gevolg van de genomen maatregelen worden het maximale aftrektarief en </w:t>
      </w:r>
      <w:r w:rsidR="000964A4">
        <w:rPr>
          <w:rFonts w:ascii="Verdana" w:hAnsi="Verdana"/>
          <w:sz w:val="18"/>
        </w:rPr>
        <w:t xml:space="preserve">de </w:t>
      </w:r>
      <w:r>
        <w:rPr>
          <w:rFonts w:ascii="Verdana" w:hAnsi="Verdana"/>
          <w:sz w:val="18"/>
        </w:rPr>
        <w:t xml:space="preserve">maximale </w:t>
      </w:r>
      <w:proofErr w:type="spellStart"/>
      <w:r>
        <w:rPr>
          <w:rFonts w:ascii="Verdana" w:hAnsi="Verdana"/>
          <w:sz w:val="18"/>
        </w:rPr>
        <w:t>Loan</w:t>
      </w:r>
      <w:proofErr w:type="spellEnd"/>
      <w:r>
        <w:rPr>
          <w:rFonts w:ascii="Verdana" w:hAnsi="Verdana"/>
          <w:sz w:val="18"/>
        </w:rPr>
        <w:t>-</w:t>
      </w:r>
      <w:proofErr w:type="spellStart"/>
      <w:r>
        <w:rPr>
          <w:rFonts w:ascii="Verdana" w:hAnsi="Verdana"/>
          <w:sz w:val="18"/>
        </w:rPr>
        <w:t>to</w:t>
      </w:r>
      <w:proofErr w:type="spellEnd"/>
      <w:r>
        <w:rPr>
          <w:rFonts w:ascii="Verdana" w:hAnsi="Verdana"/>
          <w:sz w:val="18"/>
        </w:rPr>
        <w:t xml:space="preserve">-Value ratio stapsgewijs afgebouwd. Hiermee worden </w:t>
      </w:r>
      <w:r w:rsidRPr="00F95705">
        <w:rPr>
          <w:rFonts w:ascii="Verdana" w:hAnsi="Verdana"/>
          <w:sz w:val="18"/>
        </w:rPr>
        <w:t xml:space="preserve">de hoge schulden en </w:t>
      </w:r>
      <w:r w:rsidR="000964A4">
        <w:rPr>
          <w:rFonts w:ascii="Verdana" w:hAnsi="Verdana"/>
          <w:sz w:val="18"/>
        </w:rPr>
        <w:t xml:space="preserve">de </w:t>
      </w:r>
      <w:r w:rsidRPr="00F95705">
        <w:rPr>
          <w:rFonts w:ascii="Verdana" w:hAnsi="Verdana"/>
          <w:sz w:val="18"/>
        </w:rPr>
        <w:t>daaraan</w:t>
      </w:r>
      <w:r>
        <w:rPr>
          <w:rFonts w:ascii="Verdana" w:hAnsi="Verdana"/>
          <w:sz w:val="18"/>
        </w:rPr>
        <w:t xml:space="preserve"> </w:t>
      </w:r>
      <w:r w:rsidRPr="00F95705">
        <w:rPr>
          <w:rFonts w:ascii="Verdana" w:hAnsi="Verdana"/>
          <w:sz w:val="18"/>
        </w:rPr>
        <w:t xml:space="preserve">gekoppelde risico’s voor huishoudens en banken </w:t>
      </w:r>
      <w:r>
        <w:rPr>
          <w:rFonts w:ascii="Verdana" w:hAnsi="Verdana"/>
          <w:sz w:val="18"/>
        </w:rPr>
        <w:t>op evenwichtige wijze beperkt. Met het oog op de huidige ontwikkelingen in de markt, bijvoorbeeld het feit dat veel huishoudens onder water staan en de regionale verschillen in de prijsontwikkeling, ziet het kabinet geen ruimte om verder in te grijpen, aangezien dit nadelige effecten voor de economie en consumptie zou kunnen hebben.</w:t>
      </w:r>
    </w:p>
    <w:p w:rsidR="007C5D2D" w:rsidP="007C5D2D" w:rsidRDefault="007C5D2D" w14:paraId="62931437" w14:textId="77777777">
      <w:pPr>
        <w:spacing w:line="360" w:lineRule="auto"/>
        <w:rPr>
          <w:rFonts w:ascii="Verdana" w:hAnsi="Verdana"/>
          <w:sz w:val="18"/>
        </w:rPr>
      </w:pPr>
    </w:p>
    <w:p w:rsidR="007C5D2D" w:rsidP="007C5D2D" w:rsidRDefault="0006239C" w14:paraId="3F7B785E" w14:textId="77777777">
      <w:pPr>
        <w:spacing w:line="360" w:lineRule="auto"/>
        <w:rPr>
          <w:rFonts w:ascii="Verdana" w:hAnsi="Verdana"/>
          <w:sz w:val="18"/>
        </w:rPr>
      </w:pPr>
      <w:r>
        <w:rPr>
          <w:rFonts w:ascii="Verdana" w:hAnsi="Verdana"/>
          <w:sz w:val="18"/>
        </w:rPr>
        <w:t xml:space="preserve">Voor de huurwoningmarkt, beveelt </w:t>
      </w:r>
      <w:r w:rsidR="00AF60B2">
        <w:rPr>
          <w:rFonts w:ascii="Verdana" w:hAnsi="Verdana"/>
          <w:sz w:val="18"/>
        </w:rPr>
        <w:t xml:space="preserve">de Commissie </w:t>
      </w:r>
      <w:r>
        <w:rPr>
          <w:rFonts w:ascii="Verdana" w:hAnsi="Verdana"/>
          <w:sz w:val="18"/>
        </w:rPr>
        <w:t xml:space="preserve">aan om een meer marktgericht prijsmechanisme te implementeren en </w:t>
      </w:r>
      <w:r w:rsidR="00AF60B2">
        <w:rPr>
          <w:rFonts w:ascii="Verdana" w:hAnsi="Verdana"/>
          <w:sz w:val="18"/>
        </w:rPr>
        <w:t>om</w:t>
      </w:r>
      <w:r>
        <w:rPr>
          <w:rFonts w:ascii="Verdana" w:hAnsi="Verdana"/>
          <w:sz w:val="18"/>
        </w:rPr>
        <w:t xml:space="preserve"> de huurprijzen in de sociale</w:t>
      </w:r>
      <w:r w:rsidR="00CB4990">
        <w:rPr>
          <w:rFonts w:ascii="Verdana" w:hAnsi="Verdana"/>
          <w:sz w:val="18"/>
        </w:rPr>
        <w:t xml:space="preserve"> huur</w:t>
      </w:r>
      <w:r>
        <w:rPr>
          <w:rFonts w:ascii="Verdana" w:hAnsi="Verdana"/>
          <w:sz w:val="18"/>
        </w:rPr>
        <w:t xml:space="preserve">sector </w:t>
      </w:r>
      <w:r w:rsidR="00AF60B2">
        <w:rPr>
          <w:rFonts w:ascii="Verdana" w:hAnsi="Verdana"/>
          <w:sz w:val="18"/>
        </w:rPr>
        <w:t xml:space="preserve">meer in lijn te brengen </w:t>
      </w:r>
      <w:r>
        <w:rPr>
          <w:rFonts w:ascii="Verdana" w:hAnsi="Verdana"/>
          <w:sz w:val="18"/>
        </w:rPr>
        <w:t xml:space="preserve">met de inkomens van huishoudens. </w:t>
      </w:r>
      <w:r w:rsidR="007C5D2D">
        <w:rPr>
          <w:rFonts w:ascii="Verdana" w:hAnsi="Verdana"/>
          <w:sz w:val="18"/>
        </w:rPr>
        <w:t xml:space="preserve">Het kabinet is het eens met </w:t>
      </w:r>
      <w:r>
        <w:rPr>
          <w:rFonts w:ascii="Verdana" w:hAnsi="Verdana"/>
          <w:sz w:val="18"/>
        </w:rPr>
        <w:t xml:space="preserve">deze aanbeveling van de </w:t>
      </w:r>
      <w:r w:rsidR="007C5D2D">
        <w:rPr>
          <w:rFonts w:ascii="Verdana" w:hAnsi="Verdana"/>
          <w:sz w:val="18"/>
        </w:rPr>
        <w:t xml:space="preserve">Commissie om een </w:t>
      </w:r>
      <w:r w:rsidR="00232AA5">
        <w:rPr>
          <w:rFonts w:ascii="Verdana" w:hAnsi="Verdana"/>
          <w:sz w:val="18"/>
        </w:rPr>
        <w:t xml:space="preserve">evenwichtige </w:t>
      </w:r>
      <w:r>
        <w:rPr>
          <w:rFonts w:ascii="Verdana" w:hAnsi="Verdana"/>
          <w:sz w:val="18"/>
        </w:rPr>
        <w:t>huur</w:t>
      </w:r>
      <w:r w:rsidR="007C5D2D">
        <w:rPr>
          <w:rFonts w:ascii="Verdana" w:hAnsi="Verdana"/>
          <w:sz w:val="18"/>
        </w:rPr>
        <w:t xml:space="preserve">woningmarkt te ontwikkelen. </w:t>
      </w:r>
      <w:r>
        <w:rPr>
          <w:rFonts w:ascii="Verdana" w:hAnsi="Verdana"/>
          <w:sz w:val="18"/>
        </w:rPr>
        <w:t xml:space="preserve">In 2015 en 2016 worden hiertoe belangrijke stappen gezet. Voor </w:t>
      </w:r>
      <w:r w:rsidR="00CB4990">
        <w:rPr>
          <w:rFonts w:ascii="Verdana" w:hAnsi="Verdana"/>
          <w:sz w:val="18"/>
        </w:rPr>
        <w:t xml:space="preserve">het gereguleerde deel van de </w:t>
      </w:r>
      <w:r>
        <w:rPr>
          <w:rFonts w:ascii="Verdana" w:hAnsi="Verdana"/>
          <w:sz w:val="18"/>
        </w:rPr>
        <w:t>huurmarkt zal p</w:t>
      </w:r>
      <w:r w:rsidR="007C5D2D">
        <w:rPr>
          <w:rFonts w:ascii="Verdana" w:hAnsi="Verdana"/>
          <w:sz w:val="18"/>
        </w:rPr>
        <w:t>er</w:t>
      </w:r>
      <w:r w:rsidRPr="00F95705" w:rsidR="007C5D2D">
        <w:rPr>
          <w:rFonts w:ascii="Verdana" w:hAnsi="Verdana"/>
          <w:sz w:val="18"/>
        </w:rPr>
        <w:t xml:space="preserve"> 1 oktober</w:t>
      </w:r>
      <w:r w:rsidR="007C5D2D">
        <w:rPr>
          <w:rFonts w:ascii="Verdana" w:hAnsi="Verdana"/>
          <w:sz w:val="18"/>
        </w:rPr>
        <w:t xml:space="preserve"> </w:t>
      </w:r>
      <w:r w:rsidRPr="00F95705" w:rsidR="007C5D2D">
        <w:rPr>
          <w:rFonts w:ascii="Verdana" w:hAnsi="Verdana"/>
          <w:sz w:val="18"/>
        </w:rPr>
        <w:t>2015 de nieuwe opzet van het woningwaarderingsstelsel (WWS) in werking treden</w:t>
      </w:r>
      <w:r w:rsidR="007C5D2D">
        <w:rPr>
          <w:rFonts w:ascii="Verdana" w:hAnsi="Verdana"/>
          <w:sz w:val="18"/>
        </w:rPr>
        <w:t>, waarmee</w:t>
      </w:r>
      <w:r w:rsidRPr="00F95705" w:rsidR="007C5D2D">
        <w:rPr>
          <w:rFonts w:ascii="Verdana" w:hAnsi="Verdana"/>
          <w:sz w:val="18"/>
        </w:rPr>
        <w:t xml:space="preserve"> de</w:t>
      </w:r>
      <w:r w:rsidR="007C5D2D">
        <w:rPr>
          <w:rFonts w:ascii="Verdana" w:hAnsi="Verdana"/>
          <w:sz w:val="18"/>
        </w:rPr>
        <w:t xml:space="preserve"> </w:t>
      </w:r>
      <w:r w:rsidRPr="00F95705" w:rsidR="007C5D2D">
        <w:rPr>
          <w:rFonts w:ascii="Verdana" w:hAnsi="Verdana"/>
          <w:sz w:val="18"/>
        </w:rPr>
        <w:t>gewildheid van de woning (uitgedrukt in de WOZ-waarde van de woning) een kwart</w:t>
      </w:r>
      <w:r w:rsidR="007C5D2D">
        <w:rPr>
          <w:rFonts w:ascii="Verdana" w:hAnsi="Verdana"/>
          <w:sz w:val="18"/>
        </w:rPr>
        <w:t xml:space="preserve"> zal</w:t>
      </w:r>
      <w:r w:rsidRPr="00F95705" w:rsidR="007C5D2D">
        <w:rPr>
          <w:rFonts w:ascii="Verdana" w:hAnsi="Verdana"/>
          <w:sz w:val="18"/>
        </w:rPr>
        <w:t xml:space="preserve"> gaan uitmaken</w:t>
      </w:r>
      <w:r w:rsidR="007C5D2D">
        <w:rPr>
          <w:rFonts w:ascii="Verdana" w:hAnsi="Verdana"/>
          <w:sz w:val="18"/>
        </w:rPr>
        <w:t xml:space="preserve"> </w:t>
      </w:r>
      <w:r w:rsidRPr="00F95705" w:rsidR="007C5D2D">
        <w:rPr>
          <w:rFonts w:ascii="Verdana" w:hAnsi="Verdana"/>
          <w:sz w:val="18"/>
        </w:rPr>
        <w:t>van de maximale huurprijs die kan worden gevraagd</w:t>
      </w:r>
      <w:r w:rsidR="007C5D2D">
        <w:rPr>
          <w:rFonts w:ascii="Verdana" w:hAnsi="Verdana"/>
          <w:sz w:val="18"/>
        </w:rPr>
        <w:t>, waardoor meer markt</w:t>
      </w:r>
      <w:r w:rsidR="00CB4990">
        <w:rPr>
          <w:rFonts w:ascii="Verdana" w:hAnsi="Verdana"/>
          <w:sz w:val="18"/>
        </w:rPr>
        <w:t>conforme</w:t>
      </w:r>
      <w:r w:rsidR="007C5D2D">
        <w:rPr>
          <w:rFonts w:ascii="Verdana" w:hAnsi="Verdana"/>
          <w:sz w:val="18"/>
        </w:rPr>
        <w:t xml:space="preserve"> huurniveaus</w:t>
      </w:r>
      <w:r w:rsidR="000964A4">
        <w:rPr>
          <w:rFonts w:ascii="Verdana" w:hAnsi="Verdana"/>
          <w:sz w:val="18"/>
        </w:rPr>
        <w:t xml:space="preserve"> mogelijk worden</w:t>
      </w:r>
      <w:r w:rsidRPr="00F95705" w:rsidR="007C5D2D">
        <w:rPr>
          <w:rFonts w:ascii="Verdana" w:hAnsi="Verdana"/>
          <w:sz w:val="18"/>
        </w:rPr>
        <w:t>.</w:t>
      </w:r>
      <w:r w:rsidR="007C5D2D">
        <w:rPr>
          <w:rFonts w:ascii="Verdana" w:hAnsi="Verdana"/>
          <w:sz w:val="18"/>
        </w:rPr>
        <w:t xml:space="preserve"> </w:t>
      </w:r>
      <w:r>
        <w:rPr>
          <w:rFonts w:ascii="Verdana" w:hAnsi="Verdana"/>
          <w:sz w:val="18"/>
        </w:rPr>
        <w:t xml:space="preserve">Voor de </w:t>
      </w:r>
      <w:r w:rsidR="00473725">
        <w:rPr>
          <w:rFonts w:ascii="Verdana" w:hAnsi="Verdana"/>
          <w:sz w:val="18"/>
        </w:rPr>
        <w:t xml:space="preserve">gereguleerde </w:t>
      </w:r>
      <w:r w:rsidR="00CB4990">
        <w:rPr>
          <w:rFonts w:ascii="Verdana" w:hAnsi="Verdana"/>
          <w:sz w:val="18"/>
        </w:rPr>
        <w:t>huur</w:t>
      </w:r>
      <w:r>
        <w:rPr>
          <w:rFonts w:ascii="Verdana" w:hAnsi="Verdana"/>
          <w:sz w:val="18"/>
        </w:rPr>
        <w:t xml:space="preserve">sector geldt dat </w:t>
      </w:r>
      <w:r w:rsidR="00AF60B2">
        <w:rPr>
          <w:rFonts w:ascii="Verdana" w:hAnsi="Verdana"/>
          <w:sz w:val="18"/>
        </w:rPr>
        <w:t>ook komend ja</w:t>
      </w:r>
      <w:r w:rsidR="009028FB">
        <w:rPr>
          <w:rFonts w:ascii="Verdana" w:hAnsi="Verdana"/>
          <w:sz w:val="18"/>
        </w:rPr>
        <w:t>a</w:t>
      </w:r>
      <w:r w:rsidR="00AF60B2">
        <w:rPr>
          <w:rFonts w:ascii="Verdana" w:hAnsi="Verdana"/>
          <w:sz w:val="18"/>
        </w:rPr>
        <w:t>r</w:t>
      </w:r>
      <w:r w:rsidR="007C5D2D">
        <w:rPr>
          <w:rFonts w:ascii="Verdana" w:hAnsi="Verdana"/>
          <w:sz w:val="18"/>
        </w:rPr>
        <w:t xml:space="preserve"> inkomensafhankelijke </w:t>
      </w:r>
      <w:proofErr w:type="spellStart"/>
      <w:r w:rsidRPr="0006014E" w:rsidR="007C5D2D">
        <w:rPr>
          <w:rFonts w:ascii="Verdana" w:hAnsi="Verdana"/>
          <w:sz w:val="18"/>
        </w:rPr>
        <w:t>boveninflatoire</w:t>
      </w:r>
      <w:proofErr w:type="spellEnd"/>
      <w:r w:rsidR="007C5D2D">
        <w:rPr>
          <w:rFonts w:ascii="Verdana" w:hAnsi="Verdana"/>
          <w:sz w:val="18"/>
        </w:rPr>
        <w:t xml:space="preserve"> huurverhogingen</w:t>
      </w:r>
      <w:r w:rsidR="00AF60B2">
        <w:rPr>
          <w:rFonts w:ascii="Verdana" w:hAnsi="Verdana"/>
          <w:sz w:val="18"/>
        </w:rPr>
        <w:t xml:space="preserve"> </w:t>
      </w:r>
      <w:r w:rsidRPr="00881685" w:rsidR="00AF60B2">
        <w:rPr>
          <w:rFonts w:ascii="Verdana" w:hAnsi="Verdana"/>
          <w:sz w:val="18"/>
        </w:rPr>
        <w:t>mogelijk zijn</w:t>
      </w:r>
      <w:r w:rsidR="00232AA5">
        <w:rPr>
          <w:rFonts w:ascii="Verdana" w:hAnsi="Verdana"/>
          <w:sz w:val="18"/>
        </w:rPr>
        <w:t>.</w:t>
      </w:r>
      <w:r w:rsidR="00473725">
        <w:rPr>
          <w:rFonts w:ascii="Verdana" w:hAnsi="Verdana"/>
          <w:sz w:val="18"/>
        </w:rPr>
        <w:t xml:space="preserve"> </w:t>
      </w:r>
      <w:r w:rsidR="00232AA5">
        <w:rPr>
          <w:rFonts w:ascii="Verdana" w:hAnsi="Verdana"/>
          <w:sz w:val="18"/>
        </w:rPr>
        <w:t>D</w:t>
      </w:r>
      <w:r w:rsidRPr="00881685" w:rsidR="00AF60B2">
        <w:rPr>
          <w:rFonts w:ascii="Verdana" w:hAnsi="Verdana"/>
          <w:sz w:val="18"/>
        </w:rPr>
        <w:t>it levert</w:t>
      </w:r>
      <w:r w:rsidR="00AF60B2">
        <w:rPr>
          <w:rFonts w:ascii="Verdana" w:hAnsi="Verdana"/>
          <w:sz w:val="18"/>
        </w:rPr>
        <w:t xml:space="preserve"> </w:t>
      </w:r>
      <w:r w:rsidR="007C5D2D">
        <w:rPr>
          <w:rFonts w:ascii="Verdana" w:hAnsi="Verdana"/>
          <w:sz w:val="18"/>
        </w:rPr>
        <w:t>een belangrijke bijdrage</w:t>
      </w:r>
      <w:r>
        <w:rPr>
          <w:rFonts w:ascii="Verdana" w:hAnsi="Verdana"/>
          <w:sz w:val="18"/>
        </w:rPr>
        <w:t xml:space="preserve"> </w:t>
      </w:r>
      <w:r w:rsidR="007C5D2D">
        <w:rPr>
          <w:rFonts w:ascii="Verdana" w:hAnsi="Verdana"/>
          <w:sz w:val="18"/>
        </w:rPr>
        <w:t>aan</w:t>
      </w:r>
      <w:r>
        <w:rPr>
          <w:rFonts w:ascii="Verdana" w:hAnsi="Verdana"/>
          <w:sz w:val="18"/>
        </w:rPr>
        <w:t xml:space="preserve"> het in lijn brengen van huurprijzen en de inkomens van huishoudens</w:t>
      </w:r>
      <w:r w:rsidR="00845287">
        <w:rPr>
          <w:rFonts w:ascii="Verdana" w:hAnsi="Verdana"/>
          <w:sz w:val="18"/>
        </w:rPr>
        <w:t xml:space="preserve"> en bevordert de doorstroming naar andere woningen</w:t>
      </w:r>
      <w:r w:rsidR="007C5D2D">
        <w:rPr>
          <w:rFonts w:ascii="Verdana" w:hAnsi="Verdana"/>
          <w:sz w:val="18"/>
        </w:rPr>
        <w:t>. De huurtoeslag compenseert daarbij l</w:t>
      </w:r>
      <w:r w:rsidRPr="0006014E" w:rsidR="007C5D2D">
        <w:rPr>
          <w:rFonts w:ascii="Verdana" w:hAnsi="Verdana"/>
          <w:sz w:val="18"/>
        </w:rPr>
        <w:t>age inkomens in belangrijke mate voor huurstijging</w:t>
      </w:r>
      <w:r w:rsidR="007C5D2D">
        <w:rPr>
          <w:rFonts w:ascii="Verdana" w:hAnsi="Verdana"/>
          <w:sz w:val="18"/>
        </w:rPr>
        <w:t>en</w:t>
      </w:r>
      <w:r w:rsidRPr="0006014E" w:rsidR="007C5D2D">
        <w:rPr>
          <w:rFonts w:ascii="Verdana" w:hAnsi="Verdana"/>
          <w:sz w:val="18"/>
        </w:rPr>
        <w:t xml:space="preserve">. </w:t>
      </w:r>
      <w:r w:rsidR="00AF60B2">
        <w:rPr>
          <w:rFonts w:ascii="Verdana" w:hAnsi="Verdana"/>
          <w:sz w:val="18"/>
        </w:rPr>
        <w:t xml:space="preserve">Daar komt bij dat vanaf 1 januari 2016 </w:t>
      </w:r>
      <w:r w:rsidR="007C5D2D">
        <w:rPr>
          <w:rFonts w:ascii="Verdana" w:hAnsi="Verdana"/>
          <w:sz w:val="18"/>
        </w:rPr>
        <w:t xml:space="preserve">de </w:t>
      </w:r>
      <w:proofErr w:type="spellStart"/>
      <w:r w:rsidR="007C5D2D">
        <w:rPr>
          <w:rFonts w:ascii="Verdana" w:hAnsi="Verdana"/>
          <w:sz w:val="18"/>
        </w:rPr>
        <w:t>passendheidsnorm</w:t>
      </w:r>
      <w:proofErr w:type="spellEnd"/>
      <w:r w:rsidR="007C5D2D">
        <w:rPr>
          <w:rFonts w:ascii="Verdana" w:hAnsi="Verdana"/>
          <w:sz w:val="18"/>
        </w:rPr>
        <w:t xml:space="preserve"> effectief zal worden. Hiermee worden woningcorporaties verplicht om rekening te houden met de betaalbaarheid van het wonen voor huishoudens met huurtoeslag. </w:t>
      </w:r>
    </w:p>
    <w:p w:rsidRPr="006A6610" w:rsidR="009433E6" w:rsidP="00E15DD2" w:rsidRDefault="009433E6" w14:paraId="7EC587AF" w14:textId="77777777">
      <w:pPr>
        <w:spacing w:line="360" w:lineRule="auto"/>
        <w:rPr>
          <w:rFonts w:ascii="Verdana" w:hAnsi="Verdana"/>
          <w:sz w:val="18"/>
        </w:rPr>
      </w:pPr>
    </w:p>
    <w:p w:rsidRPr="00104504" w:rsidR="00104504" w:rsidP="00E15DD2" w:rsidRDefault="00104504" w14:paraId="7AF34719" w14:textId="77777777">
      <w:pPr>
        <w:spacing w:line="360" w:lineRule="auto"/>
        <w:rPr>
          <w:rFonts w:ascii="Verdana" w:hAnsi="Verdana"/>
          <w:i/>
          <w:sz w:val="18"/>
        </w:rPr>
      </w:pPr>
      <w:r>
        <w:rPr>
          <w:rFonts w:ascii="Verdana" w:hAnsi="Verdana"/>
          <w:i/>
          <w:sz w:val="18"/>
        </w:rPr>
        <w:t>Pensioenen</w:t>
      </w:r>
    </w:p>
    <w:p w:rsidRPr="007C5D2D" w:rsidR="007C5D2D" w:rsidP="007C5D2D" w:rsidRDefault="001508F9" w14:paraId="61FB73F4" w14:textId="6A5B5F56">
      <w:pPr>
        <w:spacing w:line="360" w:lineRule="auto"/>
        <w:rPr>
          <w:rFonts w:ascii="Verdana" w:hAnsi="Verdana"/>
          <w:sz w:val="18"/>
        </w:rPr>
      </w:pPr>
      <w:r>
        <w:rPr>
          <w:rFonts w:ascii="Verdana" w:hAnsi="Verdana"/>
          <w:sz w:val="18"/>
        </w:rPr>
        <w:t>De Commissie wijst op het belang van een passende verdeling van kosten en risico’s tussen en binnen generaties. In dit licht beveelt d</w:t>
      </w:r>
      <w:r w:rsidRPr="007C5D2D" w:rsidR="007C5D2D">
        <w:rPr>
          <w:rFonts w:ascii="Verdana" w:hAnsi="Verdana"/>
          <w:sz w:val="18"/>
        </w:rPr>
        <w:t xml:space="preserve">e Commissie Nederland aan om de pensioenpremies in de </w:t>
      </w:r>
      <w:r w:rsidR="00845287">
        <w:rPr>
          <w:rFonts w:ascii="Verdana" w:hAnsi="Verdana"/>
          <w:sz w:val="18"/>
        </w:rPr>
        <w:t>tweede</w:t>
      </w:r>
      <w:r w:rsidRPr="007C5D2D" w:rsidR="007C5D2D">
        <w:rPr>
          <w:rFonts w:ascii="Verdana" w:hAnsi="Verdana"/>
          <w:sz w:val="18"/>
        </w:rPr>
        <w:t xml:space="preserve"> pijler voor jongere werknemers </w:t>
      </w:r>
      <w:r w:rsidR="008C51AE">
        <w:rPr>
          <w:rFonts w:ascii="Verdana" w:hAnsi="Verdana"/>
          <w:sz w:val="18"/>
        </w:rPr>
        <w:t xml:space="preserve">in de eerste jaren van hun loopbaan </w:t>
      </w:r>
      <w:r w:rsidRPr="007C5D2D" w:rsidR="007C5D2D">
        <w:rPr>
          <w:rFonts w:ascii="Verdana" w:hAnsi="Verdana"/>
          <w:sz w:val="18"/>
        </w:rPr>
        <w:t xml:space="preserve">te beperken. </w:t>
      </w:r>
      <w:r w:rsidRPr="007C5D2D" w:rsidR="007C5D2D">
        <w:rPr>
          <w:rFonts w:ascii="Verdana" w:hAnsi="Verdana"/>
          <w:sz w:val="18"/>
        </w:rPr>
        <w:lastRenderedPageBreak/>
        <w:t xml:space="preserve">Nederland beschikt over een goed pensioenstelsel, maar staat open voor verbeteringen. In augustus 2014 is het kabinet de Nationale Pensioendialoog gestart over de toekomst van het Nederlandse pensioenstelsel. In januari 2015 is het deel van de dialoog met de samenleving afgesloten. Eén van de onderwerpen die in deze fase naar voren is gekomen, is de verdeling van kosten en risico’s binnen </w:t>
      </w:r>
      <w:r w:rsidR="00232AA5">
        <w:rPr>
          <w:rFonts w:ascii="Verdana" w:hAnsi="Verdana"/>
          <w:sz w:val="18"/>
        </w:rPr>
        <w:t>en/</w:t>
      </w:r>
      <w:r w:rsidRPr="007C5D2D" w:rsidR="007C5D2D">
        <w:rPr>
          <w:rFonts w:ascii="Verdana" w:hAnsi="Verdana"/>
          <w:sz w:val="18"/>
        </w:rPr>
        <w:t>of tussen generaties. Begin dit jaar is een voortgangsrapportage aan de Tweede Kamer gestuurd. Voor de zomer zal het kabinet een hoofdlijnennotitie naar de Tweede Kamer sturen. Onderwerpen zoals de doorsneesystematiek en intra- en intergenerationele verdeling van kosten en risico’s</w:t>
      </w:r>
      <w:r w:rsidR="008C51AE">
        <w:rPr>
          <w:rFonts w:ascii="Verdana" w:hAnsi="Verdana"/>
          <w:sz w:val="18"/>
        </w:rPr>
        <w:t>,</w:t>
      </w:r>
      <w:r w:rsidRPr="008C51AE" w:rsidR="008C51AE">
        <w:rPr>
          <w:rFonts w:ascii="Verdana" w:hAnsi="Verdana"/>
          <w:sz w:val="18"/>
        </w:rPr>
        <w:t xml:space="preserve"> </w:t>
      </w:r>
      <w:r w:rsidR="008C51AE">
        <w:rPr>
          <w:rFonts w:ascii="Verdana" w:hAnsi="Verdana"/>
          <w:sz w:val="18"/>
        </w:rPr>
        <w:t>waar de Commissie terecht op wijst,</w:t>
      </w:r>
      <w:r w:rsidRPr="007C5D2D" w:rsidR="007C5D2D">
        <w:rPr>
          <w:rFonts w:ascii="Verdana" w:hAnsi="Verdana"/>
          <w:sz w:val="18"/>
        </w:rPr>
        <w:t xml:space="preserve"> komen hierin aan de orde.</w:t>
      </w:r>
      <w:r>
        <w:rPr>
          <w:rFonts w:ascii="Verdana" w:hAnsi="Verdana"/>
          <w:sz w:val="18"/>
        </w:rPr>
        <w:t xml:space="preserve"> Wel wenst het kabinet erop te wijzen dat het beperken van de pensioenpremies voor werknemers in de eerste jaren van hun loopbaan niet de enige mogelijke maatregel is om het hoofd te bieden aan de gesignaleerde uitdagingen. Er zijn verschillende oplossingsrichtingen denkbaar die het kabinet zorgvuldig zal afwegen</w:t>
      </w:r>
      <w:r w:rsidR="00DB3D92">
        <w:rPr>
          <w:rFonts w:ascii="Verdana" w:hAnsi="Verdana"/>
          <w:sz w:val="18"/>
        </w:rPr>
        <w:t>.</w:t>
      </w:r>
    </w:p>
    <w:p w:rsidRPr="007C5D2D" w:rsidR="007C5D2D" w:rsidP="007C5D2D" w:rsidRDefault="007C5D2D" w14:paraId="069C4ACF" w14:textId="77777777">
      <w:pPr>
        <w:spacing w:line="360" w:lineRule="auto"/>
        <w:rPr>
          <w:rFonts w:ascii="Verdana" w:hAnsi="Verdana"/>
          <w:sz w:val="18"/>
        </w:rPr>
      </w:pPr>
    </w:p>
    <w:p w:rsidRPr="007C5D2D" w:rsidR="007C5D2D" w:rsidP="007C5D2D" w:rsidRDefault="007C5D2D" w14:paraId="34EEA1A5" w14:textId="7C452939">
      <w:pPr>
        <w:spacing w:line="360" w:lineRule="auto"/>
        <w:rPr>
          <w:rFonts w:ascii="Verdana" w:hAnsi="Verdana"/>
          <w:sz w:val="18"/>
        </w:rPr>
      </w:pPr>
      <w:r w:rsidRPr="007C5D2D">
        <w:rPr>
          <w:rFonts w:ascii="Verdana" w:hAnsi="Verdana"/>
          <w:sz w:val="18"/>
        </w:rPr>
        <w:t>De aanbeveling van de Commissie over aanvullend</w:t>
      </w:r>
      <w:r w:rsidR="004E40CC">
        <w:rPr>
          <w:rFonts w:ascii="Verdana" w:hAnsi="Verdana"/>
          <w:sz w:val="18"/>
        </w:rPr>
        <w:t>e</w:t>
      </w:r>
      <w:r w:rsidRPr="007C5D2D">
        <w:rPr>
          <w:rFonts w:ascii="Verdana" w:hAnsi="Verdana"/>
          <w:sz w:val="18"/>
        </w:rPr>
        <w:t xml:space="preserve"> pensioen</w:t>
      </w:r>
      <w:r w:rsidR="00845287">
        <w:rPr>
          <w:rFonts w:ascii="Verdana" w:hAnsi="Verdana"/>
          <w:sz w:val="18"/>
        </w:rPr>
        <w:t>en</w:t>
      </w:r>
      <w:r w:rsidRPr="007C5D2D">
        <w:rPr>
          <w:rFonts w:ascii="Verdana" w:hAnsi="Verdana"/>
          <w:sz w:val="18"/>
        </w:rPr>
        <w:t xml:space="preserve"> benadrukt het belang van de hervormingen die reeds in gang zijn gezet. Met ingang van 2014 is de </w:t>
      </w:r>
      <w:proofErr w:type="spellStart"/>
      <w:r w:rsidRPr="007C5D2D">
        <w:rPr>
          <w:rFonts w:ascii="Verdana" w:hAnsi="Verdana"/>
          <w:sz w:val="18"/>
        </w:rPr>
        <w:t>pensioenrichtleeftijd</w:t>
      </w:r>
      <w:proofErr w:type="spellEnd"/>
      <w:r w:rsidRPr="007C5D2D">
        <w:rPr>
          <w:rFonts w:ascii="Verdana" w:hAnsi="Verdana"/>
          <w:sz w:val="18"/>
        </w:rPr>
        <w:t xml:space="preserve"> voor aanvullende pensioenen verhoogd naar 67 jaar. Met ingang van 2015 is de </w:t>
      </w:r>
      <w:proofErr w:type="spellStart"/>
      <w:r w:rsidRPr="007C5D2D">
        <w:rPr>
          <w:rFonts w:ascii="Verdana" w:hAnsi="Verdana"/>
          <w:sz w:val="18"/>
        </w:rPr>
        <w:t>pensioenrichtleeftijd</w:t>
      </w:r>
      <w:proofErr w:type="spellEnd"/>
      <w:r w:rsidRPr="007C5D2D">
        <w:rPr>
          <w:rFonts w:ascii="Verdana" w:hAnsi="Verdana"/>
          <w:sz w:val="18"/>
        </w:rPr>
        <w:t xml:space="preserve"> bovendien gekoppeld aan de ontwikkeling van de levensverwachting op 65-jarige leeftijd. Daarnaast heeft het kabinet het fiscaal gefaciliteerde opbouwpercentage van het </w:t>
      </w:r>
      <w:proofErr w:type="spellStart"/>
      <w:r w:rsidRPr="007C5D2D">
        <w:rPr>
          <w:rFonts w:ascii="Verdana" w:hAnsi="Verdana"/>
          <w:sz w:val="18"/>
        </w:rPr>
        <w:t>tweedepijlerpensioen</w:t>
      </w:r>
      <w:proofErr w:type="spellEnd"/>
      <w:r w:rsidRPr="007C5D2D">
        <w:rPr>
          <w:rFonts w:ascii="Verdana" w:hAnsi="Verdana"/>
          <w:sz w:val="18"/>
        </w:rPr>
        <w:t xml:space="preserve"> verlaagd. Een gevolg daarvan is dat de pensioenpremies omlaag kunnen en er meer ruimte over blijft voor de directe beloning, waardoor de bestedingsruimte tijdens het werkzame leven toeneemt. Omdat mensen voortaan langer werken en sparen voor pensioen, kunnen pensioenuitkeringen op niveau blijven ondanks genoemde verlaging van het opbouwpercentage.</w:t>
      </w:r>
    </w:p>
    <w:p w:rsidRPr="007C5D2D" w:rsidR="007C5D2D" w:rsidP="007C5D2D" w:rsidRDefault="007C5D2D" w14:paraId="41BC047E" w14:textId="77777777">
      <w:pPr>
        <w:spacing w:line="360" w:lineRule="auto"/>
        <w:rPr>
          <w:rFonts w:ascii="Verdana" w:hAnsi="Verdana"/>
          <w:sz w:val="18"/>
        </w:rPr>
      </w:pPr>
    </w:p>
    <w:p w:rsidRPr="007C5D2D" w:rsidR="007C5D2D" w:rsidP="007C5D2D" w:rsidRDefault="007C5D2D" w14:paraId="65052F89" w14:textId="77777777">
      <w:pPr>
        <w:spacing w:line="360" w:lineRule="auto"/>
        <w:rPr>
          <w:rFonts w:ascii="Verdana" w:hAnsi="Verdana"/>
          <w:sz w:val="18"/>
        </w:rPr>
      </w:pPr>
      <w:r w:rsidRPr="007C5D2D">
        <w:rPr>
          <w:rFonts w:ascii="Verdana" w:hAnsi="Verdana"/>
          <w:sz w:val="18"/>
        </w:rPr>
        <w:t>De recente hervormingen van het financieel toetsingskader, tenslotte, hebben als kernelementen een betere spreiding van financiële schokken en aanscherping van indexatieregels. Dit resulteert in een evenwichtigere verdeling van generatie-effecten omdat ouderen profiteren van spreiding van negatieve schokken (en daardoor minder snel korting op de pensioenaanspraak) en jongeren van spreiding van positieve schokken (indexatietoekenning). Door de aangepaste herstelplansystematiek en duidelijke afspraken over de indexatieverlening is vooraf duidelijk dat de risico’s op gebalanceerde wijze worden verdeeld tussen generaties.</w:t>
      </w:r>
    </w:p>
    <w:p w:rsidR="003F6DE8" w:rsidRDefault="003F6DE8" w14:paraId="12FD8BD7" w14:textId="77777777">
      <w:pPr>
        <w:rPr>
          <w:rFonts w:ascii="Verdana" w:hAnsi="Verdana"/>
          <w:b/>
          <w:sz w:val="18"/>
        </w:rPr>
      </w:pPr>
    </w:p>
    <w:p w:rsidR="00AE5A70" w:rsidRDefault="00AE5A70" w14:paraId="23EA6E41" w14:textId="77777777">
      <w:pPr>
        <w:rPr>
          <w:rFonts w:ascii="Verdana" w:hAnsi="Verdana"/>
          <w:b/>
          <w:sz w:val="18"/>
        </w:rPr>
      </w:pPr>
    </w:p>
    <w:p w:rsidR="007C5D2D" w:rsidP="007C5D2D" w:rsidRDefault="007C5D2D" w14:paraId="73948176" w14:textId="77777777">
      <w:pPr>
        <w:spacing w:line="360" w:lineRule="auto"/>
        <w:rPr>
          <w:rFonts w:ascii="Verdana" w:hAnsi="Verdana"/>
          <w:b/>
          <w:sz w:val="18"/>
        </w:rPr>
      </w:pPr>
      <w:r>
        <w:rPr>
          <w:rFonts w:ascii="Verdana" w:hAnsi="Verdana"/>
          <w:b/>
          <w:sz w:val="18"/>
        </w:rPr>
        <w:t>Aanbevelingen voor de eurozone als geheel</w:t>
      </w:r>
    </w:p>
    <w:p w:rsidR="002834E6" w:rsidP="002834E6" w:rsidRDefault="00A964D5" w14:paraId="23378182" w14:textId="77777777">
      <w:pPr>
        <w:pBdr>
          <w:top w:val="single" w:color="auto" w:sz="4" w:space="1"/>
          <w:left w:val="single" w:color="auto" w:sz="4" w:space="4"/>
          <w:bottom w:val="single" w:color="auto" w:sz="4" w:space="1"/>
          <w:right w:val="single" w:color="auto" w:sz="4" w:space="4"/>
        </w:pBdr>
        <w:spacing w:line="360" w:lineRule="auto"/>
        <w:rPr>
          <w:rFonts w:ascii="Verdana" w:hAnsi="Verdana"/>
          <w:b/>
          <w:sz w:val="18"/>
        </w:rPr>
      </w:pPr>
      <w:r w:rsidRPr="00A42488">
        <w:rPr>
          <w:rFonts w:ascii="Verdana" w:hAnsi="Verdana"/>
          <w:b/>
          <w:sz w:val="18"/>
        </w:rPr>
        <w:t>Commissievoorstel voor aanbevelingen voor</w:t>
      </w:r>
      <w:r>
        <w:rPr>
          <w:rFonts w:ascii="Verdana" w:hAnsi="Verdana"/>
          <w:b/>
          <w:sz w:val="18"/>
        </w:rPr>
        <w:t xml:space="preserve"> de Eurozone</w:t>
      </w:r>
      <w:r w:rsidR="00D76C2F">
        <w:rPr>
          <w:rStyle w:val="Voetnootmarkering"/>
          <w:rFonts w:ascii="Verdana" w:hAnsi="Verdana"/>
          <w:b/>
          <w:sz w:val="18"/>
        </w:rPr>
        <w:footnoteReference w:id="5"/>
      </w:r>
      <w:r>
        <w:rPr>
          <w:rFonts w:ascii="Verdana" w:hAnsi="Verdana"/>
          <w:b/>
          <w:sz w:val="18"/>
        </w:rPr>
        <w:br/>
      </w:r>
    </w:p>
    <w:p w:rsidRPr="00A964D5" w:rsidR="00A964D5" w:rsidP="00A964D5" w:rsidRDefault="00A964D5" w14:paraId="23701273"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r w:rsidRPr="00A964D5">
        <w:rPr>
          <w:rFonts w:ascii="Verdana" w:hAnsi="Verdana"/>
          <w:sz w:val="18"/>
          <w:szCs w:val="18"/>
          <w:lang w:val="en-GB"/>
        </w:rPr>
        <w:t xml:space="preserve">HEREBY RECOMMENDS that euro area Member States take action within the </w:t>
      </w:r>
      <w:proofErr w:type="spellStart"/>
      <w:r w:rsidRPr="00A964D5">
        <w:rPr>
          <w:rFonts w:ascii="Verdana" w:hAnsi="Verdana"/>
          <w:sz w:val="18"/>
          <w:szCs w:val="18"/>
          <w:lang w:val="en-GB"/>
        </w:rPr>
        <w:t>Eurogroup</w:t>
      </w:r>
      <w:proofErr w:type="spellEnd"/>
      <w:r w:rsidRPr="00A964D5">
        <w:rPr>
          <w:rFonts w:ascii="Verdana" w:hAnsi="Verdana"/>
          <w:sz w:val="18"/>
          <w:szCs w:val="18"/>
          <w:lang w:val="en-GB"/>
        </w:rPr>
        <w:t>, in the period 2015-2016 to:</w:t>
      </w:r>
    </w:p>
    <w:p w:rsidRPr="00A964D5" w:rsidR="00A964D5" w:rsidP="00A964D5" w:rsidRDefault="00A964D5" w14:paraId="1D807E6D"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p>
    <w:p w:rsidRPr="00A964D5" w:rsidR="00A964D5" w:rsidP="00A964D5" w:rsidRDefault="00A964D5" w14:paraId="657EDB5C"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r w:rsidRPr="00A964D5">
        <w:rPr>
          <w:rFonts w:ascii="Verdana" w:hAnsi="Verdana"/>
          <w:sz w:val="18"/>
          <w:szCs w:val="18"/>
          <w:lang w:val="en-GB"/>
        </w:rPr>
        <w:t xml:space="preserve">1. Use peer pressure to promote structural reforms that facilitate the correction of large internal and external debt and support investment. Regularly assess the delivery of reforms in those Member States with serious imbalances. Continue the regular thematic assessment of structural reforms. By spring 2016, take decisions on the follow-up to the coordination exercise on reducing the high tax wedge on labour and on reforming services markets. </w:t>
      </w:r>
    </w:p>
    <w:p w:rsidRPr="00A964D5" w:rsidR="00A964D5" w:rsidP="00A964D5" w:rsidRDefault="00A964D5" w14:paraId="4EB2485D"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p>
    <w:p w:rsidRPr="00A964D5" w:rsidR="00A964D5" w:rsidP="00A964D5" w:rsidRDefault="00A964D5" w14:paraId="288EFFDD"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r w:rsidRPr="00A964D5">
        <w:rPr>
          <w:rFonts w:ascii="Verdana" w:hAnsi="Verdana"/>
          <w:sz w:val="18"/>
          <w:szCs w:val="18"/>
          <w:lang w:val="en-GB"/>
        </w:rPr>
        <w:t xml:space="preserve">2. Coordinate fiscal policies to ensure that the aggregate euro area fiscal stance is in line with sustainability risks and cyclical conditions. By spring 2016, hold thematic discussions on improvements in the quality and sustainability of public finances, focussing in particular on the prioritisation of tangible and intangible investment at national and EU levels, and on making tax systems more growth friendly. Monitor the effective functioning of the recently strengthened national fiscal frameworks. </w:t>
      </w:r>
      <w:r w:rsidRPr="00A964D5">
        <w:rPr>
          <w:rFonts w:ascii="Verdana" w:hAnsi="Verdana"/>
          <w:sz w:val="18"/>
          <w:szCs w:val="18"/>
          <w:lang w:val="en-GB"/>
        </w:rPr>
        <w:br/>
      </w:r>
    </w:p>
    <w:p w:rsidRPr="00835970" w:rsidR="00A964D5" w:rsidP="00A964D5" w:rsidRDefault="00A964D5" w14:paraId="10FA803A"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r w:rsidRPr="00A964D5">
        <w:rPr>
          <w:rFonts w:ascii="Verdana" w:hAnsi="Verdana"/>
          <w:sz w:val="18"/>
          <w:szCs w:val="18"/>
          <w:lang w:val="en-GB"/>
        </w:rPr>
        <w:t xml:space="preserve">3. Ensure the timely finalisation of the follow up of the Comprehensive Assessment by the European Central Bank, implementation of the Bank Recovery and Resolution Directive, completion of the ratification of the Intergovernmental Agreement on the Single Resolution Fund and make the Fund fully operational as from January 2016. Promote measures to deepen market-based finance, to improve access to finance for SMEs and to develop alternative sources of finance. </w:t>
      </w:r>
      <w:r w:rsidRPr="00835970">
        <w:rPr>
          <w:rFonts w:ascii="Verdana" w:hAnsi="Verdana"/>
          <w:sz w:val="18"/>
          <w:szCs w:val="18"/>
          <w:lang w:val="en-GB"/>
        </w:rPr>
        <w:t>Encourage further reforms of national insolvency frameworks.</w:t>
      </w:r>
    </w:p>
    <w:p w:rsidRPr="00835970" w:rsidR="00FE5F17" w:rsidP="00A964D5" w:rsidRDefault="00FE5F17" w14:paraId="7515FAB9"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p>
    <w:p w:rsidR="00FE5F17" w:rsidP="00A964D5" w:rsidRDefault="00FE5F17" w14:paraId="67407A40"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r>
        <w:rPr>
          <w:rFonts w:ascii="Verdana" w:hAnsi="Verdana"/>
          <w:sz w:val="18"/>
          <w:szCs w:val="18"/>
          <w:lang w:val="en-GB"/>
        </w:rPr>
        <w:t xml:space="preserve">4. </w:t>
      </w:r>
      <w:r w:rsidRPr="00FE5F17">
        <w:rPr>
          <w:rFonts w:ascii="Verdana" w:hAnsi="Verdana"/>
          <w:sz w:val="18"/>
          <w:szCs w:val="18"/>
          <w:lang w:val="en-GB"/>
        </w:rPr>
        <w:t xml:space="preserve">Take forward work on deepening Economic and Monetary Union, and contribute to the improvement of the economic surveillance framework in the context of the report on the next steps on better economic governance in the euro area, prepared by President </w:t>
      </w:r>
      <w:proofErr w:type="spellStart"/>
      <w:r w:rsidRPr="00FE5F17">
        <w:rPr>
          <w:rFonts w:ascii="Verdana" w:hAnsi="Verdana"/>
          <w:sz w:val="18"/>
          <w:szCs w:val="18"/>
          <w:lang w:val="en-GB"/>
        </w:rPr>
        <w:t>Juncker</w:t>
      </w:r>
      <w:proofErr w:type="spellEnd"/>
      <w:r w:rsidRPr="00FE5F17">
        <w:rPr>
          <w:rFonts w:ascii="Verdana" w:hAnsi="Verdana"/>
          <w:sz w:val="18"/>
          <w:szCs w:val="18"/>
          <w:lang w:val="en-GB"/>
        </w:rPr>
        <w:t xml:space="preserve"> in close cooperation with Presidents Tusk, Schulz, </w:t>
      </w:r>
      <w:proofErr w:type="spellStart"/>
      <w:r w:rsidRPr="00FE5F17">
        <w:rPr>
          <w:rFonts w:ascii="Verdana" w:hAnsi="Verdana"/>
          <w:sz w:val="18"/>
          <w:szCs w:val="18"/>
          <w:lang w:val="en-GB"/>
        </w:rPr>
        <w:t>Draghi</w:t>
      </w:r>
      <w:proofErr w:type="spellEnd"/>
      <w:r w:rsidRPr="00FE5F17">
        <w:rPr>
          <w:rFonts w:ascii="Verdana" w:hAnsi="Verdana"/>
          <w:sz w:val="18"/>
          <w:szCs w:val="18"/>
          <w:lang w:val="en-GB"/>
        </w:rPr>
        <w:t xml:space="preserve"> and Dijsselbloem and its follow-up.</w:t>
      </w:r>
    </w:p>
    <w:p w:rsidRPr="00FE5F17" w:rsidR="003F66E7" w:rsidP="00A964D5" w:rsidRDefault="003F66E7" w14:paraId="2F9ECA6F" w14:textId="77777777">
      <w:pPr>
        <w:pBdr>
          <w:top w:val="single" w:color="auto" w:sz="4" w:space="1"/>
          <w:left w:val="single" w:color="auto" w:sz="4" w:space="4"/>
          <w:bottom w:val="single" w:color="auto" w:sz="4" w:space="1"/>
          <w:right w:val="single" w:color="auto" w:sz="4" w:space="4"/>
        </w:pBdr>
        <w:spacing w:line="360" w:lineRule="auto"/>
        <w:rPr>
          <w:rFonts w:ascii="Verdana" w:hAnsi="Verdana"/>
          <w:sz w:val="18"/>
          <w:szCs w:val="18"/>
          <w:lang w:val="en-GB"/>
        </w:rPr>
      </w:pPr>
    </w:p>
    <w:p w:rsidRPr="00835970" w:rsidR="002834E6" w:rsidP="002834E6" w:rsidRDefault="002834E6" w14:paraId="79C8CE5A" w14:textId="77777777">
      <w:pPr>
        <w:spacing w:line="360" w:lineRule="auto"/>
        <w:rPr>
          <w:rFonts w:ascii="Verdana" w:hAnsi="Verdana"/>
          <w:b/>
          <w:sz w:val="18"/>
          <w:lang w:val="en-GB"/>
        </w:rPr>
      </w:pPr>
    </w:p>
    <w:p w:rsidR="002834E6" w:rsidP="007C5D2D" w:rsidRDefault="007C5D2D" w14:paraId="27A13E38" w14:textId="77777777">
      <w:pPr>
        <w:autoSpaceDE w:val="0"/>
        <w:autoSpaceDN w:val="0"/>
        <w:adjustRightInd w:val="0"/>
        <w:spacing w:line="360" w:lineRule="auto"/>
        <w:rPr>
          <w:rFonts w:ascii="Verdana" w:hAnsi="Verdana" w:cs="Verdana"/>
          <w:sz w:val="18"/>
          <w:szCs w:val="18"/>
          <w:lang w:eastAsia="nl-NL"/>
        </w:rPr>
      </w:pPr>
      <w:r>
        <w:rPr>
          <w:rFonts w:ascii="Verdana" w:hAnsi="Verdana"/>
          <w:sz w:val="18"/>
        </w:rPr>
        <w:t xml:space="preserve">Naast aanbevelingen voor individuele lidstaten heeft de Commissie </w:t>
      </w:r>
      <w:r w:rsidR="007A7CFC">
        <w:rPr>
          <w:rFonts w:ascii="Verdana" w:hAnsi="Verdana"/>
          <w:sz w:val="18"/>
        </w:rPr>
        <w:t>net als</w:t>
      </w:r>
      <w:r>
        <w:rPr>
          <w:rFonts w:ascii="Verdana" w:hAnsi="Verdana"/>
          <w:sz w:val="18"/>
        </w:rPr>
        <w:t xml:space="preserve"> voorgaande jaren ook aanbevelingen gepubliceerd voor de eurozone als geheel.</w:t>
      </w:r>
      <w:r>
        <w:rPr>
          <w:rFonts w:ascii="Verdana" w:hAnsi="Verdana" w:cs="Verdana"/>
          <w:sz w:val="18"/>
          <w:szCs w:val="18"/>
          <w:lang w:eastAsia="nl-NL"/>
        </w:rPr>
        <w:t xml:space="preserve"> De </w:t>
      </w:r>
      <w:r w:rsidR="007A7CFC">
        <w:rPr>
          <w:rFonts w:ascii="Verdana" w:hAnsi="Verdana" w:cs="Verdana"/>
          <w:sz w:val="18"/>
          <w:szCs w:val="18"/>
          <w:lang w:eastAsia="nl-NL"/>
        </w:rPr>
        <w:t xml:space="preserve">leden van de </w:t>
      </w:r>
      <w:r>
        <w:rPr>
          <w:rFonts w:ascii="Verdana" w:hAnsi="Verdana" w:cs="Verdana"/>
          <w:sz w:val="18"/>
          <w:szCs w:val="18"/>
          <w:lang w:eastAsia="nl-NL"/>
        </w:rPr>
        <w:t>Eurogroep word</w:t>
      </w:r>
      <w:r w:rsidR="007A7CFC">
        <w:rPr>
          <w:rFonts w:ascii="Verdana" w:hAnsi="Verdana" w:cs="Verdana"/>
          <w:sz w:val="18"/>
          <w:szCs w:val="18"/>
          <w:lang w:eastAsia="nl-NL"/>
        </w:rPr>
        <w:t>en</w:t>
      </w:r>
      <w:r>
        <w:rPr>
          <w:rFonts w:ascii="Verdana" w:hAnsi="Verdana" w:cs="Verdana"/>
          <w:sz w:val="18"/>
          <w:szCs w:val="18"/>
          <w:lang w:eastAsia="nl-NL"/>
        </w:rPr>
        <w:t xml:space="preserve"> opgeroepen om</w:t>
      </w:r>
      <w:r w:rsidR="007A7CFC">
        <w:rPr>
          <w:rFonts w:ascii="Verdana" w:hAnsi="Verdana" w:cs="Verdana"/>
          <w:sz w:val="18"/>
          <w:szCs w:val="18"/>
          <w:lang w:eastAsia="nl-NL"/>
        </w:rPr>
        <w:t xml:space="preserve"> elkaar aan te sporen om structurele hervormingen door te voeren die van belang zijn voor stabiliteit en economische groei van de lidstaten, onder andere via een regelmatige beoordeling van de hervormingen van lidstaten met ernstige onevenwichtigheden. Ook </w:t>
      </w:r>
      <w:r w:rsidR="002834E6">
        <w:rPr>
          <w:rFonts w:ascii="Verdana" w:hAnsi="Verdana" w:cs="Verdana"/>
          <w:sz w:val="18"/>
          <w:szCs w:val="18"/>
          <w:lang w:eastAsia="nl-NL"/>
        </w:rPr>
        <w:t>wordt de Eurogroep</w:t>
      </w:r>
      <w:r w:rsidR="007A7CFC">
        <w:rPr>
          <w:rFonts w:ascii="Verdana" w:hAnsi="Verdana" w:cs="Verdana"/>
          <w:sz w:val="18"/>
          <w:szCs w:val="18"/>
          <w:lang w:eastAsia="nl-NL"/>
        </w:rPr>
        <w:t xml:space="preserve"> opgeroepen om</w:t>
      </w:r>
      <w:r>
        <w:rPr>
          <w:rFonts w:ascii="Verdana" w:hAnsi="Verdana" w:cs="Verdana"/>
          <w:sz w:val="18"/>
          <w:szCs w:val="18"/>
          <w:lang w:eastAsia="nl-NL"/>
        </w:rPr>
        <w:t xml:space="preserve"> thematische discussies</w:t>
      </w:r>
      <w:r w:rsidR="007A7CFC">
        <w:rPr>
          <w:rFonts w:ascii="Verdana" w:hAnsi="Verdana" w:cs="Verdana"/>
          <w:sz w:val="18"/>
          <w:szCs w:val="18"/>
          <w:lang w:eastAsia="nl-NL"/>
        </w:rPr>
        <w:t xml:space="preserve"> te blijven voeren</w:t>
      </w:r>
      <w:r>
        <w:rPr>
          <w:rFonts w:ascii="Verdana" w:hAnsi="Verdana" w:cs="Verdana"/>
          <w:sz w:val="18"/>
          <w:szCs w:val="18"/>
          <w:lang w:eastAsia="nl-NL"/>
        </w:rPr>
        <w:t xml:space="preserve"> over </w:t>
      </w:r>
      <w:r w:rsidR="007A7CFC">
        <w:rPr>
          <w:rFonts w:ascii="Verdana" w:hAnsi="Verdana" w:cs="Verdana"/>
          <w:sz w:val="18"/>
          <w:szCs w:val="18"/>
          <w:lang w:eastAsia="nl-NL"/>
        </w:rPr>
        <w:t xml:space="preserve">essentiële </w:t>
      </w:r>
      <w:r>
        <w:rPr>
          <w:rFonts w:ascii="Verdana" w:hAnsi="Verdana" w:cs="Verdana"/>
          <w:sz w:val="18"/>
          <w:szCs w:val="18"/>
          <w:lang w:eastAsia="nl-NL"/>
        </w:rPr>
        <w:t>structurele hervormingen</w:t>
      </w:r>
      <w:r w:rsidR="007A7CFC">
        <w:rPr>
          <w:rFonts w:ascii="Verdana" w:hAnsi="Verdana" w:cs="Verdana"/>
          <w:sz w:val="18"/>
          <w:szCs w:val="18"/>
          <w:lang w:eastAsia="nl-NL"/>
        </w:rPr>
        <w:t>, bijvoorbeeld op het gebied van de liberalisering van dienstenmarkten en de verlaging van de belastingdruk op arbeid.</w:t>
      </w:r>
      <w:r>
        <w:rPr>
          <w:rFonts w:ascii="Verdana" w:hAnsi="Verdana" w:cs="Verdana"/>
          <w:sz w:val="18"/>
          <w:szCs w:val="18"/>
          <w:lang w:eastAsia="nl-NL"/>
        </w:rPr>
        <w:t xml:space="preserve"> De aanbevelingen </w:t>
      </w:r>
      <w:r w:rsidR="002834E6">
        <w:rPr>
          <w:rFonts w:ascii="Verdana" w:hAnsi="Verdana" w:cs="Verdana"/>
          <w:sz w:val="18"/>
          <w:szCs w:val="18"/>
          <w:lang w:eastAsia="nl-NL"/>
        </w:rPr>
        <w:t xml:space="preserve">roepen tot slot op tot een goede </w:t>
      </w:r>
      <w:r>
        <w:rPr>
          <w:rFonts w:ascii="Verdana" w:hAnsi="Verdana" w:cs="Verdana"/>
          <w:sz w:val="18"/>
          <w:szCs w:val="18"/>
          <w:lang w:eastAsia="nl-NL"/>
        </w:rPr>
        <w:t xml:space="preserve">coördinatie van budgettair beleid, </w:t>
      </w:r>
      <w:r w:rsidR="00CE7C95">
        <w:rPr>
          <w:rFonts w:ascii="Verdana" w:hAnsi="Verdana" w:cs="Verdana"/>
          <w:sz w:val="18"/>
          <w:szCs w:val="18"/>
          <w:lang w:eastAsia="nl-NL"/>
        </w:rPr>
        <w:t>de</w:t>
      </w:r>
      <w:r w:rsidR="002834E6">
        <w:rPr>
          <w:rFonts w:ascii="Verdana" w:hAnsi="Verdana" w:cs="Verdana"/>
          <w:sz w:val="18"/>
          <w:szCs w:val="18"/>
          <w:lang w:eastAsia="nl-NL"/>
        </w:rPr>
        <w:t xml:space="preserve"> voltooiing van de </w:t>
      </w:r>
      <w:r w:rsidR="00CE7C95">
        <w:rPr>
          <w:rFonts w:ascii="Verdana" w:hAnsi="Verdana" w:cs="Verdana"/>
          <w:sz w:val="18"/>
          <w:szCs w:val="18"/>
          <w:lang w:eastAsia="nl-NL"/>
        </w:rPr>
        <w:t xml:space="preserve">afgesproken stappen richting een </w:t>
      </w:r>
      <w:r w:rsidR="002834E6">
        <w:rPr>
          <w:rFonts w:ascii="Verdana" w:hAnsi="Verdana" w:cs="Verdana"/>
          <w:sz w:val="18"/>
          <w:szCs w:val="18"/>
          <w:lang w:eastAsia="nl-NL"/>
        </w:rPr>
        <w:t>bankenunie e</w:t>
      </w:r>
      <w:r w:rsidR="00064617">
        <w:rPr>
          <w:rFonts w:ascii="Verdana" w:hAnsi="Verdana" w:cs="Verdana"/>
          <w:sz w:val="18"/>
          <w:szCs w:val="18"/>
          <w:lang w:eastAsia="nl-NL"/>
        </w:rPr>
        <w:t>n het verbeteren van economisch</w:t>
      </w:r>
      <w:r w:rsidR="002834E6">
        <w:rPr>
          <w:rFonts w:ascii="Verdana" w:hAnsi="Verdana" w:cs="Verdana"/>
          <w:sz w:val="18"/>
          <w:szCs w:val="18"/>
          <w:lang w:eastAsia="nl-NL"/>
        </w:rPr>
        <w:t xml:space="preserve"> bestuur in de eurozone in het kader van de verdieping van de Economische en Monetaire Unie</w:t>
      </w:r>
      <w:r>
        <w:rPr>
          <w:rFonts w:ascii="Verdana" w:hAnsi="Verdana" w:cs="Verdana"/>
          <w:sz w:val="18"/>
          <w:szCs w:val="18"/>
          <w:lang w:eastAsia="nl-NL"/>
        </w:rPr>
        <w:t xml:space="preserve">. </w:t>
      </w:r>
    </w:p>
    <w:p w:rsidR="002834E6" w:rsidP="007C5D2D" w:rsidRDefault="002834E6" w14:paraId="6FDCB6FE" w14:textId="77777777">
      <w:pPr>
        <w:autoSpaceDE w:val="0"/>
        <w:autoSpaceDN w:val="0"/>
        <w:adjustRightInd w:val="0"/>
        <w:spacing w:line="360" w:lineRule="auto"/>
        <w:rPr>
          <w:rFonts w:ascii="Verdana" w:hAnsi="Verdana" w:cs="Verdana"/>
          <w:sz w:val="18"/>
          <w:szCs w:val="18"/>
          <w:lang w:eastAsia="nl-NL"/>
        </w:rPr>
      </w:pPr>
    </w:p>
    <w:p w:rsidRPr="00CE7C95" w:rsidR="00CE7C95" w:rsidP="00CE7C95" w:rsidRDefault="002834E6" w14:paraId="01652783" w14:textId="77777777">
      <w:pPr>
        <w:autoSpaceDE w:val="0"/>
        <w:autoSpaceDN w:val="0"/>
        <w:adjustRightInd w:val="0"/>
        <w:spacing w:line="360" w:lineRule="auto"/>
        <w:rPr>
          <w:rFonts w:ascii="Verdana" w:hAnsi="Verdana" w:cs="Verdana"/>
          <w:sz w:val="18"/>
          <w:szCs w:val="18"/>
          <w:lang w:eastAsia="nl-NL"/>
        </w:rPr>
      </w:pPr>
      <w:r>
        <w:rPr>
          <w:rFonts w:ascii="Verdana" w:hAnsi="Verdana" w:cs="Verdana"/>
          <w:sz w:val="18"/>
          <w:szCs w:val="18"/>
          <w:lang w:eastAsia="nl-NL"/>
        </w:rPr>
        <w:t>De aanbevelingen van de Commissie sluiten goed aan bij de</w:t>
      </w:r>
      <w:r w:rsidR="00CE7C95">
        <w:rPr>
          <w:rFonts w:ascii="Verdana" w:hAnsi="Verdana" w:cs="Verdana"/>
          <w:sz w:val="18"/>
          <w:szCs w:val="18"/>
          <w:lang w:eastAsia="nl-NL"/>
        </w:rPr>
        <w:t xml:space="preserve"> ambitie van het kabinet. Met name binnen de eurozone geldt dat </w:t>
      </w:r>
      <w:r w:rsidRPr="00CE7C95" w:rsidR="00CE7C95">
        <w:rPr>
          <w:rFonts w:ascii="Verdana" w:hAnsi="Verdana" w:cs="Verdana"/>
          <w:sz w:val="18"/>
          <w:szCs w:val="18"/>
          <w:lang w:eastAsia="nl-NL"/>
        </w:rPr>
        <w:t>kwetsbaarheden in afzonderlijke landen zich snel kunnen</w:t>
      </w:r>
    </w:p>
    <w:p w:rsidR="00CE7C95" w:rsidP="00CE7C95" w:rsidRDefault="00CE7C95" w14:paraId="20A97C06" w14:textId="73DE6DC0">
      <w:pPr>
        <w:autoSpaceDE w:val="0"/>
        <w:autoSpaceDN w:val="0"/>
        <w:adjustRightInd w:val="0"/>
        <w:spacing w:line="360" w:lineRule="auto"/>
        <w:rPr>
          <w:rFonts w:ascii="Verdana" w:hAnsi="Verdana" w:cs="Verdana"/>
          <w:sz w:val="18"/>
          <w:szCs w:val="18"/>
          <w:lang w:eastAsia="nl-NL"/>
        </w:rPr>
      </w:pPr>
      <w:r w:rsidRPr="00CE7C95">
        <w:rPr>
          <w:rFonts w:ascii="Verdana" w:hAnsi="Verdana" w:cs="Verdana"/>
          <w:sz w:val="18"/>
          <w:szCs w:val="18"/>
          <w:lang w:eastAsia="nl-NL"/>
        </w:rPr>
        <w:t xml:space="preserve">vertalen in problemen met grote grensoverschrijdende effecten. </w:t>
      </w:r>
      <w:r w:rsidRPr="00C17525" w:rsidR="007F7C96">
        <w:rPr>
          <w:rFonts w:ascii="Verdana" w:hAnsi="Verdana" w:cs="Verdana"/>
          <w:sz w:val="18"/>
          <w:szCs w:val="18"/>
          <w:lang w:eastAsia="nl-NL"/>
        </w:rPr>
        <w:t xml:space="preserve">Het kabinet is van mening dat </w:t>
      </w:r>
      <w:r w:rsidRPr="00C17525" w:rsidR="007F7C96">
        <w:rPr>
          <w:rFonts w:ascii="Verdana" w:hAnsi="Verdana"/>
          <w:sz w:val="18"/>
          <w:szCs w:val="18"/>
        </w:rPr>
        <w:t>politieke discussies over belangrijke hervormingsterreinen bijdragen aan een brede overeenstemming over de belangrijks</w:t>
      </w:r>
      <w:r w:rsidR="007F7C96">
        <w:rPr>
          <w:rFonts w:ascii="Verdana" w:hAnsi="Verdana"/>
          <w:sz w:val="18"/>
          <w:szCs w:val="18"/>
        </w:rPr>
        <w:t xml:space="preserve">te uitdagingen voor de eurozone. </w:t>
      </w:r>
      <w:r>
        <w:rPr>
          <w:rFonts w:ascii="Verdana" w:hAnsi="Verdana" w:cs="Verdana"/>
          <w:sz w:val="18"/>
          <w:szCs w:val="18"/>
          <w:lang w:eastAsia="nl-NL"/>
        </w:rPr>
        <w:t xml:space="preserve">Om </w:t>
      </w:r>
      <w:r w:rsidR="00C75772">
        <w:rPr>
          <w:rFonts w:ascii="Verdana" w:hAnsi="Verdana" w:cs="Verdana"/>
          <w:sz w:val="18"/>
          <w:szCs w:val="18"/>
          <w:lang w:eastAsia="nl-NL"/>
        </w:rPr>
        <w:t xml:space="preserve">het groeipotentieel van de eurozone te versterken en </w:t>
      </w:r>
      <w:r>
        <w:rPr>
          <w:rFonts w:ascii="Verdana" w:hAnsi="Verdana" w:cs="Verdana"/>
          <w:sz w:val="18"/>
          <w:szCs w:val="18"/>
          <w:lang w:eastAsia="nl-NL"/>
        </w:rPr>
        <w:t xml:space="preserve">crises in de toekomst beter te kunnen voorkomen en het hoofd bieden, zet het kabinet in op het bevorderen van essentiële hervormingen in lidstaten, bijvoorbeeld door elkaar regelmatig aan te spreken op de gemaakte voortgang met het implementeren van aanbevelingen (peer </w:t>
      </w:r>
      <w:proofErr w:type="spellStart"/>
      <w:r>
        <w:rPr>
          <w:rFonts w:ascii="Verdana" w:hAnsi="Verdana" w:cs="Verdana"/>
          <w:sz w:val="18"/>
          <w:szCs w:val="18"/>
          <w:lang w:eastAsia="nl-NL"/>
        </w:rPr>
        <w:t>pressure</w:t>
      </w:r>
      <w:proofErr w:type="spellEnd"/>
      <w:r>
        <w:rPr>
          <w:rFonts w:ascii="Verdana" w:hAnsi="Verdana" w:cs="Verdana"/>
          <w:sz w:val="18"/>
          <w:szCs w:val="18"/>
          <w:lang w:eastAsia="nl-NL"/>
        </w:rPr>
        <w:t xml:space="preserve">) of door thematische discussies te voeren waarbij best </w:t>
      </w:r>
      <w:proofErr w:type="spellStart"/>
      <w:r>
        <w:rPr>
          <w:rFonts w:ascii="Verdana" w:hAnsi="Verdana" w:cs="Verdana"/>
          <w:sz w:val="18"/>
          <w:szCs w:val="18"/>
          <w:lang w:eastAsia="nl-NL"/>
        </w:rPr>
        <w:t>practices</w:t>
      </w:r>
      <w:proofErr w:type="spellEnd"/>
      <w:r>
        <w:rPr>
          <w:rFonts w:ascii="Verdana" w:hAnsi="Verdana" w:cs="Verdana"/>
          <w:sz w:val="18"/>
          <w:szCs w:val="18"/>
          <w:lang w:eastAsia="nl-NL"/>
        </w:rPr>
        <w:t xml:space="preserve"> worden uitgewisseld.</w:t>
      </w:r>
      <w:r>
        <w:rPr>
          <w:rStyle w:val="Voetnootmarkering"/>
          <w:rFonts w:ascii="Verdana" w:hAnsi="Verdana"/>
          <w:sz w:val="18"/>
          <w:szCs w:val="18"/>
          <w:lang w:eastAsia="nl-NL"/>
        </w:rPr>
        <w:footnoteReference w:id="6"/>
      </w:r>
      <w:r>
        <w:rPr>
          <w:rFonts w:ascii="Verdana" w:hAnsi="Verdana" w:cs="Verdana"/>
          <w:sz w:val="18"/>
          <w:szCs w:val="18"/>
          <w:lang w:eastAsia="nl-NL"/>
        </w:rPr>
        <w:t xml:space="preserve"> </w:t>
      </w:r>
      <w:r w:rsidRPr="007F7C96" w:rsidR="007F7C96">
        <w:rPr>
          <w:rFonts w:ascii="Verdana" w:hAnsi="Verdana" w:cs="Verdana"/>
          <w:sz w:val="18"/>
          <w:szCs w:val="18"/>
          <w:lang w:eastAsia="nl-NL"/>
        </w:rPr>
        <w:t xml:space="preserve">Het kabinet onderkent dat het begrotingsbeleid in de eurozone rekening </w:t>
      </w:r>
      <w:r w:rsidRPr="007F7C96" w:rsidR="007F7C96">
        <w:rPr>
          <w:rFonts w:ascii="Verdana" w:hAnsi="Verdana" w:cs="Verdana"/>
          <w:sz w:val="18"/>
          <w:szCs w:val="18"/>
          <w:lang w:eastAsia="nl-NL"/>
        </w:rPr>
        <w:lastRenderedPageBreak/>
        <w:t>moet houden met de economische omstandigheden en houdbaarheidsrisico’s, maar benadrukt dat het begrotingsbeleid primair de verantwoordelijkheid is van de lidstaten, waarbij het SGP als anker dient.</w:t>
      </w:r>
    </w:p>
    <w:p w:rsidR="00DB3D92" w:rsidP="007C5D2D" w:rsidRDefault="00DB3D92" w14:paraId="09BB59EC" w14:textId="77777777">
      <w:pPr>
        <w:spacing w:line="360" w:lineRule="auto"/>
        <w:rPr>
          <w:rFonts w:ascii="Verdana" w:hAnsi="Verdana" w:cs="TTE1688A08t00"/>
          <w:b/>
          <w:sz w:val="18"/>
          <w:szCs w:val="18"/>
        </w:rPr>
      </w:pPr>
    </w:p>
    <w:p w:rsidRPr="00835970" w:rsidR="007C5D2D" w:rsidP="007C5D2D" w:rsidRDefault="00C35124" w14:paraId="0F2D5522" w14:textId="77777777">
      <w:pPr>
        <w:spacing w:line="360" w:lineRule="auto"/>
        <w:rPr>
          <w:rFonts w:ascii="Verdana" w:hAnsi="Verdana" w:cs="TTE1688A08t00"/>
          <w:b/>
          <w:sz w:val="18"/>
          <w:szCs w:val="18"/>
        </w:rPr>
      </w:pPr>
      <w:r w:rsidRPr="00835970">
        <w:rPr>
          <w:rFonts w:ascii="Verdana" w:hAnsi="Verdana" w:cs="TTE1688A08t00"/>
          <w:b/>
          <w:sz w:val="18"/>
          <w:szCs w:val="18"/>
        </w:rPr>
        <w:t>Conclusie</w:t>
      </w:r>
    </w:p>
    <w:p w:rsidR="00C35124" w:rsidP="007C5D2D" w:rsidRDefault="00C35124" w14:paraId="5927C3E7" w14:textId="77777777">
      <w:pPr>
        <w:spacing w:line="360" w:lineRule="auto"/>
        <w:rPr>
          <w:rFonts w:ascii="Verdana" w:hAnsi="Verdana" w:cs="Verdana"/>
          <w:sz w:val="18"/>
          <w:szCs w:val="18"/>
          <w:lang w:eastAsia="nl-NL"/>
        </w:rPr>
      </w:pPr>
      <w:r>
        <w:rPr>
          <w:rFonts w:ascii="Verdana" w:hAnsi="Verdana" w:cs="TTE1688A08t00"/>
          <w:sz w:val="18"/>
          <w:szCs w:val="18"/>
        </w:rPr>
        <w:t>De landenspecifieke aanbevelingen die de Commissie voor Nederland en de eurozone voorstelt sluiten ten algemene goed aan bij de ambities van het kabinet. Het kabinet zal er zich bij de bespreking van de aanbevelingen in Brussel voor inzetten dat er een goede discussie gevoerd wordt over het juiste economische en budgettaire beleid voor lidstaten en de eurozone als geheel</w:t>
      </w:r>
      <w:r w:rsidR="00FD596E">
        <w:rPr>
          <w:rFonts w:ascii="Verdana" w:hAnsi="Verdana" w:cs="TTE1688A08t00"/>
          <w:sz w:val="18"/>
          <w:szCs w:val="18"/>
        </w:rPr>
        <w:t>.</w:t>
      </w:r>
      <w:r w:rsidRPr="00FD596E" w:rsidR="00FD596E">
        <w:rPr>
          <w:rFonts w:ascii="Verdana" w:hAnsi="Verdana" w:cs="TTE1688A08t00"/>
          <w:sz w:val="18"/>
          <w:szCs w:val="18"/>
        </w:rPr>
        <w:t xml:space="preserve"> </w:t>
      </w:r>
      <w:r w:rsidR="00FD596E">
        <w:rPr>
          <w:rFonts w:ascii="Verdana" w:hAnsi="Verdana" w:cs="TTE1688A08t00"/>
          <w:sz w:val="18"/>
          <w:szCs w:val="18"/>
        </w:rPr>
        <w:t>Hoewel het kabinet zich kan vinden in de aandachtspunten van de Commissie zoals ook blijkt uit het ingezette kabinetsbeleid, zal het kabinet</w:t>
      </w:r>
      <w:r>
        <w:rPr>
          <w:rFonts w:ascii="Verdana" w:hAnsi="Verdana" w:cs="TTE1688A08t00"/>
          <w:sz w:val="18"/>
          <w:szCs w:val="18"/>
        </w:rPr>
        <w:t xml:space="preserve"> daarbij ook wijzen op het feit dat het kabinet een andere visie heeft over het gewenste tempo van de afbouw van de hypotheekrenteaftrek dan de Commissie. Na de bekrachtiging van de aanbevelingen door de Europese Raad in juni, zal Nederland zich inzetten voor een goede bespreking van de implementatie van de aanbevelingen. </w:t>
      </w:r>
      <w:r>
        <w:rPr>
          <w:rFonts w:ascii="Verdana" w:hAnsi="Verdana" w:cs="Verdana"/>
          <w:sz w:val="18"/>
          <w:szCs w:val="18"/>
          <w:lang w:eastAsia="nl-NL"/>
        </w:rPr>
        <w:t>Zo houden we elkaar scherp en wordt de basis gelegd voor duurzame economische groei</w:t>
      </w:r>
      <w:r w:rsidR="00C75772">
        <w:rPr>
          <w:rFonts w:ascii="Verdana" w:hAnsi="Verdana" w:cs="Verdana"/>
          <w:sz w:val="18"/>
          <w:szCs w:val="18"/>
          <w:lang w:eastAsia="nl-NL"/>
        </w:rPr>
        <w:t>, hogere werkgelegenheid en een goed investeringsklimaat</w:t>
      </w:r>
      <w:r>
        <w:rPr>
          <w:rFonts w:ascii="Verdana" w:hAnsi="Verdana" w:cs="Verdana"/>
          <w:sz w:val="18"/>
          <w:szCs w:val="18"/>
          <w:lang w:eastAsia="nl-NL"/>
        </w:rPr>
        <w:t xml:space="preserve"> in de EU.</w:t>
      </w:r>
    </w:p>
    <w:p w:rsidR="00C35124" w:rsidP="007C5D2D" w:rsidRDefault="00C35124" w14:paraId="65936ADA" w14:textId="77777777">
      <w:pPr>
        <w:spacing w:line="360" w:lineRule="auto"/>
        <w:rPr>
          <w:rFonts w:ascii="Verdana" w:hAnsi="Verdana" w:cs="Verdana"/>
          <w:sz w:val="18"/>
          <w:szCs w:val="18"/>
          <w:lang w:eastAsia="nl-NL"/>
        </w:rPr>
      </w:pPr>
    </w:p>
    <w:p w:rsidRPr="00651027" w:rsidR="00C35124" w:rsidP="007C5D2D" w:rsidRDefault="00C35124" w14:paraId="637729A6" w14:textId="77777777">
      <w:pPr>
        <w:spacing w:line="360" w:lineRule="auto"/>
        <w:rPr>
          <w:rFonts w:ascii="Verdana" w:hAnsi="Verdana" w:cs="TTE1688A08t00"/>
          <w:sz w:val="18"/>
          <w:szCs w:val="18"/>
        </w:rPr>
      </w:pPr>
    </w:p>
    <w:p w:rsidR="007C5D2D" w:rsidP="007C5D2D" w:rsidRDefault="007C5D2D" w14:paraId="6D85BA31" w14:textId="77777777">
      <w:pPr>
        <w:spacing w:line="360" w:lineRule="auto"/>
        <w:rPr>
          <w:rFonts w:ascii="Verdana" w:hAnsi="Verdana" w:cs="TTE1688A08t00"/>
          <w:sz w:val="18"/>
          <w:szCs w:val="18"/>
        </w:rPr>
      </w:pPr>
    </w:p>
    <w:p w:rsidR="007C5D2D" w:rsidP="007C5D2D" w:rsidRDefault="007C5D2D" w14:paraId="3E44D16D" w14:textId="77777777">
      <w:pPr>
        <w:autoSpaceDE w:val="0"/>
        <w:autoSpaceDN w:val="0"/>
        <w:adjustRightInd w:val="0"/>
        <w:spacing w:line="360" w:lineRule="auto"/>
        <w:rPr>
          <w:rFonts w:ascii="Verdana" w:hAnsi="Verdana"/>
          <w:b/>
          <w:sz w:val="18"/>
        </w:rPr>
      </w:pPr>
    </w:p>
    <w:sectPr w:rsidR="007C5D2D" w:rsidSect="00220006">
      <w:pgSz w:w="11900" w:h="16840"/>
      <w:pgMar w:top="1078" w:right="1417" w:bottom="1078" w:left="1417" w:header="708" w:footer="708" w:gutter="0"/>
      <w:cols w:space="708"/>
      <w:rtlGutter/>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5DDA8" w14:textId="77777777" w:rsidR="00394CA1" w:rsidRDefault="00394CA1">
      <w:r>
        <w:separator/>
      </w:r>
    </w:p>
  </w:endnote>
  <w:endnote w:type="continuationSeparator" w:id="0">
    <w:p w14:paraId="5DC4BADC" w14:textId="77777777" w:rsidR="00394CA1" w:rsidRDefault="0039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688A08t00">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1FC4" w14:textId="77777777" w:rsidR="00394CA1" w:rsidRDefault="00394CA1">
      <w:r>
        <w:separator/>
      </w:r>
    </w:p>
  </w:footnote>
  <w:footnote w:type="continuationSeparator" w:id="0">
    <w:p w14:paraId="214A2C7B" w14:textId="77777777" w:rsidR="00394CA1" w:rsidRDefault="00394CA1">
      <w:r>
        <w:continuationSeparator/>
      </w:r>
    </w:p>
  </w:footnote>
  <w:footnote w:id="1">
    <w:p w14:paraId="0FF4AF2B" w14:textId="77777777" w:rsidR="00E92AF9" w:rsidRPr="00DC7622" w:rsidRDefault="00E92AF9" w:rsidP="00E92AF9">
      <w:pPr>
        <w:pStyle w:val="Voetnoottekst"/>
        <w:rPr>
          <w:rFonts w:ascii="Verdana" w:hAnsi="Verdana"/>
          <w:bCs/>
          <w:sz w:val="16"/>
          <w:szCs w:val="16"/>
        </w:rPr>
      </w:pPr>
      <w:r w:rsidRPr="00DC7622">
        <w:rPr>
          <w:rStyle w:val="Voetnootmarkering"/>
          <w:rFonts w:ascii="Verdana" w:hAnsi="Verdana"/>
          <w:sz w:val="16"/>
          <w:szCs w:val="16"/>
        </w:rPr>
        <w:footnoteRef/>
      </w:r>
      <w:r w:rsidRPr="00DC7622">
        <w:rPr>
          <w:rFonts w:ascii="Verdana" w:hAnsi="Verdana"/>
          <w:sz w:val="16"/>
          <w:szCs w:val="16"/>
        </w:rPr>
        <w:t xml:space="preserve"> </w:t>
      </w:r>
      <w:r w:rsidRPr="007B7815">
        <w:rPr>
          <w:rFonts w:ascii="Verdana" w:hAnsi="Verdana"/>
          <w:sz w:val="16"/>
          <w:szCs w:val="16"/>
        </w:rPr>
        <w:t xml:space="preserve">Motie Schouw, Kamerstuk </w:t>
      </w:r>
      <w:r w:rsidRPr="007B7815">
        <w:rPr>
          <w:rFonts w:ascii="Verdana" w:hAnsi="Verdana"/>
          <w:bCs/>
          <w:sz w:val="16"/>
          <w:szCs w:val="16"/>
        </w:rPr>
        <w:t xml:space="preserve">21 501-20, </w:t>
      </w:r>
      <w:bookmarkStart w:id="1" w:name="d18919e51"/>
      <w:bookmarkEnd w:id="1"/>
      <w:r w:rsidRPr="007B7815">
        <w:rPr>
          <w:rFonts w:ascii="Verdana" w:hAnsi="Verdana"/>
          <w:bCs/>
          <w:sz w:val="16"/>
          <w:szCs w:val="16"/>
        </w:rPr>
        <w:t>Nr. 537</w:t>
      </w:r>
    </w:p>
  </w:footnote>
  <w:footnote w:id="2">
    <w:p w14:paraId="38F0BE64" w14:textId="77777777" w:rsidR="00D76C2F" w:rsidRPr="00DC7622" w:rsidRDefault="00D76C2F" w:rsidP="00D76C2F">
      <w:pPr>
        <w:pStyle w:val="Voetnoottekst"/>
        <w:rPr>
          <w:rFonts w:ascii="Verdana" w:hAnsi="Verdana"/>
          <w:sz w:val="16"/>
          <w:szCs w:val="16"/>
          <w:highlight w:val="yellow"/>
        </w:rPr>
      </w:pPr>
      <w:r w:rsidRPr="007B7815">
        <w:rPr>
          <w:rStyle w:val="Voetnootmarkering"/>
          <w:rFonts w:ascii="Verdana" w:hAnsi="Verdana"/>
          <w:sz w:val="16"/>
          <w:szCs w:val="16"/>
        </w:rPr>
        <w:footnoteRef/>
      </w:r>
      <w:r w:rsidRPr="007B7815">
        <w:rPr>
          <w:rFonts w:ascii="Verdana" w:hAnsi="Verdana"/>
          <w:sz w:val="16"/>
          <w:szCs w:val="16"/>
        </w:rPr>
        <w:t xml:space="preserve"> </w:t>
      </w:r>
      <w:r w:rsidRPr="00DC7622">
        <w:rPr>
          <w:rFonts w:ascii="Verdana" w:hAnsi="Verdana"/>
          <w:sz w:val="16"/>
          <w:szCs w:val="16"/>
        </w:rPr>
        <w:t>Nederland</w:t>
      </w:r>
      <w:r w:rsidRPr="007B7815">
        <w:rPr>
          <w:rFonts w:ascii="Verdana" w:eastAsia="Arial Unicode MS" w:hAnsi="Verdana"/>
          <w:sz w:val="16"/>
          <w:szCs w:val="16"/>
        </w:rPr>
        <w:t xml:space="preserve"> </w:t>
      </w:r>
      <w:r w:rsidRPr="00DC7622">
        <w:rPr>
          <w:rFonts w:ascii="Verdana" w:eastAsia="Arial Unicode MS" w:hAnsi="Verdana"/>
          <w:sz w:val="16"/>
          <w:szCs w:val="16"/>
        </w:rPr>
        <w:t xml:space="preserve">stijgt dit jaar van plaats 6 naar plaats 5 gemeten in innovatiekracht op </w:t>
      </w:r>
      <w:r w:rsidRPr="00DC7622">
        <w:rPr>
          <w:rFonts w:ascii="Verdana" w:hAnsi="Verdana"/>
          <w:sz w:val="16"/>
          <w:szCs w:val="16"/>
        </w:rPr>
        <w:t xml:space="preserve">de ranglijst van de Europese Commissie, de </w:t>
      </w:r>
      <w:proofErr w:type="spellStart"/>
      <w:r w:rsidRPr="00DC7622">
        <w:rPr>
          <w:rFonts w:ascii="Verdana" w:hAnsi="Verdana"/>
          <w:sz w:val="16"/>
          <w:szCs w:val="16"/>
        </w:rPr>
        <w:t>Innovation</w:t>
      </w:r>
      <w:proofErr w:type="spellEnd"/>
      <w:r w:rsidRPr="00DC7622">
        <w:rPr>
          <w:rFonts w:ascii="Verdana" w:hAnsi="Verdana"/>
          <w:sz w:val="16"/>
          <w:szCs w:val="16"/>
        </w:rPr>
        <w:t xml:space="preserve"> Union Scoreboard. En ook in het aantal aangevraagde octrooien staan we in de Europese top 3 met 8</w:t>
      </w:r>
      <w:r w:rsidR="008B50B8" w:rsidRPr="00DC7622">
        <w:rPr>
          <w:rFonts w:ascii="Verdana" w:hAnsi="Verdana"/>
          <w:sz w:val="16"/>
          <w:szCs w:val="16"/>
        </w:rPr>
        <w:t>.</w:t>
      </w:r>
      <w:r w:rsidRPr="00DC7622">
        <w:rPr>
          <w:rFonts w:ascii="Verdana" w:hAnsi="Verdana"/>
          <w:sz w:val="16"/>
          <w:szCs w:val="16"/>
        </w:rPr>
        <w:t>100 patenten, hoger dan het Verenigd Koninkrijk en Zweden, achter Duitsland en Frankrijk.</w:t>
      </w:r>
    </w:p>
  </w:footnote>
  <w:footnote w:id="3">
    <w:p w14:paraId="06C4DDE5" w14:textId="77777777" w:rsidR="00D76C2F" w:rsidRPr="00DC7622" w:rsidRDefault="00D76C2F" w:rsidP="00D76C2F">
      <w:pPr>
        <w:pStyle w:val="Voetnoottekst"/>
        <w:rPr>
          <w:rFonts w:ascii="Verdana" w:hAnsi="Verdana"/>
          <w:sz w:val="16"/>
          <w:szCs w:val="16"/>
        </w:rPr>
      </w:pPr>
      <w:r w:rsidRPr="00DC7622">
        <w:rPr>
          <w:rStyle w:val="Voetnootmarkering"/>
          <w:rFonts w:ascii="Verdana" w:hAnsi="Verdana"/>
          <w:sz w:val="16"/>
          <w:szCs w:val="16"/>
        </w:rPr>
        <w:footnoteRef/>
      </w:r>
      <w:r w:rsidRPr="00DC7622">
        <w:rPr>
          <w:rFonts w:ascii="Verdana" w:hAnsi="Verdana"/>
          <w:sz w:val="16"/>
          <w:szCs w:val="16"/>
        </w:rPr>
        <w:t xml:space="preserve"> Nederlands Nationaal Hervormingsprogramma 2015 (pagina 29) </w:t>
      </w:r>
      <w:hyperlink r:id="rId1" w:history="1">
        <w:r w:rsidRPr="00DC7622">
          <w:rPr>
            <w:rStyle w:val="Hyperlink"/>
            <w:rFonts w:ascii="Verdana" w:hAnsi="Verdana"/>
            <w:sz w:val="16"/>
            <w:szCs w:val="16"/>
          </w:rPr>
          <w:t>http://www.rijksoverheid.nl/documenten-en-publicaties/rapporten/2015/04/30/nederlands-nationaal-hervormingsprogramma-2015.html</w:t>
        </w:r>
      </w:hyperlink>
      <w:r w:rsidRPr="00DC7622">
        <w:rPr>
          <w:rFonts w:ascii="Verdana" w:hAnsi="Verdana"/>
          <w:sz w:val="16"/>
          <w:szCs w:val="16"/>
        </w:rPr>
        <w:t xml:space="preserve"> </w:t>
      </w:r>
    </w:p>
  </w:footnote>
  <w:footnote w:id="4">
    <w:p w14:paraId="49814C51" w14:textId="77777777" w:rsidR="00D76C2F" w:rsidRPr="007B7815" w:rsidRDefault="00D76C2F" w:rsidP="00D76C2F">
      <w:pPr>
        <w:pStyle w:val="Voetnoottekst"/>
        <w:rPr>
          <w:rFonts w:ascii="Verdana" w:hAnsi="Verdana"/>
          <w:sz w:val="16"/>
          <w:szCs w:val="16"/>
        </w:rPr>
      </w:pPr>
      <w:r w:rsidRPr="00DC7622">
        <w:rPr>
          <w:rStyle w:val="Voetnootmarkering"/>
          <w:rFonts w:ascii="Verdana" w:hAnsi="Verdana"/>
          <w:sz w:val="16"/>
          <w:szCs w:val="16"/>
        </w:rPr>
        <w:footnoteRef/>
      </w:r>
      <w:r w:rsidRPr="00DC7622">
        <w:rPr>
          <w:rFonts w:ascii="Verdana" w:hAnsi="Verdana"/>
          <w:sz w:val="16"/>
          <w:szCs w:val="16"/>
        </w:rPr>
        <w:t xml:space="preserve"> NHP, CBS. Hierbij zij opgemerkt dat privaat uitgevoerde R&amp;D niet altijd ook privaat gefinancierd is en </w:t>
      </w:r>
      <w:proofErr w:type="spellStart"/>
      <w:r w:rsidRPr="00DC7622">
        <w:rPr>
          <w:rFonts w:ascii="Verdana" w:hAnsi="Verdana"/>
          <w:sz w:val="16"/>
          <w:szCs w:val="16"/>
        </w:rPr>
        <w:t>vice</w:t>
      </w:r>
      <w:proofErr w:type="spellEnd"/>
      <w:r w:rsidRPr="00DC7622">
        <w:rPr>
          <w:rFonts w:ascii="Verdana" w:hAnsi="Verdana"/>
          <w:sz w:val="16"/>
          <w:szCs w:val="16"/>
        </w:rPr>
        <w:t xml:space="preserve"> versa. Nederlandse bedrijven laten relatief veel R&amp;D uitvoeren door publieke kennisinstellingen. In 2012 bedroeg de privaat gefinancierde R&amp;D 1,05% </w:t>
      </w:r>
      <w:proofErr w:type="spellStart"/>
      <w:r w:rsidRPr="00DC7622">
        <w:rPr>
          <w:rFonts w:ascii="Verdana" w:hAnsi="Verdana"/>
          <w:sz w:val="16"/>
          <w:szCs w:val="16"/>
        </w:rPr>
        <w:t>bbp</w:t>
      </w:r>
      <w:proofErr w:type="spellEnd"/>
      <w:r w:rsidRPr="00DC7622">
        <w:rPr>
          <w:rFonts w:ascii="Verdana" w:hAnsi="Verdana"/>
          <w:sz w:val="16"/>
          <w:szCs w:val="16"/>
        </w:rPr>
        <w:t xml:space="preserve"> en de publiek gefinancierde R&amp;D-uitgaven 0,91% </w:t>
      </w:r>
      <w:proofErr w:type="spellStart"/>
      <w:r w:rsidRPr="00DC7622">
        <w:rPr>
          <w:rFonts w:ascii="Verdana" w:hAnsi="Verdana"/>
          <w:sz w:val="16"/>
          <w:szCs w:val="16"/>
        </w:rPr>
        <w:t>bbp</w:t>
      </w:r>
      <w:proofErr w:type="spellEnd"/>
      <w:r w:rsidRPr="00DC7622">
        <w:rPr>
          <w:rFonts w:ascii="Verdana" w:hAnsi="Verdana"/>
          <w:sz w:val="16"/>
          <w:szCs w:val="16"/>
        </w:rPr>
        <w:t xml:space="preserve"> (inclusief WBSO/RDA) (bron: EZ-begroting 2015).</w:t>
      </w:r>
    </w:p>
  </w:footnote>
  <w:footnote w:id="5">
    <w:p w14:paraId="0059AD20" w14:textId="77777777" w:rsidR="00D76C2F" w:rsidRPr="007B7815" w:rsidRDefault="00D76C2F">
      <w:pPr>
        <w:pStyle w:val="Voetnoottekst"/>
        <w:rPr>
          <w:rFonts w:ascii="Verdana" w:hAnsi="Verdana"/>
          <w:sz w:val="16"/>
          <w:szCs w:val="16"/>
        </w:rPr>
      </w:pPr>
      <w:r w:rsidRPr="007B7815">
        <w:rPr>
          <w:rStyle w:val="Voetnootmarkering"/>
          <w:rFonts w:ascii="Verdana" w:hAnsi="Verdana"/>
          <w:sz w:val="16"/>
          <w:szCs w:val="16"/>
        </w:rPr>
        <w:footnoteRef/>
      </w:r>
      <w:r w:rsidRPr="007B7815">
        <w:rPr>
          <w:rFonts w:ascii="Verdana" w:hAnsi="Verdana"/>
          <w:sz w:val="16"/>
          <w:szCs w:val="16"/>
        </w:rPr>
        <w:t xml:space="preserve"> </w:t>
      </w:r>
      <w:r w:rsidRPr="00DC7622">
        <w:rPr>
          <w:rFonts w:ascii="Verdana" w:hAnsi="Verdana"/>
          <w:sz w:val="16"/>
          <w:szCs w:val="16"/>
        </w:rPr>
        <w:t>De officiële Nederlandse vertaling is (nog) niet beschikbaar.</w:t>
      </w:r>
    </w:p>
  </w:footnote>
  <w:footnote w:id="6">
    <w:p w14:paraId="0B53551B" w14:textId="77777777" w:rsidR="00CE7C95" w:rsidRPr="007B7815" w:rsidRDefault="00CE7C95">
      <w:pPr>
        <w:pStyle w:val="Voetnoottekst"/>
        <w:rPr>
          <w:rFonts w:ascii="Verdana" w:hAnsi="Verdana"/>
          <w:sz w:val="16"/>
          <w:szCs w:val="16"/>
        </w:rPr>
      </w:pPr>
      <w:r w:rsidRPr="007B7815">
        <w:rPr>
          <w:rStyle w:val="Voetnootmarkering"/>
          <w:rFonts w:ascii="Verdana" w:hAnsi="Verdana"/>
          <w:sz w:val="16"/>
          <w:szCs w:val="16"/>
        </w:rPr>
        <w:footnoteRef/>
      </w:r>
      <w:r w:rsidRPr="007B7815">
        <w:rPr>
          <w:rFonts w:ascii="Verdana" w:hAnsi="Verdana"/>
          <w:sz w:val="16"/>
          <w:szCs w:val="16"/>
        </w:rPr>
        <w:t xml:space="preserve"> </w:t>
      </w:r>
      <w:r w:rsidRPr="00DC7622">
        <w:rPr>
          <w:rFonts w:ascii="Verdana" w:hAnsi="Verdana"/>
          <w:sz w:val="16"/>
          <w:szCs w:val="16"/>
        </w:rPr>
        <w:t xml:space="preserve">Kamerstukken </w:t>
      </w:r>
      <w:hyperlink r:id="rId2" w:tooltip="link naar publicatie kst-21501-20-704" w:history="1">
        <w:r w:rsidRPr="00DC7622">
          <w:rPr>
            <w:rStyle w:val="Hyperlink"/>
            <w:rFonts w:ascii="Verdana" w:hAnsi="Verdana"/>
            <w:sz w:val="16"/>
            <w:szCs w:val="16"/>
          </w:rPr>
          <w:t>21 501-20 nr. 704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46F"/>
    <w:multiLevelType w:val="hybridMultilevel"/>
    <w:tmpl w:val="D4F8B7B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0DC6BE4"/>
    <w:multiLevelType w:val="hybridMultilevel"/>
    <w:tmpl w:val="CA06E760"/>
    <w:lvl w:ilvl="0" w:tplc="0CE4C9F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D7267B8"/>
    <w:multiLevelType w:val="hybridMultilevel"/>
    <w:tmpl w:val="B9EACBE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nsid w:val="26636402"/>
    <w:multiLevelType w:val="hybridMultilevel"/>
    <w:tmpl w:val="DCD68326"/>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79D6AA8"/>
    <w:multiLevelType w:val="hybridMultilevel"/>
    <w:tmpl w:val="06321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B61174"/>
    <w:multiLevelType w:val="hybridMultilevel"/>
    <w:tmpl w:val="5EF44A6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35D56292"/>
    <w:multiLevelType w:val="hybridMultilevel"/>
    <w:tmpl w:val="6A8CEC10"/>
    <w:lvl w:ilvl="0" w:tplc="0CE4C9F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14E0846"/>
    <w:multiLevelType w:val="hybridMultilevel"/>
    <w:tmpl w:val="23D60AA0"/>
    <w:lvl w:ilvl="0" w:tplc="04090001">
      <w:start w:val="1"/>
      <w:numFmt w:val="bullet"/>
      <w:lvlText w:val=""/>
      <w:lvlJc w:val="left"/>
      <w:pPr>
        <w:ind w:left="360" w:hanging="360"/>
      </w:pPr>
      <w:rPr>
        <w:rFonts w:ascii="Symbol" w:hAnsi="Symbol" w:hint="default"/>
      </w:rPr>
    </w:lvl>
    <w:lvl w:ilvl="1" w:tplc="0413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86EA5"/>
    <w:multiLevelType w:val="multilevel"/>
    <w:tmpl w:val="076A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315430"/>
    <w:multiLevelType w:val="hybridMultilevel"/>
    <w:tmpl w:val="5D6A3F2E"/>
    <w:lvl w:ilvl="0" w:tplc="6DFCC0D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2"/>
  </w:num>
  <w:num w:numId="4">
    <w:abstractNumId w:val="7"/>
  </w:num>
  <w:num w:numId="5">
    <w:abstractNumId w:val="5"/>
  </w:num>
  <w:num w:numId="6">
    <w:abstractNumId w:val="3"/>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E4"/>
    <w:rsid w:val="00002E79"/>
    <w:rsid w:val="00003F81"/>
    <w:rsid w:val="00006B56"/>
    <w:rsid w:val="00007BC6"/>
    <w:rsid w:val="0001053A"/>
    <w:rsid w:val="000119EB"/>
    <w:rsid w:val="00021386"/>
    <w:rsid w:val="00023B50"/>
    <w:rsid w:val="000270FE"/>
    <w:rsid w:val="00035BE9"/>
    <w:rsid w:val="000423A1"/>
    <w:rsid w:val="000427D0"/>
    <w:rsid w:val="00043B34"/>
    <w:rsid w:val="00054CAC"/>
    <w:rsid w:val="00054F7A"/>
    <w:rsid w:val="000564DB"/>
    <w:rsid w:val="00056795"/>
    <w:rsid w:val="00057697"/>
    <w:rsid w:val="0006168C"/>
    <w:rsid w:val="0006239C"/>
    <w:rsid w:val="00063985"/>
    <w:rsid w:val="00064617"/>
    <w:rsid w:val="000666CE"/>
    <w:rsid w:val="0006744D"/>
    <w:rsid w:val="00071177"/>
    <w:rsid w:val="00072CB4"/>
    <w:rsid w:val="00073050"/>
    <w:rsid w:val="00075D5A"/>
    <w:rsid w:val="00077526"/>
    <w:rsid w:val="000802A6"/>
    <w:rsid w:val="00080DC6"/>
    <w:rsid w:val="000860B1"/>
    <w:rsid w:val="000964A4"/>
    <w:rsid w:val="000965C0"/>
    <w:rsid w:val="000A3DF0"/>
    <w:rsid w:val="000A560C"/>
    <w:rsid w:val="000B6138"/>
    <w:rsid w:val="000B67EE"/>
    <w:rsid w:val="000C1423"/>
    <w:rsid w:val="000C2B34"/>
    <w:rsid w:val="000C3E4A"/>
    <w:rsid w:val="000C7F3F"/>
    <w:rsid w:val="000D04A1"/>
    <w:rsid w:val="000D3BF1"/>
    <w:rsid w:val="000D5E2F"/>
    <w:rsid w:val="000E0ECD"/>
    <w:rsid w:val="000E350E"/>
    <w:rsid w:val="000E44D6"/>
    <w:rsid w:val="000E55DB"/>
    <w:rsid w:val="000E6E85"/>
    <w:rsid w:val="000E7A2C"/>
    <w:rsid w:val="000F44DA"/>
    <w:rsid w:val="000F52E1"/>
    <w:rsid w:val="000F588A"/>
    <w:rsid w:val="000F7F1D"/>
    <w:rsid w:val="00104504"/>
    <w:rsid w:val="00104898"/>
    <w:rsid w:val="001057F9"/>
    <w:rsid w:val="001063BF"/>
    <w:rsid w:val="00110518"/>
    <w:rsid w:val="00112788"/>
    <w:rsid w:val="001146F4"/>
    <w:rsid w:val="0012257D"/>
    <w:rsid w:val="00122DA9"/>
    <w:rsid w:val="00127083"/>
    <w:rsid w:val="00130C2C"/>
    <w:rsid w:val="001323CB"/>
    <w:rsid w:val="00132EC2"/>
    <w:rsid w:val="00133C21"/>
    <w:rsid w:val="0013614F"/>
    <w:rsid w:val="00136827"/>
    <w:rsid w:val="00141A60"/>
    <w:rsid w:val="001426DC"/>
    <w:rsid w:val="00150271"/>
    <w:rsid w:val="00150335"/>
    <w:rsid w:val="001508F9"/>
    <w:rsid w:val="001512B4"/>
    <w:rsid w:val="00152346"/>
    <w:rsid w:val="00152FE4"/>
    <w:rsid w:val="00153E82"/>
    <w:rsid w:val="00154E08"/>
    <w:rsid w:val="00155765"/>
    <w:rsid w:val="00155950"/>
    <w:rsid w:val="00170C50"/>
    <w:rsid w:val="00176097"/>
    <w:rsid w:val="001771F9"/>
    <w:rsid w:val="00180F1A"/>
    <w:rsid w:val="00185E9F"/>
    <w:rsid w:val="00187DCE"/>
    <w:rsid w:val="00190DDA"/>
    <w:rsid w:val="00191DBB"/>
    <w:rsid w:val="001941DF"/>
    <w:rsid w:val="001B2789"/>
    <w:rsid w:val="001B6A5E"/>
    <w:rsid w:val="001C58BA"/>
    <w:rsid w:val="001C7F31"/>
    <w:rsid w:val="001D0AE4"/>
    <w:rsid w:val="001D414A"/>
    <w:rsid w:val="001D5D52"/>
    <w:rsid w:val="001D6295"/>
    <w:rsid w:val="001E0DEF"/>
    <w:rsid w:val="00202CDE"/>
    <w:rsid w:val="00207E4E"/>
    <w:rsid w:val="00212195"/>
    <w:rsid w:val="00220006"/>
    <w:rsid w:val="0022099A"/>
    <w:rsid w:val="00222074"/>
    <w:rsid w:val="00224FB2"/>
    <w:rsid w:val="0022768C"/>
    <w:rsid w:val="00232AA5"/>
    <w:rsid w:val="00240F19"/>
    <w:rsid w:val="002441F0"/>
    <w:rsid w:val="002448DA"/>
    <w:rsid w:val="00244EA9"/>
    <w:rsid w:val="00263AFF"/>
    <w:rsid w:val="002658AB"/>
    <w:rsid w:val="00265CB3"/>
    <w:rsid w:val="00270A07"/>
    <w:rsid w:val="00272A32"/>
    <w:rsid w:val="002746BE"/>
    <w:rsid w:val="002834E6"/>
    <w:rsid w:val="002871BB"/>
    <w:rsid w:val="002926E5"/>
    <w:rsid w:val="00295AE4"/>
    <w:rsid w:val="002965AB"/>
    <w:rsid w:val="0029765A"/>
    <w:rsid w:val="002A6E3D"/>
    <w:rsid w:val="002B0664"/>
    <w:rsid w:val="002B212A"/>
    <w:rsid w:val="002B474C"/>
    <w:rsid w:val="002C162E"/>
    <w:rsid w:val="002D1997"/>
    <w:rsid w:val="002D494D"/>
    <w:rsid w:val="002D6B18"/>
    <w:rsid w:val="002D6B47"/>
    <w:rsid w:val="002E01AF"/>
    <w:rsid w:val="002E135B"/>
    <w:rsid w:val="002E4B11"/>
    <w:rsid w:val="002E787B"/>
    <w:rsid w:val="002F3B56"/>
    <w:rsid w:val="002F4B25"/>
    <w:rsid w:val="002F6751"/>
    <w:rsid w:val="00304095"/>
    <w:rsid w:val="00304E15"/>
    <w:rsid w:val="00306A7F"/>
    <w:rsid w:val="00307DCF"/>
    <w:rsid w:val="003106D5"/>
    <w:rsid w:val="003117C0"/>
    <w:rsid w:val="00315DBA"/>
    <w:rsid w:val="00320841"/>
    <w:rsid w:val="00320C5F"/>
    <w:rsid w:val="00321ACE"/>
    <w:rsid w:val="00322450"/>
    <w:rsid w:val="003224B1"/>
    <w:rsid w:val="00324233"/>
    <w:rsid w:val="00332ECD"/>
    <w:rsid w:val="0033426D"/>
    <w:rsid w:val="0033527C"/>
    <w:rsid w:val="003436CD"/>
    <w:rsid w:val="00347766"/>
    <w:rsid w:val="003516DA"/>
    <w:rsid w:val="00353269"/>
    <w:rsid w:val="00356125"/>
    <w:rsid w:val="0036146C"/>
    <w:rsid w:val="00363059"/>
    <w:rsid w:val="0036326B"/>
    <w:rsid w:val="0037108E"/>
    <w:rsid w:val="00373C2A"/>
    <w:rsid w:val="00377CAF"/>
    <w:rsid w:val="00381EC3"/>
    <w:rsid w:val="00383326"/>
    <w:rsid w:val="00384B4B"/>
    <w:rsid w:val="003850CE"/>
    <w:rsid w:val="003938A6"/>
    <w:rsid w:val="00394CA1"/>
    <w:rsid w:val="00396EEB"/>
    <w:rsid w:val="00397070"/>
    <w:rsid w:val="003A1598"/>
    <w:rsid w:val="003A18C3"/>
    <w:rsid w:val="003A36B4"/>
    <w:rsid w:val="003A36D1"/>
    <w:rsid w:val="003A379C"/>
    <w:rsid w:val="003A5ADF"/>
    <w:rsid w:val="003B2DDE"/>
    <w:rsid w:val="003C1676"/>
    <w:rsid w:val="003C26C4"/>
    <w:rsid w:val="003C3D6E"/>
    <w:rsid w:val="003C5031"/>
    <w:rsid w:val="003C7ECD"/>
    <w:rsid w:val="003D29B3"/>
    <w:rsid w:val="003D7323"/>
    <w:rsid w:val="003E4B5E"/>
    <w:rsid w:val="003E594D"/>
    <w:rsid w:val="003E7561"/>
    <w:rsid w:val="003F2030"/>
    <w:rsid w:val="003F3759"/>
    <w:rsid w:val="003F40C2"/>
    <w:rsid w:val="003F5751"/>
    <w:rsid w:val="003F6112"/>
    <w:rsid w:val="003F66E7"/>
    <w:rsid w:val="003F6DE8"/>
    <w:rsid w:val="003F7FDA"/>
    <w:rsid w:val="0040511D"/>
    <w:rsid w:val="00405435"/>
    <w:rsid w:val="00406480"/>
    <w:rsid w:val="00411381"/>
    <w:rsid w:val="00411717"/>
    <w:rsid w:val="004119C9"/>
    <w:rsid w:val="004121D5"/>
    <w:rsid w:val="00413256"/>
    <w:rsid w:val="00417792"/>
    <w:rsid w:val="004221A9"/>
    <w:rsid w:val="00423BC8"/>
    <w:rsid w:val="00424A7C"/>
    <w:rsid w:val="00431842"/>
    <w:rsid w:val="00433CB1"/>
    <w:rsid w:val="0043403A"/>
    <w:rsid w:val="004343EA"/>
    <w:rsid w:val="004355CB"/>
    <w:rsid w:val="00436250"/>
    <w:rsid w:val="00436BFE"/>
    <w:rsid w:val="00436EAE"/>
    <w:rsid w:val="0044046C"/>
    <w:rsid w:val="00441E7E"/>
    <w:rsid w:val="004434C2"/>
    <w:rsid w:val="00446DCF"/>
    <w:rsid w:val="00455755"/>
    <w:rsid w:val="00455877"/>
    <w:rsid w:val="0046727C"/>
    <w:rsid w:val="00471F95"/>
    <w:rsid w:val="0047279F"/>
    <w:rsid w:val="00473725"/>
    <w:rsid w:val="0047422D"/>
    <w:rsid w:val="004753DD"/>
    <w:rsid w:val="0047753D"/>
    <w:rsid w:val="00483846"/>
    <w:rsid w:val="0049287C"/>
    <w:rsid w:val="004928B5"/>
    <w:rsid w:val="00493090"/>
    <w:rsid w:val="00493E06"/>
    <w:rsid w:val="00495CE9"/>
    <w:rsid w:val="004961C6"/>
    <w:rsid w:val="004965E6"/>
    <w:rsid w:val="0049688F"/>
    <w:rsid w:val="004A26E8"/>
    <w:rsid w:val="004A7AE6"/>
    <w:rsid w:val="004B132F"/>
    <w:rsid w:val="004B20A6"/>
    <w:rsid w:val="004B27F8"/>
    <w:rsid w:val="004B66FC"/>
    <w:rsid w:val="004B747B"/>
    <w:rsid w:val="004B7FAA"/>
    <w:rsid w:val="004C5911"/>
    <w:rsid w:val="004C6705"/>
    <w:rsid w:val="004C73DC"/>
    <w:rsid w:val="004D10EA"/>
    <w:rsid w:val="004D1863"/>
    <w:rsid w:val="004D2791"/>
    <w:rsid w:val="004E1FC2"/>
    <w:rsid w:val="004E40CC"/>
    <w:rsid w:val="004E4B9D"/>
    <w:rsid w:val="004E5C1C"/>
    <w:rsid w:val="004E5FC9"/>
    <w:rsid w:val="004E66F5"/>
    <w:rsid w:val="004E71D1"/>
    <w:rsid w:val="004E7AB6"/>
    <w:rsid w:val="004F0930"/>
    <w:rsid w:val="004F098C"/>
    <w:rsid w:val="004F12E1"/>
    <w:rsid w:val="00502347"/>
    <w:rsid w:val="00511992"/>
    <w:rsid w:val="00512A91"/>
    <w:rsid w:val="00515AC0"/>
    <w:rsid w:val="00516336"/>
    <w:rsid w:val="0052672F"/>
    <w:rsid w:val="00534EC1"/>
    <w:rsid w:val="005356D7"/>
    <w:rsid w:val="00541099"/>
    <w:rsid w:val="00542F6E"/>
    <w:rsid w:val="0054449E"/>
    <w:rsid w:val="00545329"/>
    <w:rsid w:val="0055219B"/>
    <w:rsid w:val="00552350"/>
    <w:rsid w:val="00557046"/>
    <w:rsid w:val="0056023F"/>
    <w:rsid w:val="0056767E"/>
    <w:rsid w:val="005779D4"/>
    <w:rsid w:val="00580898"/>
    <w:rsid w:val="00580B22"/>
    <w:rsid w:val="00583041"/>
    <w:rsid w:val="00583068"/>
    <w:rsid w:val="005873B1"/>
    <w:rsid w:val="0058763C"/>
    <w:rsid w:val="00587C4F"/>
    <w:rsid w:val="00591B69"/>
    <w:rsid w:val="00591E90"/>
    <w:rsid w:val="00594349"/>
    <w:rsid w:val="00594EF4"/>
    <w:rsid w:val="0059590F"/>
    <w:rsid w:val="005A1B9C"/>
    <w:rsid w:val="005B1692"/>
    <w:rsid w:val="005B29CB"/>
    <w:rsid w:val="005B2F74"/>
    <w:rsid w:val="005B6195"/>
    <w:rsid w:val="005C1D87"/>
    <w:rsid w:val="005C2314"/>
    <w:rsid w:val="005C3494"/>
    <w:rsid w:val="005C6E6B"/>
    <w:rsid w:val="005D317C"/>
    <w:rsid w:val="005D335B"/>
    <w:rsid w:val="005D4A25"/>
    <w:rsid w:val="005D695E"/>
    <w:rsid w:val="005E3826"/>
    <w:rsid w:val="005E4151"/>
    <w:rsid w:val="005E54AA"/>
    <w:rsid w:val="005E66BA"/>
    <w:rsid w:val="005E675F"/>
    <w:rsid w:val="005E7DA0"/>
    <w:rsid w:val="005F1772"/>
    <w:rsid w:val="005F3452"/>
    <w:rsid w:val="005F3E81"/>
    <w:rsid w:val="0060014B"/>
    <w:rsid w:val="00603D89"/>
    <w:rsid w:val="006105A3"/>
    <w:rsid w:val="0061201B"/>
    <w:rsid w:val="0062401F"/>
    <w:rsid w:val="00624C8D"/>
    <w:rsid w:val="00626295"/>
    <w:rsid w:val="00627752"/>
    <w:rsid w:val="00632551"/>
    <w:rsid w:val="006376EE"/>
    <w:rsid w:val="00641751"/>
    <w:rsid w:val="0064261B"/>
    <w:rsid w:val="006504E5"/>
    <w:rsid w:val="00650C7E"/>
    <w:rsid w:val="00653E4B"/>
    <w:rsid w:val="00661958"/>
    <w:rsid w:val="00662532"/>
    <w:rsid w:val="006640FE"/>
    <w:rsid w:val="006664F2"/>
    <w:rsid w:val="00670171"/>
    <w:rsid w:val="0067220B"/>
    <w:rsid w:val="00675C46"/>
    <w:rsid w:val="0067625A"/>
    <w:rsid w:val="00684344"/>
    <w:rsid w:val="00685DD3"/>
    <w:rsid w:val="00687316"/>
    <w:rsid w:val="00691FBD"/>
    <w:rsid w:val="00693CA3"/>
    <w:rsid w:val="00695436"/>
    <w:rsid w:val="006A56F8"/>
    <w:rsid w:val="006A6610"/>
    <w:rsid w:val="006A7563"/>
    <w:rsid w:val="006A7DEE"/>
    <w:rsid w:val="006B23B9"/>
    <w:rsid w:val="006B2500"/>
    <w:rsid w:val="006B25B7"/>
    <w:rsid w:val="006C194B"/>
    <w:rsid w:val="006C2548"/>
    <w:rsid w:val="006C42B0"/>
    <w:rsid w:val="006C5F42"/>
    <w:rsid w:val="006D105D"/>
    <w:rsid w:val="006D202D"/>
    <w:rsid w:val="006D37C6"/>
    <w:rsid w:val="006D7C92"/>
    <w:rsid w:val="006E4D22"/>
    <w:rsid w:val="006E4E2C"/>
    <w:rsid w:val="006E5171"/>
    <w:rsid w:val="006E6F8D"/>
    <w:rsid w:val="006E7A05"/>
    <w:rsid w:val="006F1470"/>
    <w:rsid w:val="006F3F63"/>
    <w:rsid w:val="00704213"/>
    <w:rsid w:val="007046BF"/>
    <w:rsid w:val="007049C7"/>
    <w:rsid w:val="00707FF1"/>
    <w:rsid w:val="00716A5A"/>
    <w:rsid w:val="00717F46"/>
    <w:rsid w:val="0072065C"/>
    <w:rsid w:val="00722714"/>
    <w:rsid w:val="007241C0"/>
    <w:rsid w:val="00732D92"/>
    <w:rsid w:val="00735691"/>
    <w:rsid w:val="00740449"/>
    <w:rsid w:val="007432CF"/>
    <w:rsid w:val="00745F47"/>
    <w:rsid w:val="00750C85"/>
    <w:rsid w:val="00751F90"/>
    <w:rsid w:val="00755B03"/>
    <w:rsid w:val="0076073C"/>
    <w:rsid w:val="00771116"/>
    <w:rsid w:val="00774D6B"/>
    <w:rsid w:val="0077587E"/>
    <w:rsid w:val="00785D68"/>
    <w:rsid w:val="007907D6"/>
    <w:rsid w:val="007A00D0"/>
    <w:rsid w:val="007A07F7"/>
    <w:rsid w:val="007A1DC2"/>
    <w:rsid w:val="007A2E8B"/>
    <w:rsid w:val="007A547C"/>
    <w:rsid w:val="007A5FAC"/>
    <w:rsid w:val="007A7CFC"/>
    <w:rsid w:val="007B71E5"/>
    <w:rsid w:val="007B7316"/>
    <w:rsid w:val="007B7815"/>
    <w:rsid w:val="007C132C"/>
    <w:rsid w:val="007C323A"/>
    <w:rsid w:val="007C5D2D"/>
    <w:rsid w:val="007C6F15"/>
    <w:rsid w:val="007D4D76"/>
    <w:rsid w:val="007D562C"/>
    <w:rsid w:val="007E10B9"/>
    <w:rsid w:val="007E1CF4"/>
    <w:rsid w:val="007E3A45"/>
    <w:rsid w:val="007F3759"/>
    <w:rsid w:val="007F3A25"/>
    <w:rsid w:val="007F3CC4"/>
    <w:rsid w:val="007F7C96"/>
    <w:rsid w:val="00804D94"/>
    <w:rsid w:val="0080580F"/>
    <w:rsid w:val="00816302"/>
    <w:rsid w:val="00820CE3"/>
    <w:rsid w:val="00824E79"/>
    <w:rsid w:val="00832415"/>
    <w:rsid w:val="00832D6E"/>
    <w:rsid w:val="00834ECB"/>
    <w:rsid w:val="00835970"/>
    <w:rsid w:val="008377A7"/>
    <w:rsid w:val="00843552"/>
    <w:rsid w:val="00845287"/>
    <w:rsid w:val="00846551"/>
    <w:rsid w:val="008518FC"/>
    <w:rsid w:val="00854219"/>
    <w:rsid w:val="008700A7"/>
    <w:rsid w:val="00871DFF"/>
    <w:rsid w:val="00872DCB"/>
    <w:rsid w:val="00875124"/>
    <w:rsid w:val="00877A62"/>
    <w:rsid w:val="00880958"/>
    <w:rsid w:val="0088126A"/>
    <w:rsid w:val="00881685"/>
    <w:rsid w:val="00881CFB"/>
    <w:rsid w:val="00885792"/>
    <w:rsid w:val="00886015"/>
    <w:rsid w:val="008874B8"/>
    <w:rsid w:val="00891F68"/>
    <w:rsid w:val="00892FFC"/>
    <w:rsid w:val="008936D9"/>
    <w:rsid w:val="00896E9A"/>
    <w:rsid w:val="008A3985"/>
    <w:rsid w:val="008A4C93"/>
    <w:rsid w:val="008A564D"/>
    <w:rsid w:val="008A7B2B"/>
    <w:rsid w:val="008B22D3"/>
    <w:rsid w:val="008B4771"/>
    <w:rsid w:val="008B50B8"/>
    <w:rsid w:val="008C15DC"/>
    <w:rsid w:val="008C25F6"/>
    <w:rsid w:val="008C51AE"/>
    <w:rsid w:val="008D1CF3"/>
    <w:rsid w:val="008D466C"/>
    <w:rsid w:val="008E082D"/>
    <w:rsid w:val="008E09CB"/>
    <w:rsid w:val="008E0FF8"/>
    <w:rsid w:val="008E27D9"/>
    <w:rsid w:val="008E6417"/>
    <w:rsid w:val="008E7F5E"/>
    <w:rsid w:val="009028FB"/>
    <w:rsid w:val="00903863"/>
    <w:rsid w:val="00906DD1"/>
    <w:rsid w:val="009108E7"/>
    <w:rsid w:val="00911241"/>
    <w:rsid w:val="00915D13"/>
    <w:rsid w:val="0092127A"/>
    <w:rsid w:val="00922CD1"/>
    <w:rsid w:val="00933D29"/>
    <w:rsid w:val="00936F2B"/>
    <w:rsid w:val="00941ABB"/>
    <w:rsid w:val="00941C10"/>
    <w:rsid w:val="009433E6"/>
    <w:rsid w:val="0094599C"/>
    <w:rsid w:val="00946120"/>
    <w:rsid w:val="00946D59"/>
    <w:rsid w:val="0095451C"/>
    <w:rsid w:val="00954E4F"/>
    <w:rsid w:val="00964895"/>
    <w:rsid w:val="0097128F"/>
    <w:rsid w:val="00973002"/>
    <w:rsid w:val="00973FB6"/>
    <w:rsid w:val="00974168"/>
    <w:rsid w:val="0099014A"/>
    <w:rsid w:val="00994CE8"/>
    <w:rsid w:val="009967A5"/>
    <w:rsid w:val="009A05B1"/>
    <w:rsid w:val="009A09EE"/>
    <w:rsid w:val="009A223D"/>
    <w:rsid w:val="009A2374"/>
    <w:rsid w:val="009A2F61"/>
    <w:rsid w:val="009A62B9"/>
    <w:rsid w:val="009A736A"/>
    <w:rsid w:val="009A7DF7"/>
    <w:rsid w:val="009B02AF"/>
    <w:rsid w:val="009B56FA"/>
    <w:rsid w:val="009B59BA"/>
    <w:rsid w:val="009C01FF"/>
    <w:rsid w:val="009C1AA0"/>
    <w:rsid w:val="009C5F2E"/>
    <w:rsid w:val="009C6EB5"/>
    <w:rsid w:val="009C7016"/>
    <w:rsid w:val="009C7E16"/>
    <w:rsid w:val="009D0A05"/>
    <w:rsid w:val="009D1517"/>
    <w:rsid w:val="009D5F1F"/>
    <w:rsid w:val="009D78D8"/>
    <w:rsid w:val="009D7D16"/>
    <w:rsid w:val="009E1317"/>
    <w:rsid w:val="009E1AF9"/>
    <w:rsid w:val="009E1F16"/>
    <w:rsid w:val="009F164A"/>
    <w:rsid w:val="009F3FEF"/>
    <w:rsid w:val="009F501F"/>
    <w:rsid w:val="00A14C6B"/>
    <w:rsid w:val="00A14F01"/>
    <w:rsid w:val="00A15A28"/>
    <w:rsid w:val="00A246B2"/>
    <w:rsid w:val="00A255B1"/>
    <w:rsid w:val="00A26CF3"/>
    <w:rsid w:val="00A3443B"/>
    <w:rsid w:val="00A34806"/>
    <w:rsid w:val="00A34BBA"/>
    <w:rsid w:val="00A35850"/>
    <w:rsid w:val="00A40C57"/>
    <w:rsid w:val="00A42488"/>
    <w:rsid w:val="00A45A93"/>
    <w:rsid w:val="00A46E68"/>
    <w:rsid w:val="00A47372"/>
    <w:rsid w:val="00A47D8F"/>
    <w:rsid w:val="00A51834"/>
    <w:rsid w:val="00A51B33"/>
    <w:rsid w:val="00A62B9C"/>
    <w:rsid w:val="00A64A47"/>
    <w:rsid w:val="00A6610F"/>
    <w:rsid w:val="00A677D0"/>
    <w:rsid w:val="00A71B01"/>
    <w:rsid w:val="00A85BB6"/>
    <w:rsid w:val="00A867AC"/>
    <w:rsid w:val="00A87395"/>
    <w:rsid w:val="00A9515C"/>
    <w:rsid w:val="00A95CCA"/>
    <w:rsid w:val="00A964D5"/>
    <w:rsid w:val="00AA0FC1"/>
    <w:rsid w:val="00AA2DCA"/>
    <w:rsid w:val="00AA6216"/>
    <w:rsid w:val="00AB3975"/>
    <w:rsid w:val="00AC2519"/>
    <w:rsid w:val="00AD259D"/>
    <w:rsid w:val="00AD5410"/>
    <w:rsid w:val="00AE298B"/>
    <w:rsid w:val="00AE443E"/>
    <w:rsid w:val="00AE5920"/>
    <w:rsid w:val="00AE5A70"/>
    <w:rsid w:val="00AE5BAC"/>
    <w:rsid w:val="00AE64FB"/>
    <w:rsid w:val="00AE69E0"/>
    <w:rsid w:val="00AF60B2"/>
    <w:rsid w:val="00AF6359"/>
    <w:rsid w:val="00B016AA"/>
    <w:rsid w:val="00B02B57"/>
    <w:rsid w:val="00B03CC2"/>
    <w:rsid w:val="00B043DA"/>
    <w:rsid w:val="00B1112A"/>
    <w:rsid w:val="00B122D4"/>
    <w:rsid w:val="00B12816"/>
    <w:rsid w:val="00B14D97"/>
    <w:rsid w:val="00B16690"/>
    <w:rsid w:val="00B16DAD"/>
    <w:rsid w:val="00B16E48"/>
    <w:rsid w:val="00B26B4E"/>
    <w:rsid w:val="00B30182"/>
    <w:rsid w:val="00B30612"/>
    <w:rsid w:val="00B374FB"/>
    <w:rsid w:val="00B408DB"/>
    <w:rsid w:val="00B43A41"/>
    <w:rsid w:val="00B4429F"/>
    <w:rsid w:val="00B46126"/>
    <w:rsid w:val="00B471A8"/>
    <w:rsid w:val="00B474A9"/>
    <w:rsid w:val="00B51E4B"/>
    <w:rsid w:val="00B65FAB"/>
    <w:rsid w:val="00B660EC"/>
    <w:rsid w:val="00B66A67"/>
    <w:rsid w:val="00B67EA5"/>
    <w:rsid w:val="00B711CC"/>
    <w:rsid w:val="00B71F89"/>
    <w:rsid w:val="00B805BE"/>
    <w:rsid w:val="00B80920"/>
    <w:rsid w:val="00B80E16"/>
    <w:rsid w:val="00B819D7"/>
    <w:rsid w:val="00B84F7D"/>
    <w:rsid w:val="00B85D11"/>
    <w:rsid w:val="00B87111"/>
    <w:rsid w:val="00B878A7"/>
    <w:rsid w:val="00B91C81"/>
    <w:rsid w:val="00B9507C"/>
    <w:rsid w:val="00BA0DB4"/>
    <w:rsid w:val="00BA6417"/>
    <w:rsid w:val="00BB11A5"/>
    <w:rsid w:val="00BB2DD0"/>
    <w:rsid w:val="00BB35BD"/>
    <w:rsid w:val="00BB37C5"/>
    <w:rsid w:val="00BB4EAF"/>
    <w:rsid w:val="00BB7701"/>
    <w:rsid w:val="00BB7CE3"/>
    <w:rsid w:val="00BC02E4"/>
    <w:rsid w:val="00BD3271"/>
    <w:rsid w:val="00BE20F8"/>
    <w:rsid w:val="00BE23C7"/>
    <w:rsid w:val="00BE26C9"/>
    <w:rsid w:val="00BE3FEE"/>
    <w:rsid w:val="00BE43CE"/>
    <w:rsid w:val="00BE4B56"/>
    <w:rsid w:val="00BE77D2"/>
    <w:rsid w:val="00BF0AC2"/>
    <w:rsid w:val="00BF1643"/>
    <w:rsid w:val="00BF1D0C"/>
    <w:rsid w:val="00BF328A"/>
    <w:rsid w:val="00BF3844"/>
    <w:rsid w:val="00C12275"/>
    <w:rsid w:val="00C13A4A"/>
    <w:rsid w:val="00C14915"/>
    <w:rsid w:val="00C35124"/>
    <w:rsid w:val="00C43121"/>
    <w:rsid w:val="00C43D4E"/>
    <w:rsid w:val="00C4454B"/>
    <w:rsid w:val="00C4469C"/>
    <w:rsid w:val="00C44F5D"/>
    <w:rsid w:val="00C479A0"/>
    <w:rsid w:val="00C518A1"/>
    <w:rsid w:val="00C54009"/>
    <w:rsid w:val="00C56CF3"/>
    <w:rsid w:val="00C6208D"/>
    <w:rsid w:val="00C625ED"/>
    <w:rsid w:val="00C64525"/>
    <w:rsid w:val="00C66094"/>
    <w:rsid w:val="00C71BBB"/>
    <w:rsid w:val="00C75772"/>
    <w:rsid w:val="00C81BD6"/>
    <w:rsid w:val="00C837D7"/>
    <w:rsid w:val="00C91C23"/>
    <w:rsid w:val="00C94843"/>
    <w:rsid w:val="00C97F6B"/>
    <w:rsid w:val="00CA5AE1"/>
    <w:rsid w:val="00CB0B0D"/>
    <w:rsid w:val="00CB2755"/>
    <w:rsid w:val="00CB4990"/>
    <w:rsid w:val="00CC34B4"/>
    <w:rsid w:val="00CC39B4"/>
    <w:rsid w:val="00CC4D93"/>
    <w:rsid w:val="00CD24C6"/>
    <w:rsid w:val="00CD43A6"/>
    <w:rsid w:val="00CE6BA8"/>
    <w:rsid w:val="00CE7C95"/>
    <w:rsid w:val="00D0006C"/>
    <w:rsid w:val="00D04436"/>
    <w:rsid w:val="00D06576"/>
    <w:rsid w:val="00D1436C"/>
    <w:rsid w:val="00D14B44"/>
    <w:rsid w:val="00D14DBC"/>
    <w:rsid w:val="00D153E0"/>
    <w:rsid w:val="00D17214"/>
    <w:rsid w:val="00D20DA9"/>
    <w:rsid w:val="00D20E67"/>
    <w:rsid w:val="00D254C5"/>
    <w:rsid w:val="00D307C8"/>
    <w:rsid w:val="00D30E65"/>
    <w:rsid w:val="00D4566F"/>
    <w:rsid w:val="00D45E9E"/>
    <w:rsid w:val="00D519B4"/>
    <w:rsid w:val="00D548B4"/>
    <w:rsid w:val="00D56F53"/>
    <w:rsid w:val="00D64E02"/>
    <w:rsid w:val="00D65249"/>
    <w:rsid w:val="00D66DB5"/>
    <w:rsid w:val="00D702EA"/>
    <w:rsid w:val="00D72292"/>
    <w:rsid w:val="00D726D5"/>
    <w:rsid w:val="00D75C3F"/>
    <w:rsid w:val="00D763DF"/>
    <w:rsid w:val="00D76C2F"/>
    <w:rsid w:val="00D77C33"/>
    <w:rsid w:val="00D8321E"/>
    <w:rsid w:val="00D84E9C"/>
    <w:rsid w:val="00D86763"/>
    <w:rsid w:val="00D9056B"/>
    <w:rsid w:val="00DA07E9"/>
    <w:rsid w:val="00DB1603"/>
    <w:rsid w:val="00DB3D92"/>
    <w:rsid w:val="00DB64D0"/>
    <w:rsid w:val="00DC2EAD"/>
    <w:rsid w:val="00DC5307"/>
    <w:rsid w:val="00DC6E86"/>
    <w:rsid w:val="00DC7622"/>
    <w:rsid w:val="00DC77E3"/>
    <w:rsid w:val="00DE02DE"/>
    <w:rsid w:val="00DE137A"/>
    <w:rsid w:val="00DE3887"/>
    <w:rsid w:val="00DE6E23"/>
    <w:rsid w:val="00DF0A35"/>
    <w:rsid w:val="00DF411D"/>
    <w:rsid w:val="00DF612F"/>
    <w:rsid w:val="00DF65B3"/>
    <w:rsid w:val="00DF6883"/>
    <w:rsid w:val="00E0123F"/>
    <w:rsid w:val="00E06A23"/>
    <w:rsid w:val="00E07EE7"/>
    <w:rsid w:val="00E113A8"/>
    <w:rsid w:val="00E15DD2"/>
    <w:rsid w:val="00E23349"/>
    <w:rsid w:val="00E272B0"/>
    <w:rsid w:val="00E3342F"/>
    <w:rsid w:val="00E417EB"/>
    <w:rsid w:val="00E42AAD"/>
    <w:rsid w:val="00E5400C"/>
    <w:rsid w:val="00E54710"/>
    <w:rsid w:val="00E5589C"/>
    <w:rsid w:val="00E55A39"/>
    <w:rsid w:val="00E565E7"/>
    <w:rsid w:val="00E56BE9"/>
    <w:rsid w:val="00E57914"/>
    <w:rsid w:val="00E62A8C"/>
    <w:rsid w:val="00E662B9"/>
    <w:rsid w:val="00E66D27"/>
    <w:rsid w:val="00E67E25"/>
    <w:rsid w:val="00E763F9"/>
    <w:rsid w:val="00E8368A"/>
    <w:rsid w:val="00E84B1D"/>
    <w:rsid w:val="00E8626C"/>
    <w:rsid w:val="00E87022"/>
    <w:rsid w:val="00E92AF9"/>
    <w:rsid w:val="00E95A0A"/>
    <w:rsid w:val="00E97338"/>
    <w:rsid w:val="00E9744B"/>
    <w:rsid w:val="00E97FC1"/>
    <w:rsid w:val="00EB1A05"/>
    <w:rsid w:val="00EC2967"/>
    <w:rsid w:val="00EC4F99"/>
    <w:rsid w:val="00EC5B3B"/>
    <w:rsid w:val="00ED17EA"/>
    <w:rsid w:val="00ED20B8"/>
    <w:rsid w:val="00ED5878"/>
    <w:rsid w:val="00EE1D86"/>
    <w:rsid w:val="00EE1E5C"/>
    <w:rsid w:val="00EE3374"/>
    <w:rsid w:val="00EE4EE5"/>
    <w:rsid w:val="00EE73A6"/>
    <w:rsid w:val="00EE7E93"/>
    <w:rsid w:val="00EF2E85"/>
    <w:rsid w:val="00EF4579"/>
    <w:rsid w:val="00EF655E"/>
    <w:rsid w:val="00EF65F8"/>
    <w:rsid w:val="00F00C4B"/>
    <w:rsid w:val="00F02C9A"/>
    <w:rsid w:val="00F05FED"/>
    <w:rsid w:val="00F13641"/>
    <w:rsid w:val="00F14FCF"/>
    <w:rsid w:val="00F17A05"/>
    <w:rsid w:val="00F276C3"/>
    <w:rsid w:val="00F362B8"/>
    <w:rsid w:val="00F43439"/>
    <w:rsid w:val="00F44059"/>
    <w:rsid w:val="00F50C3B"/>
    <w:rsid w:val="00F515CF"/>
    <w:rsid w:val="00F54434"/>
    <w:rsid w:val="00F61445"/>
    <w:rsid w:val="00F6185A"/>
    <w:rsid w:val="00F621CB"/>
    <w:rsid w:val="00F62477"/>
    <w:rsid w:val="00F640D7"/>
    <w:rsid w:val="00F65C79"/>
    <w:rsid w:val="00F71815"/>
    <w:rsid w:val="00F772C3"/>
    <w:rsid w:val="00F80577"/>
    <w:rsid w:val="00F80C27"/>
    <w:rsid w:val="00F82E5E"/>
    <w:rsid w:val="00F854D8"/>
    <w:rsid w:val="00F855F0"/>
    <w:rsid w:val="00F868C3"/>
    <w:rsid w:val="00F90307"/>
    <w:rsid w:val="00F91229"/>
    <w:rsid w:val="00F91502"/>
    <w:rsid w:val="00F9505A"/>
    <w:rsid w:val="00F96673"/>
    <w:rsid w:val="00FA0424"/>
    <w:rsid w:val="00FA3F1F"/>
    <w:rsid w:val="00FB09AD"/>
    <w:rsid w:val="00FB183C"/>
    <w:rsid w:val="00FB1DBC"/>
    <w:rsid w:val="00FC12A7"/>
    <w:rsid w:val="00FC26AF"/>
    <w:rsid w:val="00FC34E4"/>
    <w:rsid w:val="00FC45EE"/>
    <w:rsid w:val="00FD1AAE"/>
    <w:rsid w:val="00FD596E"/>
    <w:rsid w:val="00FE5107"/>
    <w:rsid w:val="00FE5F00"/>
    <w:rsid w:val="00FE5F17"/>
    <w:rsid w:val="00FE65F9"/>
    <w:rsid w:val="00FF1A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B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E82"/>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119C9"/>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121D5"/>
    <w:rPr>
      <w:rFonts w:ascii="Times New Roman" w:hAnsi="Times New Roman" w:cs="Times New Roman"/>
      <w:sz w:val="2"/>
      <w:lang w:eastAsia="en-US"/>
    </w:rPr>
  </w:style>
  <w:style w:type="table" w:styleId="Lichtearcering-accent3">
    <w:name w:val="Light Shading Accent 3"/>
    <w:basedOn w:val="Standaardtabel"/>
    <w:uiPriority w:val="99"/>
    <w:rsid w:val="00153E82"/>
    <w:rPr>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abelraster">
    <w:name w:val="Table Grid"/>
    <w:basedOn w:val="Standaardtabel"/>
    <w:uiPriority w:val="99"/>
    <w:rsid w:val="000802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6D7C92"/>
    <w:pPr>
      <w:ind w:left="720"/>
      <w:contextualSpacing/>
    </w:pPr>
  </w:style>
  <w:style w:type="paragraph" w:styleId="Koptekst">
    <w:name w:val="header"/>
    <w:basedOn w:val="Standaard"/>
    <w:link w:val="KoptekstChar"/>
    <w:uiPriority w:val="99"/>
    <w:rsid w:val="006D7C92"/>
    <w:pPr>
      <w:tabs>
        <w:tab w:val="center" w:pos="4536"/>
        <w:tab w:val="right" w:pos="9072"/>
      </w:tabs>
    </w:pPr>
  </w:style>
  <w:style w:type="character" w:customStyle="1" w:styleId="KoptekstChar">
    <w:name w:val="Koptekst Char"/>
    <w:basedOn w:val="Standaardalinea-lettertype"/>
    <w:link w:val="Koptekst"/>
    <w:uiPriority w:val="99"/>
    <w:locked/>
    <w:rsid w:val="006D7C92"/>
    <w:rPr>
      <w:rFonts w:cs="Times New Roman"/>
    </w:rPr>
  </w:style>
  <w:style w:type="paragraph" w:styleId="Voettekst">
    <w:name w:val="footer"/>
    <w:basedOn w:val="Standaard"/>
    <w:link w:val="VoettekstChar"/>
    <w:uiPriority w:val="99"/>
    <w:rsid w:val="006D7C92"/>
    <w:pPr>
      <w:tabs>
        <w:tab w:val="center" w:pos="4536"/>
        <w:tab w:val="right" w:pos="9072"/>
      </w:tabs>
    </w:pPr>
  </w:style>
  <w:style w:type="character" w:customStyle="1" w:styleId="VoettekstChar">
    <w:name w:val="Voettekst Char"/>
    <w:basedOn w:val="Standaardalinea-lettertype"/>
    <w:link w:val="Voettekst"/>
    <w:uiPriority w:val="99"/>
    <w:locked/>
    <w:rsid w:val="006D7C92"/>
    <w:rPr>
      <w:rFonts w:cs="Times New Roman"/>
    </w:rPr>
  </w:style>
  <w:style w:type="character" w:styleId="Verwijzingopmerking">
    <w:name w:val="annotation reference"/>
    <w:basedOn w:val="Standaardalinea-lettertype"/>
    <w:uiPriority w:val="99"/>
    <w:semiHidden/>
    <w:rsid w:val="00871DFF"/>
    <w:rPr>
      <w:rFonts w:cs="Times New Roman"/>
      <w:sz w:val="16"/>
      <w:szCs w:val="16"/>
    </w:rPr>
  </w:style>
  <w:style w:type="paragraph" w:styleId="Tekstopmerking">
    <w:name w:val="annotation text"/>
    <w:basedOn w:val="Standaard"/>
    <w:link w:val="TekstopmerkingChar"/>
    <w:uiPriority w:val="99"/>
    <w:semiHidden/>
    <w:rsid w:val="00871DFF"/>
    <w:rPr>
      <w:sz w:val="20"/>
      <w:szCs w:val="20"/>
    </w:rPr>
  </w:style>
  <w:style w:type="character" w:customStyle="1" w:styleId="TekstopmerkingChar">
    <w:name w:val="Tekst opmerking Char"/>
    <w:basedOn w:val="Standaardalinea-lettertype"/>
    <w:link w:val="Tekstopmerking"/>
    <w:uiPriority w:val="99"/>
    <w:semiHidden/>
    <w:locked/>
    <w:rsid w:val="00661958"/>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871DFF"/>
    <w:rPr>
      <w:b/>
      <w:bCs/>
    </w:rPr>
  </w:style>
  <w:style w:type="character" w:customStyle="1" w:styleId="OnderwerpvanopmerkingChar">
    <w:name w:val="Onderwerp van opmerking Char"/>
    <w:basedOn w:val="TekstopmerkingChar"/>
    <w:link w:val="Onderwerpvanopmerking"/>
    <w:uiPriority w:val="99"/>
    <w:semiHidden/>
    <w:locked/>
    <w:rsid w:val="00661958"/>
    <w:rPr>
      <w:rFonts w:cs="Times New Roman"/>
      <w:b/>
      <w:bCs/>
      <w:sz w:val="20"/>
      <w:szCs w:val="20"/>
      <w:lang w:eastAsia="en-US"/>
    </w:rPr>
  </w:style>
  <w:style w:type="paragraph" w:styleId="Voetnoottekst">
    <w:name w:val="footnote text"/>
    <w:basedOn w:val="Standaard"/>
    <w:link w:val="VoetnoottekstChar"/>
    <w:uiPriority w:val="99"/>
    <w:rsid w:val="000666CE"/>
    <w:rPr>
      <w:sz w:val="20"/>
      <w:szCs w:val="20"/>
    </w:rPr>
  </w:style>
  <w:style w:type="character" w:customStyle="1" w:styleId="VoetnoottekstChar">
    <w:name w:val="Voetnoottekst Char"/>
    <w:basedOn w:val="Standaardalinea-lettertype"/>
    <w:link w:val="Voetnoottekst"/>
    <w:uiPriority w:val="99"/>
    <w:locked/>
    <w:rsid w:val="00332ECD"/>
    <w:rPr>
      <w:rFonts w:cs="Times New Roman"/>
      <w:sz w:val="20"/>
      <w:szCs w:val="20"/>
      <w:lang w:eastAsia="en-US"/>
    </w:rPr>
  </w:style>
  <w:style w:type="character" w:styleId="Voetnootmarkering">
    <w:name w:val="footnote reference"/>
    <w:basedOn w:val="Standaardalinea-lettertype"/>
    <w:uiPriority w:val="99"/>
    <w:rsid w:val="000666CE"/>
    <w:rPr>
      <w:rFonts w:cs="Times New Roman"/>
      <w:vertAlign w:val="superscript"/>
    </w:rPr>
  </w:style>
  <w:style w:type="paragraph" w:customStyle="1" w:styleId="ManualNumPar1">
    <w:name w:val="Manual NumPar 1"/>
    <w:basedOn w:val="Standaard"/>
    <w:next w:val="Standaard"/>
    <w:rsid w:val="00B16E48"/>
    <w:pPr>
      <w:spacing w:before="120" w:after="120"/>
      <w:ind w:left="850" w:hanging="850"/>
      <w:jc w:val="both"/>
    </w:pPr>
    <w:rPr>
      <w:rFonts w:ascii="Times New Roman" w:hAnsi="Times New Roman"/>
      <w:lang w:val="en-GB"/>
    </w:rPr>
  </w:style>
  <w:style w:type="paragraph" w:customStyle="1" w:styleId="Formuledadoption">
    <w:name w:val="Formule d'adoption"/>
    <w:basedOn w:val="Standaard"/>
    <w:next w:val="Standaard"/>
    <w:rsid w:val="00B16E48"/>
    <w:pPr>
      <w:keepNext/>
      <w:spacing w:before="120" w:after="120"/>
      <w:jc w:val="both"/>
    </w:pPr>
    <w:rPr>
      <w:rFonts w:ascii="Times New Roman" w:hAnsi="Times New Roman"/>
      <w:lang w:val="en-GB"/>
    </w:rPr>
  </w:style>
  <w:style w:type="paragraph" w:customStyle="1" w:styleId="Default">
    <w:name w:val="Default"/>
    <w:rsid w:val="00F61445"/>
    <w:pPr>
      <w:autoSpaceDE w:val="0"/>
      <w:autoSpaceDN w:val="0"/>
      <w:adjustRightInd w:val="0"/>
    </w:pPr>
    <w:rPr>
      <w:rFonts w:ascii="Times New Roman" w:hAnsi="Times New Roman"/>
      <w:color w:val="000000"/>
      <w:sz w:val="24"/>
      <w:szCs w:val="24"/>
    </w:rPr>
  </w:style>
  <w:style w:type="paragraph" w:styleId="Tekstzonderopmaak">
    <w:name w:val="Plain Text"/>
    <w:basedOn w:val="Standaard"/>
    <w:link w:val="TekstzonderopmaakChar"/>
    <w:uiPriority w:val="99"/>
    <w:rsid w:val="00707FF1"/>
    <w:rPr>
      <w:rFonts w:ascii="Verdana" w:hAnsi="Verdana"/>
      <w:noProof/>
      <w:sz w:val="20"/>
      <w:szCs w:val="20"/>
      <w:lang w:eastAsia="nl-NL"/>
    </w:rPr>
  </w:style>
  <w:style w:type="character" w:customStyle="1" w:styleId="TekstzonderopmaakChar">
    <w:name w:val="Tekst zonder opmaak Char"/>
    <w:basedOn w:val="Standaardalinea-lettertype"/>
    <w:link w:val="Tekstzonderopmaak"/>
    <w:uiPriority w:val="99"/>
    <w:semiHidden/>
    <w:locked/>
    <w:rsid w:val="002A6E3D"/>
    <w:rPr>
      <w:rFonts w:ascii="Courier New" w:hAnsi="Courier New" w:cs="Courier New"/>
      <w:sz w:val="20"/>
      <w:szCs w:val="20"/>
      <w:lang w:eastAsia="en-US"/>
    </w:rPr>
  </w:style>
  <w:style w:type="paragraph" w:styleId="Normaalweb">
    <w:name w:val="Normal (Web)"/>
    <w:basedOn w:val="Standaard"/>
    <w:uiPriority w:val="99"/>
    <w:semiHidden/>
    <w:rsid w:val="00911241"/>
    <w:pPr>
      <w:spacing w:before="100" w:beforeAutospacing="1" w:after="100" w:afterAutospacing="1"/>
    </w:pPr>
    <w:rPr>
      <w:rFonts w:ascii="Times New Roman" w:hAnsi="Times New Roman"/>
      <w:lang w:eastAsia="nl-NL"/>
    </w:rPr>
  </w:style>
  <w:style w:type="paragraph" w:styleId="Revisie">
    <w:name w:val="Revision"/>
    <w:hidden/>
    <w:uiPriority w:val="99"/>
    <w:semiHidden/>
    <w:rsid w:val="0052672F"/>
    <w:rPr>
      <w:sz w:val="24"/>
      <w:szCs w:val="24"/>
      <w:lang w:eastAsia="en-US"/>
    </w:rPr>
  </w:style>
  <w:style w:type="character" w:styleId="Hyperlink">
    <w:name w:val="Hyperlink"/>
    <w:basedOn w:val="Standaardalinea-lettertype"/>
    <w:uiPriority w:val="99"/>
    <w:unhideWhenUsed/>
    <w:rsid w:val="00CE7C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3E82"/>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119C9"/>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121D5"/>
    <w:rPr>
      <w:rFonts w:ascii="Times New Roman" w:hAnsi="Times New Roman" w:cs="Times New Roman"/>
      <w:sz w:val="2"/>
      <w:lang w:eastAsia="en-US"/>
    </w:rPr>
  </w:style>
  <w:style w:type="table" w:styleId="Lichtearcering-accent3">
    <w:name w:val="Light Shading Accent 3"/>
    <w:basedOn w:val="Standaardtabel"/>
    <w:uiPriority w:val="99"/>
    <w:rsid w:val="00153E82"/>
    <w:rPr>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abelraster">
    <w:name w:val="Table Grid"/>
    <w:basedOn w:val="Standaardtabel"/>
    <w:uiPriority w:val="99"/>
    <w:rsid w:val="000802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6D7C92"/>
    <w:pPr>
      <w:ind w:left="720"/>
      <w:contextualSpacing/>
    </w:pPr>
  </w:style>
  <w:style w:type="paragraph" w:styleId="Koptekst">
    <w:name w:val="header"/>
    <w:basedOn w:val="Standaard"/>
    <w:link w:val="KoptekstChar"/>
    <w:uiPriority w:val="99"/>
    <w:rsid w:val="006D7C92"/>
    <w:pPr>
      <w:tabs>
        <w:tab w:val="center" w:pos="4536"/>
        <w:tab w:val="right" w:pos="9072"/>
      </w:tabs>
    </w:pPr>
  </w:style>
  <w:style w:type="character" w:customStyle="1" w:styleId="KoptekstChar">
    <w:name w:val="Koptekst Char"/>
    <w:basedOn w:val="Standaardalinea-lettertype"/>
    <w:link w:val="Koptekst"/>
    <w:uiPriority w:val="99"/>
    <w:locked/>
    <w:rsid w:val="006D7C92"/>
    <w:rPr>
      <w:rFonts w:cs="Times New Roman"/>
    </w:rPr>
  </w:style>
  <w:style w:type="paragraph" w:styleId="Voettekst">
    <w:name w:val="footer"/>
    <w:basedOn w:val="Standaard"/>
    <w:link w:val="VoettekstChar"/>
    <w:uiPriority w:val="99"/>
    <w:rsid w:val="006D7C92"/>
    <w:pPr>
      <w:tabs>
        <w:tab w:val="center" w:pos="4536"/>
        <w:tab w:val="right" w:pos="9072"/>
      </w:tabs>
    </w:pPr>
  </w:style>
  <w:style w:type="character" w:customStyle="1" w:styleId="VoettekstChar">
    <w:name w:val="Voettekst Char"/>
    <w:basedOn w:val="Standaardalinea-lettertype"/>
    <w:link w:val="Voettekst"/>
    <w:uiPriority w:val="99"/>
    <w:locked/>
    <w:rsid w:val="006D7C92"/>
    <w:rPr>
      <w:rFonts w:cs="Times New Roman"/>
    </w:rPr>
  </w:style>
  <w:style w:type="character" w:styleId="Verwijzingopmerking">
    <w:name w:val="annotation reference"/>
    <w:basedOn w:val="Standaardalinea-lettertype"/>
    <w:uiPriority w:val="99"/>
    <w:semiHidden/>
    <w:rsid w:val="00871DFF"/>
    <w:rPr>
      <w:rFonts w:cs="Times New Roman"/>
      <w:sz w:val="16"/>
      <w:szCs w:val="16"/>
    </w:rPr>
  </w:style>
  <w:style w:type="paragraph" w:styleId="Tekstopmerking">
    <w:name w:val="annotation text"/>
    <w:basedOn w:val="Standaard"/>
    <w:link w:val="TekstopmerkingChar"/>
    <w:uiPriority w:val="99"/>
    <w:semiHidden/>
    <w:rsid w:val="00871DFF"/>
    <w:rPr>
      <w:sz w:val="20"/>
      <w:szCs w:val="20"/>
    </w:rPr>
  </w:style>
  <w:style w:type="character" w:customStyle="1" w:styleId="TekstopmerkingChar">
    <w:name w:val="Tekst opmerking Char"/>
    <w:basedOn w:val="Standaardalinea-lettertype"/>
    <w:link w:val="Tekstopmerking"/>
    <w:uiPriority w:val="99"/>
    <w:semiHidden/>
    <w:locked/>
    <w:rsid w:val="00661958"/>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871DFF"/>
    <w:rPr>
      <w:b/>
      <w:bCs/>
    </w:rPr>
  </w:style>
  <w:style w:type="character" w:customStyle="1" w:styleId="OnderwerpvanopmerkingChar">
    <w:name w:val="Onderwerp van opmerking Char"/>
    <w:basedOn w:val="TekstopmerkingChar"/>
    <w:link w:val="Onderwerpvanopmerking"/>
    <w:uiPriority w:val="99"/>
    <w:semiHidden/>
    <w:locked/>
    <w:rsid w:val="00661958"/>
    <w:rPr>
      <w:rFonts w:cs="Times New Roman"/>
      <w:b/>
      <w:bCs/>
      <w:sz w:val="20"/>
      <w:szCs w:val="20"/>
      <w:lang w:eastAsia="en-US"/>
    </w:rPr>
  </w:style>
  <w:style w:type="paragraph" w:styleId="Voetnoottekst">
    <w:name w:val="footnote text"/>
    <w:basedOn w:val="Standaard"/>
    <w:link w:val="VoetnoottekstChar"/>
    <w:uiPriority w:val="99"/>
    <w:rsid w:val="000666CE"/>
    <w:rPr>
      <w:sz w:val="20"/>
      <w:szCs w:val="20"/>
    </w:rPr>
  </w:style>
  <w:style w:type="character" w:customStyle="1" w:styleId="VoetnoottekstChar">
    <w:name w:val="Voetnoottekst Char"/>
    <w:basedOn w:val="Standaardalinea-lettertype"/>
    <w:link w:val="Voetnoottekst"/>
    <w:uiPriority w:val="99"/>
    <w:locked/>
    <w:rsid w:val="00332ECD"/>
    <w:rPr>
      <w:rFonts w:cs="Times New Roman"/>
      <w:sz w:val="20"/>
      <w:szCs w:val="20"/>
      <w:lang w:eastAsia="en-US"/>
    </w:rPr>
  </w:style>
  <w:style w:type="character" w:styleId="Voetnootmarkering">
    <w:name w:val="footnote reference"/>
    <w:basedOn w:val="Standaardalinea-lettertype"/>
    <w:uiPriority w:val="99"/>
    <w:rsid w:val="000666CE"/>
    <w:rPr>
      <w:rFonts w:cs="Times New Roman"/>
      <w:vertAlign w:val="superscript"/>
    </w:rPr>
  </w:style>
  <w:style w:type="paragraph" w:customStyle="1" w:styleId="ManualNumPar1">
    <w:name w:val="Manual NumPar 1"/>
    <w:basedOn w:val="Standaard"/>
    <w:next w:val="Standaard"/>
    <w:rsid w:val="00B16E48"/>
    <w:pPr>
      <w:spacing w:before="120" w:after="120"/>
      <w:ind w:left="850" w:hanging="850"/>
      <w:jc w:val="both"/>
    </w:pPr>
    <w:rPr>
      <w:rFonts w:ascii="Times New Roman" w:hAnsi="Times New Roman"/>
      <w:lang w:val="en-GB"/>
    </w:rPr>
  </w:style>
  <w:style w:type="paragraph" w:customStyle="1" w:styleId="Formuledadoption">
    <w:name w:val="Formule d'adoption"/>
    <w:basedOn w:val="Standaard"/>
    <w:next w:val="Standaard"/>
    <w:rsid w:val="00B16E48"/>
    <w:pPr>
      <w:keepNext/>
      <w:spacing w:before="120" w:after="120"/>
      <w:jc w:val="both"/>
    </w:pPr>
    <w:rPr>
      <w:rFonts w:ascii="Times New Roman" w:hAnsi="Times New Roman"/>
      <w:lang w:val="en-GB"/>
    </w:rPr>
  </w:style>
  <w:style w:type="paragraph" w:customStyle="1" w:styleId="Default">
    <w:name w:val="Default"/>
    <w:rsid w:val="00F61445"/>
    <w:pPr>
      <w:autoSpaceDE w:val="0"/>
      <w:autoSpaceDN w:val="0"/>
      <w:adjustRightInd w:val="0"/>
    </w:pPr>
    <w:rPr>
      <w:rFonts w:ascii="Times New Roman" w:hAnsi="Times New Roman"/>
      <w:color w:val="000000"/>
      <w:sz w:val="24"/>
      <w:szCs w:val="24"/>
    </w:rPr>
  </w:style>
  <w:style w:type="paragraph" w:styleId="Tekstzonderopmaak">
    <w:name w:val="Plain Text"/>
    <w:basedOn w:val="Standaard"/>
    <w:link w:val="TekstzonderopmaakChar"/>
    <w:uiPriority w:val="99"/>
    <w:rsid w:val="00707FF1"/>
    <w:rPr>
      <w:rFonts w:ascii="Verdana" w:hAnsi="Verdana"/>
      <w:noProof/>
      <w:sz w:val="20"/>
      <w:szCs w:val="20"/>
      <w:lang w:eastAsia="nl-NL"/>
    </w:rPr>
  </w:style>
  <w:style w:type="character" w:customStyle="1" w:styleId="TekstzonderopmaakChar">
    <w:name w:val="Tekst zonder opmaak Char"/>
    <w:basedOn w:val="Standaardalinea-lettertype"/>
    <w:link w:val="Tekstzonderopmaak"/>
    <w:uiPriority w:val="99"/>
    <w:semiHidden/>
    <w:locked/>
    <w:rsid w:val="002A6E3D"/>
    <w:rPr>
      <w:rFonts w:ascii="Courier New" w:hAnsi="Courier New" w:cs="Courier New"/>
      <w:sz w:val="20"/>
      <w:szCs w:val="20"/>
      <w:lang w:eastAsia="en-US"/>
    </w:rPr>
  </w:style>
  <w:style w:type="paragraph" w:styleId="Normaalweb">
    <w:name w:val="Normal (Web)"/>
    <w:basedOn w:val="Standaard"/>
    <w:uiPriority w:val="99"/>
    <w:semiHidden/>
    <w:rsid w:val="00911241"/>
    <w:pPr>
      <w:spacing w:before="100" w:beforeAutospacing="1" w:after="100" w:afterAutospacing="1"/>
    </w:pPr>
    <w:rPr>
      <w:rFonts w:ascii="Times New Roman" w:hAnsi="Times New Roman"/>
      <w:lang w:eastAsia="nl-NL"/>
    </w:rPr>
  </w:style>
  <w:style w:type="paragraph" w:styleId="Revisie">
    <w:name w:val="Revision"/>
    <w:hidden/>
    <w:uiPriority w:val="99"/>
    <w:semiHidden/>
    <w:rsid w:val="0052672F"/>
    <w:rPr>
      <w:sz w:val="24"/>
      <w:szCs w:val="24"/>
      <w:lang w:eastAsia="en-US"/>
    </w:rPr>
  </w:style>
  <w:style w:type="character" w:styleId="Hyperlink">
    <w:name w:val="Hyperlink"/>
    <w:basedOn w:val="Standaardalinea-lettertype"/>
    <w:uiPriority w:val="99"/>
    <w:unhideWhenUsed/>
    <w:rsid w:val="00CE7C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944376">
      <w:bodyDiv w:val="1"/>
      <w:marLeft w:val="0"/>
      <w:marRight w:val="0"/>
      <w:marTop w:val="0"/>
      <w:marBottom w:val="0"/>
      <w:divBdr>
        <w:top w:val="none" w:sz="0" w:space="0" w:color="auto"/>
        <w:left w:val="none" w:sz="0" w:space="0" w:color="auto"/>
        <w:bottom w:val="none" w:sz="0" w:space="0" w:color="auto"/>
        <w:right w:val="none" w:sz="0" w:space="0" w:color="auto"/>
      </w:divBdr>
    </w:div>
    <w:div w:id="484931368">
      <w:bodyDiv w:val="1"/>
      <w:marLeft w:val="0"/>
      <w:marRight w:val="0"/>
      <w:marTop w:val="0"/>
      <w:marBottom w:val="0"/>
      <w:divBdr>
        <w:top w:val="none" w:sz="0" w:space="0" w:color="auto"/>
        <w:left w:val="none" w:sz="0" w:space="0" w:color="auto"/>
        <w:bottom w:val="none" w:sz="0" w:space="0" w:color="auto"/>
        <w:right w:val="none" w:sz="0" w:space="0" w:color="auto"/>
      </w:divBdr>
    </w:div>
    <w:div w:id="711921325">
      <w:bodyDiv w:val="1"/>
      <w:marLeft w:val="0"/>
      <w:marRight w:val="0"/>
      <w:marTop w:val="0"/>
      <w:marBottom w:val="0"/>
      <w:divBdr>
        <w:top w:val="none" w:sz="0" w:space="0" w:color="auto"/>
        <w:left w:val="none" w:sz="0" w:space="0" w:color="auto"/>
        <w:bottom w:val="none" w:sz="0" w:space="0" w:color="auto"/>
        <w:right w:val="none" w:sz="0" w:space="0" w:color="auto"/>
      </w:divBdr>
    </w:div>
    <w:div w:id="754940133">
      <w:bodyDiv w:val="1"/>
      <w:marLeft w:val="0"/>
      <w:marRight w:val="0"/>
      <w:marTop w:val="0"/>
      <w:marBottom w:val="0"/>
      <w:divBdr>
        <w:top w:val="none" w:sz="0" w:space="0" w:color="auto"/>
        <w:left w:val="none" w:sz="0" w:space="0" w:color="auto"/>
        <w:bottom w:val="none" w:sz="0" w:space="0" w:color="auto"/>
        <w:right w:val="none" w:sz="0" w:space="0" w:color="auto"/>
      </w:divBdr>
    </w:div>
    <w:div w:id="805270517">
      <w:bodyDiv w:val="1"/>
      <w:marLeft w:val="0"/>
      <w:marRight w:val="0"/>
      <w:marTop w:val="0"/>
      <w:marBottom w:val="0"/>
      <w:divBdr>
        <w:top w:val="none" w:sz="0" w:space="0" w:color="auto"/>
        <w:left w:val="none" w:sz="0" w:space="0" w:color="auto"/>
        <w:bottom w:val="none" w:sz="0" w:space="0" w:color="auto"/>
        <w:right w:val="none" w:sz="0" w:space="0" w:color="auto"/>
      </w:divBdr>
    </w:div>
    <w:div w:id="809445780">
      <w:bodyDiv w:val="1"/>
      <w:marLeft w:val="0"/>
      <w:marRight w:val="0"/>
      <w:marTop w:val="0"/>
      <w:marBottom w:val="0"/>
      <w:divBdr>
        <w:top w:val="none" w:sz="0" w:space="0" w:color="auto"/>
        <w:left w:val="none" w:sz="0" w:space="0" w:color="auto"/>
        <w:bottom w:val="none" w:sz="0" w:space="0" w:color="auto"/>
        <w:right w:val="none" w:sz="0" w:space="0" w:color="auto"/>
      </w:divBdr>
    </w:div>
    <w:div w:id="861284182">
      <w:bodyDiv w:val="1"/>
      <w:marLeft w:val="0"/>
      <w:marRight w:val="0"/>
      <w:marTop w:val="0"/>
      <w:marBottom w:val="0"/>
      <w:divBdr>
        <w:top w:val="none" w:sz="0" w:space="0" w:color="auto"/>
        <w:left w:val="none" w:sz="0" w:space="0" w:color="auto"/>
        <w:bottom w:val="none" w:sz="0" w:space="0" w:color="auto"/>
        <w:right w:val="none" w:sz="0" w:space="0" w:color="auto"/>
      </w:divBdr>
    </w:div>
    <w:div w:id="873537820">
      <w:bodyDiv w:val="1"/>
      <w:marLeft w:val="0"/>
      <w:marRight w:val="0"/>
      <w:marTop w:val="0"/>
      <w:marBottom w:val="0"/>
      <w:divBdr>
        <w:top w:val="none" w:sz="0" w:space="0" w:color="auto"/>
        <w:left w:val="none" w:sz="0" w:space="0" w:color="auto"/>
        <w:bottom w:val="none" w:sz="0" w:space="0" w:color="auto"/>
        <w:right w:val="none" w:sz="0" w:space="0" w:color="auto"/>
      </w:divBdr>
    </w:div>
    <w:div w:id="897088563">
      <w:bodyDiv w:val="1"/>
      <w:marLeft w:val="0"/>
      <w:marRight w:val="0"/>
      <w:marTop w:val="0"/>
      <w:marBottom w:val="0"/>
      <w:divBdr>
        <w:top w:val="none" w:sz="0" w:space="0" w:color="auto"/>
        <w:left w:val="none" w:sz="0" w:space="0" w:color="auto"/>
        <w:bottom w:val="none" w:sz="0" w:space="0" w:color="auto"/>
        <w:right w:val="none" w:sz="0" w:space="0" w:color="auto"/>
      </w:divBdr>
    </w:div>
    <w:div w:id="921911610">
      <w:bodyDiv w:val="1"/>
      <w:marLeft w:val="0"/>
      <w:marRight w:val="0"/>
      <w:marTop w:val="0"/>
      <w:marBottom w:val="0"/>
      <w:divBdr>
        <w:top w:val="none" w:sz="0" w:space="0" w:color="auto"/>
        <w:left w:val="none" w:sz="0" w:space="0" w:color="auto"/>
        <w:bottom w:val="none" w:sz="0" w:space="0" w:color="auto"/>
        <w:right w:val="none" w:sz="0" w:space="0" w:color="auto"/>
      </w:divBdr>
    </w:div>
    <w:div w:id="1519202238">
      <w:bodyDiv w:val="1"/>
      <w:marLeft w:val="0"/>
      <w:marRight w:val="0"/>
      <w:marTop w:val="0"/>
      <w:marBottom w:val="0"/>
      <w:divBdr>
        <w:top w:val="none" w:sz="0" w:space="0" w:color="auto"/>
        <w:left w:val="none" w:sz="0" w:space="0" w:color="auto"/>
        <w:bottom w:val="none" w:sz="0" w:space="0" w:color="auto"/>
        <w:right w:val="none" w:sz="0" w:space="0" w:color="auto"/>
      </w:divBdr>
      <w:divsChild>
        <w:div w:id="392776708">
          <w:marLeft w:val="0"/>
          <w:marRight w:val="0"/>
          <w:marTop w:val="0"/>
          <w:marBottom w:val="0"/>
          <w:divBdr>
            <w:top w:val="none" w:sz="0" w:space="0" w:color="auto"/>
            <w:left w:val="none" w:sz="0" w:space="0" w:color="auto"/>
            <w:bottom w:val="none" w:sz="0" w:space="0" w:color="auto"/>
            <w:right w:val="none" w:sz="0" w:space="0" w:color="auto"/>
          </w:divBdr>
          <w:divsChild>
            <w:div w:id="1678727979">
              <w:marLeft w:val="0"/>
              <w:marRight w:val="0"/>
              <w:marTop w:val="0"/>
              <w:marBottom w:val="0"/>
              <w:divBdr>
                <w:top w:val="none" w:sz="0" w:space="0" w:color="auto"/>
                <w:left w:val="none" w:sz="0" w:space="0" w:color="auto"/>
                <w:bottom w:val="none" w:sz="0" w:space="0" w:color="auto"/>
                <w:right w:val="none" w:sz="0" w:space="0" w:color="auto"/>
              </w:divBdr>
              <w:divsChild>
                <w:div w:id="20160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0834">
      <w:bodyDiv w:val="1"/>
      <w:marLeft w:val="0"/>
      <w:marRight w:val="0"/>
      <w:marTop w:val="0"/>
      <w:marBottom w:val="0"/>
      <w:divBdr>
        <w:top w:val="none" w:sz="0" w:space="0" w:color="auto"/>
        <w:left w:val="none" w:sz="0" w:space="0" w:color="auto"/>
        <w:bottom w:val="none" w:sz="0" w:space="0" w:color="auto"/>
        <w:right w:val="none" w:sz="0" w:space="0" w:color="auto"/>
      </w:divBdr>
    </w:div>
    <w:div w:id="1573274752">
      <w:marLeft w:val="0"/>
      <w:marRight w:val="0"/>
      <w:marTop w:val="0"/>
      <w:marBottom w:val="0"/>
      <w:divBdr>
        <w:top w:val="none" w:sz="0" w:space="0" w:color="auto"/>
        <w:left w:val="none" w:sz="0" w:space="0" w:color="auto"/>
        <w:bottom w:val="none" w:sz="0" w:space="0" w:color="auto"/>
        <w:right w:val="none" w:sz="0" w:space="0" w:color="auto"/>
      </w:divBdr>
      <w:divsChild>
        <w:div w:id="1573274751">
          <w:marLeft w:val="720"/>
          <w:marRight w:val="0"/>
          <w:marTop w:val="100"/>
          <w:marBottom w:val="100"/>
          <w:divBdr>
            <w:top w:val="none" w:sz="0" w:space="0" w:color="auto"/>
            <w:left w:val="none" w:sz="0" w:space="0" w:color="auto"/>
            <w:bottom w:val="none" w:sz="0" w:space="0" w:color="auto"/>
            <w:right w:val="none" w:sz="0" w:space="0" w:color="auto"/>
          </w:divBdr>
        </w:div>
      </w:divsChild>
    </w:div>
    <w:div w:id="1573274753">
      <w:marLeft w:val="0"/>
      <w:marRight w:val="0"/>
      <w:marTop w:val="0"/>
      <w:marBottom w:val="0"/>
      <w:divBdr>
        <w:top w:val="none" w:sz="0" w:space="0" w:color="auto"/>
        <w:left w:val="none" w:sz="0" w:space="0" w:color="auto"/>
        <w:bottom w:val="none" w:sz="0" w:space="0" w:color="auto"/>
        <w:right w:val="none" w:sz="0" w:space="0" w:color="auto"/>
      </w:divBdr>
    </w:div>
    <w:div w:id="1573274754">
      <w:marLeft w:val="0"/>
      <w:marRight w:val="0"/>
      <w:marTop w:val="0"/>
      <w:marBottom w:val="0"/>
      <w:divBdr>
        <w:top w:val="none" w:sz="0" w:space="0" w:color="auto"/>
        <w:left w:val="none" w:sz="0" w:space="0" w:color="auto"/>
        <w:bottom w:val="none" w:sz="0" w:space="0" w:color="auto"/>
        <w:right w:val="none" w:sz="0" w:space="0" w:color="auto"/>
      </w:divBdr>
    </w:div>
    <w:div w:id="1573274755">
      <w:marLeft w:val="0"/>
      <w:marRight w:val="0"/>
      <w:marTop w:val="0"/>
      <w:marBottom w:val="0"/>
      <w:divBdr>
        <w:top w:val="none" w:sz="0" w:space="0" w:color="auto"/>
        <w:left w:val="none" w:sz="0" w:space="0" w:color="auto"/>
        <w:bottom w:val="none" w:sz="0" w:space="0" w:color="auto"/>
        <w:right w:val="none" w:sz="0" w:space="0" w:color="auto"/>
      </w:divBdr>
    </w:div>
    <w:div w:id="1573274756">
      <w:marLeft w:val="0"/>
      <w:marRight w:val="0"/>
      <w:marTop w:val="0"/>
      <w:marBottom w:val="0"/>
      <w:divBdr>
        <w:top w:val="none" w:sz="0" w:space="0" w:color="auto"/>
        <w:left w:val="none" w:sz="0" w:space="0" w:color="auto"/>
        <w:bottom w:val="none" w:sz="0" w:space="0" w:color="auto"/>
        <w:right w:val="none" w:sz="0" w:space="0" w:color="auto"/>
      </w:divBdr>
    </w:div>
    <w:div w:id="1841921968">
      <w:bodyDiv w:val="1"/>
      <w:marLeft w:val="0"/>
      <w:marRight w:val="0"/>
      <w:marTop w:val="0"/>
      <w:marBottom w:val="0"/>
      <w:divBdr>
        <w:top w:val="none" w:sz="0" w:space="0" w:color="auto"/>
        <w:left w:val="none" w:sz="0" w:space="0" w:color="auto"/>
        <w:bottom w:val="none" w:sz="0" w:space="0" w:color="auto"/>
        <w:right w:val="none" w:sz="0" w:space="0" w:color="auto"/>
      </w:divBdr>
      <w:divsChild>
        <w:div w:id="1156654599">
          <w:marLeft w:val="0"/>
          <w:marRight w:val="0"/>
          <w:marTop w:val="0"/>
          <w:marBottom w:val="0"/>
          <w:divBdr>
            <w:top w:val="none" w:sz="0" w:space="0" w:color="auto"/>
            <w:left w:val="none" w:sz="0" w:space="0" w:color="auto"/>
            <w:bottom w:val="none" w:sz="0" w:space="0" w:color="auto"/>
            <w:right w:val="none" w:sz="0" w:space="0" w:color="auto"/>
          </w:divBdr>
          <w:divsChild>
            <w:div w:id="589430862">
              <w:marLeft w:val="0"/>
              <w:marRight w:val="0"/>
              <w:marTop w:val="0"/>
              <w:marBottom w:val="0"/>
              <w:divBdr>
                <w:top w:val="none" w:sz="0" w:space="0" w:color="auto"/>
                <w:left w:val="none" w:sz="0" w:space="0" w:color="auto"/>
                <w:bottom w:val="none" w:sz="0" w:space="0" w:color="auto"/>
                <w:right w:val="none" w:sz="0" w:space="0" w:color="auto"/>
              </w:divBdr>
              <w:divsChild>
                <w:div w:id="11930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8575">
      <w:bodyDiv w:val="1"/>
      <w:marLeft w:val="0"/>
      <w:marRight w:val="0"/>
      <w:marTop w:val="0"/>
      <w:marBottom w:val="0"/>
      <w:divBdr>
        <w:top w:val="none" w:sz="0" w:space="0" w:color="auto"/>
        <w:left w:val="none" w:sz="0" w:space="0" w:color="auto"/>
        <w:bottom w:val="none" w:sz="0" w:space="0" w:color="auto"/>
        <w:right w:val="none" w:sz="0" w:space="0" w:color="auto"/>
      </w:divBdr>
    </w:div>
    <w:div w:id="19603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dossier/33454/kst-21501-20-704.html" TargetMode="External"/><Relationship Id="rId1" Type="http://schemas.openxmlformats.org/officeDocument/2006/relationships/hyperlink" Target="http://www.rijksoverheid.nl/documenten-en-publicaties/rapporten/2015/04/30/nederlands-nationaal-hervormingsprogramma-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3FBFDE80-3A9E-4985-8602-C0B9AC462CFA}">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s>
</ds:datastoreItem>
</file>

<file path=docProps/app.xml><?xml version="1.0" encoding="utf-8"?>
<ap:Properties xmlns:vt="http://schemas.openxmlformats.org/officeDocument/2006/docPropsVTypes" xmlns:ap="http://schemas.openxmlformats.org/officeDocument/2006/extended-properties">
  <ap:Pages>7</ap:Pages>
  <ap:Words>2983</ap:Words>
  <ap:Characters>17714</ap:Characters>
  <ap:DocSecurity>0</ap:DocSecurity>
  <ap:Lines>147</ap:Lines>
  <ap:Paragraphs>41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Geachte voorzitter,</vt:lpstr>
      <vt:lpstr>Geachte voorzitter,</vt:lpstr>
    </vt:vector>
  </ap:TitlesOfParts>
  <ap:LinksUpToDate>false</ap:LinksUpToDate>
  <ap:CharactersWithSpaces>20656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2015-05-21T08:16:00.0000000Z</lastPrinted>
  <dcterms:created xsi:type="dcterms:W3CDTF">2015-05-22T08:05:00.0000000Z</dcterms:created>
  <dcterms:modified xsi:type="dcterms:W3CDTF">2015-05-22T08:05:00.0000000Z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0x010100B6A5F8C88EDC1E4FB33DA020E4F06BF3</vt:lpwstr>
  </property>
</Properties>
</file>