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C1C66" w:rsidR="005834A3" w:rsidP="002F22B2" w:rsidRDefault="002F22B2">
      <w:pPr>
        <w:rPr>
          <w:rFonts w:ascii="Verdana" w:hAnsi="Verdana" w:cs="Arial"/>
          <w:b/>
          <w:sz w:val="18"/>
          <w:szCs w:val="18"/>
        </w:rPr>
      </w:pPr>
      <w:r w:rsidRPr="002F22B2">
        <w:rPr>
          <w:rFonts w:ascii="Verdana" w:hAnsi="Verdana" w:cs="Arial"/>
          <w:b/>
          <w:sz w:val="18"/>
          <w:szCs w:val="18"/>
        </w:rPr>
        <w:t>Verdrag tussen het Koninkrijk der Nederlanden en het Vlaamse Gewest betreffende de aanleg van de nieuwe sluis Terneuzen</w:t>
      </w:r>
      <w:r>
        <w:rPr>
          <w:rFonts w:ascii="Verdana" w:hAnsi="Verdana" w:cs="Arial"/>
          <w:b/>
          <w:sz w:val="18"/>
          <w:szCs w:val="18"/>
        </w:rPr>
        <w:t xml:space="preserve"> </w:t>
      </w:r>
      <w:r w:rsidRPr="005C1C66" w:rsidR="005834A3">
        <w:rPr>
          <w:rFonts w:ascii="Verdana" w:hAnsi="Verdana" w:cs="Arial"/>
          <w:b/>
          <w:sz w:val="18"/>
          <w:szCs w:val="18"/>
        </w:rPr>
        <w:t xml:space="preserve"> , 5 februari </w:t>
      </w:r>
      <w:proofErr w:type="gramStart"/>
      <w:r w:rsidRPr="005C1C66" w:rsidR="005834A3">
        <w:rPr>
          <w:rFonts w:ascii="Verdana" w:hAnsi="Verdana" w:cs="Arial"/>
          <w:b/>
          <w:sz w:val="18"/>
          <w:szCs w:val="18"/>
        </w:rPr>
        <w:t xml:space="preserve">2015  </w:t>
      </w:r>
      <w:proofErr w:type="gramEnd"/>
      <w:r w:rsidRPr="005C1C66" w:rsidR="005834A3">
        <w:rPr>
          <w:rFonts w:ascii="Verdana" w:hAnsi="Verdana" w:cs="Arial"/>
          <w:b/>
          <w:sz w:val="18"/>
          <w:szCs w:val="18"/>
        </w:rPr>
        <w:t>(Trb. 2015,</w:t>
      </w:r>
      <w:r>
        <w:rPr>
          <w:rFonts w:ascii="Verdana" w:hAnsi="Verdana" w:cs="Arial"/>
          <w:b/>
          <w:sz w:val="18"/>
          <w:szCs w:val="18"/>
        </w:rPr>
        <w:t xml:space="preserve"> 35</w:t>
      </w:r>
      <w:r w:rsidRPr="005C1C66" w:rsidR="005834A3">
        <w:rPr>
          <w:rFonts w:ascii="Verdana" w:hAnsi="Verdana" w:cs="Arial"/>
          <w:b/>
          <w:sz w:val="18"/>
          <w:szCs w:val="18"/>
        </w:rPr>
        <w:t>)</w:t>
      </w:r>
    </w:p>
    <w:p w:rsidRPr="005C1C66" w:rsidR="005834A3" w:rsidP="00562AC7" w:rsidRDefault="005834A3">
      <w:pPr>
        <w:rPr>
          <w:rFonts w:ascii="Verdana" w:hAnsi="Verdana" w:cs="Arial"/>
          <w:b/>
          <w:sz w:val="18"/>
          <w:szCs w:val="18"/>
        </w:rPr>
      </w:pPr>
    </w:p>
    <w:p w:rsidRPr="005C1C66" w:rsidR="005834A3" w:rsidP="00562AC7" w:rsidRDefault="005834A3">
      <w:pPr>
        <w:rPr>
          <w:rFonts w:ascii="Verdana" w:hAnsi="Verdana" w:cs="Arial"/>
          <w:b/>
          <w:sz w:val="18"/>
          <w:szCs w:val="18"/>
        </w:rPr>
      </w:pPr>
      <w:r w:rsidRPr="005C1C66">
        <w:rPr>
          <w:rFonts w:ascii="Verdana" w:hAnsi="Verdana" w:cs="Arial"/>
          <w:b/>
          <w:sz w:val="18"/>
          <w:szCs w:val="18"/>
        </w:rPr>
        <w:t>TOELICHTENDE NOTA</w:t>
      </w:r>
    </w:p>
    <w:p w:rsidRPr="005C1C66" w:rsidR="005834A3" w:rsidP="00562AC7" w:rsidRDefault="005834A3">
      <w:pPr>
        <w:spacing w:after="0" w:line="240" w:lineRule="auto"/>
        <w:rPr>
          <w:rFonts w:ascii="Verdana" w:hAnsi="Verdana" w:cs="Arial"/>
          <w:sz w:val="18"/>
          <w:szCs w:val="18"/>
        </w:rPr>
      </w:pPr>
    </w:p>
    <w:p w:rsidR="005C1C66" w:rsidP="00562AC7" w:rsidRDefault="005834A3">
      <w:pPr>
        <w:spacing w:after="0" w:line="240" w:lineRule="auto"/>
        <w:rPr>
          <w:rFonts w:ascii="Verdana" w:hAnsi="Verdana"/>
          <w:sz w:val="18"/>
          <w:szCs w:val="18"/>
        </w:rPr>
      </w:pPr>
      <w:r w:rsidRPr="005C1C66">
        <w:rPr>
          <w:rFonts w:ascii="Verdana" w:hAnsi="Verdana" w:cs="Arial"/>
          <w:sz w:val="18"/>
          <w:szCs w:val="18"/>
        </w:rPr>
        <w:t>Op 5 februari 2015 kwam te Terneuzen tot stand een Verdrag tussen het Koninkrijk der Nederlanden en het Vlaamse Gewest betreffende de aanleg van de Nieuwe Sluis te Terneuzen. Het Verdrag is opgesteld voor de verwezenlijking van een nieuwe sluis in het sluizencomplex te Terneuzen in het Kanaal van Terneuzen naar Gent</w:t>
      </w:r>
      <w:r w:rsidR="005C1C66">
        <w:rPr>
          <w:rFonts w:ascii="Verdana" w:hAnsi="Verdana" w:cs="Arial"/>
          <w:sz w:val="18"/>
          <w:szCs w:val="18"/>
        </w:rPr>
        <w:t xml:space="preserve"> en </w:t>
      </w:r>
      <w:r w:rsidRPr="005C1C66" w:rsidR="005C1C66">
        <w:rPr>
          <w:rFonts w:ascii="Verdana" w:hAnsi="Verdana"/>
          <w:sz w:val="18"/>
          <w:szCs w:val="18"/>
        </w:rPr>
        <w:t xml:space="preserve">heeft tot doel de tenuitvoerlegging en de bekostiging te verzekeren van het project zoals omschreven in het Verdrag. </w:t>
      </w:r>
    </w:p>
    <w:p w:rsidR="005C1C66" w:rsidP="00562AC7" w:rsidRDefault="005C1C66">
      <w:pPr>
        <w:spacing w:after="0" w:line="240" w:lineRule="auto"/>
        <w:rPr>
          <w:rFonts w:ascii="Verdana" w:hAnsi="Verdana"/>
          <w:sz w:val="18"/>
          <w:szCs w:val="18"/>
        </w:rPr>
      </w:pPr>
    </w:p>
    <w:p w:rsidR="005C1C66" w:rsidP="005C1C66" w:rsidRDefault="005834A3">
      <w:pPr>
        <w:spacing w:after="0" w:line="240" w:lineRule="auto"/>
        <w:rPr>
          <w:rFonts w:ascii="Verdana" w:hAnsi="Verdana" w:cs="Arial"/>
          <w:sz w:val="18"/>
          <w:szCs w:val="18"/>
        </w:rPr>
      </w:pPr>
      <w:proofErr w:type="gramStart"/>
      <w:r w:rsidRPr="005C1C66">
        <w:rPr>
          <w:rFonts w:ascii="Verdana" w:hAnsi="Verdana" w:cs="Arial"/>
          <w:sz w:val="18"/>
          <w:szCs w:val="18"/>
        </w:rPr>
        <w:t xml:space="preserve">Het Verdrag geeft uitvoering aan de politieke afspraken van de Nederlandse Minister van Infrastructuur en Milieu en de Vlaamse Minister van Mobiliteit en Openbare Werken, zoals opgenomen in het Besluit van het Politiek College van de Vlaams Nederlandse Schelde Commissie (VNSC) van 19 maart 2012 (Stcrt. </w:t>
      </w:r>
      <w:proofErr w:type="gramEnd"/>
      <w:r w:rsidRPr="005C1C66">
        <w:rPr>
          <w:rFonts w:ascii="Verdana" w:hAnsi="Verdana" w:cs="Arial"/>
          <w:sz w:val="18"/>
          <w:szCs w:val="18"/>
        </w:rPr>
        <w:t>23 maart 2012, 5848).</w:t>
      </w:r>
      <w:r w:rsidRPr="005C1C66" w:rsidR="005C1C66">
        <w:rPr>
          <w:rFonts w:ascii="Verdana" w:hAnsi="Verdana" w:cs="Arial"/>
          <w:sz w:val="18"/>
          <w:szCs w:val="18"/>
        </w:rPr>
        <w:t xml:space="preserve"> </w:t>
      </w:r>
      <w:r w:rsidRPr="005C1C66" w:rsidR="00CC4981">
        <w:rPr>
          <w:rFonts w:ascii="Verdana" w:hAnsi="Verdana"/>
          <w:sz w:val="18"/>
          <w:szCs w:val="18"/>
        </w:rPr>
        <w:t xml:space="preserve">Het Verdrag vormt de juridische vertaling van afspraken over </w:t>
      </w:r>
      <w:r w:rsidR="00517057">
        <w:rPr>
          <w:rFonts w:ascii="Verdana" w:hAnsi="Verdana"/>
          <w:sz w:val="18"/>
          <w:szCs w:val="18"/>
        </w:rPr>
        <w:t>de</w:t>
      </w:r>
      <w:r w:rsidRPr="005C1C66" w:rsidR="00CC4981">
        <w:rPr>
          <w:rFonts w:ascii="Verdana" w:hAnsi="Verdana"/>
          <w:sz w:val="18"/>
          <w:szCs w:val="18"/>
        </w:rPr>
        <w:t xml:space="preserve"> nieuwe sluis.</w:t>
      </w:r>
      <w:r w:rsidRPr="005C1C66" w:rsidR="005C1C66">
        <w:rPr>
          <w:rFonts w:ascii="Verdana" w:hAnsi="Verdana" w:cs="Arial"/>
          <w:sz w:val="18"/>
          <w:szCs w:val="18"/>
        </w:rPr>
        <w:t xml:space="preserve"> </w:t>
      </w:r>
    </w:p>
    <w:p w:rsidR="005C1C66" w:rsidP="005C1C66" w:rsidRDefault="005C1C66">
      <w:pPr>
        <w:spacing w:after="0" w:line="240" w:lineRule="auto"/>
        <w:rPr>
          <w:rFonts w:ascii="Verdana" w:hAnsi="Verdana" w:cs="Arial"/>
          <w:sz w:val="18"/>
          <w:szCs w:val="18"/>
        </w:rPr>
      </w:pPr>
    </w:p>
    <w:p w:rsidRPr="005C1C66" w:rsidR="005C1C66" w:rsidP="005C1C66" w:rsidRDefault="005C1C66">
      <w:pPr>
        <w:spacing w:after="0" w:line="240" w:lineRule="auto"/>
        <w:rPr>
          <w:rFonts w:ascii="Verdana" w:hAnsi="Verdana" w:cs="Arial"/>
          <w:sz w:val="18"/>
          <w:szCs w:val="18"/>
        </w:rPr>
      </w:pPr>
      <w:r w:rsidRPr="00066C7C">
        <w:rPr>
          <w:rFonts w:ascii="Verdana" w:hAnsi="Verdana" w:cs="Arial"/>
          <w:sz w:val="18"/>
          <w:szCs w:val="18"/>
        </w:rPr>
        <w:t xml:space="preserve">Door de Vlaams Nederlandse Schelde Commissie (VNSC) een rol te geven bij de besluitvorming, o.m. door het uitbrengen van een positief advies over de gunning, het opmaken en ondertekenen van </w:t>
      </w:r>
      <w:proofErr w:type="gramStart"/>
      <w:r w:rsidRPr="00066C7C">
        <w:rPr>
          <w:rFonts w:ascii="Verdana" w:hAnsi="Verdana" w:cs="Arial"/>
          <w:sz w:val="18"/>
          <w:szCs w:val="18"/>
        </w:rPr>
        <w:t>de</w:t>
      </w:r>
      <w:proofErr w:type="gramEnd"/>
      <w:r w:rsidRPr="00066C7C">
        <w:rPr>
          <w:rFonts w:ascii="Verdana" w:hAnsi="Verdana" w:cs="Arial"/>
          <w:sz w:val="18"/>
          <w:szCs w:val="18"/>
        </w:rPr>
        <w:t xml:space="preserve"> gunningsverslagen en het bepalen van het moment van ingebruikname en oplevering wordt het gezamenlijke karakter van dit project benadrukt.</w:t>
      </w:r>
    </w:p>
    <w:p w:rsidRPr="005C1C66" w:rsidR="005834A3" w:rsidP="00562AC7" w:rsidRDefault="005834A3">
      <w:pPr>
        <w:spacing w:after="0" w:line="240" w:lineRule="auto"/>
        <w:rPr>
          <w:rFonts w:ascii="Verdana" w:hAnsi="Verdana" w:cs="Arial"/>
          <w:sz w:val="18"/>
          <w:szCs w:val="18"/>
        </w:rPr>
      </w:pPr>
    </w:p>
    <w:p w:rsidR="00FE19D6" w:rsidP="00FE19D6" w:rsidRDefault="005834A3">
      <w:pPr>
        <w:spacing w:after="0" w:line="240" w:lineRule="auto"/>
        <w:rPr>
          <w:rFonts w:ascii="Verdana" w:hAnsi="Verdana"/>
          <w:sz w:val="18"/>
          <w:szCs w:val="18"/>
        </w:rPr>
      </w:pPr>
      <w:r w:rsidRPr="005C1C66">
        <w:rPr>
          <w:rFonts w:ascii="Verdana" w:hAnsi="Verdana" w:cs="Arial"/>
          <w:sz w:val="18"/>
          <w:szCs w:val="18"/>
        </w:rPr>
        <w:t>Het grootste deel van de Nieuwe Sluis wordt betaald door het Vlaams Gewest, terwijl Nederland optreedt als juridisch opdrachtgever voor de Nieuwe Sluis. Ook is deze sluis op Nederlands grondgebied gelegen. Hieruit vloeit voort dat de uitleg van het Verdrag zeer nauw luistert.</w:t>
      </w:r>
      <w:r w:rsidRPr="005C1C66" w:rsidR="005C1C66">
        <w:rPr>
          <w:rFonts w:ascii="Verdana" w:hAnsi="Verdana" w:cs="Arial"/>
          <w:sz w:val="18"/>
          <w:szCs w:val="18"/>
        </w:rPr>
        <w:t xml:space="preserve"> </w:t>
      </w:r>
      <w:r w:rsidRPr="005C1C66">
        <w:rPr>
          <w:rFonts w:ascii="Verdana" w:hAnsi="Verdana" w:cs="Arial"/>
          <w:sz w:val="18"/>
          <w:szCs w:val="18"/>
        </w:rPr>
        <w:t xml:space="preserve">Het is onwenselijk dat de uitleg van het Verdrag door de Verdragsluitende Partijen uiteen zou lopen. Dit door de hierboven beschreven bijzondere aard van dit Verdrag. Daarom is gekozen voor </w:t>
      </w:r>
      <w:proofErr w:type="gramStart"/>
      <w:r w:rsidRPr="005C1C66">
        <w:rPr>
          <w:rFonts w:ascii="Verdana" w:hAnsi="Verdana" w:cs="Arial"/>
          <w:sz w:val="18"/>
          <w:szCs w:val="18"/>
        </w:rPr>
        <w:t>een</w:t>
      </w:r>
      <w:proofErr w:type="gramEnd"/>
      <w:r w:rsidRPr="005C1C66">
        <w:rPr>
          <w:rFonts w:ascii="Verdana" w:hAnsi="Verdana" w:cs="Arial"/>
          <w:sz w:val="18"/>
          <w:szCs w:val="18"/>
        </w:rPr>
        <w:t xml:space="preserve"> </w:t>
      </w:r>
      <w:r w:rsidR="005C1C66">
        <w:rPr>
          <w:rFonts w:ascii="Verdana" w:hAnsi="Verdana" w:cs="Arial"/>
          <w:sz w:val="18"/>
          <w:szCs w:val="18"/>
        </w:rPr>
        <w:t xml:space="preserve">door beide partijen </w:t>
      </w:r>
      <w:r w:rsidR="00FE19D6">
        <w:rPr>
          <w:rFonts w:ascii="Verdana" w:hAnsi="Verdana" w:cs="Arial"/>
          <w:sz w:val="18"/>
          <w:szCs w:val="18"/>
        </w:rPr>
        <w:t xml:space="preserve">op 5 februari 2015 </w:t>
      </w:r>
      <w:r w:rsidR="00ED081F">
        <w:rPr>
          <w:rFonts w:ascii="Verdana" w:hAnsi="Verdana" w:cs="Arial"/>
          <w:sz w:val="18"/>
          <w:szCs w:val="18"/>
        </w:rPr>
        <w:t xml:space="preserve">te Terneuzen </w:t>
      </w:r>
      <w:r w:rsidR="005C1C66">
        <w:rPr>
          <w:rFonts w:ascii="Verdana" w:hAnsi="Verdana" w:cs="Arial"/>
          <w:sz w:val="18"/>
          <w:szCs w:val="18"/>
        </w:rPr>
        <w:t xml:space="preserve">ondertekende </w:t>
      </w:r>
      <w:r w:rsidRPr="005C1C66">
        <w:rPr>
          <w:rFonts w:ascii="Verdana" w:hAnsi="Verdana" w:cs="Arial"/>
          <w:sz w:val="18"/>
          <w:szCs w:val="18"/>
        </w:rPr>
        <w:t xml:space="preserve">Gemeenschappelijke Verklaring bij het Verdrag die is bijgevoegd en die als toelichting op het Verdrag kan dienen en die bekend gemaakt is in Trb. </w:t>
      </w:r>
      <w:r w:rsidR="002F22B2">
        <w:rPr>
          <w:rFonts w:ascii="Verdana" w:hAnsi="Verdana" w:cs="Arial"/>
          <w:sz w:val="18"/>
          <w:szCs w:val="18"/>
        </w:rPr>
        <w:t>2015, 35</w:t>
      </w:r>
      <w:r w:rsidR="00517057">
        <w:rPr>
          <w:rFonts w:ascii="Verdana" w:hAnsi="Verdana" w:cs="Arial"/>
          <w:sz w:val="18"/>
          <w:szCs w:val="18"/>
        </w:rPr>
        <w:t xml:space="preserve">, </w:t>
      </w:r>
      <w:r w:rsidR="002F22B2">
        <w:rPr>
          <w:rFonts w:ascii="Verdana" w:hAnsi="Verdana" w:cs="Arial"/>
          <w:sz w:val="18"/>
          <w:szCs w:val="18"/>
        </w:rPr>
        <w:t xml:space="preserve">vanaf blz </w:t>
      </w:r>
      <w:proofErr w:type="gramStart"/>
      <w:r w:rsidR="002F22B2">
        <w:rPr>
          <w:rFonts w:ascii="Verdana" w:hAnsi="Verdana" w:cs="Arial"/>
          <w:sz w:val="18"/>
          <w:szCs w:val="18"/>
        </w:rPr>
        <w:t>11</w:t>
      </w:r>
      <w:r w:rsidRPr="005C1C66">
        <w:rPr>
          <w:rFonts w:ascii="Verdana" w:hAnsi="Verdana" w:cs="Arial"/>
          <w:sz w:val="18"/>
          <w:szCs w:val="18"/>
        </w:rPr>
        <w:t xml:space="preserve"> .</w:t>
      </w:r>
      <w:proofErr w:type="gramEnd"/>
      <w:r w:rsidR="00FE19D6">
        <w:rPr>
          <w:rFonts w:ascii="Verdana" w:hAnsi="Verdana" w:cs="Arial"/>
          <w:sz w:val="18"/>
          <w:szCs w:val="18"/>
        </w:rPr>
        <w:t xml:space="preserve"> </w:t>
      </w:r>
      <w:r w:rsidRPr="005C1C66" w:rsidR="00CC4981">
        <w:rPr>
          <w:rFonts w:ascii="Verdana" w:hAnsi="Verdana"/>
          <w:sz w:val="18"/>
          <w:szCs w:val="18"/>
        </w:rPr>
        <w:t xml:space="preserve">Deze Gemeenschappelijke Verklaring vormt een overeenstemming tussen Partijen als vermeld in artikel 31, tweede lid, onder a van het Verdrag van Wenen </w:t>
      </w:r>
      <w:proofErr w:type="gramStart"/>
      <w:r w:rsidRPr="005C1C66" w:rsidR="00CC4981">
        <w:rPr>
          <w:rFonts w:ascii="Verdana" w:hAnsi="Verdana"/>
          <w:sz w:val="18"/>
          <w:szCs w:val="18"/>
        </w:rPr>
        <w:t>inzake</w:t>
      </w:r>
      <w:proofErr w:type="gramEnd"/>
      <w:r w:rsidRPr="005C1C66" w:rsidR="00CC4981">
        <w:rPr>
          <w:rFonts w:ascii="Verdana" w:hAnsi="Verdana"/>
          <w:sz w:val="18"/>
          <w:szCs w:val="18"/>
        </w:rPr>
        <w:t xml:space="preserve"> het verdragenrecht (23 mei 1969, Trb. 1972, 51, en BS 25 december 1993) en wordt door Partijen beschouwd als een primair middel van interpretatie.</w:t>
      </w:r>
    </w:p>
    <w:p w:rsidR="00FE19D6" w:rsidP="00FE19D6" w:rsidRDefault="00FE19D6">
      <w:pPr>
        <w:spacing w:after="0" w:line="240" w:lineRule="auto"/>
        <w:rPr>
          <w:rFonts w:ascii="Verdana" w:hAnsi="Verdana"/>
          <w:sz w:val="18"/>
          <w:szCs w:val="18"/>
        </w:rPr>
      </w:pPr>
    </w:p>
    <w:p w:rsidRPr="005C1C66" w:rsidR="005834A3" w:rsidP="002F22B2" w:rsidRDefault="0096691B">
      <w:pPr>
        <w:spacing w:after="0" w:line="240" w:lineRule="auto"/>
        <w:rPr>
          <w:rFonts w:ascii="Verdana" w:hAnsi="Verdana" w:cs="Arial"/>
          <w:sz w:val="18"/>
          <w:szCs w:val="18"/>
        </w:rPr>
      </w:pPr>
      <w:r>
        <w:rPr>
          <w:rFonts w:ascii="Verdana" w:hAnsi="Verdana" w:cs="Arial"/>
          <w:sz w:val="18"/>
          <w:szCs w:val="18"/>
        </w:rPr>
        <w:t>Het V</w:t>
      </w:r>
      <w:r w:rsidR="002F22B2">
        <w:rPr>
          <w:rFonts w:ascii="Verdana" w:hAnsi="Verdana" w:cs="Arial"/>
          <w:sz w:val="18"/>
          <w:szCs w:val="18"/>
        </w:rPr>
        <w:t>erdrag voorziet in twee wijzigingsprocedures. Voor het Verdrag zelf en b</w:t>
      </w:r>
      <w:r>
        <w:rPr>
          <w:rFonts w:ascii="Verdana" w:hAnsi="Verdana" w:cs="Arial"/>
          <w:sz w:val="18"/>
          <w:szCs w:val="18"/>
        </w:rPr>
        <w:t>i</w:t>
      </w:r>
      <w:r w:rsidR="002F22B2">
        <w:rPr>
          <w:rFonts w:ascii="Verdana" w:hAnsi="Verdana" w:cs="Arial"/>
          <w:sz w:val="18"/>
          <w:szCs w:val="18"/>
        </w:rPr>
        <w:t xml:space="preserve">jlage G geldt de </w:t>
      </w:r>
      <w:r>
        <w:rPr>
          <w:rFonts w:ascii="Verdana" w:hAnsi="Verdana" w:cs="Arial"/>
          <w:sz w:val="18"/>
          <w:szCs w:val="18"/>
        </w:rPr>
        <w:t xml:space="preserve"> </w:t>
      </w:r>
      <w:r w:rsidR="002F22B2">
        <w:rPr>
          <w:rFonts w:ascii="Verdana" w:hAnsi="Verdana" w:cs="Arial"/>
          <w:sz w:val="18"/>
          <w:szCs w:val="18"/>
        </w:rPr>
        <w:t xml:space="preserve">normale procedure voor wijziging van verdragen, </w:t>
      </w:r>
      <w:proofErr w:type="gramStart"/>
      <w:r w:rsidR="002F22B2">
        <w:rPr>
          <w:rFonts w:ascii="Verdana" w:hAnsi="Verdana" w:cs="Arial"/>
          <w:sz w:val="18"/>
          <w:szCs w:val="18"/>
        </w:rPr>
        <w:t>overeenkomstig</w:t>
      </w:r>
      <w:proofErr w:type="gramEnd"/>
      <w:r w:rsidR="002F22B2">
        <w:rPr>
          <w:rFonts w:ascii="Verdana" w:hAnsi="Verdana" w:cs="Arial"/>
          <w:sz w:val="18"/>
          <w:szCs w:val="18"/>
        </w:rPr>
        <w:t xml:space="preserve"> de constitutionele vereiste</w:t>
      </w:r>
      <w:r>
        <w:rPr>
          <w:rFonts w:ascii="Verdana" w:hAnsi="Verdana" w:cs="Arial"/>
          <w:sz w:val="18"/>
          <w:szCs w:val="18"/>
        </w:rPr>
        <w:t>n</w:t>
      </w:r>
      <w:r w:rsidR="002F22B2">
        <w:rPr>
          <w:rFonts w:ascii="Verdana" w:hAnsi="Verdana" w:cs="Arial"/>
          <w:sz w:val="18"/>
          <w:szCs w:val="18"/>
        </w:rPr>
        <w:t xml:space="preserve"> van beide Partijen. Voor de andere bijlagen geldt een vereenvoudigde procedure. Het </w:t>
      </w:r>
      <w:r>
        <w:rPr>
          <w:rFonts w:ascii="Verdana" w:hAnsi="Verdana" w:cs="Arial"/>
          <w:sz w:val="18"/>
          <w:szCs w:val="18"/>
        </w:rPr>
        <w:t>wijzigen</w:t>
      </w:r>
      <w:r w:rsidR="002F22B2">
        <w:rPr>
          <w:rFonts w:ascii="Verdana" w:hAnsi="Verdana" w:cs="Arial"/>
          <w:sz w:val="18"/>
          <w:szCs w:val="18"/>
        </w:rPr>
        <w:t xml:space="preserve"> van deze bijlage</w:t>
      </w:r>
      <w:r>
        <w:rPr>
          <w:rFonts w:ascii="Verdana" w:hAnsi="Verdana" w:cs="Arial"/>
          <w:sz w:val="18"/>
          <w:szCs w:val="18"/>
        </w:rPr>
        <w:t>n</w:t>
      </w:r>
      <w:bookmarkStart w:name="_GoBack" w:id="0"/>
      <w:bookmarkEnd w:id="0"/>
      <w:r w:rsidR="002F22B2">
        <w:rPr>
          <w:rFonts w:ascii="Verdana" w:hAnsi="Verdana" w:cs="Arial"/>
          <w:sz w:val="18"/>
          <w:szCs w:val="18"/>
        </w:rPr>
        <w:t xml:space="preserve"> kan geschieden via de schriftelijke overeenstemming tussen de Bewindslieden. Dit biedt de mogelijkheid om flexibel te handelen. Een </w:t>
      </w:r>
      <w:r>
        <w:rPr>
          <w:rFonts w:ascii="Verdana" w:hAnsi="Verdana" w:cs="Arial"/>
          <w:sz w:val="18"/>
          <w:szCs w:val="18"/>
        </w:rPr>
        <w:t>formele</w:t>
      </w:r>
      <w:r w:rsidR="002F22B2">
        <w:rPr>
          <w:rFonts w:ascii="Verdana" w:hAnsi="Verdana" w:cs="Arial"/>
          <w:sz w:val="18"/>
          <w:szCs w:val="18"/>
        </w:rPr>
        <w:t xml:space="preserve"> verdragswijziging kent immers normalerwijs een lange doorlooptijd. Het Verdrag zal alleen </w:t>
      </w:r>
      <w:r w:rsidRPr="005C1C66" w:rsidR="005834A3">
        <w:rPr>
          <w:rFonts w:ascii="Verdana" w:hAnsi="Verdana" w:cs="Arial"/>
          <w:sz w:val="18"/>
          <w:szCs w:val="18"/>
        </w:rPr>
        <w:t>voor het Europese deel van Nederland gelden.</w:t>
      </w:r>
    </w:p>
    <w:p w:rsidRPr="005C1C66" w:rsidR="005834A3" w:rsidP="00562AC7" w:rsidRDefault="005834A3">
      <w:pPr>
        <w:rPr>
          <w:rFonts w:ascii="Verdana" w:hAnsi="Verdana" w:cs="Arial"/>
          <w:sz w:val="18"/>
          <w:szCs w:val="18"/>
        </w:rPr>
      </w:pPr>
    </w:p>
    <w:p w:rsidRPr="005C1C66" w:rsidR="005834A3" w:rsidP="00562AC7" w:rsidRDefault="005834A3">
      <w:pPr>
        <w:rPr>
          <w:rFonts w:ascii="Verdana" w:hAnsi="Verdana" w:cs="Arial"/>
          <w:sz w:val="18"/>
          <w:szCs w:val="18"/>
        </w:rPr>
      </w:pPr>
      <w:r w:rsidRPr="005C1C66">
        <w:rPr>
          <w:rFonts w:ascii="Verdana" w:hAnsi="Verdana" w:cs="Arial"/>
          <w:sz w:val="18"/>
          <w:szCs w:val="18"/>
        </w:rPr>
        <w:t>De Minister van Infrastructuur en Milieu,</w:t>
      </w:r>
    </w:p>
    <w:p w:rsidRPr="005C1C66" w:rsidR="005834A3" w:rsidP="00562AC7" w:rsidRDefault="005834A3">
      <w:pPr>
        <w:rPr>
          <w:rFonts w:ascii="Verdana" w:hAnsi="Verdana" w:cs="Arial"/>
          <w:sz w:val="18"/>
          <w:szCs w:val="18"/>
        </w:rPr>
      </w:pPr>
    </w:p>
    <w:p w:rsidRPr="005C1C66" w:rsidR="005834A3" w:rsidP="00562AC7" w:rsidRDefault="005834A3">
      <w:pPr>
        <w:rPr>
          <w:rFonts w:ascii="Verdana" w:hAnsi="Verdana" w:cs="Arial"/>
          <w:sz w:val="18"/>
          <w:szCs w:val="18"/>
        </w:rPr>
      </w:pPr>
    </w:p>
    <w:p w:rsidR="00D309B7" w:rsidP="00562AC7" w:rsidRDefault="005834A3">
      <w:pPr>
        <w:rPr>
          <w:rFonts w:ascii="Verdana" w:hAnsi="Verdana" w:cs="Arial"/>
          <w:sz w:val="18"/>
          <w:szCs w:val="18"/>
        </w:rPr>
      </w:pPr>
      <w:r w:rsidRPr="005C1C66">
        <w:rPr>
          <w:rFonts w:ascii="Verdana" w:hAnsi="Verdana" w:cs="Arial"/>
          <w:sz w:val="18"/>
          <w:szCs w:val="18"/>
        </w:rPr>
        <w:t>De Minister van Buitenlandse Zaken,</w:t>
      </w:r>
    </w:p>
    <w:p w:rsidR="002F22B2" w:rsidP="00562AC7" w:rsidRDefault="002F22B2">
      <w:pPr>
        <w:rPr>
          <w:rFonts w:ascii="Verdana" w:hAnsi="Verdana" w:cs="Arial"/>
          <w:sz w:val="18"/>
          <w:szCs w:val="18"/>
        </w:rPr>
      </w:pPr>
    </w:p>
    <w:p w:rsidRPr="005C1C66" w:rsidR="002F22B2" w:rsidP="00562AC7" w:rsidRDefault="002F22B2">
      <w:pPr>
        <w:rPr>
          <w:rFonts w:ascii="Verdana" w:hAnsi="Verdana" w:cs="Arial"/>
          <w:sz w:val="18"/>
          <w:szCs w:val="18"/>
        </w:rPr>
      </w:pPr>
    </w:p>
    <w:sectPr w:rsidRPr="005C1C66" w:rsidR="002F22B2">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B2" w:rsidRDefault="002F22B2" w:rsidP="002F22B2">
      <w:pPr>
        <w:spacing w:after="0" w:line="240" w:lineRule="auto"/>
      </w:pPr>
      <w:r>
        <w:separator/>
      </w:r>
    </w:p>
  </w:endnote>
  <w:endnote w:type="continuationSeparator" w:id="0">
    <w:p w:rsidR="002F22B2" w:rsidRDefault="002F22B2" w:rsidP="002F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B2" w:rsidRDefault="002F22B2">
    <w:pPr>
      <w:pStyle w:val="Footer"/>
      <w:pBdr>
        <w:bottom w:val="single" w:sz="12" w:space="1" w:color="auto"/>
      </w:pBdr>
    </w:pPr>
  </w:p>
  <w:p w:rsidR="002F22B2" w:rsidRDefault="002F22B2" w:rsidP="002F22B2">
    <w:pPr>
      <w:pStyle w:val="Footer"/>
    </w:pPr>
    <w: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B2" w:rsidRDefault="002F22B2" w:rsidP="002F22B2">
      <w:pPr>
        <w:spacing w:after="0" w:line="240" w:lineRule="auto"/>
      </w:pPr>
      <w:r>
        <w:separator/>
      </w:r>
    </w:p>
  </w:footnote>
  <w:footnote w:type="continuationSeparator" w:id="0">
    <w:p w:rsidR="002F22B2" w:rsidRDefault="002F22B2" w:rsidP="002F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A3"/>
    <w:rsid w:val="002F22B2"/>
    <w:rsid w:val="00517057"/>
    <w:rsid w:val="00562AC7"/>
    <w:rsid w:val="005834A3"/>
    <w:rsid w:val="005C1C66"/>
    <w:rsid w:val="00860AB7"/>
    <w:rsid w:val="00877CFD"/>
    <w:rsid w:val="008D19A3"/>
    <w:rsid w:val="0096691B"/>
    <w:rsid w:val="00A661FC"/>
    <w:rsid w:val="00CC4981"/>
    <w:rsid w:val="00D309B7"/>
    <w:rsid w:val="00D73D48"/>
    <w:rsid w:val="00ED081F"/>
    <w:rsid w:val="00F9034C"/>
    <w:rsid w:val="00FE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A3"/>
    <w:pPr>
      <w:spacing w:line="276" w:lineRule="auto"/>
    </w:pPr>
    <w:rPr>
      <w:rFonts w:asciiTheme="minorHAnsi" w:eastAsiaTheme="minorEastAsia" w:hAnsiTheme="minorHAnsi"/>
      <w:sz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AC7"/>
    <w:pPr>
      <w:spacing w:after="0" w:line="240" w:lineRule="auto"/>
    </w:pPr>
    <w:rPr>
      <w:rFonts w:ascii="Verdana" w:hAnsi="Verdana"/>
      <w:sz w:val="20"/>
      <w:szCs w:val="20"/>
      <w:lang w:val="en-US" w:eastAsia="nl-BE"/>
    </w:rPr>
  </w:style>
  <w:style w:type="character" w:customStyle="1" w:styleId="FootnoteTextChar">
    <w:name w:val="Footnote Text Char"/>
    <w:basedOn w:val="DefaultParagraphFont"/>
    <w:link w:val="FootnoteText"/>
    <w:uiPriority w:val="99"/>
    <w:rsid w:val="00562AC7"/>
    <w:rPr>
      <w:rFonts w:eastAsiaTheme="minorEastAsia"/>
      <w:sz w:val="20"/>
      <w:szCs w:val="20"/>
      <w:lang w:eastAsia="nl-BE"/>
    </w:rPr>
  </w:style>
  <w:style w:type="paragraph" w:styleId="Header">
    <w:name w:val="header"/>
    <w:basedOn w:val="Normal"/>
    <w:link w:val="HeaderChar"/>
    <w:uiPriority w:val="99"/>
    <w:unhideWhenUsed/>
    <w:rsid w:val="002F2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2B2"/>
    <w:rPr>
      <w:rFonts w:asciiTheme="minorHAnsi" w:eastAsiaTheme="minorEastAsia" w:hAnsiTheme="minorHAnsi"/>
      <w:sz w:val="22"/>
      <w:lang w:val="nl-NL" w:eastAsia="nl-NL"/>
    </w:rPr>
  </w:style>
  <w:style w:type="paragraph" w:styleId="Footer">
    <w:name w:val="footer"/>
    <w:basedOn w:val="Normal"/>
    <w:link w:val="FooterChar"/>
    <w:uiPriority w:val="99"/>
    <w:unhideWhenUsed/>
    <w:rsid w:val="002F2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2B2"/>
    <w:rPr>
      <w:rFonts w:asciiTheme="minorHAnsi" w:eastAsiaTheme="minorEastAsia" w:hAnsiTheme="minorHAnsi"/>
      <w:sz w:val="22"/>
      <w:lang w:val="nl-NL" w:eastAsia="nl-NL"/>
    </w:rPr>
  </w:style>
  <w:style w:type="paragraph" w:styleId="BalloonText">
    <w:name w:val="Balloon Text"/>
    <w:basedOn w:val="Normal"/>
    <w:link w:val="BalloonTextChar"/>
    <w:uiPriority w:val="99"/>
    <w:semiHidden/>
    <w:unhideWhenUsed/>
    <w:rsid w:val="002F2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B2"/>
    <w:rPr>
      <w:rFonts w:ascii="Tahoma" w:eastAsiaTheme="minorEastAsi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A3"/>
    <w:pPr>
      <w:spacing w:line="276" w:lineRule="auto"/>
    </w:pPr>
    <w:rPr>
      <w:rFonts w:asciiTheme="minorHAnsi" w:eastAsiaTheme="minorEastAsia" w:hAnsiTheme="minorHAnsi"/>
      <w:sz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AC7"/>
    <w:pPr>
      <w:spacing w:after="0" w:line="240" w:lineRule="auto"/>
    </w:pPr>
    <w:rPr>
      <w:rFonts w:ascii="Verdana" w:hAnsi="Verdana"/>
      <w:sz w:val="20"/>
      <w:szCs w:val="20"/>
      <w:lang w:val="en-US" w:eastAsia="nl-BE"/>
    </w:rPr>
  </w:style>
  <w:style w:type="character" w:customStyle="1" w:styleId="FootnoteTextChar">
    <w:name w:val="Footnote Text Char"/>
    <w:basedOn w:val="DefaultParagraphFont"/>
    <w:link w:val="FootnoteText"/>
    <w:uiPriority w:val="99"/>
    <w:rsid w:val="00562AC7"/>
    <w:rPr>
      <w:rFonts w:eastAsiaTheme="minorEastAsia"/>
      <w:sz w:val="20"/>
      <w:szCs w:val="20"/>
      <w:lang w:eastAsia="nl-BE"/>
    </w:rPr>
  </w:style>
  <w:style w:type="paragraph" w:styleId="Header">
    <w:name w:val="header"/>
    <w:basedOn w:val="Normal"/>
    <w:link w:val="HeaderChar"/>
    <w:uiPriority w:val="99"/>
    <w:unhideWhenUsed/>
    <w:rsid w:val="002F2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2B2"/>
    <w:rPr>
      <w:rFonts w:asciiTheme="minorHAnsi" w:eastAsiaTheme="minorEastAsia" w:hAnsiTheme="minorHAnsi"/>
      <w:sz w:val="22"/>
      <w:lang w:val="nl-NL" w:eastAsia="nl-NL"/>
    </w:rPr>
  </w:style>
  <w:style w:type="paragraph" w:styleId="Footer">
    <w:name w:val="footer"/>
    <w:basedOn w:val="Normal"/>
    <w:link w:val="FooterChar"/>
    <w:uiPriority w:val="99"/>
    <w:unhideWhenUsed/>
    <w:rsid w:val="002F2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2B2"/>
    <w:rPr>
      <w:rFonts w:asciiTheme="minorHAnsi" w:eastAsiaTheme="minorEastAsia" w:hAnsiTheme="minorHAnsi"/>
      <w:sz w:val="22"/>
      <w:lang w:val="nl-NL" w:eastAsia="nl-NL"/>
    </w:rPr>
  </w:style>
  <w:style w:type="paragraph" w:styleId="BalloonText">
    <w:name w:val="Balloon Text"/>
    <w:basedOn w:val="Normal"/>
    <w:link w:val="BalloonTextChar"/>
    <w:uiPriority w:val="99"/>
    <w:semiHidden/>
    <w:unhideWhenUsed/>
    <w:rsid w:val="002F2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B2"/>
    <w:rPr>
      <w:rFonts w:ascii="Tahoma" w:eastAsiaTheme="minorEastAsi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465</ap:Words>
  <ap:Characters>2559</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2015-02-11T08:49:00.0000000Z</lastPrinted>
  <dcterms:created xsi:type="dcterms:W3CDTF">2015-06-09T10:53:00.0000000Z</dcterms:created>
  <dcterms:modified xsi:type="dcterms:W3CDTF">2015-06-09T10:53:00.0000000Z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