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C2310" w14:textId="77777777" w:rsidR="00330C72" w:rsidRPr="00063E70" w:rsidRDefault="00330C72" w:rsidP="00A140C1">
      <w:pPr>
        <w:rPr>
          <w:szCs w:val="18"/>
        </w:rPr>
      </w:pPr>
      <w:bookmarkStart w:id="0" w:name="_Toc209500354"/>
      <w:bookmarkStart w:id="1" w:name="_Toc219275270"/>
      <w:bookmarkStart w:id="2" w:name="_Toc219275340"/>
      <w:bookmarkStart w:id="3" w:name="_Toc219518985"/>
    </w:p>
    <w:p w14:paraId="3CBA03EA" w14:textId="4A91AD75" w:rsidR="008720EB" w:rsidRPr="00FB1475" w:rsidRDefault="008720EB" w:rsidP="002F6CE5">
      <w:pPr>
        <w:ind w:left="2292" w:hanging="2292"/>
        <w:rPr>
          <w:szCs w:val="18"/>
          <w:lang w:val="en-GB"/>
        </w:rPr>
      </w:pPr>
      <w:r w:rsidRPr="00FB1475">
        <w:rPr>
          <w:szCs w:val="18"/>
          <w:lang w:val="en-GB"/>
        </w:rPr>
        <w:t xml:space="preserve">SCORECARD </w:t>
      </w:r>
      <w:r w:rsidR="00C23A4B">
        <w:rPr>
          <w:szCs w:val="18"/>
          <w:lang w:val="en-GB"/>
        </w:rPr>
        <w:tab/>
      </w:r>
      <w:r w:rsidR="00BA7371" w:rsidRPr="00FB1475">
        <w:rPr>
          <w:szCs w:val="18"/>
          <w:lang w:val="en-GB"/>
        </w:rPr>
        <w:t>European Bank for Reconstruction and Development</w:t>
      </w:r>
      <w:r w:rsidR="00C23A4B">
        <w:rPr>
          <w:szCs w:val="18"/>
          <w:lang w:val="en-GB"/>
        </w:rPr>
        <w:t xml:space="preserve"> (EBRD)</w:t>
      </w:r>
    </w:p>
    <w:p w14:paraId="4734FF73" w14:textId="77777777" w:rsidR="008720EB" w:rsidRPr="00FB1475" w:rsidRDefault="008720EB" w:rsidP="002F6CE5">
      <w:pPr>
        <w:ind w:left="2292" w:hanging="2292"/>
        <w:rPr>
          <w:szCs w:val="18"/>
          <w:lang w:val="en-GB"/>
        </w:rPr>
      </w:pPr>
    </w:p>
    <w:p w14:paraId="0B49ABE7" w14:textId="77777777" w:rsidR="00C23A4B" w:rsidRDefault="00A35777" w:rsidP="002F6CE5">
      <w:pPr>
        <w:ind w:left="2292" w:hanging="2292"/>
        <w:rPr>
          <w:szCs w:val="18"/>
        </w:rPr>
      </w:pPr>
      <w:fldSimple w:instr=" DOCPROPERTY  L_CONTACT  \* MERGEFORMAT ">
        <w:r w:rsidR="000C5CDD" w:rsidRPr="00063E70">
          <w:rPr>
            <w:szCs w:val="18"/>
          </w:rPr>
          <w:t>Opgesteld door</w:t>
        </w:r>
      </w:fldSimple>
      <w:r w:rsidR="002F6CE5" w:rsidRPr="00063E70">
        <w:rPr>
          <w:szCs w:val="18"/>
        </w:rPr>
        <w:tab/>
      </w:r>
      <w:r w:rsidR="003A65E8" w:rsidRPr="00063E70">
        <w:rPr>
          <w:szCs w:val="18"/>
        </w:rPr>
        <w:t xml:space="preserve">Directie </w:t>
      </w:r>
      <w:r w:rsidR="00460E7F" w:rsidRPr="00063E70">
        <w:rPr>
          <w:szCs w:val="18"/>
        </w:rPr>
        <w:t>Multilaterale Instellingen en Mensenrechten</w:t>
      </w:r>
    </w:p>
    <w:p w14:paraId="35E9F8C1" w14:textId="3BEE4BB6" w:rsidR="002F6CE5" w:rsidRPr="00063E70" w:rsidRDefault="00C23A4B" w:rsidP="002F6CE5">
      <w:pPr>
        <w:ind w:left="2292" w:hanging="2292"/>
        <w:rPr>
          <w:szCs w:val="18"/>
        </w:rPr>
      </w:pPr>
      <w:r>
        <w:rPr>
          <w:szCs w:val="18"/>
        </w:rPr>
        <w:tab/>
      </w:r>
      <w:r w:rsidR="00BA7371" w:rsidRPr="00063E70">
        <w:rPr>
          <w:szCs w:val="18"/>
        </w:rPr>
        <w:t>Afdeling Internationale Financiële Instellingen</w:t>
      </w:r>
      <w:r w:rsidR="002F6CE5" w:rsidRPr="00063E70">
        <w:rPr>
          <w:szCs w:val="18"/>
        </w:rPr>
        <w:br/>
        <w:t xml:space="preserve">T- +31 (0)70 – </w:t>
      </w:r>
      <w:r w:rsidR="00F92015">
        <w:rPr>
          <w:szCs w:val="18"/>
        </w:rPr>
        <w:t>348 60</w:t>
      </w:r>
      <w:r w:rsidR="00BA7371" w:rsidRPr="00063E70">
        <w:rPr>
          <w:szCs w:val="18"/>
        </w:rPr>
        <w:t>89</w:t>
      </w:r>
      <w:r w:rsidR="002F6CE5" w:rsidRPr="00063E70">
        <w:rPr>
          <w:szCs w:val="18"/>
        </w:rPr>
        <w:br/>
      </w:r>
    </w:p>
    <w:p w14:paraId="076E38B8" w14:textId="77777777" w:rsidR="00991C2E" w:rsidRPr="00063E70" w:rsidRDefault="00991C2E" w:rsidP="00991C2E">
      <w:pPr>
        <w:rPr>
          <w:szCs w:val="18"/>
        </w:rPr>
      </w:pPr>
      <w:bookmarkStart w:id="4" w:name="_GoBack"/>
      <w:bookmarkEnd w:id="4"/>
    </w:p>
    <w:p w14:paraId="2A82A810" w14:textId="77777777" w:rsidR="00991C2E" w:rsidRPr="00063E70" w:rsidRDefault="00991C2E" w:rsidP="00991C2E">
      <w:pPr>
        <w:rPr>
          <w:szCs w:val="18"/>
        </w:rPr>
      </w:pPr>
    </w:p>
    <w:p w14:paraId="717630A5" w14:textId="77777777" w:rsidR="00991C2E" w:rsidRPr="00063E70" w:rsidRDefault="00991C2E" w:rsidP="00991C2E">
      <w:pPr>
        <w:rPr>
          <w:szCs w:val="18"/>
        </w:rPr>
      </w:pPr>
    </w:p>
    <w:p w14:paraId="5E352B0B" w14:textId="77777777" w:rsidR="00326699" w:rsidRDefault="00326699" w:rsidP="00326699">
      <w:pPr>
        <w:spacing w:line="240" w:lineRule="auto"/>
        <w:rPr>
          <w:b/>
          <w:bCs/>
          <w:szCs w:val="18"/>
          <w:u w:val="single"/>
        </w:rPr>
      </w:pPr>
    </w:p>
    <w:p w14:paraId="38C11DA3" w14:textId="77777777" w:rsidR="00A140C1" w:rsidRDefault="00A140C1" w:rsidP="00326699">
      <w:pPr>
        <w:spacing w:line="240" w:lineRule="auto"/>
        <w:rPr>
          <w:b/>
          <w:bCs/>
          <w:szCs w:val="18"/>
          <w:u w:val="single"/>
        </w:rPr>
      </w:pPr>
    </w:p>
    <w:p w14:paraId="639ACB7B" w14:textId="77777777" w:rsidR="00A140C1" w:rsidRDefault="00A140C1" w:rsidP="00326699">
      <w:pPr>
        <w:spacing w:line="240" w:lineRule="auto"/>
        <w:rPr>
          <w:b/>
          <w:bCs/>
          <w:szCs w:val="18"/>
          <w:u w:val="single"/>
        </w:rPr>
      </w:pPr>
    </w:p>
    <w:p w14:paraId="447D22A6" w14:textId="77777777" w:rsidR="00A140C1" w:rsidRDefault="00A140C1" w:rsidP="00326699">
      <w:pPr>
        <w:spacing w:line="240" w:lineRule="auto"/>
        <w:rPr>
          <w:b/>
          <w:bCs/>
          <w:szCs w:val="18"/>
          <w:u w:val="single"/>
        </w:rPr>
      </w:pPr>
    </w:p>
    <w:p w14:paraId="0FA7028A" w14:textId="77777777" w:rsidR="00A140C1" w:rsidRDefault="00A140C1" w:rsidP="00326699">
      <w:pPr>
        <w:spacing w:line="240" w:lineRule="auto"/>
        <w:rPr>
          <w:b/>
          <w:bCs/>
          <w:szCs w:val="18"/>
          <w:u w:val="single"/>
        </w:rPr>
      </w:pPr>
    </w:p>
    <w:p w14:paraId="15191F82" w14:textId="77777777" w:rsidR="00A140C1" w:rsidRDefault="00A140C1" w:rsidP="00326699">
      <w:pPr>
        <w:spacing w:line="240" w:lineRule="auto"/>
        <w:rPr>
          <w:b/>
          <w:bCs/>
          <w:szCs w:val="18"/>
          <w:u w:val="single"/>
        </w:rPr>
      </w:pPr>
    </w:p>
    <w:p w14:paraId="7FDA7A9D" w14:textId="77777777" w:rsidR="00A140C1" w:rsidRDefault="00A140C1" w:rsidP="00326699">
      <w:pPr>
        <w:spacing w:line="240" w:lineRule="auto"/>
        <w:rPr>
          <w:b/>
          <w:bCs/>
          <w:szCs w:val="18"/>
          <w:u w:val="single"/>
        </w:rPr>
      </w:pPr>
    </w:p>
    <w:p w14:paraId="7B9EE8AB" w14:textId="77777777" w:rsidR="00A140C1" w:rsidRDefault="00A140C1" w:rsidP="00326699">
      <w:pPr>
        <w:spacing w:line="240" w:lineRule="auto"/>
        <w:rPr>
          <w:b/>
          <w:bCs/>
          <w:szCs w:val="18"/>
          <w:u w:val="single"/>
        </w:rPr>
      </w:pPr>
    </w:p>
    <w:p w14:paraId="1A50F045" w14:textId="77777777" w:rsidR="00A140C1" w:rsidRDefault="00A140C1" w:rsidP="00326699">
      <w:pPr>
        <w:spacing w:line="240" w:lineRule="auto"/>
        <w:rPr>
          <w:b/>
          <w:bCs/>
          <w:szCs w:val="18"/>
          <w:u w:val="single"/>
        </w:rPr>
      </w:pPr>
    </w:p>
    <w:p w14:paraId="2E1E3C31" w14:textId="77777777" w:rsidR="00A140C1" w:rsidRDefault="00A140C1" w:rsidP="00326699">
      <w:pPr>
        <w:spacing w:line="240" w:lineRule="auto"/>
        <w:rPr>
          <w:b/>
          <w:bCs/>
          <w:szCs w:val="18"/>
          <w:u w:val="single"/>
        </w:rPr>
      </w:pPr>
    </w:p>
    <w:p w14:paraId="58F7F552" w14:textId="77777777" w:rsidR="00A140C1" w:rsidRDefault="00A140C1" w:rsidP="00326699">
      <w:pPr>
        <w:spacing w:line="240" w:lineRule="auto"/>
        <w:rPr>
          <w:b/>
          <w:bCs/>
          <w:szCs w:val="18"/>
          <w:u w:val="single"/>
        </w:rPr>
      </w:pPr>
    </w:p>
    <w:p w14:paraId="3B8B3C9B" w14:textId="77777777" w:rsidR="00A140C1" w:rsidRDefault="00A140C1" w:rsidP="00326699">
      <w:pPr>
        <w:spacing w:line="240" w:lineRule="auto"/>
        <w:rPr>
          <w:b/>
          <w:bCs/>
          <w:szCs w:val="18"/>
          <w:u w:val="single"/>
        </w:rPr>
      </w:pPr>
    </w:p>
    <w:p w14:paraId="67A0DCC6" w14:textId="77777777" w:rsidR="00A140C1" w:rsidRDefault="00A140C1" w:rsidP="00326699">
      <w:pPr>
        <w:spacing w:line="240" w:lineRule="auto"/>
        <w:rPr>
          <w:b/>
          <w:bCs/>
          <w:szCs w:val="18"/>
          <w:u w:val="single"/>
        </w:rPr>
      </w:pPr>
    </w:p>
    <w:p w14:paraId="2142894C" w14:textId="77777777" w:rsidR="00A140C1" w:rsidRDefault="00A140C1" w:rsidP="00326699">
      <w:pPr>
        <w:spacing w:line="240" w:lineRule="auto"/>
        <w:rPr>
          <w:b/>
          <w:bCs/>
          <w:szCs w:val="18"/>
          <w:u w:val="single"/>
        </w:rPr>
      </w:pPr>
    </w:p>
    <w:p w14:paraId="1099FBA2" w14:textId="77777777" w:rsidR="00A140C1" w:rsidRDefault="00A140C1" w:rsidP="00326699">
      <w:pPr>
        <w:spacing w:line="240" w:lineRule="auto"/>
        <w:rPr>
          <w:b/>
          <w:bCs/>
          <w:szCs w:val="18"/>
          <w:u w:val="single"/>
        </w:rPr>
      </w:pPr>
    </w:p>
    <w:p w14:paraId="7E573337" w14:textId="77777777" w:rsidR="00A140C1" w:rsidRDefault="00A140C1" w:rsidP="00326699">
      <w:pPr>
        <w:spacing w:line="240" w:lineRule="auto"/>
        <w:rPr>
          <w:b/>
          <w:bCs/>
          <w:szCs w:val="18"/>
          <w:u w:val="single"/>
        </w:rPr>
      </w:pPr>
    </w:p>
    <w:p w14:paraId="7254BC1D" w14:textId="77777777" w:rsidR="00A140C1" w:rsidRDefault="00A140C1" w:rsidP="00326699">
      <w:pPr>
        <w:spacing w:line="240" w:lineRule="auto"/>
        <w:rPr>
          <w:b/>
          <w:bCs/>
          <w:szCs w:val="18"/>
          <w:u w:val="single"/>
        </w:rPr>
      </w:pPr>
    </w:p>
    <w:p w14:paraId="37C19D65" w14:textId="77777777" w:rsidR="00A140C1" w:rsidRDefault="00A140C1" w:rsidP="00326699">
      <w:pPr>
        <w:spacing w:line="240" w:lineRule="auto"/>
        <w:rPr>
          <w:b/>
          <w:bCs/>
          <w:szCs w:val="18"/>
          <w:u w:val="single"/>
        </w:rPr>
      </w:pPr>
    </w:p>
    <w:p w14:paraId="19C00515" w14:textId="77777777" w:rsidR="00A140C1" w:rsidRDefault="00A140C1" w:rsidP="00326699">
      <w:pPr>
        <w:spacing w:line="240" w:lineRule="auto"/>
        <w:rPr>
          <w:b/>
          <w:bCs/>
          <w:szCs w:val="18"/>
          <w:u w:val="single"/>
        </w:rPr>
      </w:pPr>
    </w:p>
    <w:p w14:paraId="768FC4DA" w14:textId="77777777" w:rsidR="00A140C1" w:rsidRDefault="00A140C1" w:rsidP="00326699">
      <w:pPr>
        <w:spacing w:line="240" w:lineRule="auto"/>
        <w:rPr>
          <w:b/>
          <w:bCs/>
          <w:szCs w:val="18"/>
          <w:u w:val="single"/>
        </w:rPr>
      </w:pPr>
    </w:p>
    <w:p w14:paraId="047FD151" w14:textId="77777777" w:rsidR="00A140C1" w:rsidRPr="00063E70" w:rsidRDefault="00A140C1" w:rsidP="00326699">
      <w:pPr>
        <w:spacing w:line="240" w:lineRule="auto"/>
        <w:rPr>
          <w:szCs w:val="18"/>
        </w:rPr>
      </w:pPr>
    </w:p>
    <w:p w14:paraId="368DB61E" w14:textId="77777777" w:rsidR="00326699" w:rsidRPr="00063E70" w:rsidRDefault="00326699" w:rsidP="00326699">
      <w:pPr>
        <w:spacing w:line="240" w:lineRule="auto"/>
        <w:rPr>
          <w:szCs w:val="18"/>
        </w:rPr>
      </w:pPr>
    </w:p>
    <w:p w14:paraId="75905E62" w14:textId="77777777" w:rsidR="0035244D" w:rsidRPr="00063E70" w:rsidRDefault="0035244D" w:rsidP="00326699">
      <w:pPr>
        <w:spacing w:line="240" w:lineRule="auto"/>
        <w:rPr>
          <w:szCs w:val="18"/>
        </w:rPr>
      </w:pPr>
    </w:p>
    <w:p w14:paraId="3E81CC5D" w14:textId="77777777" w:rsidR="00A939A2" w:rsidRPr="00063E70" w:rsidRDefault="00A939A2" w:rsidP="00326699">
      <w:pPr>
        <w:spacing w:line="240" w:lineRule="auto"/>
        <w:rPr>
          <w:szCs w:val="18"/>
        </w:rPr>
      </w:pPr>
    </w:p>
    <w:p w14:paraId="1489E1E1" w14:textId="77777777" w:rsidR="00A939A2" w:rsidRPr="00063E70" w:rsidRDefault="00A939A2" w:rsidP="00326699">
      <w:pPr>
        <w:spacing w:line="240" w:lineRule="auto"/>
        <w:rPr>
          <w:szCs w:val="18"/>
        </w:rPr>
        <w:sectPr w:rsidR="00A939A2" w:rsidRPr="00063E70" w:rsidSect="001049E6">
          <w:headerReference w:type="even" r:id="rId12"/>
          <w:headerReference w:type="default" r:id="rId13"/>
          <w:footerReference w:type="even" r:id="rId14"/>
          <w:footerReference w:type="default" r:id="rId15"/>
          <w:headerReference w:type="first" r:id="rId16"/>
          <w:footerReference w:type="first" r:id="rId17"/>
          <w:pgSz w:w="11906" w:h="16838" w:code="9"/>
          <w:pgMar w:top="2520" w:right="960" w:bottom="1080" w:left="3220" w:header="200" w:footer="660" w:gutter="0"/>
          <w:cols w:space="708"/>
          <w:titlePg/>
          <w:docGrid w:linePitch="360"/>
        </w:sectPr>
      </w:pPr>
    </w:p>
    <w:bookmarkEnd w:id="0"/>
    <w:bookmarkEnd w:id="1"/>
    <w:bookmarkEnd w:id="2"/>
    <w:bookmarkEnd w:id="3"/>
    <w:p w14:paraId="08AB4344" w14:textId="77777777" w:rsidR="00A908F9" w:rsidRPr="00063E70" w:rsidRDefault="0019164D" w:rsidP="00A908F9">
      <w:pPr>
        <w:pStyle w:val="Kop-Inhoudsopgave"/>
        <w:rPr>
          <w:sz w:val="18"/>
          <w:szCs w:val="18"/>
        </w:rPr>
      </w:pPr>
      <w:r w:rsidRPr="00063E70">
        <w:rPr>
          <w:sz w:val="18"/>
          <w:szCs w:val="18"/>
        </w:rPr>
        <w:lastRenderedPageBreak/>
        <w:fldChar w:fldCharType="begin"/>
      </w:r>
      <w:r w:rsidR="00182C7C" w:rsidRPr="00063E70">
        <w:rPr>
          <w:sz w:val="18"/>
          <w:szCs w:val="18"/>
        </w:rPr>
        <w:instrText xml:space="preserve"> DOCPROPERTY  L_TOC  \* MERGEFORMAT </w:instrText>
      </w:r>
      <w:r w:rsidRPr="00063E70">
        <w:rPr>
          <w:sz w:val="18"/>
          <w:szCs w:val="18"/>
        </w:rPr>
        <w:fldChar w:fldCharType="separate"/>
      </w:r>
      <w:bookmarkStart w:id="6" w:name="_Toc287446465"/>
      <w:bookmarkStart w:id="7" w:name="_Toc287454445"/>
      <w:bookmarkStart w:id="8" w:name="_Toc410397621"/>
      <w:r w:rsidR="000C5CDD" w:rsidRPr="00063E70">
        <w:rPr>
          <w:sz w:val="18"/>
          <w:szCs w:val="18"/>
        </w:rPr>
        <w:t>Inhoudsopgave</w:t>
      </w:r>
      <w:bookmarkEnd w:id="6"/>
      <w:bookmarkEnd w:id="7"/>
      <w:bookmarkEnd w:id="8"/>
      <w:r w:rsidRPr="00063E70">
        <w:rPr>
          <w:sz w:val="18"/>
          <w:szCs w:val="18"/>
        </w:rPr>
        <w:fldChar w:fldCharType="end"/>
      </w:r>
    </w:p>
    <w:p w14:paraId="2D4048F8" w14:textId="77777777" w:rsidR="008C3F57" w:rsidRPr="00063E70" w:rsidRDefault="0019164D">
      <w:pPr>
        <w:pStyle w:val="TOC1"/>
        <w:tabs>
          <w:tab w:val="right" w:leader="dot" w:pos="7716"/>
        </w:tabs>
        <w:rPr>
          <w:noProof/>
          <w:szCs w:val="18"/>
        </w:rPr>
      </w:pPr>
      <w:r w:rsidRPr="00063E70">
        <w:rPr>
          <w:szCs w:val="18"/>
        </w:rPr>
        <w:lastRenderedPageBreak/>
        <w:fldChar w:fldCharType="begin"/>
      </w:r>
      <w:r w:rsidR="006B2292" w:rsidRPr="00063E70">
        <w:rPr>
          <w:szCs w:val="18"/>
        </w:rPr>
        <w:instrText xml:space="preserve"> TOC \t "Heading 1;2;Heading 2;3;Heading 3;4;Kop-Inhoudsopgave;1;Kop zonder nummering;1;Subtitle;2;Title;1" </w:instrText>
      </w:r>
      <w:r w:rsidRPr="00063E70">
        <w:rPr>
          <w:szCs w:val="18"/>
        </w:rPr>
        <w:fldChar w:fldCharType="separate"/>
      </w:r>
      <w:r w:rsidR="008C3F57" w:rsidRPr="00063E70">
        <w:rPr>
          <w:noProof/>
          <w:szCs w:val="18"/>
        </w:rPr>
        <w:t>Inhoudsopgave</w:t>
      </w:r>
      <w:r w:rsidR="008C3F57" w:rsidRPr="00063E70">
        <w:rPr>
          <w:noProof/>
          <w:szCs w:val="18"/>
        </w:rPr>
        <w:tab/>
      </w:r>
      <w:r w:rsidRPr="00063E70">
        <w:rPr>
          <w:noProof/>
          <w:szCs w:val="18"/>
        </w:rPr>
        <w:fldChar w:fldCharType="begin"/>
      </w:r>
      <w:r w:rsidR="008C3F57" w:rsidRPr="00063E70">
        <w:rPr>
          <w:noProof/>
          <w:szCs w:val="18"/>
        </w:rPr>
        <w:instrText xml:space="preserve"> PAGEREF _Toc410397621 \h </w:instrText>
      </w:r>
      <w:r w:rsidRPr="00063E70">
        <w:rPr>
          <w:noProof/>
          <w:szCs w:val="18"/>
        </w:rPr>
      </w:r>
      <w:r w:rsidRPr="00063E70">
        <w:rPr>
          <w:noProof/>
          <w:szCs w:val="18"/>
        </w:rPr>
        <w:fldChar w:fldCharType="separate"/>
      </w:r>
      <w:r w:rsidR="000C5CDD" w:rsidRPr="00063E70">
        <w:rPr>
          <w:noProof/>
          <w:szCs w:val="18"/>
        </w:rPr>
        <w:t>2</w:t>
      </w:r>
      <w:r w:rsidRPr="00063E70">
        <w:rPr>
          <w:noProof/>
          <w:szCs w:val="18"/>
        </w:rPr>
        <w:fldChar w:fldCharType="end"/>
      </w:r>
    </w:p>
    <w:p w14:paraId="163C0D97" w14:textId="77777777" w:rsidR="008C3F57" w:rsidRPr="00063E70" w:rsidRDefault="008C3F57" w:rsidP="000842B5">
      <w:pPr>
        <w:pStyle w:val="TOC2"/>
        <w:rPr>
          <w:szCs w:val="18"/>
        </w:rPr>
      </w:pPr>
      <w:r w:rsidRPr="00063E70">
        <w:rPr>
          <w:szCs w:val="18"/>
        </w:rPr>
        <w:t xml:space="preserve">1 </w:t>
      </w:r>
      <w:r w:rsidRPr="00063E70">
        <w:rPr>
          <w:szCs w:val="18"/>
        </w:rPr>
        <w:tab/>
        <w:t>Inleiding</w:t>
      </w:r>
      <w:r w:rsidRPr="00063E70">
        <w:rPr>
          <w:szCs w:val="18"/>
        </w:rPr>
        <w:tab/>
      </w:r>
      <w:r w:rsidR="0019164D" w:rsidRPr="00063E70">
        <w:rPr>
          <w:szCs w:val="18"/>
        </w:rPr>
        <w:fldChar w:fldCharType="begin"/>
      </w:r>
      <w:r w:rsidRPr="00063E70">
        <w:rPr>
          <w:szCs w:val="18"/>
        </w:rPr>
        <w:instrText xml:space="preserve"> PAGEREF _Toc410397622 \h </w:instrText>
      </w:r>
      <w:r w:rsidR="0019164D" w:rsidRPr="00063E70">
        <w:rPr>
          <w:szCs w:val="18"/>
        </w:rPr>
      </w:r>
      <w:r w:rsidR="0019164D" w:rsidRPr="00063E70">
        <w:rPr>
          <w:szCs w:val="18"/>
        </w:rPr>
        <w:fldChar w:fldCharType="separate"/>
      </w:r>
      <w:r w:rsidR="000C5CDD" w:rsidRPr="00063E70">
        <w:rPr>
          <w:szCs w:val="18"/>
        </w:rPr>
        <w:t>3</w:t>
      </w:r>
      <w:r w:rsidR="0019164D" w:rsidRPr="00063E70">
        <w:rPr>
          <w:szCs w:val="18"/>
        </w:rPr>
        <w:fldChar w:fldCharType="end"/>
      </w:r>
    </w:p>
    <w:p w14:paraId="18E215E0" w14:textId="77777777" w:rsidR="008C3F57" w:rsidRPr="00063E70" w:rsidRDefault="008C3F57" w:rsidP="000842B5">
      <w:pPr>
        <w:pStyle w:val="TOC2"/>
        <w:rPr>
          <w:szCs w:val="18"/>
        </w:rPr>
      </w:pPr>
      <w:r w:rsidRPr="00063E70">
        <w:rPr>
          <w:szCs w:val="18"/>
        </w:rPr>
        <w:t xml:space="preserve">2 </w:t>
      </w:r>
      <w:r w:rsidRPr="00063E70">
        <w:rPr>
          <w:szCs w:val="18"/>
        </w:rPr>
        <w:tab/>
        <w:t>Algemene achtergrond</w:t>
      </w:r>
      <w:r w:rsidRPr="00063E70">
        <w:rPr>
          <w:szCs w:val="18"/>
        </w:rPr>
        <w:tab/>
      </w:r>
      <w:r w:rsidR="0019164D" w:rsidRPr="00063E70">
        <w:rPr>
          <w:szCs w:val="18"/>
        </w:rPr>
        <w:fldChar w:fldCharType="begin"/>
      </w:r>
      <w:r w:rsidRPr="00063E70">
        <w:rPr>
          <w:szCs w:val="18"/>
        </w:rPr>
        <w:instrText xml:space="preserve"> PAGEREF _Toc410397623 \h </w:instrText>
      </w:r>
      <w:r w:rsidR="0019164D" w:rsidRPr="00063E70">
        <w:rPr>
          <w:szCs w:val="18"/>
        </w:rPr>
      </w:r>
      <w:r w:rsidR="0019164D" w:rsidRPr="00063E70">
        <w:rPr>
          <w:szCs w:val="18"/>
        </w:rPr>
        <w:fldChar w:fldCharType="separate"/>
      </w:r>
      <w:r w:rsidR="000C5CDD" w:rsidRPr="00063E70">
        <w:rPr>
          <w:szCs w:val="18"/>
        </w:rPr>
        <w:t>4</w:t>
      </w:r>
      <w:r w:rsidR="0019164D" w:rsidRPr="00063E70">
        <w:rPr>
          <w:szCs w:val="18"/>
        </w:rPr>
        <w:fldChar w:fldCharType="end"/>
      </w:r>
    </w:p>
    <w:p w14:paraId="346DF8CF" w14:textId="77777777" w:rsidR="008C3F57" w:rsidRPr="00063E70" w:rsidRDefault="008C3F57" w:rsidP="000842B5">
      <w:pPr>
        <w:pStyle w:val="TOC3"/>
        <w:rPr>
          <w:szCs w:val="18"/>
        </w:rPr>
      </w:pPr>
      <w:r w:rsidRPr="00063E70">
        <w:rPr>
          <w:szCs w:val="18"/>
        </w:rPr>
        <w:t>2.1</w:t>
      </w:r>
      <w:r w:rsidRPr="00063E70">
        <w:rPr>
          <w:szCs w:val="18"/>
        </w:rPr>
        <w:tab/>
        <w:t>Doelstelling en toegevoegde waarde</w:t>
      </w:r>
      <w:r w:rsidRPr="00063E70">
        <w:rPr>
          <w:szCs w:val="18"/>
        </w:rPr>
        <w:tab/>
      </w:r>
      <w:r w:rsidR="0019164D" w:rsidRPr="00063E70">
        <w:rPr>
          <w:szCs w:val="18"/>
        </w:rPr>
        <w:fldChar w:fldCharType="begin"/>
      </w:r>
      <w:r w:rsidRPr="00063E70">
        <w:rPr>
          <w:szCs w:val="18"/>
        </w:rPr>
        <w:instrText xml:space="preserve"> PAGEREF _Toc410397624 \h </w:instrText>
      </w:r>
      <w:r w:rsidR="0019164D" w:rsidRPr="00063E70">
        <w:rPr>
          <w:szCs w:val="18"/>
        </w:rPr>
      </w:r>
      <w:r w:rsidR="0019164D" w:rsidRPr="00063E70">
        <w:rPr>
          <w:szCs w:val="18"/>
        </w:rPr>
        <w:fldChar w:fldCharType="separate"/>
      </w:r>
      <w:r w:rsidR="000C5CDD" w:rsidRPr="00063E70">
        <w:rPr>
          <w:szCs w:val="18"/>
        </w:rPr>
        <w:t>4</w:t>
      </w:r>
      <w:r w:rsidR="0019164D" w:rsidRPr="00063E70">
        <w:rPr>
          <w:szCs w:val="18"/>
        </w:rPr>
        <w:fldChar w:fldCharType="end"/>
      </w:r>
    </w:p>
    <w:p w14:paraId="79EEED25" w14:textId="77777777" w:rsidR="008C3F57" w:rsidRPr="00063E70" w:rsidRDefault="008C3F57" w:rsidP="000842B5">
      <w:pPr>
        <w:pStyle w:val="TOC3"/>
        <w:rPr>
          <w:szCs w:val="18"/>
        </w:rPr>
      </w:pPr>
      <w:r w:rsidRPr="00063E70">
        <w:rPr>
          <w:szCs w:val="18"/>
        </w:rPr>
        <w:t xml:space="preserve">2.2 </w:t>
      </w:r>
      <w:r w:rsidRPr="00063E70">
        <w:rPr>
          <w:szCs w:val="18"/>
        </w:rPr>
        <w:tab/>
        <w:t>Organisatie, werkwijze en activiteiten</w:t>
      </w:r>
      <w:r w:rsidRPr="00063E70">
        <w:rPr>
          <w:szCs w:val="18"/>
        </w:rPr>
        <w:tab/>
      </w:r>
      <w:r w:rsidR="0019164D" w:rsidRPr="00063E70">
        <w:rPr>
          <w:szCs w:val="18"/>
        </w:rPr>
        <w:fldChar w:fldCharType="begin"/>
      </w:r>
      <w:r w:rsidRPr="00063E70">
        <w:rPr>
          <w:szCs w:val="18"/>
        </w:rPr>
        <w:instrText xml:space="preserve"> PAGEREF _Toc410397625 \h </w:instrText>
      </w:r>
      <w:r w:rsidR="0019164D" w:rsidRPr="00063E70">
        <w:rPr>
          <w:szCs w:val="18"/>
        </w:rPr>
      </w:r>
      <w:r w:rsidR="0019164D" w:rsidRPr="00063E70">
        <w:rPr>
          <w:szCs w:val="18"/>
        </w:rPr>
        <w:fldChar w:fldCharType="separate"/>
      </w:r>
      <w:r w:rsidR="000C5CDD" w:rsidRPr="00063E70">
        <w:rPr>
          <w:szCs w:val="18"/>
        </w:rPr>
        <w:t>4</w:t>
      </w:r>
      <w:r w:rsidR="0019164D" w:rsidRPr="00063E70">
        <w:rPr>
          <w:szCs w:val="18"/>
        </w:rPr>
        <w:fldChar w:fldCharType="end"/>
      </w:r>
    </w:p>
    <w:p w14:paraId="5E0C9D60" w14:textId="5B33FCC8" w:rsidR="008C3F57" w:rsidRPr="00063E70" w:rsidRDefault="008C3F57" w:rsidP="000842B5">
      <w:pPr>
        <w:pStyle w:val="TOC3"/>
        <w:rPr>
          <w:szCs w:val="18"/>
        </w:rPr>
      </w:pPr>
      <w:r w:rsidRPr="00063E70">
        <w:rPr>
          <w:szCs w:val="18"/>
        </w:rPr>
        <w:t xml:space="preserve">2.3 </w:t>
      </w:r>
      <w:r w:rsidRPr="00063E70">
        <w:rPr>
          <w:szCs w:val="18"/>
        </w:rPr>
        <w:tab/>
        <w:t>Nederlandse rol en invloed</w:t>
      </w:r>
      <w:r w:rsidRPr="00063E70">
        <w:rPr>
          <w:szCs w:val="18"/>
        </w:rPr>
        <w:tab/>
      </w:r>
      <w:r w:rsidR="00866E1C">
        <w:rPr>
          <w:szCs w:val="18"/>
        </w:rPr>
        <w:t>5</w:t>
      </w:r>
    </w:p>
    <w:p w14:paraId="24FE4C29" w14:textId="76CBE93D" w:rsidR="008C3F57" w:rsidRPr="00063E70" w:rsidRDefault="008C3F57" w:rsidP="000842B5">
      <w:pPr>
        <w:pStyle w:val="TOC3"/>
        <w:rPr>
          <w:szCs w:val="18"/>
        </w:rPr>
      </w:pPr>
      <w:r w:rsidRPr="00063E70">
        <w:rPr>
          <w:szCs w:val="18"/>
        </w:rPr>
        <w:t>2.4</w:t>
      </w:r>
      <w:r w:rsidRPr="00063E70">
        <w:rPr>
          <w:szCs w:val="18"/>
        </w:rPr>
        <w:tab/>
        <w:t>Financiële omvang en bijdragen</w:t>
      </w:r>
      <w:r w:rsidRPr="00063E70">
        <w:rPr>
          <w:szCs w:val="18"/>
        </w:rPr>
        <w:tab/>
      </w:r>
      <w:r w:rsidR="00866E1C">
        <w:rPr>
          <w:szCs w:val="18"/>
        </w:rPr>
        <w:t>5</w:t>
      </w:r>
    </w:p>
    <w:p w14:paraId="4ABC8408" w14:textId="63240BF6" w:rsidR="008C3F57" w:rsidRPr="00063E70" w:rsidRDefault="008C3F57" w:rsidP="000842B5">
      <w:pPr>
        <w:pStyle w:val="TOC2"/>
        <w:rPr>
          <w:szCs w:val="18"/>
        </w:rPr>
      </w:pPr>
      <w:r w:rsidRPr="00063E70">
        <w:rPr>
          <w:szCs w:val="18"/>
        </w:rPr>
        <w:t xml:space="preserve">3 </w:t>
      </w:r>
      <w:r w:rsidRPr="00063E70">
        <w:rPr>
          <w:szCs w:val="18"/>
        </w:rPr>
        <w:tab/>
        <w:t>Institutionele aspecten en functioneren van de organisatie</w:t>
      </w:r>
      <w:r w:rsidRPr="00063E70">
        <w:rPr>
          <w:szCs w:val="18"/>
        </w:rPr>
        <w:tab/>
      </w:r>
      <w:r w:rsidR="00866E1C">
        <w:rPr>
          <w:szCs w:val="18"/>
        </w:rPr>
        <w:t>7</w:t>
      </w:r>
    </w:p>
    <w:p w14:paraId="3D21F728" w14:textId="09A513CB" w:rsidR="008C3F57" w:rsidRPr="00063E70" w:rsidRDefault="008C3F57" w:rsidP="000842B5">
      <w:pPr>
        <w:pStyle w:val="TOC3"/>
        <w:rPr>
          <w:szCs w:val="18"/>
        </w:rPr>
      </w:pPr>
      <w:r w:rsidRPr="00063E70">
        <w:rPr>
          <w:szCs w:val="18"/>
        </w:rPr>
        <w:t>3.1</w:t>
      </w:r>
      <w:r w:rsidRPr="00063E70">
        <w:rPr>
          <w:szCs w:val="18"/>
        </w:rPr>
        <w:tab/>
        <w:t>Strategie en focus</w:t>
      </w:r>
      <w:r w:rsidRPr="00063E70">
        <w:rPr>
          <w:szCs w:val="18"/>
        </w:rPr>
        <w:tab/>
      </w:r>
      <w:r w:rsidR="00866E1C">
        <w:rPr>
          <w:szCs w:val="18"/>
        </w:rPr>
        <w:t>7</w:t>
      </w:r>
    </w:p>
    <w:p w14:paraId="5B13819C" w14:textId="01DC6947" w:rsidR="00EF61AC" w:rsidRPr="00866E1C" w:rsidRDefault="00C23A4B" w:rsidP="000842B5">
      <w:pPr>
        <w:pStyle w:val="TOC3"/>
        <w:rPr>
          <w:szCs w:val="18"/>
        </w:rPr>
      </w:pPr>
      <w:r w:rsidRPr="00866E1C">
        <w:rPr>
          <w:szCs w:val="18"/>
        </w:rPr>
        <w:t>3.2</w:t>
      </w:r>
      <w:r w:rsidRPr="00866E1C">
        <w:rPr>
          <w:szCs w:val="18"/>
        </w:rPr>
        <w:tab/>
        <w:t>Resultaatsturing</w:t>
      </w:r>
      <w:r w:rsidRPr="00866E1C">
        <w:rPr>
          <w:szCs w:val="18"/>
        </w:rPr>
        <w:tab/>
      </w:r>
      <w:r w:rsidR="00866E1C" w:rsidRPr="00866E1C">
        <w:rPr>
          <w:szCs w:val="18"/>
        </w:rPr>
        <w:t>7</w:t>
      </w:r>
    </w:p>
    <w:p w14:paraId="166033D6" w14:textId="6D1E169F" w:rsidR="008C3F57" w:rsidRPr="00063E70" w:rsidRDefault="00EF61AC" w:rsidP="000842B5">
      <w:pPr>
        <w:pStyle w:val="TOC3"/>
        <w:rPr>
          <w:szCs w:val="18"/>
        </w:rPr>
      </w:pPr>
      <w:r w:rsidRPr="00063E70">
        <w:rPr>
          <w:szCs w:val="18"/>
        </w:rPr>
        <w:t>3.3</w:t>
      </w:r>
      <w:r w:rsidRPr="00063E70">
        <w:rPr>
          <w:szCs w:val="18"/>
        </w:rPr>
        <w:tab/>
        <w:t>Partnerschappen</w:t>
      </w:r>
      <w:r w:rsidR="008C3F57" w:rsidRPr="00063E70">
        <w:rPr>
          <w:szCs w:val="18"/>
        </w:rPr>
        <w:tab/>
      </w:r>
      <w:r w:rsidR="00866E1C">
        <w:rPr>
          <w:szCs w:val="18"/>
        </w:rPr>
        <w:t>8</w:t>
      </w:r>
    </w:p>
    <w:p w14:paraId="03B15D61" w14:textId="3A351453" w:rsidR="008C3F57" w:rsidRPr="00063E70" w:rsidRDefault="008C3F57" w:rsidP="000842B5">
      <w:pPr>
        <w:pStyle w:val="TOC3"/>
        <w:rPr>
          <w:szCs w:val="18"/>
        </w:rPr>
      </w:pPr>
      <w:r w:rsidRPr="00063E70">
        <w:rPr>
          <w:szCs w:val="18"/>
        </w:rPr>
        <w:t xml:space="preserve">3.4 </w:t>
      </w:r>
      <w:r w:rsidRPr="00063E70">
        <w:rPr>
          <w:szCs w:val="18"/>
        </w:rPr>
        <w:tab/>
        <w:t>Effectiviteit bestuurs- en beheersorganen</w:t>
      </w:r>
      <w:r w:rsidRPr="00063E70">
        <w:rPr>
          <w:szCs w:val="18"/>
        </w:rPr>
        <w:tab/>
      </w:r>
      <w:r w:rsidR="00866E1C">
        <w:rPr>
          <w:szCs w:val="18"/>
        </w:rPr>
        <w:t>8</w:t>
      </w:r>
    </w:p>
    <w:p w14:paraId="46581466" w14:textId="03A07B56" w:rsidR="008C3F57" w:rsidRPr="00063E70" w:rsidRDefault="008C3F57" w:rsidP="000842B5">
      <w:pPr>
        <w:pStyle w:val="TOC3"/>
        <w:rPr>
          <w:szCs w:val="18"/>
        </w:rPr>
      </w:pPr>
      <w:r w:rsidRPr="00063E70">
        <w:rPr>
          <w:szCs w:val="18"/>
        </w:rPr>
        <w:t>3.5</w:t>
      </w:r>
      <w:r w:rsidRPr="00063E70">
        <w:rPr>
          <w:szCs w:val="18"/>
        </w:rPr>
        <w:tab/>
        <w:t>Beleidsevaluatie</w:t>
      </w:r>
      <w:r w:rsidRPr="00063E70">
        <w:rPr>
          <w:szCs w:val="18"/>
        </w:rPr>
        <w:tab/>
      </w:r>
      <w:r w:rsidR="00866E1C">
        <w:rPr>
          <w:szCs w:val="18"/>
        </w:rPr>
        <w:t>9</w:t>
      </w:r>
    </w:p>
    <w:p w14:paraId="3C1375CE" w14:textId="5D6FE6F5" w:rsidR="008C3F57" w:rsidRPr="00063E70" w:rsidRDefault="008C3F57" w:rsidP="000842B5">
      <w:pPr>
        <w:pStyle w:val="TOC3"/>
        <w:rPr>
          <w:szCs w:val="18"/>
        </w:rPr>
      </w:pPr>
      <w:r w:rsidRPr="00063E70">
        <w:rPr>
          <w:szCs w:val="18"/>
        </w:rPr>
        <w:t>3.6</w:t>
      </w:r>
      <w:r w:rsidRPr="00063E70">
        <w:rPr>
          <w:szCs w:val="18"/>
        </w:rPr>
        <w:tab/>
      </w:r>
      <w:r w:rsidR="00C23A4B">
        <w:rPr>
          <w:szCs w:val="18"/>
        </w:rPr>
        <w:t>Personeelsbeleid</w:t>
      </w:r>
      <w:r w:rsidRPr="00063E70">
        <w:rPr>
          <w:szCs w:val="18"/>
        </w:rPr>
        <w:tab/>
      </w:r>
      <w:r w:rsidR="00866E1C">
        <w:rPr>
          <w:szCs w:val="18"/>
        </w:rPr>
        <w:t>10</w:t>
      </w:r>
    </w:p>
    <w:p w14:paraId="519B3720" w14:textId="3965EF50" w:rsidR="008C3F57" w:rsidRPr="00063E70" w:rsidRDefault="008C3F57" w:rsidP="000842B5">
      <w:pPr>
        <w:pStyle w:val="TOC3"/>
        <w:rPr>
          <w:szCs w:val="18"/>
        </w:rPr>
      </w:pPr>
      <w:r w:rsidRPr="00063E70">
        <w:rPr>
          <w:szCs w:val="18"/>
        </w:rPr>
        <w:t xml:space="preserve">3.7 </w:t>
      </w:r>
      <w:r w:rsidRPr="00063E70">
        <w:rPr>
          <w:szCs w:val="18"/>
        </w:rPr>
        <w:tab/>
        <w:t>Financi</w:t>
      </w:r>
      <w:r w:rsidR="00C23A4B">
        <w:rPr>
          <w:szCs w:val="18"/>
        </w:rPr>
        <w:t>eel beheer</w:t>
      </w:r>
      <w:r w:rsidRPr="00063E70">
        <w:rPr>
          <w:szCs w:val="18"/>
        </w:rPr>
        <w:tab/>
      </w:r>
      <w:r w:rsidR="00866E1C">
        <w:rPr>
          <w:szCs w:val="18"/>
        </w:rPr>
        <w:t>11</w:t>
      </w:r>
    </w:p>
    <w:p w14:paraId="4A9EB7EB" w14:textId="59CCA126" w:rsidR="008C3F57" w:rsidRPr="00063E70" w:rsidRDefault="008C3F57" w:rsidP="000842B5">
      <w:pPr>
        <w:pStyle w:val="TOC3"/>
        <w:rPr>
          <w:szCs w:val="18"/>
        </w:rPr>
      </w:pPr>
      <w:r w:rsidRPr="00063E70">
        <w:rPr>
          <w:szCs w:val="18"/>
        </w:rPr>
        <w:t xml:space="preserve">3.8 </w:t>
      </w:r>
      <w:r w:rsidRPr="00063E70">
        <w:rPr>
          <w:szCs w:val="18"/>
        </w:rPr>
        <w:tab/>
        <w:t>Corruptiebestrijding in de interne organisatie</w:t>
      </w:r>
      <w:r w:rsidRPr="00063E70">
        <w:rPr>
          <w:szCs w:val="18"/>
        </w:rPr>
        <w:tab/>
      </w:r>
      <w:r w:rsidR="00866E1C">
        <w:rPr>
          <w:szCs w:val="18"/>
        </w:rPr>
        <w:t>12</w:t>
      </w:r>
    </w:p>
    <w:p w14:paraId="46027E6C" w14:textId="555180EC" w:rsidR="008C3F57" w:rsidRPr="00063E70" w:rsidRDefault="008C3F57" w:rsidP="000842B5">
      <w:pPr>
        <w:pStyle w:val="TOC2"/>
        <w:rPr>
          <w:szCs w:val="18"/>
        </w:rPr>
      </w:pPr>
      <w:r w:rsidRPr="00063E70">
        <w:rPr>
          <w:szCs w:val="18"/>
        </w:rPr>
        <w:t xml:space="preserve">4 </w:t>
      </w:r>
      <w:r w:rsidRPr="00063E70">
        <w:rPr>
          <w:szCs w:val="18"/>
        </w:rPr>
        <w:tab/>
        <w:t>Beleidsrelevantie en resultaten van de organisatie</w:t>
      </w:r>
      <w:r w:rsidRPr="00063E70">
        <w:rPr>
          <w:szCs w:val="18"/>
        </w:rPr>
        <w:tab/>
      </w:r>
      <w:r w:rsidR="00866E1C">
        <w:rPr>
          <w:szCs w:val="18"/>
        </w:rPr>
        <w:t>13</w:t>
      </w:r>
    </w:p>
    <w:p w14:paraId="68B8DD15" w14:textId="229A80AF" w:rsidR="008C3F57" w:rsidRPr="00063E70" w:rsidRDefault="008C3F57" w:rsidP="000842B5">
      <w:pPr>
        <w:pStyle w:val="TOC3"/>
        <w:rPr>
          <w:szCs w:val="18"/>
        </w:rPr>
      </w:pPr>
      <w:r w:rsidRPr="00063E70">
        <w:rPr>
          <w:szCs w:val="18"/>
        </w:rPr>
        <w:t xml:space="preserve">4.1 </w:t>
      </w:r>
      <w:r w:rsidRPr="00063E70">
        <w:rPr>
          <w:szCs w:val="18"/>
        </w:rPr>
        <w:tab/>
        <w:t>Relevantie voor Nederlandse BHOS-prioriteiten</w:t>
      </w:r>
      <w:r w:rsidRPr="00063E70">
        <w:rPr>
          <w:szCs w:val="18"/>
        </w:rPr>
        <w:tab/>
      </w:r>
      <w:r w:rsidR="00866E1C">
        <w:rPr>
          <w:szCs w:val="18"/>
        </w:rPr>
        <w:t>13</w:t>
      </w:r>
    </w:p>
    <w:p w14:paraId="17066565" w14:textId="0BD116AF" w:rsidR="008C3F57" w:rsidRPr="00063E70" w:rsidRDefault="008C3F57" w:rsidP="000842B5">
      <w:pPr>
        <w:pStyle w:val="TOC3"/>
        <w:rPr>
          <w:szCs w:val="18"/>
        </w:rPr>
      </w:pPr>
      <w:r w:rsidRPr="00063E70">
        <w:rPr>
          <w:szCs w:val="18"/>
        </w:rPr>
        <w:t>4.2</w:t>
      </w:r>
      <w:r w:rsidRPr="00063E70">
        <w:rPr>
          <w:szCs w:val="18"/>
        </w:rPr>
        <w:tab/>
      </w:r>
      <w:r w:rsidR="00C23A4B">
        <w:rPr>
          <w:szCs w:val="18"/>
        </w:rPr>
        <w:t>Extra</w:t>
      </w:r>
      <w:r w:rsidRPr="00063E70">
        <w:rPr>
          <w:szCs w:val="18"/>
        </w:rPr>
        <w:t xml:space="preserve"> relevantie</w:t>
      </w:r>
      <w:r w:rsidRPr="00063E70">
        <w:rPr>
          <w:szCs w:val="18"/>
        </w:rPr>
        <w:tab/>
      </w:r>
      <w:r w:rsidR="00596F20">
        <w:rPr>
          <w:szCs w:val="18"/>
        </w:rPr>
        <w:t>14</w:t>
      </w:r>
    </w:p>
    <w:p w14:paraId="10B95916" w14:textId="2A168DC8" w:rsidR="00C23A4B" w:rsidRPr="00063E70" w:rsidRDefault="00242356" w:rsidP="00C23A4B">
      <w:pPr>
        <w:pStyle w:val="TOC2"/>
        <w:rPr>
          <w:szCs w:val="18"/>
        </w:rPr>
      </w:pPr>
      <w:r w:rsidRPr="00063E70">
        <w:rPr>
          <w:szCs w:val="18"/>
        </w:rPr>
        <w:t>5</w:t>
      </w:r>
      <w:r w:rsidR="00C23A4B" w:rsidRPr="00063E70">
        <w:rPr>
          <w:szCs w:val="18"/>
        </w:rPr>
        <w:t xml:space="preserve"> </w:t>
      </w:r>
      <w:r w:rsidR="00C23A4B" w:rsidRPr="00063E70">
        <w:rPr>
          <w:szCs w:val="18"/>
        </w:rPr>
        <w:tab/>
        <w:t>Beleidsrelevantie en resultaten van de organisatie</w:t>
      </w:r>
      <w:r w:rsidR="00C23A4B" w:rsidRPr="00063E70">
        <w:rPr>
          <w:szCs w:val="18"/>
        </w:rPr>
        <w:tab/>
      </w:r>
      <w:r w:rsidR="00596F20">
        <w:rPr>
          <w:szCs w:val="18"/>
        </w:rPr>
        <w:t>15</w:t>
      </w:r>
    </w:p>
    <w:p w14:paraId="319B6208" w14:textId="44AA26F7" w:rsidR="00C23A4B" w:rsidRPr="00063E70" w:rsidRDefault="00C23A4B" w:rsidP="00C23A4B">
      <w:pPr>
        <w:pStyle w:val="TOC3"/>
        <w:rPr>
          <w:szCs w:val="18"/>
        </w:rPr>
      </w:pPr>
      <w:r>
        <w:rPr>
          <w:szCs w:val="18"/>
        </w:rPr>
        <w:t xml:space="preserve">5.1 </w:t>
      </w:r>
      <w:r>
        <w:rPr>
          <w:szCs w:val="18"/>
        </w:rPr>
        <w:tab/>
        <w:t>Institutionele aspecten en functioneren</w:t>
      </w:r>
      <w:r w:rsidRPr="00063E70">
        <w:rPr>
          <w:szCs w:val="18"/>
        </w:rPr>
        <w:tab/>
      </w:r>
      <w:r w:rsidR="00596F20">
        <w:rPr>
          <w:szCs w:val="18"/>
        </w:rPr>
        <w:t>15</w:t>
      </w:r>
    </w:p>
    <w:p w14:paraId="310C99DC" w14:textId="3376216B" w:rsidR="00C23A4B" w:rsidRPr="00063E70" w:rsidRDefault="00C23A4B" w:rsidP="00C23A4B">
      <w:pPr>
        <w:pStyle w:val="TOC3"/>
        <w:rPr>
          <w:szCs w:val="18"/>
        </w:rPr>
      </w:pPr>
      <w:r>
        <w:rPr>
          <w:szCs w:val="18"/>
        </w:rPr>
        <w:t>5</w:t>
      </w:r>
      <w:r w:rsidRPr="00063E70">
        <w:rPr>
          <w:szCs w:val="18"/>
        </w:rPr>
        <w:t>.2</w:t>
      </w:r>
      <w:r w:rsidRPr="00063E70">
        <w:rPr>
          <w:szCs w:val="18"/>
        </w:rPr>
        <w:tab/>
      </w:r>
      <w:r>
        <w:rPr>
          <w:szCs w:val="18"/>
        </w:rPr>
        <w:t>Beleids</w:t>
      </w:r>
      <w:r w:rsidRPr="00063E70">
        <w:rPr>
          <w:szCs w:val="18"/>
        </w:rPr>
        <w:t>relevantie</w:t>
      </w:r>
      <w:r w:rsidRPr="00063E70">
        <w:rPr>
          <w:szCs w:val="18"/>
        </w:rPr>
        <w:tab/>
      </w:r>
      <w:r w:rsidR="00596F20">
        <w:rPr>
          <w:szCs w:val="18"/>
        </w:rPr>
        <w:t>15</w:t>
      </w:r>
    </w:p>
    <w:p w14:paraId="3CF7B4E4" w14:textId="77777777" w:rsidR="00101F98" w:rsidRPr="00063E70" w:rsidRDefault="0019164D" w:rsidP="00163FA2">
      <w:pPr>
        <w:tabs>
          <w:tab w:val="left" w:pos="0"/>
        </w:tabs>
        <w:rPr>
          <w:szCs w:val="18"/>
        </w:rPr>
      </w:pPr>
      <w:r w:rsidRPr="00063E70">
        <w:rPr>
          <w:szCs w:val="18"/>
        </w:rPr>
        <w:fldChar w:fldCharType="end"/>
      </w:r>
    </w:p>
    <w:p w14:paraId="05E3544A" w14:textId="77777777" w:rsidR="00A908F9" w:rsidRPr="00063E70" w:rsidRDefault="00A908F9" w:rsidP="00101F98">
      <w:pPr>
        <w:rPr>
          <w:szCs w:val="18"/>
        </w:rPr>
      </w:pPr>
    </w:p>
    <w:p w14:paraId="7D255CF7" w14:textId="77777777" w:rsidR="00A908F9" w:rsidRPr="00063E70" w:rsidRDefault="00A908F9" w:rsidP="00A908F9">
      <w:pPr>
        <w:rPr>
          <w:szCs w:val="18"/>
        </w:rPr>
      </w:pPr>
    </w:p>
    <w:p w14:paraId="1D6C77E1" w14:textId="77777777" w:rsidR="00A908F9" w:rsidRPr="00063E70" w:rsidRDefault="00A908F9" w:rsidP="00A908F9">
      <w:pPr>
        <w:rPr>
          <w:szCs w:val="18"/>
        </w:rPr>
      </w:pPr>
    </w:p>
    <w:p w14:paraId="653FA7DC" w14:textId="77777777" w:rsidR="00A908F9" w:rsidRPr="00063E70" w:rsidRDefault="00A908F9" w:rsidP="00A908F9">
      <w:pPr>
        <w:jc w:val="center"/>
        <w:rPr>
          <w:szCs w:val="18"/>
        </w:rPr>
      </w:pPr>
    </w:p>
    <w:p w14:paraId="56179ACE" w14:textId="77777777" w:rsidR="00101F98" w:rsidRPr="00063E70" w:rsidRDefault="00101F98" w:rsidP="00A908F9">
      <w:pPr>
        <w:rPr>
          <w:szCs w:val="18"/>
        </w:rPr>
        <w:sectPr w:rsidR="00101F98" w:rsidRPr="00063E70" w:rsidSect="001049E6">
          <w:headerReference w:type="first" r:id="rId18"/>
          <w:type w:val="continuous"/>
          <w:pgSz w:w="11906" w:h="16838" w:code="9"/>
          <w:pgMar w:top="2520" w:right="960" w:bottom="1080" w:left="3220" w:header="200" w:footer="660" w:gutter="0"/>
          <w:cols w:space="708"/>
          <w:titlePg/>
          <w:docGrid w:linePitch="360"/>
        </w:sectPr>
      </w:pPr>
    </w:p>
    <w:p w14:paraId="629AC2A6" w14:textId="77777777" w:rsidR="00B95FC2" w:rsidRPr="00F92015" w:rsidRDefault="00734374" w:rsidP="00734374">
      <w:pPr>
        <w:pStyle w:val="Heading1"/>
        <w:tabs>
          <w:tab w:val="num" w:pos="0"/>
        </w:tabs>
        <w:spacing w:after="240" w:line="240" w:lineRule="auto"/>
        <w:ind w:hanging="1162"/>
        <w:rPr>
          <w:szCs w:val="24"/>
        </w:rPr>
      </w:pPr>
      <w:bookmarkStart w:id="9" w:name="_Toc238533654"/>
      <w:bookmarkStart w:id="10" w:name="_Toc238537583"/>
      <w:bookmarkStart w:id="11" w:name="_Toc238538136"/>
      <w:bookmarkStart w:id="12" w:name="_Toc238538151"/>
      <w:bookmarkStart w:id="13" w:name="_Toc300822504"/>
      <w:bookmarkStart w:id="14" w:name="_Toc410397622"/>
      <w:bookmarkEnd w:id="9"/>
      <w:bookmarkEnd w:id="10"/>
      <w:bookmarkEnd w:id="11"/>
      <w:bookmarkEnd w:id="12"/>
      <w:r w:rsidRPr="00F92015">
        <w:rPr>
          <w:szCs w:val="24"/>
        </w:rPr>
        <w:lastRenderedPageBreak/>
        <w:t xml:space="preserve">1 </w:t>
      </w:r>
      <w:r w:rsidRPr="00F92015">
        <w:rPr>
          <w:szCs w:val="24"/>
        </w:rPr>
        <w:tab/>
      </w:r>
      <w:r w:rsidR="00AD0CCB" w:rsidRPr="00F92015">
        <w:rPr>
          <w:szCs w:val="24"/>
        </w:rPr>
        <w:t>Inleiding</w:t>
      </w:r>
      <w:bookmarkEnd w:id="13"/>
      <w:bookmarkEnd w:id="14"/>
    </w:p>
    <w:p w14:paraId="015DA4B9" w14:textId="77777777" w:rsidR="005D3322" w:rsidRPr="00063E70" w:rsidRDefault="005150FC" w:rsidP="005150FC">
      <w:pPr>
        <w:shd w:val="clear" w:color="auto" w:fill="FFFFFF"/>
        <w:spacing w:before="100" w:beforeAutospacing="1" w:after="100" w:afterAutospacing="1" w:line="240" w:lineRule="auto"/>
        <w:rPr>
          <w:szCs w:val="18"/>
          <w:lang w:eastAsia="zh-CN"/>
        </w:rPr>
      </w:pPr>
      <w:r w:rsidRPr="00063E70">
        <w:rPr>
          <w:szCs w:val="18"/>
          <w:lang w:eastAsia="zh-CN"/>
        </w:rPr>
        <w:t xml:space="preserve">Scorecards worden opgesteld om het functioneren en de beleidsrelevantie van multilaterale organisaties in kaart te brengen. </w:t>
      </w:r>
      <w:r w:rsidR="00710978" w:rsidRPr="00063E70">
        <w:rPr>
          <w:szCs w:val="18"/>
          <w:lang w:eastAsia="zh-CN"/>
        </w:rPr>
        <w:t>D</w:t>
      </w:r>
      <w:r w:rsidRPr="00063E70">
        <w:rPr>
          <w:szCs w:val="18"/>
          <w:lang w:eastAsia="zh-CN"/>
        </w:rPr>
        <w:t>e Nederlandse inzet in multilaterale organisaties word</w:t>
      </w:r>
      <w:r w:rsidR="00710978" w:rsidRPr="00063E70">
        <w:rPr>
          <w:szCs w:val="18"/>
          <w:lang w:eastAsia="zh-CN"/>
        </w:rPr>
        <w:t>t</w:t>
      </w:r>
      <w:r w:rsidRPr="00063E70">
        <w:rPr>
          <w:szCs w:val="18"/>
          <w:lang w:eastAsia="zh-CN"/>
        </w:rPr>
        <w:t xml:space="preserve"> geconcentreerd op organ</w:t>
      </w:r>
      <w:r w:rsidR="007E1149" w:rsidRPr="00063E70">
        <w:rPr>
          <w:szCs w:val="18"/>
          <w:lang w:eastAsia="zh-CN"/>
        </w:rPr>
        <w:t>isaties die relevant zijn voor</w:t>
      </w:r>
      <w:r w:rsidRPr="00063E70">
        <w:rPr>
          <w:szCs w:val="18"/>
          <w:lang w:eastAsia="zh-CN"/>
        </w:rPr>
        <w:t xml:space="preserve"> het Nederlandse beleid en d</w:t>
      </w:r>
      <w:r w:rsidR="007E1149" w:rsidRPr="00063E70">
        <w:rPr>
          <w:szCs w:val="18"/>
          <w:lang w:eastAsia="zh-CN"/>
        </w:rPr>
        <w:t>ie effectief zijn</w:t>
      </w:r>
      <w:r w:rsidR="000C082E" w:rsidRPr="00063E70">
        <w:rPr>
          <w:szCs w:val="18"/>
          <w:lang w:eastAsia="zh-CN"/>
        </w:rPr>
        <w:t>, dan</w:t>
      </w:r>
      <w:r w:rsidR="008E4711">
        <w:rPr>
          <w:szCs w:val="18"/>
          <w:lang w:eastAsia="zh-CN"/>
        </w:rPr>
        <w:t xml:space="preserve"> </w:t>
      </w:r>
      <w:r w:rsidR="000C082E" w:rsidRPr="00063E70">
        <w:rPr>
          <w:szCs w:val="18"/>
          <w:lang w:eastAsia="zh-CN"/>
        </w:rPr>
        <w:t xml:space="preserve">wel een sleutelrol vervullen binnen de multilaterale architectuur als </w:t>
      </w:r>
      <w:r w:rsidR="00125028" w:rsidRPr="00063E70">
        <w:rPr>
          <w:szCs w:val="18"/>
          <w:lang w:eastAsia="zh-CN"/>
        </w:rPr>
        <w:t>“</w:t>
      </w:r>
      <w:r w:rsidR="000C082E" w:rsidRPr="00063E70">
        <w:rPr>
          <w:szCs w:val="18"/>
          <w:lang w:eastAsia="zh-CN"/>
        </w:rPr>
        <w:t>systeemorganisatie</w:t>
      </w:r>
      <w:r w:rsidR="00125028" w:rsidRPr="00063E70">
        <w:rPr>
          <w:szCs w:val="18"/>
          <w:lang w:eastAsia="zh-CN"/>
        </w:rPr>
        <w:t>”</w:t>
      </w:r>
      <w:r w:rsidR="000C082E" w:rsidRPr="00063E70">
        <w:rPr>
          <w:szCs w:val="18"/>
          <w:lang w:eastAsia="zh-CN"/>
        </w:rPr>
        <w:t xml:space="preserve">. </w:t>
      </w:r>
      <w:r w:rsidR="00967346" w:rsidRPr="00063E70">
        <w:rPr>
          <w:szCs w:val="18"/>
          <w:lang w:eastAsia="zh-CN"/>
        </w:rPr>
        <w:t>Dit vraagt om</w:t>
      </w:r>
      <w:r w:rsidRPr="00063E70">
        <w:rPr>
          <w:szCs w:val="18"/>
          <w:lang w:eastAsia="zh-CN"/>
        </w:rPr>
        <w:t xml:space="preserve"> zorgvuldige en regelmatige toetsing. </w:t>
      </w:r>
      <w:r w:rsidR="005D3322" w:rsidRPr="00063E70">
        <w:rPr>
          <w:szCs w:val="18"/>
          <w:lang w:eastAsia="zh-CN"/>
        </w:rPr>
        <w:t>Het streven is om scorecards</w:t>
      </w:r>
      <w:r w:rsidR="00DB2280" w:rsidRPr="00063E70">
        <w:rPr>
          <w:szCs w:val="18"/>
          <w:lang w:eastAsia="zh-CN"/>
        </w:rPr>
        <w:t xml:space="preserve"> op te stellen voor de</w:t>
      </w:r>
      <w:r w:rsidR="005D3322" w:rsidRPr="00063E70">
        <w:rPr>
          <w:szCs w:val="18"/>
          <w:lang w:eastAsia="zh-CN"/>
        </w:rPr>
        <w:t xml:space="preserve"> </w:t>
      </w:r>
      <w:r w:rsidR="00A2455B" w:rsidRPr="00063E70">
        <w:rPr>
          <w:szCs w:val="18"/>
          <w:lang w:eastAsia="zh-CN"/>
        </w:rPr>
        <w:t xml:space="preserve">VN Fondsen en </w:t>
      </w:r>
      <w:r w:rsidR="00223E42" w:rsidRPr="00063E70">
        <w:rPr>
          <w:szCs w:val="18"/>
          <w:lang w:eastAsia="zh-CN"/>
        </w:rPr>
        <w:t xml:space="preserve">Programma’s, </w:t>
      </w:r>
      <w:r w:rsidR="003B4CB4" w:rsidRPr="00063E70">
        <w:rPr>
          <w:szCs w:val="18"/>
          <w:lang w:eastAsia="zh-CN"/>
        </w:rPr>
        <w:t xml:space="preserve">de Internationale </w:t>
      </w:r>
      <w:r w:rsidR="00F613E9" w:rsidRPr="00063E70">
        <w:rPr>
          <w:szCs w:val="18"/>
          <w:lang w:eastAsia="zh-CN"/>
        </w:rPr>
        <w:t>Financiële</w:t>
      </w:r>
      <w:r w:rsidR="003B4CB4" w:rsidRPr="00063E70">
        <w:rPr>
          <w:szCs w:val="18"/>
          <w:lang w:eastAsia="zh-CN"/>
        </w:rPr>
        <w:t xml:space="preserve"> Instellingen, </w:t>
      </w:r>
      <w:r w:rsidR="00223E42" w:rsidRPr="00063E70">
        <w:rPr>
          <w:szCs w:val="18"/>
          <w:lang w:eastAsia="zh-CN"/>
        </w:rPr>
        <w:t>de voor Nederlands BHOS-beleid relevante gespecialiseerde VN-organisaties en kantoren, en de majeure wereldwijde fondsen</w:t>
      </w:r>
      <w:r w:rsidR="00A37B8E" w:rsidRPr="00063E70">
        <w:rPr>
          <w:szCs w:val="18"/>
          <w:lang w:eastAsia="zh-CN"/>
        </w:rPr>
        <w:t>;</w:t>
      </w:r>
      <w:r w:rsidR="00223E42" w:rsidRPr="00063E70">
        <w:rPr>
          <w:szCs w:val="18"/>
          <w:lang w:eastAsia="zh-CN"/>
        </w:rPr>
        <w:t xml:space="preserve"> </w:t>
      </w:r>
      <w:r w:rsidR="005D3322" w:rsidRPr="00063E70">
        <w:rPr>
          <w:szCs w:val="18"/>
          <w:lang w:eastAsia="zh-CN"/>
        </w:rPr>
        <w:t xml:space="preserve">multilaterale organisaties waaraan Nederland een substantiële ODA-bijdrage levert. De relevantie wordt primair getoetst aan het Nederlandse beleid voor </w:t>
      </w:r>
      <w:r w:rsidR="00A07737" w:rsidRPr="00063E70">
        <w:rPr>
          <w:szCs w:val="18"/>
          <w:lang w:eastAsia="zh-CN"/>
        </w:rPr>
        <w:t>B</w:t>
      </w:r>
      <w:r w:rsidR="00CF0A55" w:rsidRPr="00063E70">
        <w:rPr>
          <w:szCs w:val="18"/>
          <w:lang w:eastAsia="zh-CN"/>
        </w:rPr>
        <w:t xml:space="preserve">uitenlandse </w:t>
      </w:r>
      <w:r w:rsidR="00A07737" w:rsidRPr="00063E70">
        <w:rPr>
          <w:szCs w:val="18"/>
          <w:lang w:eastAsia="zh-CN"/>
        </w:rPr>
        <w:t>H</w:t>
      </w:r>
      <w:r w:rsidR="00CF0A55" w:rsidRPr="00063E70">
        <w:rPr>
          <w:szCs w:val="18"/>
          <w:lang w:eastAsia="zh-CN"/>
        </w:rPr>
        <w:t xml:space="preserve">andel en </w:t>
      </w:r>
      <w:r w:rsidR="00A07737" w:rsidRPr="00063E70">
        <w:rPr>
          <w:szCs w:val="18"/>
          <w:lang w:eastAsia="zh-CN"/>
        </w:rPr>
        <w:t>O</w:t>
      </w:r>
      <w:r w:rsidR="005D3322" w:rsidRPr="00063E70">
        <w:rPr>
          <w:szCs w:val="18"/>
          <w:lang w:eastAsia="zh-CN"/>
        </w:rPr>
        <w:t>ntwikkelingssamenwerking</w:t>
      </w:r>
      <w:r w:rsidR="00CF0A55" w:rsidRPr="00063E70">
        <w:rPr>
          <w:szCs w:val="18"/>
          <w:lang w:eastAsia="zh-CN"/>
        </w:rPr>
        <w:t>,</w:t>
      </w:r>
      <w:r w:rsidR="005D3322" w:rsidRPr="00063E70">
        <w:rPr>
          <w:szCs w:val="18"/>
          <w:lang w:eastAsia="zh-CN"/>
        </w:rPr>
        <w:t xml:space="preserve"> maar de bredere betekenis van multilaterale instellingen voor andere aspecten van Nederlands beleid wordt </w:t>
      </w:r>
      <w:r w:rsidR="00A8630D" w:rsidRPr="00063E70">
        <w:rPr>
          <w:szCs w:val="18"/>
          <w:lang w:eastAsia="zh-CN"/>
        </w:rPr>
        <w:t>waar relevant</w:t>
      </w:r>
      <w:r w:rsidR="005D3322" w:rsidRPr="00063E70">
        <w:rPr>
          <w:szCs w:val="18"/>
          <w:lang w:eastAsia="zh-CN"/>
        </w:rPr>
        <w:t xml:space="preserve"> meegenomen.</w:t>
      </w:r>
    </w:p>
    <w:p w14:paraId="0084F9DE" w14:textId="61C77F29" w:rsidR="005150FC" w:rsidRPr="00063E70" w:rsidRDefault="005150FC" w:rsidP="005150FC">
      <w:pPr>
        <w:shd w:val="clear" w:color="auto" w:fill="FFFFFF"/>
        <w:spacing w:before="100" w:beforeAutospacing="1" w:after="100" w:afterAutospacing="1" w:line="240" w:lineRule="auto"/>
        <w:rPr>
          <w:szCs w:val="18"/>
          <w:lang w:eastAsia="zh-CN"/>
        </w:rPr>
      </w:pPr>
      <w:r w:rsidRPr="00063E70">
        <w:rPr>
          <w:szCs w:val="18"/>
          <w:lang w:eastAsia="zh-CN"/>
        </w:rPr>
        <w:t>Elke scorecard geeft een overzicht van de doelstellingen</w:t>
      </w:r>
      <w:r w:rsidR="00C1320B" w:rsidRPr="00063E70">
        <w:rPr>
          <w:szCs w:val="18"/>
          <w:lang w:eastAsia="zh-CN"/>
        </w:rPr>
        <w:t>,</w:t>
      </w:r>
      <w:r w:rsidRPr="00063E70">
        <w:rPr>
          <w:szCs w:val="18"/>
          <w:lang w:eastAsia="zh-CN"/>
        </w:rPr>
        <w:t xml:space="preserve"> het mandaat </w:t>
      </w:r>
      <w:r w:rsidR="00C1320B" w:rsidRPr="00063E70">
        <w:rPr>
          <w:szCs w:val="18"/>
          <w:lang w:eastAsia="zh-CN"/>
        </w:rPr>
        <w:t xml:space="preserve">en de kernkwaliteiten </w:t>
      </w:r>
      <w:r w:rsidR="006569DB" w:rsidRPr="00063E70">
        <w:rPr>
          <w:szCs w:val="18"/>
          <w:lang w:eastAsia="zh-CN"/>
        </w:rPr>
        <w:t xml:space="preserve">van de </w:t>
      </w:r>
      <w:proofErr w:type="gramStart"/>
      <w:r w:rsidRPr="00063E70">
        <w:rPr>
          <w:szCs w:val="18"/>
          <w:lang w:eastAsia="zh-CN"/>
        </w:rPr>
        <w:t>betreff</w:t>
      </w:r>
      <w:r w:rsidR="00F92015">
        <w:rPr>
          <w:szCs w:val="18"/>
          <w:lang w:eastAsia="zh-CN"/>
        </w:rPr>
        <w:t>ende</w:t>
      </w:r>
      <w:proofErr w:type="gramEnd"/>
      <w:r w:rsidR="00F92015">
        <w:rPr>
          <w:szCs w:val="18"/>
          <w:lang w:eastAsia="zh-CN"/>
        </w:rPr>
        <w:t xml:space="preserve"> internationale instelling, </w:t>
      </w:r>
      <w:r w:rsidRPr="00063E70">
        <w:rPr>
          <w:szCs w:val="18"/>
          <w:lang w:eastAsia="zh-CN"/>
        </w:rPr>
        <w:t xml:space="preserve">van de wijze waarop de organisatie is ingericht en welke activiteiten ze uitvoert, van de financiële omvang en de Nederlandse bijdragen. Op basis van een analyse van de verschillende deelaspecten wordt een appreciatie gegeven van de </w:t>
      </w:r>
      <w:r w:rsidR="008735BA" w:rsidRPr="00063E70">
        <w:rPr>
          <w:szCs w:val="18"/>
          <w:lang w:eastAsia="zh-CN"/>
        </w:rPr>
        <w:t xml:space="preserve">organisatorische </w:t>
      </w:r>
      <w:r w:rsidR="00AB5963" w:rsidRPr="00063E70">
        <w:rPr>
          <w:szCs w:val="18"/>
          <w:lang w:eastAsia="zh-CN"/>
        </w:rPr>
        <w:t>effectiviteit</w:t>
      </w:r>
      <w:r w:rsidRPr="00063E70">
        <w:rPr>
          <w:szCs w:val="18"/>
          <w:lang w:eastAsia="zh-CN"/>
        </w:rPr>
        <w:t xml:space="preserve"> en van de relevantie </w:t>
      </w:r>
      <w:r w:rsidR="00456A79" w:rsidRPr="00063E70">
        <w:rPr>
          <w:szCs w:val="18"/>
          <w:lang w:eastAsia="zh-CN"/>
        </w:rPr>
        <w:t>voor en de impact op</w:t>
      </w:r>
      <w:r w:rsidRPr="00063E70">
        <w:rPr>
          <w:szCs w:val="18"/>
          <w:lang w:eastAsia="zh-CN"/>
        </w:rPr>
        <w:t xml:space="preserve"> de Nederlandse beleidsdoelstellingen.</w:t>
      </w:r>
      <w:r w:rsidR="005D3322" w:rsidRPr="00063E70">
        <w:rPr>
          <w:szCs w:val="18"/>
          <w:lang w:eastAsia="zh-CN"/>
        </w:rPr>
        <w:t xml:space="preserve"> </w:t>
      </w:r>
      <w:r w:rsidR="00F3652C" w:rsidRPr="00063E70">
        <w:rPr>
          <w:szCs w:val="18"/>
          <w:lang w:eastAsia="zh-CN"/>
        </w:rPr>
        <w:t xml:space="preserve">Er </w:t>
      </w:r>
      <w:r w:rsidR="00BB7ABD" w:rsidRPr="00063E70">
        <w:rPr>
          <w:szCs w:val="18"/>
          <w:lang w:eastAsia="zh-CN"/>
        </w:rPr>
        <w:t xml:space="preserve">wordt een appreciatie gegeven van de mate waarin organisaties voor het Nederlandse BHOS-beleid </w:t>
      </w:r>
      <w:r w:rsidR="00C75B28" w:rsidRPr="00063E70">
        <w:rPr>
          <w:szCs w:val="18"/>
          <w:lang w:eastAsia="zh-CN"/>
        </w:rPr>
        <w:t xml:space="preserve">relevante resultaten behalen. </w:t>
      </w:r>
      <w:r w:rsidR="005D3322" w:rsidRPr="00063E70">
        <w:rPr>
          <w:szCs w:val="18"/>
          <w:lang w:eastAsia="zh-CN"/>
        </w:rPr>
        <w:t xml:space="preserve">Deelaspecten van effectiviteit worden beoordeeld op basis van specifieke criteria en gescoord op een vierpuntsschaal van onvoldoende, matig, voldoende en goed. Daarnaast wordt een </w:t>
      </w:r>
      <w:r w:rsidR="003B4CB4" w:rsidRPr="00063E70">
        <w:rPr>
          <w:szCs w:val="18"/>
          <w:lang w:eastAsia="zh-CN"/>
        </w:rPr>
        <w:t>“</w:t>
      </w:r>
      <w:r w:rsidR="005D3322" w:rsidRPr="00063E70">
        <w:rPr>
          <w:szCs w:val="18"/>
          <w:lang w:eastAsia="zh-CN"/>
        </w:rPr>
        <w:t>verwachting v</w:t>
      </w:r>
      <w:r w:rsidR="003B4CB4" w:rsidRPr="00063E70">
        <w:rPr>
          <w:szCs w:val="18"/>
          <w:lang w:eastAsia="zh-CN"/>
        </w:rPr>
        <w:t>oor</w:t>
      </w:r>
      <w:r w:rsidR="005D3322" w:rsidRPr="00063E70">
        <w:rPr>
          <w:szCs w:val="18"/>
          <w:lang w:eastAsia="zh-CN"/>
        </w:rPr>
        <w:t xml:space="preserve"> po</w:t>
      </w:r>
      <w:r w:rsidR="00E724F5" w:rsidRPr="00063E70">
        <w:rPr>
          <w:szCs w:val="18"/>
          <w:lang w:eastAsia="zh-CN"/>
        </w:rPr>
        <w:t xml:space="preserve">sitieve </w:t>
      </w:r>
      <w:r w:rsidR="005D3322" w:rsidRPr="00063E70">
        <w:rPr>
          <w:szCs w:val="18"/>
          <w:lang w:eastAsia="zh-CN"/>
        </w:rPr>
        <w:t>verandering</w:t>
      </w:r>
      <w:r w:rsidR="003B4CB4" w:rsidRPr="00063E70">
        <w:rPr>
          <w:szCs w:val="18"/>
          <w:lang w:eastAsia="zh-CN"/>
        </w:rPr>
        <w:t>”</w:t>
      </w:r>
      <w:r w:rsidR="005D3322" w:rsidRPr="00063E70">
        <w:rPr>
          <w:szCs w:val="18"/>
          <w:lang w:eastAsia="zh-CN"/>
        </w:rPr>
        <w:t xml:space="preserve"> gegeven. </w:t>
      </w:r>
      <w:r w:rsidR="00EE1DC0" w:rsidRPr="00063E70">
        <w:rPr>
          <w:szCs w:val="18"/>
          <w:lang w:eastAsia="zh-CN"/>
        </w:rPr>
        <w:t>Beleidsmatige r</w:t>
      </w:r>
      <w:r w:rsidR="005D3322" w:rsidRPr="00063E70">
        <w:rPr>
          <w:szCs w:val="18"/>
          <w:lang w:eastAsia="zh-CN"/>
        </w:rPr>
        <w:t xml:space="preserve">elevantie </w:t>
      </w:r>
      <w:r w:rsidR="00EE1DC0" w:rsidRPr="00063E70">
        <w:rPr>
          <w:szCs w:val="18"/>
          <w:lang w:eastAsia="zh-CN"/>
        </w:rPr>
        <w:t>en impact</w:t>
      </w:r>
      <w:r w:rsidR="00770864" w:rsidRPr="00063E70">
        <w:rPr>
          <w:szCs w:val="18"/>
          <w:lang w:eastAsia="zh-CN"/>
        </w:rPr>
        <w:t xml:space="preserve"> (resultaten)</w:t>
      </w:r>
      <w:r w:rsidR="00EE1DC0" w:rsidRPr="00063E70">
        <w:rPr>
          <w:szCs w:val="18"/>
          <w:lang w:eastAsia="zh-CN"/>
        </w:rPr>
        <w:t xml:space="preserve"> worden </w:t>
      </w:r>
      <w:r w:rsidR="005D3322" w:rsidRPr="00063E70">
        <w:rPr>
          <w:szCs w:val="18"/>
          <w:lang w:eastAsia="zh-CN"/>
        </w:rPr>
        <w:t>aangeduid met de kwalificaties relevant, beperkt relevant en niet relevant. Een samenvatting van al deze scores is te vind</w:t>
      </w:r>
      <w:r w:rsidR="005A463A" w:rsidRPr="00063E70">
        <w:rPr>
          <w:szCs w:val="18"/>
          <w:lang w:eastAsia="zh-CN"/>
        </w:rPr>
        <w:t>en in de tabellen in hoofdstuk 5</w:t>
      </w:r>
      <w:r w:rsidR="005D3322" w:rsidRPr="00063E70">
        <w:rPr>
          <w:szCs w:val="18"/>
          <w:lang w:eastAsia="zh-CN"/>
        </w:rPr>
        <w:t>.</w:t>
      </w:r>
    </w:p>
    <w:p w14:paraId="08727705" w14:textId="149EB23C" w:rsidR="005150FC" w:rsidRPr="00063E70" w:rsidRDefault="005150FC" w:rsidP="005150FC">
      <w:pPr>
        <w:shd w:val="clear" w:color="auto" w:fill="FFFFFF"/>
        <w:spacing w:before="100" w:beforeAutospacing="1" w:after="100" w:afterAutospacing="1" w:line="240" w:lineRule="auto"/>
        <w:rPr>
          <w:szCs w:val="18"/>
          <w:lang w:eastAsia="zh-CN"/>
        </w:rPr>
      </w:pPr>
      <w:r w:rsidRPr="00063E70">
        <w:rPr>
          <w:szCs w:val="18"/>
          <w:lang w:eastAsia="zh-CN"/>
        </w:rPr>
        <w:t xml:space="preserve">De scorecards zijn samengesteld op basis van rapportages van de organisatie zelf, van de </w:t>
      </w:r>
      <w:r w:rsidRPr="00063E70">
        <w:rPr>
          <w:i/>
          <w:szCs w:val="18"/>
          <w:lang w:eastAsia="zh-CN"/>
        </w:rPr>
        <w:t>Board of Auditors</w:t>
      </w:r>
      <w:r w:rsidRPr="00063E70">
        <w:rPr>
          <w:szCs w:val="18"/>
          <w:lang w:eastAsia="zh-CN"/>
        </w:rPr>
        <w:t>, interne en externe evaluaties</w:t>
      </w:r>
      <w:r w:rsidR="00AC567F" w:rsidRPr="00063E70">
        <w:rPr>
          <w:szCs w:val="18"/>
          <w:lang w:eastAsia="zh-CN"/>
        </w:rPr>
        <w:t>,</w:t>
      </w:r>
      <w:r w:rsidRPr="00063E70">
        <w:rPr>
          <w:szCs w:val="18"/>
          <w:lang w:eastAsia="zh-CN"/>
        </w:rPr>
        <w:t xml:space="preserve"> beoordelingen door andere donoren en van het </w:t>
      </w:r>
      <w:r w:rsidRPr="00063E70">
        <w:rPr>
          <w:i/>
          <w:szCs w:val="18"/>
          <w:lang w:eastAsia="zh-CN"/>
        </w:rPr>
        <w:t>Multilateral Organisations Performance Assessment Network</w:t>
      </w:r>
      <w:r w:rsidRPr="00063E70">
        <w:rPr>
          <w:szCs w:val="18"/>
          <w:lang w:eastAsia="zh-CN"/>
        </w:rPr>
        <w:t xml:space="preserve"> (MOPAN).</w:t>
      </w:r>
      <w:r w:rsidR="00A13274" w:rsidRPr="00063E70">
        <w:rPr>
          <w:rStyle w:val="FootnoteReference"/>
          <w:szCs w:val="18"/>
          <w:lang w:eastAsia="zh-CN"/>
        </w:rPr>
        <w:footnoteReference w:id="1"/>
      </w:r>
      <w:r w:rsidRPr="00063E70">
        <w:rPr>
          <w:szCs w:val="18"/>
          <w:lang w:eastAsia="zh-CN"/>
        </w:rPr>
        <w:t xml:space="preserve"> Daarnaast wordt om de input gevraagd van betrokken vakdepartementen, de Permanente Vertegenwoordigingen en Kiesgroepkantoren. Ook </w:t>
      </w:r>
      <w:r w:rsidR="004E60C0" w:rsidRPr="00063E70">
        <w:rPr>
          <w:szCs w:val="18"/>
          <w:lang w:eastAsia="zh-CN"/>
        </w:rPr>
        <w:t xml:space="preserve">informatie </w:t>
      </w:r>
      <w:r w:rsidRPr="00063E70">
        <w:rPr>
          <w:szCs w:val="18"/>
          <w:lang w:eastAsia="zh-CN"/>
        </w:rPr>
        <w:t xml:space="preserve">van ambassades over het functioneren van landenkantoren van multilaterale instellingen zijn in de scorecard </w:t>
      </w:r>
      <w:r w:rsidR="00710978" w:rsidRPr="00063E70">
        <w:rPr>
          <w:szCs w:val="18"/>
          <w:lang w:eastAsia="zh-CN"/>
        </w:rPr>
        <w:t>verwerkt</w:t>
      </w:r>
      <w:r w:rsidRPr="00063E70">
        <w:rPr>
          <w:szCs w:val="18"/>
          <w:lang w:eastAsia="zh-CN"/>
        </w:rPr>
        <w:t xml:space="preserve">. </w:t>
      </w:r>
      <w:proofErr w:type="gramStart"/>
      <w:r w:rsidR="00AC567F" w:rsidRPr="00063E70">
        <w:rPr>
          <w:szCs w:val="18"/>
          <w:lang w:eastAsia="zh-CN"/>
        </w:rPr>
        <w:t>De</w:t>
      </w:r>
      <w:proofErr w:type="gramEnd"/>
      <w:r w:rsidR="00AC567F" w:rsidRPr="00063E70">
        <w:rPr>
          <w:szCs w:val="18"/>
          <w:lang w:eastAsia="zh-CN"/>
        </w:rPr>
        <w:t xml:space="preserve"> s</w:t>
      </w:r>
      <w:r w:rsidRPr="00063E70">
        <w:rPr>
          <w:szCs w:val="18"/>
          <w:lang w:eastAsia="zh-CN"/>
        </w:rPr>
        <w:t xml:space="preserve">corecards worden </w:t>
      </w:r>
      <w:r w:rsidR="002633CA" w:rsidRPr="00063E70">
        <w:rPr>
          <w:szCs w:val="18"/>
          <w:lang w:eastAsia="zh-CN"/>
        </w:rPr>
        <w:t xml:space="preserve">iedere twee jaar </w:t>
      </w:r>
      <w:r w:rsidRPr="00063E70">
        <w:rPr>
          <w:szCs w:val="18"/>
          <w:lang w:eastAsia="zh-CN"/>
        </w:rPr>
        <w:t>geactualiseerd</w:t>
      </w:r>
      <w:r w:rsidR="002C77AF" w:rsidRPr="00063E70">
        <w:rPr>
          <w:szCs w:val="18"/>
          <w:lang w:eastAsia="zh-CN"/>
        </w:rPr>
        <w:t>.</w:t>
      </w:r>
      <w:r w:rsidRPr="00063E70">
        <w:rPr>
          <w:szCs w:val="18"/>
          <w:lang w:eastAsia="zh-CN"/>
        </w:rPr>
        <w:t xml:space="preserve"> </w:t>
      </w:r>
    </w:p>
    <w:p w14:paraId="2A4CB0BA" w14:textId="77777777" w:rsidR="00307981" w:rsidRPr="00063E70" w:rsidRDefault="00307981" w:rsidP="00307981">
      <w:pPr>
        <w:rPr>
          <w:szCs w:val="18"/>
        </w:rPr>
      </w:pPr>
    </w:p>
    <w:p w14:paraId="5B2499B8" w14:textId="77777777" w:rsidR="00D745A7" w:rsidRPr="00C23A4B" w:rsidRDefault="00F24A31" w:rsidP="00F24A31">
      <w:pPr>
        <w:pStyle w:val="Heading1"/>
        <w:tabs>
          <w:tab w:val="num" w:pos="0"/>
        </w:tabs>
        <w:spacing w:after="240" w:line="240" w:lineRule="auto"/>
        <w:ind w:hanging="1162"/>
        <w:rPr>
          <w:szCs w:val="24"/>
        </w:rPr>
      </w:pPr>
      <w:bookmarkStart w:id="15" w:name="_Toc410397623"/>
      <w:r w:rsidRPr="00C23A4B">
        <w:rPr>
          <w:szCs w:val="24"/>
        </w:rPr>
        <w:t xml:space="preserve">2 </w:t>
      </w:r>
      <w:r w:rsidRPr="00C23A4B">
        <w:rPr>
          <w:szCs w:val="24"/>
        </w:rPr>
        <w:tab/>
      </w:r>
      <w:r w:rsidR="00D745A7" w:rsidRPr="00C23A4B">
        <w:rPr>
          <w:szCs w:val="24"/>
        </w:rPr>
        <w:t>Algemene achtergrond</w:t>
      </w:r>
      <w:bookmarkEnd w:id="15"/>
    </w:p>
    <w:p w14:paraId="262A19E3" w14:textId="77777777" w:rsidR="00F24A31" w:rsidRPr="00063E70" w:rsidRDefault="00F24A31" w:rsidP="00F24A31">
      <w:pPr>
        <w:rPr>
          <w:szCs w:val="18"/>
        </w:rPr>
      </w:pPr>
    </w:p>
    <w:p w14:paraId="382FDE79" w14:textId="485D7FF4" w:rsidR="002E33FB" w:rsidRPr="00063E70" w:rsidRDefault="00C23A4B" w:rsidP="00D870A9">
      <w:pPr>
        <w:pStyle w:val="Heading2"/>
        <w:numPr>
          <w:ilvl w:val="1"/>
          <w:numId w:val="21"/>
        </w:numPr>
        <w:tabs>
          <w:tab w:val="left" w:pos="-1162"/>
          <w:tab w:val="left" w:pos="0"/>
        </w:tabs>
        <w:spacing w:line="240" w:lineRule="auto"/>
        <w:rPr>
          <w:szCs w:val="18"/>
        </w:rPr>
      </w:pPr>
      <w:bookmarkStart w:id="16" w:name="_Toc410397624"/>
      <w:r>
        <w:rPr>
          <w:szCs w:val="18"/>
        </w:rPr>
        <w:tab/>
      </w:r>
      <w:r w:rsidR="0055776D" w:rsidRPr="00063E70">
        <w:rPr>
          <w:szCs w:val="18"/>
        </w:rPr>
        <w:t>Doelstelling</w:t>
      </w:r>
      <w:r w:rsidR="00FC6EC6" w:rsidRPr="00063E70">
        <w:rPr>
          <w:szCs w:val="18"/>
        </w:rPr>
        <w:t xml:space="preserve"> en toegevoegde waarde</w:t>
      </w:r>
      <w:bookmarkEnd w:id="16"/>
    </w:p>
    <w:p w14:paraId="1F76ACF6" w14:textId="274E3F2F" w:rsidR="00A6217B" w:rsidRPr="00063E70" w:rsidRDefault="002E33FB" w:rsidP="002E33FB">
      <w:pPr>
        <w:rPr>
          <w:szCs w:val="18"/>
        </w:rPr>
      </w:pPr>
      <w:r w:rsidRPr="00063E70">
        <w:rPr>
          <w:szCs w:val="18"/>
        </w:rPr>
        <w:t xml:space="preserve">De </w:t>
      </w:r>
      <w:r w:rsidRPr="00063E70">
        <w:rPr>
          <w:i/>
          <w:szCs w:val="18"/>
        </w:rPr>
        <w:t>European Bank for Reconstruction and Development</w:t>
      </w:r>
      <w:r w:rsidRPr="00063E70">
        <w:rPr>
          <w:szCs w:val="18"/>
        </w:rPr>
        <w:t xml:space="preserve"> (EBRD) is op 29 mei 1990 opgericht met als doel het bevorderen van </w:t>
      </w:r>
      <w:r w:rsidR="00F3110B" w:rsidRPr="00063E70">
        <w:rPr>
          <w:szCs w:val="18"/>
        </w:rPr>
        <w:t xml:space="preserve">een </w:t>
      </w:r>
      <w:r w:rsidRPr="00063E70">
        <w:rPr>
          <w:szCs w:val="18"/>
        </w:rPr>
        <w:t xml:space="preserve">transitie naar een open markteconomie </w:t>
      </w:r>
      <w:r w:rsidR="00F3110B" w:rsidRPr="00063E70">
        <w:rPr>
          <w:szCs w:val="18"/>
        </w:rPr>
        <w:t>en privaat ondernemerschap in</w:t>
      </w:r>
      <w:r w:rsidRPr="00063E70">
        <w:rPr>
          <w:szCs w:val="18"/>
        </w:rPr>
        <w:t xml:space="preserve"> landen in Centraal- en Oost-Europa</w:t>
      </w:r>
      <w:r w:rsidR="0016579F" w:rsidRPr="00063E70">
        <w:rPr>
          <w:szCs w:val="18"/>
        </w:rPr>
        <w:t>.</w:t>
      </w:r>
      <w:r w:rsidRPr="00063E70">
        <w:rPr>
          <w:szCs w:val="18"/>
        </w:rPr>
        <w:t xml:space="preserve"> </w:t>
      </w:r>
      <w:proofErr w:type="gramStart"/>
      <w:r w:rsidR="00BF7A15" w:rsidRPr="00063E70">
        <w:rPr>
          <w:szCs w:val="18"/>
        </w:rPr>
        <w:t>Inmiddels</w:t>
      </w:r>
      <w:proofErr w:type="gramEnd"/>
      <w:r w:rsidR="00BF7A15" w:rsidRPr="00063E70">
        <w:rPr>
          <w:szCs w:val="18"/>
        </w:rPr>
        <w:t xml:space="preserve"> is het geografische </w:t>
      </w:r>
      <w:r w:rsidR="00965779">
        <w:rPr>
          <w:szCs w:val="18"/>
        </w:rPr>
        <w:t>mandaat van de B</w:t>
      </w:r>
      <w:r w:rsidR="00A6217B" w:rsidRPr="00063E70">
        <w:rPr>
          <w:szCs w:val="18"/>
        </w:rPr>
        <w:t xml:space="preserve">ank uitgebreid en is </w:t>
      </w:r>
      <w:r w:rsidR="00275DD6" w:rsidRPr="00063E70">
        <w:rPr>
          <w:szCs w:val="18"/>
        </w:rPr>
        <w:t xml:space="preserve">de </w:t>
      </w:r>
      <w:r w:rsidR="00965779">
        <w:rPr>
          <w:szCs w:val="18"/>
        </w:rPr>
        <w:t>B</w:t>
      </w:r>
      <w:r w:rsidR="00275DD6" w:rsidRPr="00063E70">
        <w:rPr>
          <w:szCs w:val="18"/>
        </w:rPr>
        <w:t xml:space="preserve">ank </w:t>
      </w:r>
      <w:r w:rsidR="00C85EDE" w:rsidRPr="00063E70">
        <w:rPr>
          <w:szCs w:val="18"/>
        </w:rPr>
        <w:t>o</w:t>
      </w:r>
      <w:r w:rsidR="00965779">
        <w:rPr>
          <w:szCs w:val="18"/>
        </w:rPr>
        <w:t>ok actief in landen in Centraal-</w:t>
      </w:r>
      <w:r w:rsidR="005C7F36" w:rsidRPr="00063E70">
        <w:rPr>
          <w:szCs w:val="18"/>
        </w:rPr>
        <w:t>Azië</w:t>
      </w:r>
      <w:r w:rsidR="00A6217B" w:rsidRPr="00063E70">
        <w:rPr>
          <w:szCs w:val="18"/>
        </w:rPr>
        <w:t xml:space="preserve"> en de Zuidelijke en Oostelijke Mediterrane regio. </w:t>
      </w:r>
    </w:p>
    <w:p w14:paraId="26D62D83" w14:textId="77777777" w:rsidR="0026088E" w:rsidRPr="00063E70" w:rsidRDefault="0026088E" w:rsidP="002E33FB">
      <w:pPr>
        <w:rPr>
          <w:szCs w:val="18"/>
        </w:rPr>
      </w:pPr>
    </w:p>
    <w:p w14:paraId="019CD3C2" w14:textId="661C98A5" w:rsidR="00C85EDE" w:rsidRPr="00565639" w:rsidRDefault="002E33FB" w:rsidP="002E33FB">
      <w:pPr>
        <w:rPr>
          <w:szCs w:val="18"/>
        </w:rPr>
      </w:pPr>
      <w:r w:rsidRPr="00565639">
        <w:rPr>
          <w:szCs w:val="18"/>
        </w:rPr>
        <w:t xml:space="preserve">De EBRD verschilt van andere </w:t>
      </w:r>
      <w:r w:rsidR="00F92015">
        <w:rPr>
          <w:szCs w:val="18"/>
        </w:rPr>
        <w:t>Internationale Financiële Instellingen (</w:t>
      </w:r>
      <w:r w:rsidRPr="00565639">
        <w:rPr>
          <w:szCs w:val="18"/>
        </w:rPr>
        <w:t>IFI’s</w:t>
      </w:r>
      <w:r w:rsidR="00F92015">
        <w:rPr>
          <w:szCs w:val="18"/>
        </w:rPr>
        <w:t>)</w:t>
      </w:r>
      <w:r w:rsidRPr="00565639">
        <w:rPr>
          <w:szCs w:val="18"/>
        </w:rPr>
        <w:t xml:space="preserve"> door haar politieke mandaat.</w:t>
      </w:r>
      <w:r w:rsidR="00A6217B" w:rsidRPr="00565639">
        <w:rPr>
          <w:szCs w:val="18"/>
        </w:rPr>
        <w:t xml:space="preserve"> </w:t>
      </w:r>
      <w:r w:rsidR="00C85EDE" w:rsidRPr="00565639">
        <w:rPr>
          <w:szCs w:val="18"/>
        </w:rPr>
        <w:t>De bank assisteert alleen landen welke ‘</w:t>
      </w:r>
      <w:r w:rsidR="00C75B28" w:rsidRPr="00565639">
        <w:rPr>
          <w:szCs w:val="18"/>
        </w:rPr>
        <w:t>gecommitteerd</w:t>
      </w:r>
      <w:r w:rsidR="00C85EDE" w:rsidRPr="00565639">
        <w:rPr>
          <w:szCs w:val="18"/>
        </w:rPr>
        <w:t xml:space="preserve"> zijn en uitvoering geven aan de principes van een meerpar</w:t>
      </w:r>
      <w:r w:rsidR="0016579F" w:rsidRPr="00565639">
        <w:rPr>
          <w:szCs w:val="18"/>
        </w:rPr>
        <w:t xml:space="preserve">tijendemocratie en pluralisme’. </w:t>
      </w:r>
    </w:p>
    <w:p w14:paraId="787472CB" w14:textId="46028790" w:rsidR="00D745A7" w:rsidRPr="00565639" w:rsidRDefault="00C23A4B" w:rsidP="009C4AAC">
      <w:pPr>
        <w:pStyle w:val="Heading2"/>
        <w:numPr>
          <w:ilvl w:val="1"/>
          <w:numId w:val="21"/>
        </w:numPr>
        <w:tabs>
          <w:tab w:val="left" w:pos="-1162"/>
          <w:tab w:val="left" w:pos="0"/>
        </w:tabs>
        <w:spacing w:line="240" w:lineRule="auto"/>
        <w:rPr>
          <w:szCs w:val="18"/>
        </w:rPr>
      </w:pPr>
      <w:bookmarkStart w:id="17" w:name="_Toc410397625"/>
      <w:r>
        <w:rPr>
          <w:szCs w:val="18"/>
        </w:rPr>
        <w:tab/>
      </w:r>
      <w:r w:rsidR="00D745A7" w:rsidRPr="00565639">
        <w:rPr>
          <w:szCs w:val="18"/>
        </w:rPr>
        <w:t>Organisatie, werkwijze en activiteiten</w:t>
      </w:r>
      <w:bookmarkEnd w:id="17"/>
    </w:p>
    <w:p w14:paraId="2664D43A" w14:textId="77777777" w:rsidR="00D43E77" w:rsidRPr="00565639" w:rsidRDefault="005C7F36" w:rsidP="000A6077">
      <w:pPr>
        <w:rPr>
          <w:szCs w:val="18"/>
        </w:rPr>
      </w:pPr>
      <w:r w:rsidRPr="00565639">
        <w:rPr>
          <w:szCs w:val="18"/>
        </w:rPr>
        <w:t>De EBRD heeft 66</w:t>
      </w:r>
      <w:r w:rsidR="00D43E77" w:rsidRPr="00565639">
        <w:rPr>
          <w:szCs w:val="18"/>
        </w:rPr>
        <w:t xml:space="preserve"> aandeelhouders: 64 landen en 2 instellingen (de Europese Unie</w:t>
      </w:r>
    </w:p>
    <w:p w14:paraId="052E8B77" w14:textId="404DDB4A" w:rsidR="00D43E77" w:rsidRPr="00063E70" w:rsidRDefault="00D43E77" w:rsidP="000A6077">
      <w:pPr>
        <w:rPr>
          <w:szCs w:val="18"/>
        </w:rPr>
      </w:pPr>
      <w:proofErr w:type="gramStart"/>
      <w:r w:rsidRPr="00565639">
        <w:rPr>
          <w:szCs w:val="18"/>
        </w:rPr>
        <w:t>en</w:t>
      </w:r>
      <w:proofErr w:type="gramEnd"/>
      <w:r w:rsidRPr="00565639">
        <w:rPr>
          <w:szCs w:val="18"/>
        </w:rPr>
        <w:t xml:space="preserve"> de Europese Investeringsbank, EIB). Zij zijn vertegenwoordigd in de Raad van Gouverneurs, het hoogste besluitvormende orgaan van de Bank. De Raad van Gouverneurs komt één maal per jaar bijeen. De Raad van Gouverneurs benoemt en ontslaat de President van de EBRD, maar heeft zijn bevoegdheden grotendeels</w:t>
      </w:r>
      <w:r w:rsidRPr="00063E70">
        <w:rPr>
          <w:szCs w:val="18"/>
        </w:rPr>
        <w:t xml:space="preserve"> gedelegeerd aan de Raad van Bewindvoerders</w:t>
      </w:r>
      <w:r w:rsidR="00B86B6D">
        <w:rPr>
          <w:szCs w:val="18"/>
        </w:rPr>
        <w:t xml:space="preserve"> (de Raad)</w:t>
      </w:r>
      <w:r w:rsidRPr="00063E70">
        <w:rPr>
          <w:szCs w:val="18"/>
        </w:rPr>
        <w:t xml:space="preserve">, die 23 leden telt. </w:t>
      </w:r>
      <w:r w:rsidR="0099410E">
        <w:rPr>
          <w:szCs w:val="18"/>
        </w:rPr>
        <w:t>Een paar</w:t>
      </w:r>
      <w:r w:rsidRPr="00063E70">
        <w:rPr>
          <w:szCs w:val="18"/>
        </w:rPr>
        <w:t xml:space="preserve"> grote</w:t>
      </w:r>
      <w:r w:rsidR="0099410E">
        <w:rPr>
          <w:szCs w:val="18"/>
        </w:rPr>
        <w:t xml:space="preserve">re lidstaten en de </w:t>
      </w:r>
      <w:r w:rsidRPr="00063E70">
        <w:rPr>
          <w:szCs w:val="18"/>
        </w:rPr>
        <w:t>EU en EIB hebben een eigen bewindvoerder in deze Raad. De andere stoelen worden bezet door een bewindvoerder die e</w:t>
      </w:r>
      <w:r w:rsidR="004B1389">
        <w:rPr>
          <w:szCs w:val="18"/>
        </w:rPr>
        <w:t xml:space="preserve">en groep landen </w:t>
      </w:r>
      <w:r w:rsidR="00F92015">
        <w:rPr>
          <w:szCs w:val="18"/>
        </w:rPr>
        <w:t>vertegenwoordigd</w:t>
      </w:r>
      <w:r w:rsidRPr="00063E70">
        <w:rPr>
          <w:szCs w:val="18"/>
        </w:rPr>
        <w:t xml:space="preserve">. De Raad stelt de hoofdlijnen van het beleid vast met inbegrip van de begroting en keurt voorstellen voor participaties en leningen goed. Het stemaandeel van een land wordt bepaald door het aandeel in het kapitaal van de Bank. De Raad kan beslissingen nemen op basis van stemming maar besluit doorgaans </w:t>
      </w:r>
      <w:r w:rsidR="0099410E">
        <w:rPr>
          <w:szCs w:val="18"/>
        </w:rPr>
        <w:t>op basis van</w:t>
      </w:r>
      <w:r w:rsidRPr="00063E70">
        <w:rPr>
          <w:szCs w:val="18"/>
        </w:rPr>
        <w:t xml:space="preserve"> consensus. </w:t>
      </w:r>
    </w:p>
    <w:p w14:paraId="65A91843" w14:textId="77777777" w:rsidR="00262384" w:rsidRPr="00063E70" w:rsidRDefault="00262384" w:rsidP="000A6077">
      <w:pPr>
        <w:ind w:left="121"/>
        <w:rPr>
          <w:szCs w:val="18"/>
        </w:rPr>
      </w:pPr>
    </w:p>
    <w:p w14:paraId="2314BFD9" w14:textId="6D47426A" w:rsidR="00744822" w:rsidRPr="00063E70" w:rsidRDefault="00262384" w:rsidP="000A6077">
      <w:pPr>
        <w:rPr>
          <w:szCs w:val="18"/>
        </w:rPr>
      </w:pPr>
      <w:r w:rsidRPr="00063E70">
        <w:rPr>
          <w:szCs w:val="18"/>
        </w:rPr>
        <w:t xml:space="preserve">Het dagelijkse bestuur van de Bank is opgedragen aan de President van de EBRD, sinds 3 juli 2012 </w:t>
      </w:r>
      <w:r w:rsidR="0099410E">
        <w:rPr>
          <w:szCs w:val="18"/>
        </w:rPr>
        <w:t xml:space="preserve">de Britse </w:t>
      </w:r>
      <w:r w:rsidRPr="00063E70">
        <w:rPr>
          <w:szCs w:val="18"/>
        </w:rPr>
        <w:t xml:space="preserve">Sir Suma Chakrabarti. De President wordt gekozen voor een periode van vier jaar. </w:t>
      </w:r>
      <w:r w:rsidR="00B86B6D">
        <w:rPr>
          <w:szCs w:val="18"/>
        </w:rPr>
        <w:t xml:space="preserve">Het hoofdkantoor </w:t>
      </w:r>
      <w:r w:rsidRPr="00063E70">
        <w:rPr>
          <w:szCs w:val="18"/>
        </w:rPr>
        <w:t>van de EBRD be</w:t>
      </w:r>
      <w:r w:rsidR="000E7C7F">
        <w:rPr>
          <w:szCs w:val="18"/>
        </w:rPr>
        <w:t xml:space="preserve">vindt zich in Londen. In de 36 ontvangende </w:t>
      </w:r>
      <w:r w:rsidRPr="00063E70">
        <w:rPr>
          <w:szCs w:val="18"/>
        </w:rPr>
        <w:t xml:space="preserve">landen heeft de Bank 39 regionale kantoren. De </w:t>
      </w:r>
      <w:r w:rsidR="0099410E">
        <w:rPr>
          <w:szCs w:val="18"/>
        </w:rPr>
        <w:t>Bank heeft 1781 personeelsleden. Daarvan zijn er 1352 werkzaam op het hoofdkantoor en 429 bij</w:t>
      </w:r>
      <w:r w:rsidRPr="00063E70">
        <w:rPr>
          <w:szCs w:val="18"/>
        </w:rPr>
        <w:t xml:space="preserve"> de regionale kantoren. De regionale kantoren zijn de ‘</w:t>
      </w:r>
      <w:r w:rsidRPr="00F92015">
        <w:rPr>
          <w:i/>
          <w:szCs w:val="18"/>
        </w:rPr>
        <w:t>eyes and ears</w:t>
      </w:r>
      <w:r w:rsidRPr="00063E70">
        <w:rPr>
          <w:szCs w:val="18"/>
        </w:rPr>
        <w:t xml:space="preserve">’ van de Bank in de </w:t>
      </w:r>
      <w:r w:rsidR="0099410E">
        <w:rPr>
          <w:szCs w:val="18"/>
        </w:rPr>
        <w:t>ontvangende landen</w:t>
      </w:r>
      <w:r w:rsidRPr="00063E70">
        <w:rPr>
          <w:szCs w:val="18"/>
        </w:rPr>
        <w:t xml:space="preserve">, </w:t>
      </w:r>
      <w:r w:rsidR="0099410E">
        <w:rPr>
          <w:szCs w:val="18"/>
        </w:rPr>
        <w:t xml:space="preserve">zij </w:t>
      </w:r>
      <w:r w:rsidRPr="00063E70">
        <w:rPr>
          <w:szCs w:val="18"/>
        </w:rPr>
        <w:t>kennen de lokale zakelijke wereld, genereren projecten en blijven op de hoogte</w:t>
      </w:r>
      <w:r w:rsidR="008C13F5">
        <w:rPr>
          <w:szCs w:val="18"/>
        </w:rPr>
        <w:t xml:space="preserve"> van</w:t>
      </w:r>
      <w:r w:rsidRPr="00063E70">
        <w:rPr>
          <w:szCs w:val="18"/>
        </w:rPr>
        <w:t xml:space="preserve"> lo</w:t>
      </w:r>
      <w:r w:rsidR="00744822" w:rsidRPr="00063E70">
        <w:rPr>
          <w:szCs w:val="18"/>
        </w:rPr>
        <w:t>kale ontwikkelingen.</w:t>
      </w:r>
    </w:p>
    <w:p w14:paraId="6E10A4D2" w14:textId="77777777" w:rsidR="00832B2A" w:rsidRPr="00063E70" w:rsidRDefault="00832B2A" w:rsidP="000A6077">
      <w:pPr>
        <w:ind w:left="348"/>
        <w:rPr>
          <w:szCs w:val="18"/>
        </w:rPr>
      </w:pPr>
    </w:p>
    <w:p w14:paraId="0F9006F3" w14:textId="203A78CD" w:rsidR="00E34B05" w:rsidRDefault="00832B2A" w:rsidP="000A6077">
      <w:pPr>
        <w:rPr>
          <w:szCs w:val="18"/>
        </w:rPr>
      </w:pPr>
      <w:r w:rsidRPr="00063E70">
        <w:rPr>
          <w:szCs w:val="18"/>
        </w:rPr>
        <w:t>De B</w:t>
      </w:r>
      <w:r w:rsidR="002361A0" w:rsidRPr="00063E70">
        <w:rPr>
          <w:szCs w:val="18"/>
        </w:rPr>
        <w:t xml:space="preserve">ank </w:t>
      </w:r>
      <w:r w:rsidR="00AA6CB7" w:rsidRPr="00063E70">
        <w:rPr>
          <w:szCs w:val="18"/>
        </w:rPr>
        <w:t>werkt met een vijfjarig strategisch kader.</w:t>
      </w:r>
      <w:r w:rsidR="002361A0" w:rsidRPr="00063E70">
        <w:rPr>
          <w:szCs w:val="18"/>
        </w:rPr>
        <w:t xml:space="preserve"> </w:t>
      </w:r>
      <w:r w:rsidR="00E34B05" w:rsidRPr="00063E70">
        <w:rPr>
          <w:szCs w:val="18"/>
        </w:rPr>
        <w:t xml:space="preserve">Binnen het overkoepelende mandaat van het stimuleren van een transitie naar een markteconomie en het stimuleren van een goed ondernemersklimaat </w:t>
      </w:r>
      <w:r w:rsidR="0099410E">
        <w:rPr>
          <w:szCs w:val="18"/>
        </w:rPr>
        <w:t xml:space="preserve">heeft de Bank voor de periode 2016-2020 de volgende </w:t>
      </w:r>
      <w:r w:rsidR="00E34B05" w:rsidRPr="00063E70">
        <w:rPr>
          <w:szCs w:val="18"/>
        </w:rPr>
        <w:t xml:space="preserve">beleidsprioriteiten </w:t>
      </w:r>
      <w:r w:rsidR="00E8168C">
        <w:rPr>
          <w:szCs w:val="18"/>
        </w:rPr>
        <w:t>geformuleerd</w:t>
      </w:r>
      <w:r w:rsidR="00224A7F" w:rsidRPr="00063E70">
        <w:rPr>
          <w:szCs w:val="18"/>
        </w:rPr>
        <w:t>:</w:t>
      </w:r>
    </w:p>
    <w:p w14:paraId="23675918" w14:textId="2CE9AAEF" w:rsidR="00685D3E" w:rsidRDefault="00685D3E" w:rsidP="00C23A4B">
      <w:pPr>
        <w:numPr>
          <w:ilvl w:val="0"/>
          <w:numId w:val="43"/>
        </w:numPr>
        <w:rPr>
          <w:szCs w:val="18"/>
        </w:rPr>
      </w:pPr>
      <w:r>
        <w:rPr>
          <w:szCs w:val="18"/>
        </w:rPr>
        <w:t>Werken aan de bestendigheid van hervormingen</w:t>
      </w:r>
      <w:r w:rsidR="00B86B6D">
        <w:rPr>
          <w:szCs w:val="18"/>
        </w:rPr>
        <w:t>;</w:t>
      </w:r>
    </w:p>
    <w:p w14:paraId="4ED1A5C4" w14:textId="4E0165C5" w:rsidR="00685D3E" w:rsidRDefault="008946B4" w:rsidP="00C23A4B">
      <w:pPr>
        <w:numPr>
          <w:ilvl w:val="0"/>
          <w:numId w:val="43"/>
        </w:numPr>
        <w:rPr>
          <w:szCs w:val="18"/>
        </w:rPr>
      </w:pPr>
      <w:r>
        <w:rPr>
          <w:szCs w:val="18"/>
        </w:rPr>
        <w:t xml:space="preserve">Stimuleren </w:t>
      </w:r>
      <w:r w:rsidR="00C503CC">
        <w:rPr>
          <w:szCs w:val="18"/>
        </w:rPr>
        <w:t xml:space="preserve">van </w:t>
      </w:r>
      <w:r>
        <w:rPr>
          <w:szCs w:val="18"/>
        </w:rPr>
        <w:t>internationale en regionale integ</w:t>
      </w:r>
      <w:r w:rsidR="00B86B6D">
        <w:rPr>
          <w:szCs w:val="18"/>
        </w:rPr>
        <w:t>ratie voor efficiëntere markten;</w:t>
      </w:r>
    </w:p>
    <w:p w14:paraId="5BD124F2" w14:textId="787845DF" w:rsidR="008946B4" w:rsidRPr="00685D3E" w:rsidRDefault="008946B4" w:rsidP="00C23A4B">
      <w:pPr>
        <w:numPr>
          <w:ilvl w:val="0"/>
          <w:numId w:val="43"/>
        </w:numPr>
        <w:rPr>
          <w:szCs w:val="18"/>
        </w:rPr>
      </w:pPr>
      <w:r>
        <w:rPr>
          <w:szCs w:val="18"/>
        </w:rPr>
        <w:t xml:space="preserve">Aanpak van gemeenschappelijke internationale en regionale uitdagingen als </w:t>
      </w:r>
      <w:r w:rsidR="00547488">
        <w:rPr>
          <w:szCs w:val="18"/>
        </w:rPr>
        <w:t>klimaatverandering, energie- en voedselzekerheid.</w:t>
      </w:r>
    </w:p>
    <w:p w14:paraId="01834277" w14:textId="77777777" w:rsidR="00E34B05" w:rsidRPr="00063E70" w:rsidRDefault="00E34B05" w:rsidP="00C503CC">
      <w:pPr>
        <w:rPr>
          <w:szCs w:val="18"/>
        </w:rPr>
      </w:pPr>
    </w:p>
    <w:p w14:paraId="23998DF3" w14:textId="539ED96E" w:rsidR="00E34B05" w:rsidRPr="00063E70" w:rsidRDefault="00832B2A" w:rsidP="000A6077">
      <w:pPr>
        <w:rPr>
          <w:szCs w:val="18"/>
        </w:rPr>
      </w:pPr>
      <w:r w:rsidRPr="00063E70">
        <w:rPr>
          <w:szCs w:val="18"/>
        </w:rPr>
        <w:t>De b</w:t>
      </w:r>
      <w:r w:rsidR="0076252A" w:rsidRPr="00063E70">
        <w:rPr>
          <w:szCs w:val="18"/>
        </w:rPr>
        <w:t>elangrijkste o</w:t>
      </w:r>
      <w:r w:rsidR="00E34B05" w:rsidRPr="00063E70">
        <w:rPr>
          <w:szCs w:val="18"/>
        </w:rPr>
        <w:t>perationele doelstellingen</w:t>
      </w:r>
      <w:r w:rsidR="0076252A" w:rsidRPr="00063E70">
        <w:rPr>
          <w:szCs w:val="18"/>
        </w:rPr>
        <w:t xml:space="preserve"> voor 2015</w:t>
      </w:r>
      <w:r w:rsidR="00AA6CB7" w:rsidRPr="00063E70">
        <w:rPr>
          <w:szCs w:val="18"/>
        </w:rPr>
        <w:t xml:space="preserve"> </w:t>
      </w:r>
      <w:r w:rsidRPr="00063E70">
        <w:rPr>
          <w:szCs w:val="18"/>
        </w:rPr>
        <w:t>zijn</w:t>
      </w:r>
      <w:r w:rsidR="00E34B05" w:rsidRPr="00063E70">
        <w:rPr>
          <w:szCs w:val="18"/>
        </w:rPr>
        <w:t>:</w:t>
      </w:r>
    </w:p>
    <w:p w14:paraId="54E75807" w14:textId="4E6B6A1F" w:rsidR="002361A0" w:rsidRPr="00063E70" w:rsidRDefault="00E8168C" w:rsidP="00C23A4B">
      <w:pPr>
        <w:numPr>
          <w:ilvl w:val="0"/>
          <w:numId w:val="44"/>
        </w:numPr>
        <w:rPr>
          <w:szCs w:val="18"/>
        </w:rPr>
      </w:pPr>
      <w:r>
        <w:rPr>
          <w:szCs w:val="18"/>
        </w:rPr>
        <w:t>H</w:t>
      </w:r>
      <w:r w:rsidR="002361A0" w:rsidRPr="00063E70">
        <w:rPr>
          <w:szCs w:val="18"/>
        </w:rPr>
        <w:t>et beha</w:t>
      </w:r>
      <w:r w:rsidR="00C75B28" w:rsidRPr="00063E70">
        <w:rPr>
          <w:szCs w:val="18"/>
        </w:rPr>
        <w:t>len van een sterke transitionele</w:t>
      </w:r>
      <w:r w:rsidR="002361A0" w:rsidRPr="00063E70">
        <w:rPr>
          <w:szCs w:val="18"/>
        </w:rPr>
        <w:t xml:space="preserve"> impact door middel van projecten, technisch</w:t>
      </w:r>
      <w:r w:rsidR="00832B2A" w:rsidRPr="00063E70">
        <w:rPr>
          <w:szCs w:val="18"/>
        </w:rPr>
        <w:t>e assistentie en beleidsdialoog;</w:t>
      </w:r>
    </w:p>
    <w:p w14:paraId="4A28E516" w14:textId="08819A68" w:rsidR="002361A0" w:rsidRPr="00063E70" w:rsidRDefault="00E05A16" w:rsidP="00C23A4B">
      <w:pPr>
        <w:numPr>
          <w:ilvl w:val="0"/>
          <w:numId w:val="44"/>
        </w:numPr>
        <w:rPr>
          <w:szCs w:val="18"/>
        </w:rPr>
      </w:pPr>
      <w:r>
        <w:rPr>
          <w:szCs w:val="18"/>
        </w:rPr>
        <w:t>H</w:t>
      </w:r>
      <w:r w:rsidR="002361A0" w:rsidRPr="00063E70">
        <w:rPr>
          <w:szCs w:val="18"/>
        </w:rPr>
        <w:t>et behalen van een</w:t>
      </w:r>
      <w:r w:rsidR="00B86B6D">
        <w:rPr>
          <w:szCs w:val="18"/>
        </w:rPr>
        <w:t xml:space="preserve"> winst van tussen de EUR 660 miljoen en EUR 860 miljoen</w:t>
      </w:r>
      <w:r w:rsidR="002361A0" w:rsidRPr="00063E70">
        <w:rPr>
          <w:szCs w:val="18"/>
        </w:rPr>
        <w:t xml:space="preserve"> om de opbouw van reserves en risico</w:t>
      </w:r>
      <w:r w:rsidR="00832B2A" w:rsidRPr="00063E70">
        <w:rPr>
          <w:szCs w:val="18"/>
        </w:rPr>
        <w:t>dragend vermogen te continueren;</w:t>
      </w:r>
    </w:p>
    <w:p w14:paraId="1DE96BBD" w14:textId="4AB2B5B7" w:rsidR="002361A0" w:rsidRPr="00063E70" w:rsidRDefault="00E05A16" w:rsidP="00C23A4B">
      <w:pPr>
        <w:numPr>
          <w:ilvl w:val="0"/>
          <w:numId w:val="44"/>
        </w:numPr>
        <w:rPr>
          <w:szCs w:val="18"/>
        </w:rPr>
      </w:pPr>
      <w:r>
        <w:rPr>
          <w:szCs w:val="18"/>
        </w:rPr>
        <w:t>A</w:t>
      </w:r>
      <w:r w:rsidR="00DE59EA" w:rsidRPr="00063E70">
        <w:rPr>
          <w:szCs w:val="18"/>
        </w:rPr>
        <w:t xml:space="preserve">ls een </w:t>
      </w:r>
      <w:r w:rsidR="00C75B28" w:rsidRPr="00063E70">
        <w:rPr>
          <w:szCs w:val="18"/>
        </w:rPr>
        <w:t>katalysator</w:t>
      </w:r>
      <w:r w:rsidR="00DE59EA" w:rsidRPr="00063E70">
        <w:rPr>
          <w:szCs w:val="18"/>
        </w:rPr>
        <w:t xml:space="preserve"> t</w:t>
      </w:r>
      <w:r w:rsidR="002361A0" w:rsidRPr="00063E70">
        <w:rPr>
          <w:szCs w:val="18"/>
        </w:rPr>
        <w:t xml:space="preserve">e functioneren </w:t>
      </w:r>
      <w:r w:rsidR="00AA6CB7" w:rsidRPr="00063E70">
        <w:rPr>
          <w:szCs w:val="18"/>
        </w:rPr>
        <w:t>bij het mobiliseren va</w:t>
      </w:r>
      <w:r w:rsidR="000E7C7F">
        <w:rPr>
          <w:szCs w:val="18"/>
        </w:rPr>
        <w:t xml:space="preserve">n kapitaal in de ontvangende </w:t>
      </w:r>
      <w:r w:rsidR="00832B2A" w:rsidRPr="00063E70">
        <w:rPr>
          <w:szCs w:val="18"/>
        </w:rPr>
        <w:t>landen.</w:t>
      </w:r>
    </w:p>
    <w:p w14:paraId="1ED6F6F9" w14:textId="77777777" w:rsidR="00813903" w:rsidRPr="00063E70" w:rsidRDefault="00813903" w:rsidP="000A6077">
      <w:pPr>
        <w:ind w:left="1162"/>
        <w:rPr>
          <w:szCs w:val="18"/>
        </w:rPr>
      </w:pPr>
    </w:p>
    <w:p w14:paraId="37CD629C" w14:textId="6E0C52B6" w:rsidR="00C176E8" w:rsidRDefault="00D758F5" w:rsidP="00916665">
      <w:pPr>
        <w:rPr>
          <w:szCs w:val="18"/>
        </w:rPr>
      </w:pPr>
      <w:r w:rsidRPr="00063E70">
        <w:rPr>
          <w:szCs w:val="18"/>
        </w:rPr>
        <w:t>De B</w:t>
      </w:r>
      <w:r w:rsidR="00813903" w:rsidRPr="00063E70">
        <w:rPr>
          <w:szCs w:val="18"/>
        </w:rPr>
        <w:t xml:space="preserve">ank </w:t>
      </w:r>
      <w:r w:rsidR="00F27EDA">
        <w:rPr>
          <w:szCs w:val="18"/>
        </w:rPr>
        <w:t>verricht</w:t>
      </w:r>
      <w:r w:rsidR="00813903" w:rsidRPr="00063E70">
        <w:rPr>
          <w:szCs w:val="18"/>
        </w:rPr>
        <w:t xml:space="preserve"> voornamelijk projectinvesteringen in de private sector </w:t>
      </w:r>
      <w:r w:rsidR="00EB1173" w:rsidRPr="00063E70">
        <w:rPr>
          <w:szCs w:val="18"/>
        </w:rPr>
        <w:t>van</w:t>
      </w:r>
      <w:r w:rsidR="000469D5" w:rsidRPr="00063E70">
        <w:rPr>
          <w:szCs w:val="18"/>
        </w:rPr>
        <w:t xml:space="preserve"> middeninkomen</w:t>
      </w:r>
      <w:r w:rsidR="00813903" w:rsidRPr="00063E70">
        <w:rPr>
          <w:szCs w:val="18"/>
        </w:rPr>
        <w:t xml:space="preserve">slanden. </w:t>
      </w:r>
      <w:r w:rsidR="0031207B" w:rsidRPr="00063E70">
        <w:rPr>
          <w:szCs w:val="18"/>
        </w:rPr>
        <w:t>M</w:t>
      </w:r>
      <w:r w:rsidR="00B53507" w:rsidRPr="00063E70">
        <w:rPr>
          <w:szCs w:val="18"/>
        </w:rPr>
        <w:t xml:space="preserve">iddelen </w:t>
      </w:r>
      <w:r w:rsidR="0031207B" w:rsidRPr="00063E70">
        <w:rPr>
          <w:szCs w:val="18"/>
        </w:rPr>
        <w:t xml:space="preserve">worden verstrekt </w:t>
      </w:r>
      <w:r w:rsidR="00B53507" w:rsidRPr="00063E70">
        <w:rPr>
          <w:szCs w:val="18"/>
        </w:rPr>
        <w:t>in de vorm van participaties, niet-conc</w:t>
      </w:r>
      <w:r w:rsidR="00F27EDA">
        <w:rPr>
          <w:szCs w:val="18"/>
        </w:rPr>
        <w:t>essionele leningen en gar</w:t>
      </w:r>
      <w:r w:rsidR="004B1389">
        <w:rPr>
          <w:szCs w:val="18"/>
        </w:rPr>
        <w:t>anties. D</w:t>
      </w:r>
      <w:r w:rsidR="00F27EDA">
        <w:rPr>
          <w:szCs w:val="18"/>
        </w:rPr>
        <w:t>e Bank verleent</w:t>
      </w:r>
      <w:r w:rsidR="00B53507" w:rsidRPr="00063E70">
        <w:rPr>
          <w:szCs w:val="18"/>
        </w:rPr>
        <w:t xml:space="preserve"> </w:t>
      </w:r>
      <w:r w:rsidR="00F27EDA">
        <w:rPr>
          <w:szCs w:val="18"/>
        </w:rPr>
        <w:t>daarnaast</w:t>
      </w:r>
      <w:r w:rsidR="00B53507" w:rsidRPr="00063E70">
        <w:rPr>
          <w:szCs w:val="18"/>
        </w:rPr>
        <w:t xml:space="preserve"> tec</w:t>
      </w:r>
      <w:r w:rsidR="00F27EDA">
        <w:rPr>
          <w:szCs w:val="18"/>
        </w:rPr>
        <w:t>hnische assistentie</w:t>
      </w:r>
      <w:r w:rsidR="0031207B" w:rsidRPr="00063E70">
        <w:rPr>
          <w:szCs w:val="18"/>
        </w:rPr>
        <w:t>.</w:t>
      </w:r>
      <w:r w:rsidR="00E71E53">
        <w:rPr>
          <w:szCs w:val="18"/>
        </w:rPr>
        <w:t xml:space="preserve"> </w:t>
      </w:r>
    </w:p>
    <w:p w14:paraId="5D4CBE55" w14:textId="77777777" w:rsidR="00C176E8" w:rsidRDefault="00C176E8" w:rsidP="00916665">
      <w:pPr>
        <w:rPr>
          <w:szCs w:val="18"/>
        </w:rPr>
      </w:pPr>
    </w:p>
    <w:p w14:paraId="642E9D8A" w14:textId="7085359F" w:rsidR="00E71E53" w:rsidRDefault="00E71E53" w:rsidP="00916665">
      <w:pPr>
        <w:rPr>
          <w:szCs w:val="18"/>
        </w:rPr>
      </w:pPr>
      <w:r>
        <w:rPr>
          <w:szCs w:val="18"/>
        </w:rPr>
        <w:t xml:space="preserve">Naast de reguliere bankactiviteiten heeft de Bank een breed scala aan </w:t>
      </w:r>
      <w:r w:rsidRPr="00B86B6D">
        <w:rPr>
          <w:i/>
          <w:szCs w:val="18"/>
        </w:rPr>
        <w:t>trust</w:t>
      </w:r>
      <w:r w:rsidR="00B86B6D" w:rsidRPr="00B86B6D">
        <w:rPr>
          <w:i/>
          <w:szCs w:val="18"/>
        </w:rPr>
        <w:t xml:space="preserve"> </w:t>
      </w:r>
      <w:r w:rsidRPr="00B86B6D">
        <w:rPr>
          <w:i/>
          <w:szCs w:val="18"/>
        </w:rPr>
        <w:t>funds</w:t>
      </w:r>
      <w:r>
        <w:rPr>
          <w:szCs w:val="18"/>
        </w:rPr>
        <w:t>. Vanuit de</w:t>
      </w:r>
      <w:r w:rsidR="00C176E8">
        <w:rPr>
          <w:szCs w:val="18"/>
        </w:rPr>
        <w:t>ze</w:t>
      </w:r>
      <w:r>
        <w:rPr>
          <w:szCs w:val="18"/>
        </w:rPr>
        <w:t xml:space="preserve"> </w:t>
      </w:r>
      <w:r w:rsidRPr="00B86B6D">
        <w:rPr>
          <w:i/>
          <w:szCs w:val="18"/>
        </w:rPr>
        <w:t>trust</w:t>
      </w:r>
      <w:r w:rsidR="00B86B6D" w:rsidRPr="00B86B6D">
        <w:rPr>
          <w:i/>
          <w:szCs w:val="18"/>
        </w:rPr>
        <w:t xml:space="preserve"> </w:t>
      </w:r>
      <w:r w:rsidRPr="00B86B6D">
        <w:rPr>
          <w:i/>
          <w:szCs w:val="18"/>
        </w:rPr>
        <w:t>funds</w:t>
      </w:r>
      <w:r>
        <w:rPr>
          <w:szCs w:val="18"/>
        </w:rPr>
        <w:t xml:space="preserve"> worden concessionele leningen en technische assistentie gefinancierd</w:t>
      </w:r>
      <w:r w:rsidR="00547488">
        <w:rPr>
          <w:szCs w:val="18"/>
        </w:rPr>
        <w:t xml:space="preserve"> in middeninkomens- en lage middeninkomenslanden</w:t>
      </w:r>
      <w:r>
        <w:rPr>
          <w:szCs w:val="18"/>
        </w:rPr>
        <w:t>.</w:t>
      </w:r>
      <w:r w:rsidR="00C176E8">
        <w:rPr>
          <w:szCs w:val="18"/>
        </w:rPr>
        <w:t xml:space="preserve"> De</w:t>
      </w:r>
      <w:r w:rsidR="00FA283C">
        <w:rPr>
          <w:szCs w:val="18"/>
        </w:rPr>
        <w:t xml:space="preserve"> Bank beheert zowel</w:t>
      </w:r>
      <w:r w:rsidR="00C176E8">
        <w:rPr>
          <w:szCs w:val="18"/>
        </w:rPr>
        <w:t xml:space="preserve"> </w:t>
      </w:r>
      <w:r w:rsidR="00FE2FE4">
        <w:rPr>
          <w:szCs w:val="18"/>
        </w:rPr>
        <w:t xml:space="preserve">bilaterale als </w:t>
      </w:r>
      <w:r w:rsidR="00FE2FE4" w:rsidRPr="0041662E">
        <w:rPr>
          <w:i/>
          <w:szCs w:val="18"/>
        </w:rPr>
        <w:t>multi</w:t>
      </w:r>
      <w:r w:rsidR="0041662E" w:rsidRPr="0041662E">
        <w:rPr>
          <w:i/>
          <w:szCs w:val="18"/>
        </w:rPr>
        <w:t xml:space="preserve"> </w:t>
      </w:r>
      <w:r w:rsidR="00FA283C" w:rsidRPr="0041662E">
        <w:rPr>
          <w:i/>
          <w:szCs w:val="18"/>
        </w:rPr>
        <w:t>donor</w:t>
      </w:r>
      <w:r w:rsidR="0041662E" w:rsidRPr="0041662E">
        <w:rPr>
          <w:i/>
          <w:szCs w:val="18"/>
        </w:rPr>
        <w:t xml:space="preserve"> </w:t>
      </w:r>
      <w:r w:rsidR="00C176E8" w:rsidRPr="0041662E">
        <w:rPr>
          <w:i/>
          <w:szCs w:val="18"/>
        </w:rPr>
        <w:t>trustfunds</w:t>
      </w:r>
      <w:r w:rsidR="00FE2FE4">
        <w:rPr>
          <w:szCs w:val="18"/>
        </w:rPr>
        <w:t xml:space="preserve"> (MD</w:t>
      </w:r>
      <w:r w:rsidR="0041662E">
        <w:rPr>
          <w:szCs w:val="18"/>
        </w:rPr>
        <w:t>T</w:t>
      </w:r>
      <w:r w:rsidR="00FE2FE4">
        <w:rPr>
          <w:szCs w:val="18"/>
        </w:rPr>
        <w:t>Fs)</w:t>
      </w:r>
      <w:r w:rsidR="002D080C">
        <w:rPr>
          <w:szCs w:val="18"/>
        </w:rPr>
        <w:t>.</w:t>
      </w:r>
      <w:r w:rsidR="00EB1320" w:rsidRPr="00EB1320">
        <w:rPr>
          <w:szCs w:val="18"/>
        </w:rPr>
        <w:t xml:space="preserve"> Ook beschikt de Bank over een eigen donorfonds, het </w:t>
      </w:r>
      <w:r w:rsidR="00EB1320" w:rsidRPr="00C503CC">
        <w:rPr>
          <w:i/>
          <w:szCs w:val="18"/>
        </w:rPr>
        <w:t>Shareholder Special Fund</w:t>
      </w:r>
      <w:r w:rsidR="00EB1320" w:rsidRPr="00EB1320">
        <w:rPr>
          <w:szCs w:val="18"/>
        </w:rPr>
        <w:t>, gevoed ui</w:t>
      </w:r>
      <w:r w:rsidR="00FE2FE4">
        <w:rPr>
          <w:szCs w:val="18"/>
        </w:rPr>
        <w:t xml:space="preserve">t het netto inkomen van de Bank. De </w:t>
      </w:r>
      <w:r w:rsidR="00EB1320" w:rsidRPr="00EB1320">
        <w:rPr>
          <w:szCs w:val="18"/>
        </w:rPr>
        <w:t xml:space="preserve">Bank </w:t>
      </w:r>
      <w:r w:rsidR="00FE2FE4">
        <w:rPr>
          <w:szCs w:val="18"/>
        </w:rPr>
        <w:t>is hierdoor niet volledig afhankelijk van donoren</w:t>
      </w:r>
      <w:r w:rsidR="00FE2FE4" w:rsidRPr="00FE2FE4">
        <w:rPr>
          <w:szCs w:val="18"/>
        </w:rPr>
        <w:t>, en kan zodoende extra bijdragen aan MDTFs verlenen.</w:t>
      </w:r>
    </w:p>
    <w:p w14:paraId="6B5EAF17" w14:textId="77777777" w:rsidR="00EB1320" w:rsidRDefault="00EB1320" w:rsidP="00916665">
      <w:pPr>
        <w:rPr>
          <w:szCs w:val="18"/>
        </w:rPr>
      </w:pPr>
    </w:p>
    <w:p w14:paraId="2A6FFE24" w14:textId="18BE4E20" w:rsidR="008C13F5" w:rsidRDefault="008C13F5" w:rsidP="00916665">
      <w:pPr>
        <w:rPr>
          <w:szCs w:val="18"/>
        </w:rPr>
      </w:pPr>
      <w:proofErr w:type="gramStart"/>
      <w:r>
        <w:rPr>
          <w:szCs w:val="18"/>
        </w:rPr>
        <w:t>De Bank is actief in een breed scala aan sectoren</w:t>
      </w:r>
      <w:r w:rsidR="0041662E">
        <w:rPr>
          <w:szCs w:val="18"/>
        </w:rPr>
        <w:t>:</w:t>
      </w:r>
      <w:r>
        <w:rPr>
          <w:szCs w:val="18"/>
        </w:rPr>
        <w:t xml:space="preserve"> </w:t>
      </w:r>
      <w:r w:rsidR="0041662E">
        <w:rPr>
          <w:szCs w:val="18"/>
        </w:rPr>
        <w:t>i</w:t>
      </w:r>
      <w:r w:rsidR="0070059C">
        <w:rPr>
          <w:szCs w:val="18"/>
        </w:rPr>
        <w:t>ndustrie</w:t>
      </w:r>
      <w:r w:rsidR="001358C1">
        <w:rPr>
          <w:szCs w:val="18"/>
        </w:rPr>
        <w:t xml:space="preserve">, </w:t>
      </w:r>
      <w:r w:rsidR="00FE2FE4">
        <w:rPr>
          <w:szCs w:val="18"/>
        </w:rPr>
        <w:t>handel</w:t>
      </w:r>
      <w:r w:rsidR="0070059C">
        <w:rPr>
          <w:szCs w:val="18"/>
        </w:rPr>
        <w:t xml:space="preserve"> en </w:t>
      </w:r>
      <w:r w:rsidR="0070059C" w:rsidRPr="00C23A4B">
        <w:rPr>
          <w:i/>
          <w:szCs w:val="18"/>
        </w:rPr>
        <w:t>agribusiness</w:t>
      </w:r>
      <w:r w:rsidR="0070059C">
        <w:rPr>
          <w:szCs w:val="18"/>
        </w:rPr>
        <w:t xml:space="preserve"> </w:t>
      </w:r>
      <w:r w:rsidR="003449E0">
        <w:rPr>
          <w:szCs w:val="18"/>
        </w:rPr>
        <w:t>(26</w:t>
      </w:r>
      <w:r w:rsidR="0041662E">
        <w:rPr>
          <w:szCs w:val="18"/>
        </w:rPr>
        <w:t>%);</w:t>
      </w:r>
      <w:r w:rsidR="001358C1">
        <w:rPr>
          <w:szCs w:val="18"/>
        </w:rPr>
        <w:t xml:space="preserve"> de </w:t>
      </w:r>
      <w:r w:rsidR="00C176E8">
        <w:rPr>
          <w:szCs w:val="18"/>
        </w:rPr>
        <w:t>financiële</w:t>
      </w:r>
      <w:r w:rsidR="003449E0">
        <w:rPr>
          <w:szCs w:val="18"/>
        </w:rPr>
        <w:t xml:space="preserve"> sector (32</w:t>
      </w:r>
      <w:r w:rsidR="0041662E">
        <w:rPr>
          <w:szCs w:val="18"/>
        </w:rPr>
        <w:t>%);</w:t>
      </w:r>
      <w:r w:rsidR="001358C1">
        <w:rPr>
          <w:szCs w:val="18"/>
        </w:rPr>
        <w:t xml:space="preserve"> infrastructu</w:t>
      </w:r>
      <w:r w:rsidR="003449E0">
        <w:rPr>
          <w:szCs w:val="18"/>
        </w:rPr>
        <w:t>ur (23</w:t>
      </w:r>
      <w:r w:rsidR="001358C1">
        <w:rPr>
          <w:szCs w:val="18"/>
        </w:rPr>
        <w:t>%) en energi</w:t>
      </w:r>
      <w:r w:rsidR="003449E0">
        <w:rPr>
          <w:szCs w:val="18"/>
        </w:rPr>
        <w:t>e en grondstoffen (19</w:t>
      </w:r>
      <w:r w:rsidR="001358C1">
        <w:rPr>
          <w:szCs w:val="18"/>
        </w:rPr>
        <w:t>%)</w:t>
      </w:r>
      <w:r w:rsidR="00FE2FE4">
        <w:rPr>
          <w:szCs w:val="18"/>
        </w:rPr>
        <w:t>.</w:t>
      </w:r>
      <w:proofErr w:type="gramEnd"/>
    </w:p>
    <w:p w14:paraId="25757D6D" w14:textId="77777777" w:rsidR="00D35B42" w:rsidRPr="00063E70" w:rsidRDefault="00F24A31" w:rsidP="0026088E">
      <w:pPr>
        <w:pStyle w:val="Heading2"/>
        <w:tabs>
          <w:tab w:val="left" w:pos="-1162"/>
          <w:tab w:val="left" w:pos="0"/>
          <w:tab w:val="num" w:pos="1160"/>
        </w:tabs>
        <w:spacing w:line="240" w:lineRule="auto"/>
        <w:ind w:hanging="1162"/>
        <w:rPr>
          <w:szCs w:val="18"/>
        </w:rPr>
      </w:pPr>
      <w:bookmarkStart w:id="18" w:name="_Toc410397626"/>
      <w:r w:rsidRPr="00063E70">
        <w:rPr>
          <w:szCs w:val="18"/>
        </w:rPr>
        <w:t xml:space="preserve">2.3 </w:t>
      </w:r>
      <w:r w:rsidRPr="00063E70">
        <w:rPr>
          <w:szCs w:val="18"/>
        </w:rPr>
        <w:tab/>
      </w:r>
      <w:r w:rsidR="00D745A7" w:rsidRPr="00063E70">
        <w:rPr>
          <w:szCs w:val="18"/>
        </w:rPr>
        <w:t xml:space="preserve">Nederlandse </w:t>
      </w:r>
      <w:r w:rsidR="000304C1" w:rsidRPr="00063E70">
        <w:rPr>
          <w:szCs w:val="18"/>
        </w:rPr>
        <w:t>rol en invloed</w:t>
      </w:r>
      <w:bookmarkEnd w:id="18"/>
    </w:p>
    <w:p w14:paraId="275989FA" w14:textId="5FE01CB7" w:rsidR="001358C1" w:rsidRDefault="00262384" w:rsidP="0026088E">
      <w:pPr>
        <w:rPr>
          <w:szCs w:val="18"/>
        </w:rPr>
      </w:pPr>
      <w:r w:rsidRPr="00063E70">
        <w:rPr>
          <w:szCs w:val="18"/>
        </w:rPr>
        <w:t>De minister van Financiën is de Nederlandse gouverneur bij de EBRD. De minister van Buitenlandse Handel en Ontwikkelingssamenwerking is plaatsvervangend gouverneur. Nederland heeft een aandeel van 2</w:t>
      </w:r>
      <w:r w:rsidR="0041662E">
        <w:rPr>
          <w:szCs w:val="18"/>
        </w:rPr>
        <w:t>,</w:t>
      </w:r>
      <w:r w:rsidRPr="00063E70">
        <w:rPr>
          <w:szCs w:val="18"/>
        </w:rPr>
        <w:t xml:space="preserve">51% in het kapitaal van de EBRD en is daarmee de twaalfde aandeelhouder. </w:t>
      </w:r>
    </w:p>
    <w:p w14:paraId="310F0B52" w14:textId="77777777" w:rsidR="00CC4D96" w:rsidRDefault="00CC4D96" w:rsidP="0026088E">
      <w:pPr>
        <w:rPr>
          <w:szCs w:val="18"/>
        </w:rPr>
      </w:pPr>
    </w:p>
    <w:p w14:paraId="293217EA" w14:textId="018759AB" w:rsidR="00B53507" w:rsidRDefault="00262384" w:rsidP="0026088E">
      <w:pPr>
        <w:rPr>
          <w:szCs w:val="18"/>
        </w:rPr>
      </w:pPr>
      <w:r w:rsidRPr="00063E70">
        <w:rPr>
          <w:szCs w:val="18"/>
        </w:rPr>
        <w:t>Nederland heeft genoeg stemgewicht om verzekerd te zijn van een eigen bewindvoerder en plaatsvervangend</w:t>
      </w:r>
      <w:r w:rsidR="002538DF">
        <w:rPr>
          <w:szCs w:val="18"/>
        </w:rPr>
        <w:t xml:space="preserve"> bewindvoerder</w:t>
      </w:r>
      <w:r w:rsidRPr="00063E70">
        <w:rPr>
          <w:szCs w:val="18"/>
        </w:rPr>
        <w:t>. Naast Nederland vertegenwoordigt de kiesgroep Mongolië (sinds 2006), Macedonië en Armenië (beide sinds 2009</w:t>
      </w:r>
      <w:r w:rsidR="00B579D6">
        <w:rPr>
          <w:szCs w:val="18"/>
        </w:rPr>
        <w:t>). S</w:t>
      </w:r>
      <w:r w:rsidRPr="00063E70">
        <w:rPr>
          <w:szCs w:val="18"/>
        </w:rPr>
        <w:t>inds 201</w:t>
      </w:r>
      <w:r w:rsidR="00EE48F1">
        <w:rPr>
          <w:szCs w:val="18"/>
        </w:rPr>
        <w:t>4</w:t>
      </w:r>
      <w:r w:rsidR="00B579D6">
        <w:rPr>
          <w:szCs w:val="18"/>
        </w:rPr>
        <w:t xml:space="preserve"> is</w:t>
      </w:r>
      <w:r w:rsidRPr="00063E70">
        <w:rPr>
          <w:szCs w:val="18"/>
        </w:rPr>
        <w:t xml:space="preserve"> </w:t>
      </w:r>
      <w:r w:rsidR="00EE48F1" w:rsidRPr="00EE48F1">
        <w:rPr>
          <w:szCs w:val="18"/>
        </w:rPr>
        <w:t>de huidige Nederlandse bewindvoerder</w:t>
      </w:r>
      <w:r w:rsidR="00CC4D96">
        <w:rPr>
          <w:szCs w:val="18"/>
        </w:rPr>
        <w:t xml:space="preserve"> </w:t>
      </w:r>
      <w:r w:rsidRPr="00063E70">
        <w:rPr>
          <w:szCs w:val="18"/>
        </w:rPr>
        <w:t xml:space="preserve">lid van het </w:t>
      </w:r>
      <w:r w:rsidRPr="00063E70">
        <w:rPr>
          <w:i/>
          <w:szCs w:val="18"/>
        </w:rPr>
        <w:t>Financial and Operations Policies Committee</w:t>
      </w:r>
      <w:r w:rsidR="001358C1">
        <w:rPr>
          <w:i/>
          <w:szCs w:val="18"/>
        </w:rPr>
        <w:t xml:space="preserve"> (FOPC)</w:t>
      </w:r>
      <w:r w:rsidR="004B1389">
        <w:rPr>
          <w:szCs w:val="18"/>
        </w:rPr>
        <w:t>. D</w:t>
      </w:r>
      <w:r w:rsidR="00CC4D96">
        <w:rPr>
          <w:szCs w:val="18"/>
        </w:rPr>
        <w:t>aar</w:t>
      </w:r>
      <w:r w:rsidR="00B579D6">
        <w:rPr>
          <w:szCs w:val="18"/>
        </w:rPr>
        <w:t xml:space="preserve">voor was hij voorzitter van de </w:t>
      </w:r>
      <w:r w:rsidR="00B579D6" w:rsidRPr="00B579D6">
        <w:rPr>
          <w:i/>
          <w:szCs w:val="18"/>
        </w:rPr>
        <w:t>Audit Committee</w:t>
      </w:r>
      <w:r w:rsidR="00B579D6">
        <w:rPr>
          <w:szCs w:val="18"/>
        </w:rPr>
        <w:t xml:space="preserve">. </w:t>
      </w:r>
    </w:p>
    <w:p w14:paraId="01CC3EA8" w14:textId="77777777" w:rsidR="00E71E53" w:rsidRDefault="00E71E53" w:rsidP="0026088E">
      <w:pPr>
        <w:rPr>
          <w:szCs w:val="18"/>
        </w:rPr>
      </w:pPr>
    </w:p>
    <w:p w14:paraId="138C73EC" w14:textId="15061005" w:rsidR="00A140C1" w:rsidRDefault="00717A3E" w:rsidP="0026088E">
      <w:pPr>
        <w:rPr>
          <w:szCs w:val="18"/>
        </w:rPr>
      </w:pPr>
      <w:r>
        <w:rPr>
          <w:szCs w:val="18"/>
        </w:rPr>
        <w:t xml:space="preserve">Nederland draagt bij aan een aantal </w:t>
      </w:r>
      <w:r w:rsidRPr="0041662E">
        <w:rPr>
          <w:i/>
          <w:szCs w:val="18"/>
        </w:rPr>
        <w:t>trust</w:t>
      </w:r>
      <w:r w:rsidR="0041662E" w:rsidRPr="0041662E">
        <w:rPr>
          <w:i/>
          <w:szCs w:val="18"/>
        </w:rPr>
        <w:t xml:space="preserve"> </w:t>
      </w:r>
      <w:r w:rsidRPr="0041662E">
        <w:rPr>
          <w:i/>
          <w:szCs w:val="18"/>
        </w:rPr>
        <w:t>fu</w:t>
      </w:r>
      <w:r w:rsidR="00FE2FE4" w:rsidRPr="0041662E">
        <w:rPr>
          <w:i/>
          <w:szCs w:val="18"/>
        </w:rPr>
        <w:t>nds</w:t>
      </w:r>
      <w:r w:rsidR="00FE2FE4">
        <w:rPr>
          <w:szCs w:val="18"/>
        </w:rPr>
        <w:t xml:space="preserve"> en heeft daarmee een stem bij</w:t>
      </w:r>
      <w:r>
        <w:rPr>
          <w:szCs w:val="18"/>
        </w:rPr>
        <w:t xml:space="preserve"> de inzet van de</w:t>
      </w:r>
      <w:r w:rsidR="00654A4D">
        <w:rPr>
          <w:szCs w:val="18"/>
        </w:rPr>
        <w:t>ze</w:t>
      </w:r>
      <w:r>
        <w:rPr>
          <w:szCs w:val="18"/>
        </w:rPr>
        <w:t xml:space="preserve"> middelen. Daarnaast draagt Nederland</w:t>
      </w:r>
      <w:r w:rsidR="00FA283C">
        <w:rPr>
          <w:szCs w:val="18"/>
        </w:rPr>
        <w:t xml:space="preserve"> als aandeelhouder</w:t>
      </w:r>
      <w:r>
        <w:rPr>
          <w:szCs w:val="18"/>
        </w:rPr>
        <w:t xml:space="preserve"> indirect </w:t>
      </w:r>
      <w:r w:rsidR="00FE2FE4">
        <w:rPr>
          <w:szCs w:val="18"/>
        </w:rPr>
        <w:t>bij aan</w:t>
      </w:r>
      <w:r>
        <w:rPr>
          <w:szCs w:val="18"/>
        </w:rPr>
        <w:t xml:space="preserve"> </w:t>
      </w:r>
      <w:r w:rsidRPr="0041662E">
        <w:rPr>
          <w:i/>
          <w:szCs w:val="18"/>
        </w:rPr>
        <w:t>trust</w:t>
      </w:r>
      <w:r w:rsidR="0041662E" w:rsidRPr="0041662E">
        <w:rPr>
          <w:i/>
          <w:szCs w:val="18"/>
        </w:rPr>
        <w:t xml:space="preserve"> </w:t>
      </w:r>
      <w:r w:rsidRPr="0041662E">
        <w:rPr>
          <w:i/>
          <w:szCs w:val="18"/>
        </w:rPr>
        <w:t>funds</w:t>
      </w:r>
      <w:r>
        <w:rPr>
          <w:szCs w:val="18"/>
        </w:rPr>
        <w:t xml:space="preserve"> die </w:t>
      </w:r>
      <w:r w:rsidR="008D39CE">
        <w:rPr>
          <w:szCs w:val="18"/>
        </w:rPr>
        <w:t>worden aangevuld</w:t>
      </w:r>
      <w:r w:rsidR="00654A4D">
        <w:rPr>
          <w:szCs w:val="18"/>
        </w:rPr>
        <w:t xml:space="preserve"> </w:t>
      </w:r>
      <w:r w:rsidR="008D39CE">
        <w:rPr>
          <w:szCs w:val="18"/>
        </w:rPr>
        <w:t>van</w:t>
      </w:r>
      <w:r w:rsidR="00654A4D">
        <w:rPr>
          <w:szCs w:val="18"/>
        </w:rPr>
        <w:t>uit</w:t>
      </w:r>
      <w:r>
        <w:rPr>
          <w:szCs w:val="18"/>
        </w:rPr>
        <w:t xml:space="preserve"> de nettowinst van de Bank.</w:t>
      </w:r>
    </w:p>
    <w:p w14:paraId="0E47E3C1" w14:textId="77777777" w:rsidR="00654A4D" w:rsidRDefault="00654A4D" w:rsidP="0026088E">
      <w:pPr>
        <w:rPr>
          <w:szCs w:val="18"/>
        </w:rPr>
      </w:pPr>
    </w:p>
    <w:p w14:paraId="76F9245F" w14:textId="1F19D2E4" w:rsidR="00D745A7" w:rsidRDefault="00F24A31" w:rsidP="00F24A31">
      <w:pPr>
        <w:pStyle w:val="Heading2"/>
        <w:tabs>
          <w:tab w:val="left" w:pos="-1162"/>
          <w:tab w:val="left" w:pos="0"/>
          <w:tab w:val="num" w:pos="1160"/>
        </w:tabs>
        <w:spacing w:line="240" w:lineRule="auto"/>
        <w:ind w:hanging="1162"/>
        <w:rPr>
          <w:szCs w:val="18"/>
        </w:rPr>
      </w:pPr>
      <w:bookmarkStart w:id="19" w:name="_Toc410397627"/>
      <w:r w:rsidRPr="00063E70">
        <w:rPr>
          <w:szCs w:val="18"/>
        </w:rPr>
        <w:t>2.4</w:t>
      </w:r>
      <w:r w:rsidRPr="00063E70">
        <w:rPr>
          <w:szCs w:val="18"/>
        </w:rPr>
        <w:tab/>
      </w:r>
      <w:r w:rsidR="00D745A7" w:rsidRPr="00063E70">
        <w:rPr>
          <w:szCs w:val="18"/>
        </w:rPr>
        <w:t>Financiële omvang en bijdragen</w:t>
      </w:r>
      <w:bookmarkEnd w:id="19"/>
      <w:r w:rsidR="00FE2FE4">
        <w:rPr>
          <w:szCs w:val="18"/>
        </w:rPr>
        <w:t xml:space="preserve"> </w:t>
      </w:r>
    </w:p>
    <w:p w14:paraId="489BE12A" w14:textId="77777777" w:rsidR="00C23A4B" w:rsidRDefault="00C23A4B" w:rsidP="00C23A4B"/>
    <w:p w14:paraId="53FF49DC" w14:textId="453B4B48" w:rsidR="0026088E" w:rsidRPr="00C23A4B" w:rsidRDefault="00C23A4B" w:rsidP="00B95FC2">
      <w:r>
        <w:rPr>
          <w:szCs w:val="18"/>
        </w:rPr>
        <w:t>(In EUR miljoenen)</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913"/>
        <w:gridCol w:w="1914"/>
      </w:tblGrid>
      <w:tr w:rsidR="00B61C9B" w:rsidRPr="00063E70" w14:paraId="681BEAA4" w14:textId="77777777" w:rsidTr="00B61C9B">
        <w:tc>
          <w:tcPr>
            <w:tcW w:w="3794" w:type="dxa"/>
            <w:tcBorders>
              <w:top w:val="single" w:sz="4" w:space="0" w:color="auto"/>
              <w:left w:val="single" w:sz="4" w:space="0" w:color="auto"/>
              <w:bottom w:val="single" w:sz="4" w:space="0" w:color="auto"/>
              <w:right w:val="single" w:sz="4" w:space="0" w:color="auto"/>
            </w:tcBorders>
            <w:hideMark/>
          </w:tcPr>
          <w:p w14:paraId="03C14CE0" w14:textId="77777777" w:rsidR="00B61C9B" w:rsidRPr="00063E70" w:rsidRDefault="00463BE5" w:rsidP="00972D20">
            <w:pPr>
              <w:rPr>
                <w:b/>
                <w:szCs w:val="18"/>
              </w:rPr>
            </w:pPr>
            <w:r w:rsidRPr="00063E70">
              <w:rPr>
                <w:b/>
                <w:szCs w:val="18"/>
              </w:rPr>
              <w:t xml:space="preserve">Boekjaar </w:t>
            </w:r>
            <w:r w:rsidR="00972D20" w:rsidRPr="00063E70">
              <w:rPr>
                <w:b/>
                <w:szCs w:val="18"/>
              </w:rPr>
              <w:t>2014</w:t>
            </w:r>
          </w:p>
        </w:tc>
        <w:tc>
          <w:tcPr>
            <w:tcW w:w="1913" w:type="dxa"/>
            <w:tcBorders>
              <w:top w:val="single" w:sz="4" w:space="0" w:color="auto"/>
              <w:left w:val="single" w:sz="4" w:space="0" w:color="auto"/>
              <w:bottom w:val="single" w:sz="4" w:space="0" w:color="auto"/>
              <w:right w:val="single" w:sz="4" w:space="0" w:color="auto"/>
            </w:tcBorders>
            <w:hideMark/>
          </w:tcPr>
          <w:p w14:paraId="29AED996" w14:textId="77777777" w:rsidR="00B61C9B" w:rsidRPr="00063E70" w:rsidRDefault="00B61C9B">
            <w:pPr>
              <w:rPr>
                <w:b/>
                <w:szCs w:val="18"/>
              </w:rPr>
            </w:pPr>
            <w:r w:rsidRPr="00063E70">
              <w:rPr>
                <w:b/>
                <w:szCs w:val="18"/>
              </w:rPr>
              <w:t>Bank</w:t>
            </w:r>
          </w:p>
        </w:tc>
        <w:tc>
          <w:tcPr>
            <w:tcW w:w="1914" w:type="dxa"/>
            <w:tcBorders>
              <w:top w:val="single" w:sz="4" w:space="0" w:color="auto"/>
              <w:left w:val="single" w:sz="4" w:space="0" w:color="auto"/>
              <w:bottom w:val="single" w:sz="4" w:space="0" w:color="auto"/>
              <w:right w:val="single" w:sz="4" w:space="0" w:color="auto"/>
            </w:tcBorders>
            <w:hideMark/>
          </w:tcPr>
          <w:p w14:paraId="33DE096A" w14:textId="77777777" w:rsidR="00B61C9B" w:rsidRPr="00063E70" w:rsidRDefault="00B61C9B">
            <w:pPr>
              <w:rPr>
                <w:b/>
                <w:szCs w:val="18"/>
              </w:rPr>
            </w:pPr>
            <w:r w:rsidRPr="00063E70">
              <w:rPr>
                <w:b/>
                <w:szCs w:val="18"/>
              </w:rPr>
              <w:t>Fonds</w:t>
            </w:r>
          </w:p>
        </w:tc>
      </w:tr>
      <w:tr w:rsidR="00B61C9B" w:rsidRPr="00063E70" w14:paraId="3AFD4EA1" w14:textId="77777777" w:rsidTr="00B61C9B">
        <w:tc>
          <w:tcPr>
            <w:tcW w:w="3794" w:type="dxa"/>
            <w:tcBorders>
              <w:top w:val="single" w:sz="4" w:space="0" w:color="auto"/>
              <w:left w:val="single" w:sz="4" w:space="0" w:color="auto"/>
              <w:bottom w:val="single" w:sz="4" w:space="0" w:color="auto"/>
              <w:right w:val="single" w:sz="4" w:space="0" w:color="auto"/>
            </w:tcBorders>
            <w:hideMark/>
          </w:tcPr>
          <w:p w14:paraId="12058C31" w14:textId="0514881E" w:rsidR="00B61C9B" w:rsidRPr="00063E70" w:rsidRDefault="00006047">
            <w:pPr>
              <w:rPr>
                <w:szCs w:val="18"/>
              </w:rPr>
            </w:pPr>
            <w:r>
              <w:rPr>
                <w:szCs w:val="18"/>
                <w:lang w:eastAsia="zh-CN"/>
              </w:rPr>
              <w:t>Verstrekte schenkingen in 2014</w:t>
            </w:r>
          </w:p>
        </w:tc>
        <w:tc>
          <w:tcPr>
            <w:tcW w:w="1913" w:type="dxa"/>
            <w:tcBorders>
              <w:top w:val="single" w:sz="4" w:space="0" w:color="auto"/>
              <w:left w:val="single" w:sz="4" w:space="0" w:color="auto"/>
              <w:bottom w:val="single" w:sz="4" w:space="0" w:color="auto"/>
              <w:right w:val="single" w:sz="4" w:space="0" w:color="auto"/>
            </w:tcBorders>
            <w:hideMark/>
          </w:tcPr>
          <w:p w14:paraId="79DFFBE1" w14:textId="1C6D0010" w:rsidR="00B61C9B" w:rsidRPr="00063E70" w:rsidRDefault="00B61C9B" w:rsidP="00404392">
            <w:pPr>
              <w:jc w:val="right"/>
              <w:rPr>
                <w:szCs w:val="18"/>
              </w:rPr>
            </w:pPr>
            <w:r w:rsidRPr="00063E70">
              <w:rPr>
                <w:szCs w:val="18"/>
              </w:rPr>
              <w:t>n</w:t>
            </w:r>
            <w:r w:rsidR="00C23A4B">
              <w:rPr>
                <w:szCs w:val="18"/>
              </w:rPr>
              <w:t>.</w:t>
            </w:r>
            <w:r w:rsidRPr="00063E70">
              <w:rPr>
                <w:szCs w:val="18"/>
              </w:rPr>
              <w:t>v</w:t>
            </w:r>
            <w:r w:rsidR="00C23A4B">
              <w:rPr>
                <w:szCs w:val="18"/>
              </w:rPr>
              <w:t>.</w:t>
            </w:r>
            <w:r w:rsidRPr="00063E70">
              <w:rPr>
                <w:szCs w:val="18"/>
              </w:rPr>
              <w:t>t</w:t>
            </w:r>
            <w:r w:rsidR="00C23A4B">
              <w:rPr>
                <w:szCs w:val="18"/>
              </w:rPr>
              <w:t>.</w:t>
            </w:r>
          </w:p>
        </w:tc>
        <w:tc>
          <w:tcPr>
            <w:tcW w:w="1914" w:type="dxa"/>
            <w:tcBorders>
              <w:top w:val="single" w:sz="4" w:space="0" w:color="auto"/>
              <w:left w:val="single" w:sz="4" w:space="0" w:color="auto"/>
              <w:bottom w:val="single" w:sz="4" w:space="0" w:color="auto"/>
              <w:right w:val="single" w:sz="4" w:space="0" w:color="auto"/>
            </w:tcBorders>
            <w:hideMark/>
          </w:tcPr>
          <w:p w14:paraId="20CEDCE7" w14:textId="33448B89" w:rsidR="00B61C9B" w:rsidRPr="00063E70" w:rsidRDefault="00C23A4B" w:rsidP="00404392">
            <w:pPr>
              <w:jc w:val="right"/>
              <w:rPr>
                <w:szCs w:val="18"/>
              </w:rPr>
            </w:pPr>
            <w:r w:rsidRPr="00063E70">
              <w:rPr>
                <w:szCs w:val="18"/>
              </w:rPr>
              <w:t>n</w:t>
            </w:r>
            <w:r>
              <w:rPr>
                <w:szCs w:val="18"/>
              </w:rPr>
              <w:t>.</w:t>
            </w:r>
            <w:r w:rsidRPr="00063E70">
              <w:rPr>
                <w:szCs w:val="18"/>
              </w:rPr>
              <w:t>v</w:t>
            </w:r>
            <w:r>
              <w:rPr>
                <w:szCs w:val="18"/>
              </w:rPr>
              <w:t>.</w:t>
            </w:r>
            <w:r w:rsidRPr="00063E70">
              <w:rPr>
                <w:szCs w:val="18"/>
              </w:rPr>
              <w:t>t</w:t>
            </w:r>
            <w:r>
              <w:rPr>
                <w:szCs w:val="18"/>
              </w:rPr>
              <w:t>.</w:t>
            </w:r>
          </w:p>
        </w:tc>
      </w:tr>
      <w:tr w:rsidR="00B61C9B" w:rsidRPr="00063E70" w14:paraId="78689005" w14:textId="77777777" w:rsidTr="00B61C9B">
        <w:tc>
          <w:tcPr>
            <w:tcW w:w="3794" w:type="dxa"/>
            <w:tcBorders>
              <w:top w:val="single" w:sz="4" w:space="0" w:color="auto"/>
              <w:left w:val="single" w:sz="4" w:space="0" w:color="auto"/>
              <w:bottom w:val="single" w:sz="4" w:space="0" w:color="auto"/>
              <w:right w:val="single" w:sz="4" w:space="0" w:color="auto"/>
            </w:tcBorders>
            <w:hideMark/>
          </w:tcPr>
          <w:p w14:paraId="22BE3F9F" w14:textId="77777777" w:rsidR="00B61C9B" w:rsidRPr="00063E70" w:rsidRDefault="00B61C9B">
            <w:pPr>
              <w:rPr>
                <w:szCs w:val="18"/>
              </w:rPr>
            </w:pPr>
            <w:r w:rsidRPr="00063E70">
              <w:rPr>
                <w:szCs w:val="18"/>
                <w:lang w:eastAsia="zh-CN"/>
              </w:rPr>
              <w:t>Bijdrage aan schuldverlichting (HIPC)</w:t>
            </w:r>
          </w:p>
        </w:tc>
        <w:tc>
          <w:tcPr>
            <w:tcW w:w="1913" w:type="dxa"/>
            <w:tcBorders>
              <w:top w:val="single" w:sz="4" w:space="0" w:color="auto"/>
              <w:left w:val="single" w:sz="4" w:space="0" w:color="auto"/>
              <w:bottom w:val="single" w:sz="4" w:space="0" w:color="auto"/>
              <w:right w:val="single" w:sz="4" w:space="0" w:color="auto"/>
            </w:tcBorders>
            <w:hideMark/>
          </w:tcPr>
          <w:p w14:paraId="779B7506" w14:textId="7947713D" w:rsidR="00B61C9B" w:rsidRPr="00063E70" w:rsidRDefault="00C23A4B" w:rsidP="00404392">
            <w:pPr>
              <w:jc w:val="right"/>
              <w:rPr>
                <w:szCs w:val="18"/>
              </w:rPr>
            </w:pPr>
            <w:r>
              <w:rPr>
                <w:szCs w:val="18"/>
              </w:rPr>
              <w:t>n.</w:t>
            </w:r>
            <w:r w:rsidR="00B61C9B" w:rsidRPr="00063E70">
              <w:rPr>
                <w:szCs w:val="18"/>
              </w:rPr>
              <w:t>v</w:t>
            </w:r>
            <w:r>
              <w:rPr>
                <w:szCs w:val="18"/>
              </w:rPr>
              <w:t>.</w:t>
            </w:r>
            <w:r w:rsidR="00B61C9B" w:rsidRPr="00063E70">
              <w:rPr>
                <w:szCs w:val="18"/>
              </w:rPr>
              <w:t>t</w:t>
            </w:r>
            <w:r>
              <w:rPr>
                <w:szCs w:val="18"/>
              </w:rPr>
              <w:t>.</w:t>
            </w:r>
          </w:p>
        </w:tc>
        <w:tc>
          <w:tcPr>
            <w:tcW w:w="1914" w:type="dxa"/>
            <w:tcBorders>
              <w:top w:val="single" w:sz="4" w:space="0" w:color="auto"/>
              <w:left w:val="single" w:sz="4" w:space="0" w:color="auto"/>
              <w:bottom w:val="single" w:sz="4" w:space="0" w:color="auto"/>
              <w:right w:val="single" w:sz="4" w:space="0" w:color="auto"/>
            </w:tcBorders>
            <w:hideMark/>
          </w:tcPr>
          <w:p w14:paraId="21E56536" w14:textId="33AF8AB9" w:rsidR="00B61C9B" w:rsidRPr="00063E70" w:rsidRDefault="00C23A4B" w:rsidP="00404392">
            <w:pPr>
              <w:jc w:val="right"/>
              <w:rPr>
                <w:szCs w:val="18"/>
              </w:rPr>
            </w:pPr>
            <w:r w:rsidRPr="00063E70">
              <w:rPr>
                <w:szCs w:val="18"/>
              </w:rPr>
              <w:t>n</w:t>
            </w:r>
            <w:r>
              <w:rPr>
                <w:szCs w:val="18"/>
              </w:rPr>
              <w:t>.</w:t>
            </w:r>
            <w:r w:rsidRPr="00063E70">
              <w:rPr>
                <w:szCs w:val="18"/>
              </w:rPr>
              <w:t>v</w:t>
            </w:r>
            <w:r>
              <w:rPr>
                <w:szCs w:val="18"/>
              </w:rPr>
              <w:t>.</w:t>
            </w:r>
            <w:r w:rsidRPr="00063E70">
              <w:rPr>
                <w:szCs w:val="18"/>
              </w:rPr>
              <w:t>t</w:t>
            </w:r>
            <w:r>
              <w:rPr>
                <w:szCs w:val="18"/>
              </w:rPr>
              <w:t>.</w:t>
            </w:r>
          </w:p>
        </w:tc>
      </w:tr>
      <w:tr w:rsidR="00B61C9B" w:rsidRPr="00063E70" w14:paraId="29AF0E72" w14:textId="77777777" w:rsidTr="00B61C9B">
        <w:tc>
          <w:tcPr>
            <w:tcW w:w="3794" w:type="dxa"/>
            <w:tcBorders>
              <w:top w:val="single" w:sz="4" w:space="0" w:color="auto"/>
              <w:left w:val="single" w:sz="4" w:space="0" w:color="auto"/>
              <w:bottom w:val="single" w:sz="4" w:space="0" w:color="auto"/>
              <w:right w:val="single" w:sz="4" w:space="0" w:color="auto"/>
            </w:tcBorders>
            <w:hideMark/>
          </w:tcPr>
          <w:p w14:paraId="5E6A13FD" w14:textId="1C1FC2F8" w:rsidR="00B61C9B" w:rsidRPr="00063E70" w:rsidRDefault="00006047">
            <w:pPr>
              <w:rPr>
                <w:szCs w:val="18"/>
              </w:rPr>
            </w:pPr>
            <w:r>
              <w:rPr>
                <w:szCs w:val="18"/>
                <w:lang w:eastAsia="zh-CN"/>
              </w:rPr>
              <w:t>Goedgekeurde leningen in 2014</w:t>
            </w:r>
          </w:p>
        </w:tc>
        <w:tc>
          <w:tcPr>
            <w:tcW w:w="1913" w:type="dxa"/>
            <w:tcBorders>
              <w:top w:val="single" w:sz="4" w:space="0" w:color="auto"/>
              <w:left w:val="single" w:sz="4" w:space="0" w:color="auto"/>
              <w:bottom w:val="single" w:sz="4" w:space="0" w:color="auto"/>
              <w:right w:val="single" w:sz="4" w:space="0" w:color="auto"/>
            </w:tcBorders>
            <w:hideMark/>
          </w:tcPr>
          <w:p w14:paraId="268DBAA3" w14:textId="7544FB8F" w:rsidR="00B61C9B" w:rsidRPr="00063E70" w:rsidRDefault="00BE4ADD" w:rsidP="00006047">
            <w:pPr>
              <w:jc w:val="right"/>
              <w:rPr>
                <w:szCs w:val="18"/>
              </w:rPr>
            </w:pPr>
            <w:r>
              <w:rPr>
                <w:szCs w:val="18"/>
              </w:rPr>
              <w:t>8.</w:t>
            </w:r>
            <w:r w:rsidR="00972D20" w:rsidRPr="00063E70">
              <w:rPr>
                <w:szCs w:val="18"/>
              </w:rPr>
              <w:t>853</w:t>
            </w:r>
          </w:p>
        </w:tc>
        <w:tc>
          <w:tcPr>
            <w:tcW w:w="1914" w:type="dxa"/>
            <w:tcBorders>
              <w:top w:val="single" w:sz="4" w:space="0" w:color="auto"/>
              <w:left w:val="single" w:sz="4" w:space="0" w:color="auto"/>
              <w:bottom w:val="single" w:sz="4" w:space="0" w:color="auto"/>
              <w:right w:val="single" w:sz="4" w:space="0" w:color="auto"/>
            </w:tcBorders>
            <w:hideMark/>
          </w:tcPr>
          <w:p w14:paraId="263DBE02" w14:textId="33B4F046" w:rsidR="00B61C9B" w:rsidRPr="00063E70" w:rsidRDefault="00404392" w:rsidP="00123C8C">
            <w:pPr>
              <w:jc w:val="right"/>
              <w:rPr>
                <w:szCs w:val="18"/>
                <w:highlight w:val="yellow"/>
              </w:rPr>
            </w:pPr>
            <w:r>
              <w:rPr>
                <w:szCs w:val="18"/>
              </w:rPr>
              <w:t>260</w:t>
            </w:r>
          </w:p>
        </w:tc>
      </w:tr>
      <w:tr w:rsidR="00B61C9B" w:rsidRPr="00063E70" w14:paraId="2D53D5BE" w14:textId="77777777" w:rsidTr="00B61C9B">
        <w:tc>
          <w:tcPr>
            <w:tcW w:w="3794" w:type="dxa"/>
            <w:tcBorders>
              <w:top w:val="single" w:sz="4" w:space="0" w:color="auto"/>
              <w:left w:val="single" w:sz="4" w:space="0" w:color="auto"/>
              <w:bottom w:val="single" w:sz="4" w:space="0" w:color="auto"/>
              <w:right w:val="single" w:sz="4" w:space="0" w:color="auto"/>
            </w:tcBorders>
            <w:hideMark/>
          </w:tcPr>
          <w:p w14:paraId="3BC9FC56" w14:textId="77777777" w:rsidR="00B61C9B" w:rsidRPr="00063E70" w:rsidRDefault="00B61C9B">
            <w:pPr>
              <w:rPr>
                <w:szCs w:val="18"/>
              </w:rPr>
            </w:pPr>
            <w:r w:rsidRPr="00063E70">
              <w:rPr>
                <w:szCs w:val="18"/>
                <w:lang w:eastAsia="zh-CN"/>
              </w:rPr>
              <w:t xml:space="preserve">Totaal statutaire kapitaal </w:t>
            </w:r>
          </w:p>
        </w:tc>
        <w:tc>
          <w:tcPr>
            <w:tcW w:w="1913" w:type="dxa"/>
            <w:tcBorders>
              <w:top w:val="single" w:sz="4" w:space="0" w:color="auto"/>
              <w:left w:val="single" w:sz="4" w:space="0" w:color="auto"/>
              <w:bottom w:val="single" w:sz="4" w:space="0" w:color="auto"/>
              <w:right w:val="single" w:sz="4" w:space="0" w:color="auto"/>
            </w:tcBorders>
            <w:hideMark/>
          </w:tcPr>
          <w:p w14:paraId="4EE24FAD" w14:textId="1B910C2D" w:rsidR="00B61C9B" w:rsidRPr="00063E70" w:rsidRDefault="00BE4ADD" w:rsidP="00006047">
            <w:pPr>
              <w:jc w:val="right"/>
              <w:rPr>
                <w:szCs w:val="18"/>
              </w:rPr>
            </w:pPr>
            <w:r>
              <w:rPr>
                <w:szCs w:val="18"/>
              </w:rPr>
              <w:t>29.</w:t>
            </w:r>
            <w:r w:rsidR="00972D20" w:rsidRPr="00063E70">
              <w:rPr>
                <w:szCs w:val="18"/>
              </w:rPr>
              <w:t>673</w:t>
            </w:r>
            <w:r w:rsidR="00463BE5" w:rsidRPr="00063E70">
              <w:rPr>
                <w:szCs w:val="18"/>
              </w:rPr>
              <w:t xml:space="preserve"> </w:t>
            </w:r>
          </w:p>
        </w:tc>
        <w:tc>
          <w:tcPr>
            <w:tcW w:w="1914" w:type="dxa"/>
            <w:tcBorders>
              <w:top w:val="single" w:sz="4" w:space="0" w:color="auto"/>
              <w:left w:val="single" w:sz="4" w:space="0" w:color="auto"/>
              <w:bottom w:val="single" w:sz="4" w:space="0" w:color="auto"/>
              <w:right w:val="single" w:sz="4" w:space="0" w:color="auto"/>
            </w:tcBorders>
            <w:hideMark/>
          </w:tcPr>
          <w:p w14:paraId="5B1770EB" w14:textId="5AF8C52A" w:rsidR="00B61C9B" w:rsidRPr="00063E70" w:rsidRDefault="00C23A4B" w:rsidP="00404392">
            <w:pPr>
              <w:jc w:val="right"/>
              <w:rPr>
                <w:szCs w:val="18"/>
                <w:highlight w:val="yellow"/>
              </w:rPr>
            </w:pPr>
            <w:r w:rsidRPr="00063E70">
              <w:rPr>
                <w:szCs w:val="18"/>
              </w:rPr>
              <w:t>n</w:t>
            </w:r>
            <w:r>
              <w:rPr>
                <w:szCs w:val="18"/>
              </w:rPr>
              <w:t>.</w:t>
            </w:r>
            <w:r w:rsidRPr="00063E70">
              <w:rPr>
                <w:szCs w:val="18"/>
              </w:rPr>
              <w:t>v</w:t>
            </w:r>
            <w:r>
              <w:rPr>
                <w:szCs w:val="18"/>
              </w:rPr>
              <w:t>.</w:t>
            </w:r>
            <w:r w:rsidRPr="00063E70">
              <w:rPr>
                <w:szCs w:val="18"/>
              </w:rPr>
              <w:t>t</w:t>
            </w:r>
            <w:r>
              <w:rPr>
                <w:szCs w:val="18"/>
              </w:rPr>
              <w:t>.</w:t>
            </w:r>
          </w:p>
        </w:tc>
      </w:tr>
      <w:tr w:rsidR="00B61C9B" w:rsidRPr="00063E70" w14:paraId="3E5848E4" w14:textId="77777777" w:rsidTr="00B61C9B">
        <w:tc>
          <w:tcPr>
            <w:tcW w:w="3794" w:type="dxa"/>
            <w:tcBorders>
              <w:top w:val="single" w:sz="4" w:space="0" w:color="auto"/>
              <w:left w:val="single" w:sz="4" w:space="0" w:color="auto"/>
              <w:bottom w:val="single" w:sz="4" w:space="0" w:color="auto"/>
              <w:right w:val="single" w:sz="4" w:space="0" w:color="auto"/>
            </w:tcBorders>
            <w:hideMark/>
          </w:tcPr>
          <w:p w14:paraId="043BA2DC" w14:textId="77777777" w:rsidR="00B61C9B" w:rsidRPr="00063E70" w:rsidRDefault="00B61C9B">
            <w:pPr>
              <w:rPr>
                <w:szCs w:val="18"/>
                <w:lang w:eastAsia="zh-CN"/>
              </w:rPr>
            </w:pPr>
            <w:r w:rsidRPr="00063E70">
              <w:rPr>
                <w:szCs w:val="18"/>
                <w:lang w:eastAsia="zh-CN"/>
              </w:rPr>
              <w:t>Nederlands aandeel</w:t>
            </w:r>
          </w:p>
        </w:tc>
        <w:tc>
          <w:tcPr>
            <w:tcW w:w="1913" w:type="dxa"/>
            <w:tcBorders>
              <w:top w:val="single" w:sz="4" w:space="0" w:color="auto"/>
              <w:left w:val="single" w:sz="4" w:space="0" w:color="auto"/>
              <w:bottom w:val="single" w:sz="4" w:space="0" w:color="auto"/>
              <w:right w:val="single" w:sz="4" w:space="0" w:color="auto"/>
            </w:tcBorders>
            <w:hideMark/>
          </w:tcPr>
          <w:p w14:paraId="7EE3744F" w14:textId="4263659F" w:rsidR="00B61C9B" w:rsidRPr="00063E70" w:rsidRDefault="00006047" w:rsidP="00006047">
            <w:pPr>
              <w:jc w:val="right"/>
              <w:rPr>
                <w:szCs w:val="18"/>
              </w:rPr>
            </w:pPr>
            <w:r>
              <w:rPr>
                <w:szCs w:val="18"/>
              </w:rPr>
              <w:t>744</w:t>
            </w:r>
          </w:p>
        </w:tc>
        <w:tc>
          <w:tcPr>
            <w:tcW w:w="1914" w:type="dxa"/>
            <w:tcBorders>
              <w:top w:val="single" w:sz="4" w:space="0" w:color="auto"/>
              <w:left w:val="single" w:sz="4" w:space="0" w:color="auto"/>
              <w:bottom w:val="single" w:sz="4" w:space="0" w:color="auto"/>
              <w:right w:val="single" w:sz="4" w:space="0" w:color="auto"/>
            </w:tcBorders>
            <w:hideMark/>
          </w:tcPr>
          <w:p w14:paraId="76F20936" w14:textId="1240A18A" w:rsidR="00B61C9B" w:rsidRPr="00063E70" w:rsidRDefault="00C23A4B" w:rsidP="00404392">
            <w:pPr>
              <w:jc w:val="right"/>
              <w:rPr>
                <w:szCs w:val="18"/>
              </w:rPr>
            </w:pPr>
            <w:r w:rsidRPr="00063E70">
              <w:rPr>
                <w:szCs w:val="18"/>
              </w:rPr>
              <w:t>n</w:t>
            </w:r>
            <w:r>
              <w:rPr>
                <w:szCs w:val="18"/>
              </w:rPr>
              <w:t>.</w:t>
            </w:r>
            <w:r w:rsidRPr="00063E70">
              <w:rPr>
                <w:szCs w:val="18"/>
              </w:rPr>
              <w:t>v</w:t>
            </w:r>
            <w:r>
              <w:rPr>
                <w:szCs w:val="18"/>
              </w:rPr>
              <w:t>.</w:t>
            </w:r>
            <w:r w:rsidRPr="00063E70">
              <w:rPr>
                <w:szCs w:val="18"/>
              </w:rPr>
              <w:t>t</w:t>
            </w:r>
            <w:r>
              <w:rPr>
                <w:szCs w:val="18"/>
              </w:rPr>
              <w:t>.</w:t>
            </w:r>
          </w:p>
        </w:tc>
      </w:tr>
      <w:tr w:rsidR="00B61C9B" w:rsidRPr="00063E70" w14:paraId="673D1C31" w14:textId="77777777" w:rsidTr="00B61C9B">
        <w:tc>
          <w:tcPr>
            <w:tcW w:w="3794" w:type="dxa"/>
            <w:tcBorders>
              <w:top w:val="single" w:sz="4" w:space="0" w:color="auto"/>
              <w:left w:val="single" w:sz="4" w:space="0" w:color="auto"/>
              <w:bottom w:val="single" w:sz="4" w:space="0" w:color="auto"/>
              <w:right w:val="single" w:sz="4" w:space="0" w:color="auto"/>
            </w:tcBorders>
            <w:hideMark/>
          </w:tcPr>
          <w:p w14:paraId="5BF1186F" w14:textId="77777777" w:rsidR="00B61C9B" w:rsidRPr="00063E70" w:rsidRDefault="00B61C9B">
            <w:pPr>
              <w:rPr>
                <w:szCs w:val="18"/>
              </w:rPr>
            </w:pPr>
            <w:r w:rsidRPr="00063E70">
              <w:rPr>
                <w:szCs w:val="18"/>
                <w:lang w:eastAsia="zh-CN"/>
              </w:rPr>
              <w:t>Kiesgroep aandeel in %</w:t>
            </w:r>
          </w:p>
        </w:tc>
        <w:tc>
          <w:tcPr>
            <w:tcW w:w="1913" w:type="dxa"/>
            <w:tcBorders>
              <w:top w:val="single" w:sz="4" w:space="0" w:color="auto"/>
              <w:left w:val="single" w:sz="4" w:space="0" w:color="auto"/>
              <w:bottom w:val="single" w:sz="4" w:space="0" w:color="auto"/>
              <w:right w:val="single" w:sz="4" w:space="0" w:color="auto"/>
            </w:tcBorders>
            <w:hideMark/>
          </w:tcPr>
          <w:p w14:paraId="3895CBF6" w14:textId="77777777" w:rsidR="00A13274" w:rsidRDefault="00BE4ADD" w:rsidP="00A152DA">
            <w:pPr>
              <w:jc w:val="right"/>
              <w:rPr>
                <w:szCs w:val="18"/>
                <w:lang w:val="fr-FR"/>
              </w:rPr>
            </w:pPr>
            <w:r>
              <w:rPr>
                <w:szCs w:val="18"/>
                <w:lang w:val="fr-FR"/>
              </w:rPr>
              <w:t>2,</w:t>
            </w:r>
            <w:r w:rsidR="00B61C9B" w:rsidRPr="00063E70">
              <w:rPr>
                <w:szCs w:val="18"/>
                <w:lang w:val="fr-FR"/>
              </w:rPr>
              <w:t xml:space="preserve">63% </w:t>
            </w:r>
          </w:p>
          <w:p w14:paraId="4B4350B6" w14:textId="65BE7CF3" w:rsidR="00B61C9B" w:rsidRPr="00063E70" w:rsidRDefault="00B61C9B" w:rsidP="00A152DA">
            <w:pPr>
              <w:jc w:val="right"/>
              <w:rPr>
                <w:szCs w:val="18"/>
                <w:lang w:val="fr-FR"/>
              </w:rPr>
            </w:pPr>
            <w:r w:rsidRPr="00063E70">
              <w:rPr>
                <w:szCs w:val="18"/>
                <w:lang w:val="fr-FR"/>
              </w:rPr>
              <w:t>(incl</w:t>
            </w:r>
            <w:r w:rsidR="00404392">
              <w:rPr>
                <w:szCs w:val="18"/>
                <w:lang w:val="fr-FR"/>
              </w:rPr>
              <w:t>. Armenië, Macedonië en  Mongolië</w:t>
            </w:r>
            <w:r w:rsidRPr="00063E70">
              <w:rPr>
                <w:szCs w:val="18"/>
                <w:lang w:val="fr-FR"/>
              </w:rPr>
              <w:t>)</w:t>
            </w:r>
          </w:p>
        </w:tc>
        <w:tc>
          <w:tcPr>
            <w:tcW w:w="1914" w:type="dxa"/>
            <w:tcBorders>
              <w:top w:val="single" w:sz="4" w:space="0" w:color="auto"/>
              <w:left w:val="single" w:sz="4" w:space="0" w:color="auto"/>
              <w:bottom w:val="single" w:sz="4" w:space="0" w:color="auto"/>
              <w:right w:val="single" w:sz="4" w:space="0" w:color="auto"/>
            </w:tcBorders>
          </w:tcPr>
          <w:p w14:paraId="707C2FA7" w14:textId="77777777" w:rsidR="00B61C9B" w:rsidRPr="00063E70" w:rsidRDefault="00CC4D96" w:rsidP="00A152DA">
            <w:pPr>
              <w:jc w:val="right"/>
              <w:rPr>
                <w:szCs w:val="18"/>
                <w:lang w:val="fr-FR"/>
              </w:rPr>
            </w:pPr>
            <w:r>
              <w:rPr>
                <w:szCs w:val="18"/>
                <w:lang w:val="fr-FR"/>
              </w:rPr>
              <w:t>-</w:t>
            </w:r>
          </w:p>
        </w:tc>
      </w:tr>
      <w:tr w:rsidR="00B61C9B" w:rsidRPr="00063E70" w14:paraId="5F793B32" w14:textId="77777777" w:rsidTr="00B61C9B">
        <w:tc>
          <w:tcPr>
            <w:tcW w:w="3794" w:type="dxa"/>
            <w:tcBorders>
              <w:top w:val="single" w:sz="4" w:space="0" w:color="auto"/>
              <w:left w:val="single" w:sz="4" w:space="0" w:color="auto"/>
              <w:bottom w:val="single" w:sz="4" w:space="0" w:color="auto"/>
              <w:right w:val="single" w:sz="4" w:space="0" w:color="auto"/>
            </w:tcBorders>
            <w:hideMark/>
          </w:tcPr>
          <w:p w14:paraId="2E6F6DAD" w14:textId="77777777" w:rsidR="00B61C9B" w:rsidRPr="00063E70" w:rsidRDefault="00B61C9B">
            <w:pPr>
              <w:rPr>
                <w:szCs w:val="18"/>
              </w:rPr>
            </w:pPr>
            <w:r w:rsidRPr="00063E70">
              <w:rPr>
                <w:szCs w:val="18"/>
                <w:lang w:eastAsia="zh-CN"/>
              </w:rPr>
              <w:t>Positie Nederland op ranglijst</w:t>
            </w:r>
          </w:p>
        </w:tc>
        <w:tc>
          <w:tcPr>
            <w:tcW w:w="1913" w:type="dxa"/>
            <w:tcBorders>
              <w:top w:val="single" w:sz="4" w:space="0" w:color="auto"/>
              <w:left w:val="single" w:sz="4" w:space="0" w:color="auto"/>
              <w:bottom w:val="single" w:sz="4" w:space="0" w:color="auto"/>
              <w:right w:val="single" w:sz="4" w:space="0" w:color="auto"/>
            </w:tcBorders>
            <w:hideMark/>
          </w:tcPr>
          <w:p w14:paraId="03CF5294" w14:textId="77777777" w:rsidR="00B61C9B" w:rsidRPr="00063E70" w:rsidRDefault="00B61C9B" w:rsidP="00A152DA">
            <w:pPr>
              <w:jc w:val="right"/>
              <w:rPr>
                <w:szCs w:val="18"/>
              </w:rPr>
            </w:pPr>
            <w:r w:rsidRPr="00063E70">
              <w:rPr>
                <w:szCs w:val="18"/>
              </w:rPr>
              <w:t>12</w:t>
            </w:r>
          </w:p>
        </w:tc>
        <w:tc>
          <w:tcPr>
            <w:tcW w:w="1914" w:type="dxa"/>
            <w:tcBorders>
              <w:top w:val="single" w:sz="4" w:space="0" w:color="auto"/>
              <w:left w:val="single" w:sz="4" w:space="0" w:color="auto"/>
              <w:bottom w:val="single" w:sz="4" w:space="0" w:color="auto"/>
              <w:right w:val="single" w:sz="4" w:space="0" w:color="auto"/>
            </w:tcBorders>
            <w:hideMark/>
          </w:tcPr>
          <w:p w14:paraId="439FAB3E" w14:textId="77777777" w:rsidR="00B61C9B" w:rsidRPr="00CC4D96" w:rsidRDefault="00CC4D96" w:rsidP="00A152DA">
            <w:pPr>
              <w:jc w:val="right"/>
              <w:rPr>
                <w:szCs w:val="18"/>
              </w:rPr>
            </w:pPr>
            <w:r w:rsidRPr="00CC4D96">
              <w:rPr>
                <w:szCs w:val="18"/>
              </w:rPr>
              <w:t>-</w:t>
            </w:r>
          </w:p>
        </w:tc>
      </w:tr>
      <w:tr w:rsidR="00B61C9B" w:rsidRPr="00063E70" w14:paraId="5C13057A" w14:textId="77777777" w:rsidTr="00B61C9B">
        <w:trPr>
          <w:trHeight w:val="60"/>
        </w:trPr>
        <w:tc>
          <w:tcPr>
            <w:tcW w:w="3794" w:type="dxa"/>
            <w:tcBorders>
              <w:top w:val="single" w:sz="4" w:space="0" w:color="auto"/>
              <w:left w:val="single" w:sz="4" w:space="0" w:color="auto"/>
              <w:bottom w:val="single" w:sz="4" w:space="0" w:color="auto"/>
              <w:right w:val="single" w:sz="4" w:space="0" w:color="auto"/>
            </w:tcBorders>
            <w:hideMark/>
          </w:tcPr>
          <w:p w14:paraId="48E0C68E" w14:textId="77777777" w:rsidR="00B61C9B" w:rsidRPr="00063E70" w:rsidRDefault="00B61C9B">
            <w:pPr>
              <w:rPr>
                <w:szCs w:val="18"/>
              </w:rPr>
            </w:pPr>
            <w:r w:rsidRPr="00063E70">
              <w:rPr>
                <w:szCs w:val="18"/>
                <w:lang w:eastAsia="zh-CN"/>
              </w:rPr>
              <w:t>Aantal aandeelhouders / donoren</w:t>
            </w:r>
          </w:p>
        </w:tc>
        <w:tc>
          <w:tcPr>
            <w:tcW w:w="1913" w:type="dxa"/>
            <w:tcBorders>
              <w:top w:val="single" w:sz="4" w:space="0" w:color="auto"/>
              <w:left w:val="single" w:sz="4" w:space="0" w:color="auto"/>
              <w:bottom w:val="single" w:sz="4" w:space="0" w:color="auto"/>
              <w:right w:val="single" w:sz="4" w:space="0" w:color="auto"/>
            </w:tcBorders>
            <w:hideMark/>
          </w:tcPr>
          <w:p w14:paraId="722E03CF" w14:textId="77777777" w:rsidR="00B61C9B" w:rsidRPr="00063E70" w:rsidRDefault="00B61C9B" w:rsidP="00A152DA">
            <w:pPr>
              <w:jc w:val="right"/>
              <w:rPr>
                <w:szCs w:val="18"/>
              </w:rPr>
            </w:pPr>
            <w:r w:rsidRPr="00063E70">
              <w:rPr>
                <w:szCs w:val="18"/>
              </w:rPr>
              <w:t>66</w:t>
            </w:r>
          </w:p>
        </w:tc>
        <w:tc>
          <w:tcPr>
            <w:tcW w:w="1914" w:type="dxa"/>
            <w:tcBorders>
              <w:top w:val="single" w:sz="4" w:space="0" w:color="auto"/>
              <w:left w:val="single" w:sz="4" w:space="0" w:color="auto"/>
              <w:bottom w:val="single" w:sz="4" w:space="0" w:color="auto"/>
              <w:right w:val="single" w:sz="4" w:space="0" w:color="auto"/>
            </w:tcBorders>
            <w:hideMark/>
          </w:tcPr>
          <w:p w14:paraId="6A550E50" w14:textId="77777777" w:rsidR="00B61C9B" w:rsidRPr="00063E70" w:rsidRDefault="00B61C9B" w:rsidP="00A152DA">
            <w:pPr>
              <w:jc w:val="right"/>
              <w:rPr>
                <w:szCs w:val="18"/>
                <w:highlight w:val="yellow"/>
              </w:rPr>
            </w:pPr>
            <w:r w:rsidRPr="00063E70">
              <w:rPr>
                <w:szCs w:val="18"/>
              </w:rPr>
              <w:t>41</w:t>
            </w:r>
          </w:p>
        </w:tc>
      </w:tr>
    </w:tbl>
    <w:p w14:paraId="60C6012B" w14:textId="77777777" w:rsidR="00B61C9B" w:rsidRPr="00063E70" w:rsidRDefault="00B61C9B" w:rsidP="00B95FC2">
      <w:pPr>
        <w:rPr>
          <w:szCs w:val="18"/>
        </w:rPr>
      </w:pPr>
    </w:p>
    <w:p w14:paraId="00D61757" w14:textId="77777777" w:rsidR="00A13274" w:rsidRDefault="00A13274" w:rsidP="00B95FC2">
      <w:pPr>
        <w:rPr>
          <w:szCs w:val="18"/>
        </w:rPr>
      </w:pPr>
    </w:p>
    <w:p w14:paraId="2D13F069" w14:textId="77777777" w:rsidR="00A13274" w:rsidRDefault="00A13274" w:rsidP="00B95FC2">
      <w:pPr>
        <w:rPr>
          <w:szCs w:val="18"/>
        </w:rPr>
      </w:pPr>
    </w:p>
    <w:p w14:paraId="7F2C7513" w14:textId="77777777" w:rsidR="00A13274" w:rsidRDefault="00A13274" w:rsidP="00B95FC2">
      <w:pPr>
        <w:rPr>
          <w:szCs w:val="18"/>
        </w:rPr>
      </w:pPr>
    </w:p>
    <w:p w14:paraId="3BCC169F" w14:textId="16A0F5C4" w:rsidR="001F553A" w:rsidRPr="00063E70" w:rsidRDefault="001F553A" w:rsidP="00B95FC2">
      <w:pPr>
        <w:rPr>
          <w:szCs w:val="18"/>
        </w:rPr>
      </w:pPr>
      <w:r w:rsidRPr="00063E70">
        <w:rPr>
          <w:szCs w:val="18"/>
        </w:rPr>
        <w:t>Nederlandse donorbijdragen 2011-2014</w:t>
      </w:r>
      <w:r w:rsidR="00A152DA">
        <w:rPr>
          <w:szCs w:val="18"/>
        </w:rPr>
        <w:t xml:space="preserve"> (in </w:t>
      </w:r>
      <w:r w:rsidR="00C23A4B">
        <w:rPr>
          <w:szCs w:val="18"/>
        </w:rPr>
        <w:t xml:space="preserve">EUR </w:t>
      </w:r>
      <w:r w:rsidR="00A152DA">
        <w:rPr>
          <w:szCs w:val="18"/>
        </w:rPr>
        <w:t>miljoenen)</w:t>
      </w:r>
    </w:p>
    <w:tbl>
      <w:tblPr>
        <w:tblW w:w="685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40"/>
        <w:gridCol w:w="1871"/>
        <w:gridCol w:w="739"/>
      </w:tblGrid>
      <w:tr w:rsidR="004C20CA" w:rsidRPr="00063E70" w14:paraId="5D2E7435" w14:textId="77777777" w:rsidTr="00972D20">
        <w:trPr>
          <w:trHeight w:val="300"/>
        </w:trPr>
        <w:tc>
          <w:tcPr>
            <w:tcW w:w="4240" w:type="dxa"/>
            <w:shd w:val="clear" w:color="auto" w:fill="auto"/>
            <w:noWrap/>
            <w:vAlign w:val="center"/>
            <w:hideMark/>
          </w:tcPr>
          <w:p w14:paraId="1F8C9952" w14:textId="77777777" w:rsidR="004C20CA" w:rsidRPr="004167B6" w:rsidRDefault="004C20CA" w:rsidP="004167B6">
            <w:pPr>
              <w:spacing w:line="240" w:lineRule="auto"/>
              <w:jc w:val="center"/>
              <w:rPr>
                <w:rFonts w:cs="Calibri"/>
                <w:b/>
                <w:bCs/>
                <w:color w:val="000000"/>
                <w:szCs w:val="18"/>
              </w:rPr>
            </w:pPr>
            <w:r w:rsidRPr="004167B6">
              <w:rPr>
                <w:rFonts w:cs="Calibri"/>
                <w:b/>
                <w:bCs/>
                <w:color w:val="000000"/>
                <w:szCs w:val="18"/>
              </w:rPr>
              <w:t>Donor</w:t>
            </w:r>
          </w:p>
        </w:tc>
        <w:tc>
          <w:tcPr>
            <w:tcW w:w="1871" w:type="dxa"/>
            <w:shd w:val="clear" w:color="auto" w:fill="auto"/>
            <w:noWrap/>
            <w:vAlign w:val="center"/>
            <w:hideMark/>
          </w:tcPr>
          <w:p w14:paraId="6FE2A42C" w14:textId="77777777" w:rsidR="004C20CA" w:rsidRPr="004167B6" w:rsidRDefault="004C20CA" w:rsidP="004167B6">
            <w:pPr>
              <w:spacing w:line="240" w:lineRule="auto"/>
              <w:jc w:val="center"/>
              <w:rPr>
                <w:rFonts w:cs="Calibri"/>
                <w:b/>
                <w:bCs/>
                <w:color w:val="000000"/>
                <w:szCs w:val="18"/>
              </w:rPr>
            </w:pPr>
            <w:r w:rsidRPr="00063E70">
              <w:rPr>
                <w:rFonts w:cs="Calibri"/>
                <w:b/>
                <w:bCs/>
                <w:color w:val="000000"/>
                <w:szCs w:val="18"/>
              </w:rPr>
              <w:t>Bedrag</w:t>
            </w:r>
          </w:p>
        </w:tc>
        <w:tc>
          <w:tcPr>
            <w:tcW w:w="739" w:type="dxa"/>
            <w:shd w:val="clear" w:color="auto" w:fill="auto"/>
            <w:noWrap/>
            <w:vAlign w:val="center"/>
            <w:hideMark/>
          </w:tcPr>
          <w:p w14:paraId="64C10D77" w14:textId="77777777" w:rsidR="004C20CA" w:rsidRPr="004167B6" w:rsidRDefault="004C20CA" w:rsidP="004167B6">
            <w:pPr>
              <w:spacing w:line="240" w:lineRule="auto"/>
              <w:jc w:val="center"/>
              <w:rPr>
                <w:rFonts w:cs="Calibri"/>
                <w:b/>
                <w:bCs/>
                <w:color w:val="000000"/>
                <w:szCs w:val="18"/>
              </w:rPr>
            </w:pPr>
            <w:r w:rsidRPr="00063E70">
              <w:rPr>
                <w:rFonts w:cs="Calibri"/>
                <w:b/>
                <w:bCs/>
                <w:color w:val="000000"/>
                <w:szCs w:val="18"/>
              </w:rPr>
              <w:t>Jaar</w:t>
            </w:r>
          </w:p>
        </w:tc>
      </w:tr>
      <w:tr w:rsidR="004C20CA" w:rsidRPr="00063E70" w14:paraId="4C1ECD2C" w14:textId="77777777" w:rsidTr="00972D20">
        <w:trPr>
          <w:trHeight w:val="300"/>
        </w:trPr>
        <w:tc>
          <w:tcPr>
            <w:tcW w:w="4240" w:type="dxa"/>
            <w:shd w:val="clear" w:color="auto" w:fill="auto"/>
            <w:vAlign w:val="bottom"/>
            <w:hideMark/>
          </w:tcPr>
          <w:p w14:paraId="5A2CF742" w14:textId="77777777" w:rsidR="004C20CA" w:rsidRPr="004167B6" w:rsidRDefault="004C20CA" w:rsidP="004167B6">
            <w:pPr>
              <w:spacing w:line="240" w:lineRule="auto"/>
              <w:rPr>
                <w:rFonts w:cs="Calibri"/>
                <w:i/>
                <w:color w:val="000000"/>
                <w:szCs w:val="18"/>
              </w:rPr>
            </w:pPr>
            <w:r w:rsidRPr="004167B6">
              <w:rPr>
                <w:rFonts w:cs="Calibri"/>
                <w:i/>
                <w:color w:val="000000"/>
                <w:szCs w:val="18"/>
              </w:rPr>
              <w:t xml:space="preserve">ETC Fund Replenishment </w:t>
            </w:r>
          </w:p>
        </w:tc>
        <w:tc>
          <w:tcPr>
            <w:tcW w:w="1871" w:type="dxa"/>
            <w:shd w:val="clear" w:color="auto" w:fill="auto"/>
            <w:noWrap/>
            <w:vAlign w:val="bottom"/>
            <w:hideMark/>
          </w:tcPr>
          <w:p w14:paraId="0A168F4C" w14:textId="5EE60D37" w:rsidR="004C20CA" w:rsidRPr="004167B6" w:rsidRDefault="004C20CA" w:rsidP="004167B6">
            <w:pPr>
              <w:spacing w:line="240" w:lineRule="auto"/>
              <w:jc w:val="right"/>
              <w:rPr>
                <w:rFonts w:cs="Calibri"/>
                <w:color w:val="000000"/>
                <w:szCs w:val="18"/>
              </w:rPr>
            </w:pPr>
            <w:r w:rsidRPr="00063E70">
              <w:rPr>
                <w:rFonts w:cs="Calibri"/>
                <w:color w:val="000000"/>
                <w:szCs w:val="18"/>
              </w:rPr>
              <w:t>3,6</w:t>
            </w:r>
          </w:p>
        </w:tc>
        <w:tc>
          <w:tcPr>
            <w:tcW w:w="739" w:type="dxa"/>
            <w:shd w:val="clear" w:color="auto" w:fill="auto"/>
            <w:noWrap/>
            <w:vAlign w:val="bottom"/>
            <w:hideMark/>
          </w:tcPr>
          <w:p w14:paraId="1E8414CD" w14:textId="77777777" w:rsidR="004C20CA" w:rsidRPr="004167B6" w:rsidRDefault="004C20CA" w:rsidP="004167B6">
            <w:pPr>
              <w:spacing w:line="240" w:lineRule="auto"/>
              <w:jc w:val="right"/>
              <w:rPr>
                <w:rFonts w:cs="Calibri"/>
                <w:color w:val="000000"/>
                <w:szCs w:val="18"/>
              </w:rPr>
            </w:pPr>
            <w:r w:rsidRPr="004167B6">
              <w:rPr>
                <w:rFonts w:cs="Calibri"/>
                <w:color w:val="000000"/>
                <w:szCs w:val="18"/>
              </w:rPr>
              <w:t>2011</w:t>
            </w:r>
          </w:p>
        </w:tc>
      </w:tr>
      <w:tr w:rsidR="004C20CA" w:rsidRPr="00063E70" w14:paraId="7714D2FD" w14:textId="77777777" w:rsidTr="00972D20">
        <w:trPr>
          <w:trHeight w:val="600"/>
        </w:trPr>
        <w:tc>
          <w:tcPr>
            <w:tcW w:w="4240" w:type="dxa"/>
            <w:shd w:val="clear" w:color="auto" w:fill="auto"/>
            <w:vAlign w:val="bottom"/>
            <w:hideMark/>
          </w:tcPr>
          <w:p w14:paraId="54B1DC83" w14:textId="77777777" w:rsidR="004C20CA" w:rsidRPr="00FB1475" w:rsidRDefault="004C20CA" w:rsidP="004167B6">
            <w:pPr>
              <w:spacing w:line="240" w:lineRule="auto"/>
              <w:rPr>
                <w:rFonts w:cs="Calibri"/>
                <w:color w:val="000000"/>
                <w:szCs w:val="18"/>
                <w:lang w:val="en-GB"/>
              </w:rPr>
            </w:pPr>
            <w:r w:rsidRPr="00FB1475">
              <w:rPr>
                <w:rFonts w:cs="Calibri"/>
                <w:color w:val="000000"/>
                <w:szCs w:val="18"/>
                <w:lang w:val="en-GB"/>
              </w:rPr>
              <w:t xml:space="preserve">Bijdrage </w:t>
            </w:r>
            <w:r w:rsidRPr="00FB1475">
              <w:rPr>
                <w:rFonts w:cs="Calibri"/>
                <w:i/>
                <w:color w:val="000000"/>
                <w:szCs w:val="18"/>
                <w:lang w:val="en-GB"/>
              </w:rPr>
              <w:t>SEMED Multi-Donor Account</w:t>
            </w:r>
          </w:p>
        </w:tc>
        <w:tc>
          <w:tcPr>
            <w:tcW w:w="1871" w:type="dxa"/>
            <w:shd w:val="clear" w:color="auto" w:fill="auto"/>
            <w:noWrap/>
            <w:vAlign w:val="bottom"/>
            <w:hideMark/>
          </w:tcPr>
          <w:p w14:paraId="46656B06" w14:textId="424BA92A" w:rsidR="004C20CA" w:rsidRPr="004167B6" w:rsidRDefault="00A152DA" w:rsidP="004C20CA">
            <w:pPr>
              <w:spacing w:line="240" w:lineRule="auto"/>
              <w:jc w:val="right"/>
              <w:rPr>
                <w:rFonts w:cs="Calibri"/>
                <w:color w:val="000000"/>
                <w:szCs w:val="18"/>
              </w:rPr>
            </w:pPr>
            <w:r>
              <w:rPr>
                <w:rFonts w:cs="Calibri"/>
                <w:color w:val="000000"/>
                <w:szCs w:val="18"/>
              </w:rPr>
              <w:t>2,0</w:t>
            </w:r>
          </w:p>
        </w:tc>
        <w:tc>
          <w:tcPr>
            <w:tcW w:w="739" w:type="dxa"/>
            <w:shd w:val="clear" w:color="auto" w:fill="auto"/>
            <w:noWrap/>
            <w:vAlign w:val="bottom"/>
            <w:hideMark/>
          </w:tcPr>
          <w:p w14:paraId="3BC7B26D" w14:textId="77777777" w:rsidR="004C20CA" w:rsidRPr="004167B6" w:rsidRDefault="004C20CA" w:rsidP="004167B6">
            <w:pPr>
              <w:spacing w:line="240" w:lineRule="auto"/>
              <w:jc w:val="right"/>
              <w:rPr>
                <w:rFonts w:cs="Calibri"/>
                <w:color w:val="000000"/>
                <w:szCs w:val="18"/>
              </w:rPr>
            </w:pPr>
            <w:r w:rsidRPr="004167B6">
              <w:rPr>
                <w:rFonts w:cs="Calibri"/>
                <w:color w:val="000000"/>
                <w:szCs w:val="18"/>
              </w:rPr>
              <w:t>2011</w:t>
            </w:r>
          </w:p>
        </w:tc>
      </w:tr>
      <w:tr w:rsidR="004C20CA" w:rsidRPr="00063E70" w14:paraId="67D06945" w14:textId="77777777" w:rsidTr="00972D20">
        <w:trPr>
          <w:trHeight w:val="300"/>
        </w:trPr>
        <w:tc>
          <w:tcPr>
            <w:tcW w:w="4240" w:type="dxa"/>
            <w:shd w:val="clear" w:color="auto" w:fill="auto"/>
            <w:noWrap/>
            <w:vAlign w:val="bottom"/>
            <w:hideMark/>
          </w:tcPr>
          <w:p w14:paraId="74EF3A7A" w14:textId="77777777" w:rsidR="004C20CA" w:rsidRPr="004167B6" w:rsidRDefault="004C20CA" w:rsidP="004167B6">
            <w:pPr>
              <w:spacing w:line="240" w:lineRule="auto"/>
              <w:rPr>
                <w:rFonts w:cs="Calibri"/>
                <w:b/>
                <w:bCs/>
                <w:color w:val="000000"/>
                <w:szCs w:val="18"/>
              </w:rPr>
            </w:pPr>
            <w:r w:rsidRPr="004167B6">
              <w:rPr>
                <w:rFonts w:cs="Calibri"/>
                <w:b/>
                <w:bCs/>
                <w:color w:val="000000"/>
                <w:szCs w:val="18"/>
              </w:rPr>
              <w:t>Tota</w:t>
            </w:r>
            <w:r w:rsidRPr="00063E70">
              <w:rPr>
                <w:rFonts w:cs="Calibri"/>
                <w:b/>
                <w:bCs/>
                <w:color w:val="000000"/>
                <w:szCs w:val="18"/>
              </w:rPr>
              <w:t>a</w:t>
            </w:r>
            <w:r w:rsidRPr="004167B6">
              <w:rPr>
                <w:rFonts w:cs="Calibri"/>
                <w:b/>
                <w:bCs/>
                <w:color w:val="000000"/>
                <w:szCs w:val="18"/>
              </w:rPr>
              <w:t>l*</w:t>
            </w:r>
          </w:p>
        </w:tc>
        <w:tc>
          <w:tcPr>
            <w:tcW w:w="1871" w:type="dxa"/>
            <w:shd w:val="clear" w:color="auto" w:fill="auto"/>
            <w:noWrap/>
            <w:vAlign w:val="bottom"/>
            <w:hideMark/>
          </w:tcPr>
          <w:p w14:paraId="18A36338" w14:textId="1E0DC14E" w:rsidR="004C20CA" w:rsidRPr="004167B6" w:rsidRDefault="00896A2E" w:rsidP="004167B6">
            <w:pPr>
              <w:spacing w:line="240" w:lineRule="auto"/>
              <w:jc w:val="right"/>
              <w:rPr>
                <w:rFonts w:cs="Calibri"/>
                <w:b/>
                <w:bCs/>
                <w:color w:val="000000"/>
                <w:szCs w:val="18"/>
              </w:rPr>
            </w:pPr>
            <w:r>
              <w:rPr>
                <w:rFonts w:cs="Calibri"/>
                <w:b/>
                <w:bCs/>
                <w:color w:val="000000"/>
                <w:szCs w:val="18"/>
              </w:rPr>
              <w:t>5,6</w:t>
            </w:r>
          </w:p>
        </w:tc>
        <w:tc>
          <w:tcPr>
            <w:tcW w:w="739" w:type="dxa"/>
            <w:shd w:val="clear" w:color="auto" w:fill="auto"/>
            <w:noWrap/>
            <w:vAlign w:val="bottom"/>
            <w:hideMark/>
          </w:tcPr>
          <w:p w14:paraId="4F22096D" w14:textId="77777777" w:rsidR="004C20CA" w:rsidRPr="004167B6" w:rsidRDefault="004C20CA" w:rsidP="004167B6">
            <w:pPr>
              <w:spacing w:line="240" w:lineRule="auto"/>
              <w:rPr>
                <w:rFonts w:cs="Calibri"/>
                <w:b/>
                <w:color w:val="000000"/>
                <w:szCs w:val="18"/>
              </w:rPr>
            </w:pPr>
            <w:r w:rsidRPr="004167B6">
              <w:rPr>
                <w:rFonts w:cs="Calibri"/>
                <w:b/>
                <w:color w:val="000000"/>
                <w:szCs w:val="18"/>
              </w:rPr>
              <w:t> </w:t>
            </w:r>
          </w:p>
        </w:tc>
      </w:tr>
    </w:tbl>
    <w:p w14:paraId="416371A1" w14:textId="77777777" w:rsidR="004C20CA" w:rsidRPr="00063E70" w:rsidRDefault="004C20CA" w:rsidP="00B95FC2">
      <w:pPr>
        <w:rPr>
          <w:szCs w:val="18"/>
        </w:rPr>
      </w:pPr>
    </w:p>
    <w:p w14:paraId="1F0B071B" w14:textId="655E4374" w:rsidR="005150FC" w:rsidRPr="00063E70" w:rsidRDefault="00C23A4B" w:rsidP="00B95FC2">
      <w:pPr>
        <w:rPr>
          <w:szCs w:val="18"/>
        </w:rPr>
      </w:pPr>
      <w:r>
        <w:rPr>
          <w:szCs w:val="18"/>
        </w:rPr>
        <w:t>*</w:t>
      </w:r>
      <w:r w:rsidR="001F553A" w:rsidRPr="00063E70">
        <w:rPr>
          <w:szCs w:val="18"/>
        </w:rPr>
        <w:t xml:space="preserve">Exclusief de Nederlandse bijdrage aan het </w:t>
      </w:r>
      <w:r w:rsidR="001F553A" w:rsidRPr="00F92015">
        <w:rPr>
          <w:i/>
          <w:szCs w:val="18"/>
        </w:rPr>
        <w:t>Special Fund to Ukraine MDA</w:t>
      </w:r>
      <w:r w:rsidR="001F553A" w:rsidRPr="00063E70">
        <w:rPr>
          <w:szCs w:val="18"/>
        </w:rPr>
        <w:t xml:space="preserve"> van EUR 2,</w:t>
      </w:r>
      <w:r w:rsidR="00896A2E">
        <w:rPr>
          <w:szCs w:val="18"/>
        </w:rPr>
        <w:t>2 m</w:t>
      </w:r>
      <w:r>
        <w:rPr>
          <w:szCs w:val="18"/>
        </w:rPr>
        <w:t>iljoen</w:t>
      </w:r>
      <w:r w:rsidR="00F92015">
        <w:rPr>
          <w:szCs w:val="18"/>
        </w:rPr>
        <w:t>.</w:t>
      </w:r>
    </w:p>
    <w:p w14:paraId="051C5394" w14:textId="77777777" w:rsidR="009811DF" w:rsidRPr="00C23A4B" w:rsidRDefault="00F24A31" w:rsidP="00F24A31">
      <w:pPr>
        <w:pStyle w:val="Heading1"/>
        <w:tabs>
          <w:tab w:val="num" w:pos="0"/>
        </w:tabs>
        <w:spacing w:after="240" w:line="240" w:lineRule="auto"/>
        <w:ind w:hanging="1162"/>
        <w:rPr>
          <w:szCs w:val="24"/>
        </w:rPr>
      </w:pPr>
      <w:r w:rsidRPr="00C23A4B">
        <w:rPr>
          <w:szCs w:val="24"/>
        </w:rPr>
        <w:t xml:space="preserve">3 </w:t>
      </w:r>
      <w:bookmarkStart w:id="20" w:name="_Toc410397628"/>
      <w:r w:rsidRPr="00C23A4B">
        <w:rPr>
          <w:szCs w:val="24"/>
        </w:rPr>
        <w:tab/>
      </w:r>
      <w:r w:rsidR="006C1EB0" w:rsidRPr="00C23A4B">
        <w:rPr>
          <w:szCs w:val="24"/>
        </w:rPr>
        <w:t>Institutionele aspecten</w:t>
      </w:r>
      <w:r w:rsidR="00D745A7" w:rsidRPr="00C23A4B">
        <w:rPr>
          <w:szCs w:val="24"/>
        </w:rPr>
        <w:t xml:space="preserve"> </w:t>
      </w:r>
      <w:r w:rsidR="009B1466" w:rsidRPr="00C23A4B">
        <w:rPr>
          <w:szCs w:val="24"/>
        </w:rPr>
        <w:t xml:space="preserve">en functioneren </w:t>
      </w:r>
      <w:r w:rsidR="00D745A7" w:rsidRPr="00C23A4B">
        <w:rPr>
          <w:szCs w:val="24"/>
        </w:rPr>
        <w:t>van de organisatie</w:t>
      </w:r>
      <w:bookmarkEnd w:id="20"/>
    </w:p>
    <w:p w14:paraId="2ABF1428" w14:textId="61B2F196" w:rsidR="003574E3" w:rsidRPr="0053653A" w:rsidRDefault="00C23A4B" w:rsidP="0036460D">
      <w:pPr>
        <w:pStyle w:val="Heading2"/>
        <w:numPr>
          <w:ilvl w:val="1"/>
          <w:numId w:val="20"/>
        </w:numPr>
        <w:tabs>
          <w:tab w:val="left" w:pos="-1162"/>
          <w:tab w:val="left" w:pos="0"/>
        </w:tabs>
        <w:spacing w:line="240" w:lineRule="auto"/>
        <w:rPr>
          <w:szCs w:val="18"/>
        </w:rPr>
      </w:pPr>
      <w:bookmarkStart w:id="21" w:name="_Toc410397629"/>
      <w:r>
        <w:rPr>
          <w:szCs w:val="18"/>
        </w:rPr>
        <w:tab/>
      </w:r>
      <w:r w:rsidR="00743337" w:rsidRPr="0053653A">
        <w:rPr>
          <w:szCs w:val="18"/>
        </w:rPr>
        <w:t xml:space="preserve">Strategie en </w:t>
      </w:r>
      <w:r w:rsidR="00A84B60" w:rsidRPr="0053653A">
        <w:rPr>
          <w:szCs w:val="18"/>
        </w:rPr>
        <w:t>f</w:t>
      </w:r>
      <w:r w:rsidR="00D745A7" w:rsidRPr="0053653A">
        <w:rPr>
          <w:szCs w:val="18"/>
        </w:rPr>
        <w:t>ocus</w:t>
      </w:r>
      <w:bookmarkEnd w:id="21"/>
    </w:p>
    <w:p w14:paraId="48E5902B" w14:textId="006D929B" w:rsidR="00050902" w:rsidRDefault="008D3AC4" w:rsidP="0036460D">
      <w:pPr>
        <w:rPr>
          <w:szCs w:val="18"/>
        </w:rPr>
      </w:pPr>
      <w:r w:rsidRPr="00063E70">
        <w:rPr>
          <w:szCs w:val="18"/>
        </w:rPr>
        <w:t xml:space="preserve">Bij </w:t>
      </w:r>
      <w:r w:rsidR="00B6291B" w:rsidRPr="00063E70">
        <w:rPr>
          <w:szCs w:val="18"/>
        </w:rPr>
        <w:t xml:space="preserve">haar oprichting </w:t>
      </w:r>
      <w:r w:rsidR="00C378DE" w:rsidRPr="00063E70">
        <w:rPr>
          <w:szCs w:val="18"/>
        </w:rPr>
        <w:t>h</w:t>
      </w:r>
      <w:r w:rsidR="00C378DE">
        <w:rPr>
          <w:szCs w:val="18"/>
        </w:rPr>
        <w:t>eeft</w:t>
      </w:r>
      <w:r w:rsidR="00C378DE" w:rsidRPr="00063E70">
        <w:rPr>
          <w:szCs w:val="18"/>
        </w:rPr>
        <w:t xml:space="preserve"> </w:t>
      </w:r>
      <w:r w:rsidR="00B23785">
        <w:rPr>
          <w:szCs w:val="18"/>
        </w:rPr>
        <w:t xml:space="preserve">de Bank een </w:t>
      </w:r>
      <w:r w:rsidRPr="00063E70">
        <w:rPr>
          <w:szCs w:val="18"/>
        </w:rPr>
        <w:t>helder kernmandaat</w:t>
      </w:r>
      <w:r w:rsidR="00C378DE">
        <w:rPr>
          <w:szCs w:val="18"/>
        </w:rPr>
        <w:t xml:space="preserve"> meegekregen</w:t>
      </w:r>
      <w:r w:rsidR="00B6291B" w:rsidRPr="00063E70">
        <w:rPr>
          <w:szCs w:val="18"/>
        </w:rPr>
        <w:t xml:space="preserve">: </w:t>
      </w:r>
      <w:r w:rsidRPr="00063E70">
        <w:rPr>
          <w:szCs w:val="18"/>
        </w:rPr>
        <w:t>het stimuleren van een transitie naar een markteconomie en het stimuleren van een goed onde</w:t>
      </w:r>
      <w:r w:rsidR="00B6291B" w:rsidRPr="00063E70">
        <w:rPr>
          <w:szCs w:val="18"/>
        </w:rPr>
        <w:t xml:space="preserve">rnemersklimaat in voormalig </w:t>
      </w:r>
      <w:r w:rsidR="00B23785">
        <w:rPr>
          <w:szCs w:val="18"/>
        </w:rPr>
        <w:t xml:space="preserve">centraal </w:t>
      </w:r>
      <w:r w:rsidR="00B6291B" w:rsidRPr="00063E70">
        <w:rPr>
          <w:szCs w:val="18"/>
        </w:rPr>
        <w:t xml:space="preserve">geleide </w:t>
      </w:r>
      <w:r w:rsidR="00C75B28" w:rsidRPr="00063E70">
        <w:rPr>
          <w:szCs w:val="18"/>
        </w:rPr>
        <w:t>economieën</w:t>
      </w:r>
      <w:r w:rsidR="00B6291B" w:rsidRPr="00063E70">
        <w:rPr>
          <w:szCs w:val="18"/>
        </w:rPr>
        <w:t xml:space="preserve"> (ex-Sovjet regio).</w:t>
      </w:r>
      <w:r w:rsidR="00B23785">
        <w:rPr>
          <w:szCs w:val="18"/>
        </w:rPr>
        <w:t xml:space="preserve"> </w:t>
      </w:r>
      <w:r w:rsidR="0011235D" w:rsidRPr="0011235D">
        <w:rPr>
          <w:szCs w:val="18"/>
        </w:rPr>
        <w:t xml:space="preserve">Ondertussen hebben veel van de originele </w:t>
      </w:r>
      <w:r w:rsidR="000E7C7F">
        <w:rPr>
          <w:szCs w:val="18"/>
        </w:rPr>
        <w:t xml:space="preserve">ontvangende </w:t>
      </w:r>
      <w:r w:rsidR="0011235D" w:rsidRPr="0011235D">
        <w:rPr>
          <w:szCs w:val="18"/>
        </w:rPr>
        <w:t xml:space="preserve">landen een aanzienlijke transitie doorgemaakt </w:t>
      </w:r>
      <w:r w:rsidR="0011235D">
        <w:rPr>
          <w:szCs w:val="18"/>
        </w:rPr>
        <w:t xml:space="preserve">en </w:t>
      </w:r>
      <w:r w:rsidR="005E61FD">
        <w:rPr>
          <w:szCs w:val="18"/>
        </w:rPr>
        <w:t xml:space="preserve">is </w:t>
      </w:r>
      <w:r w:rsidR="00D859D1" w:rsidRPr="00D859D1">
        <w:rPr>
          <w:szCs w:val="18"/>
        </w:rPr>
        <w:t xml:space="preserve">de </w:t>
      </w:r>
      <w:r w:rsidR="00B23785">
        <w:rPr>
          <w:szCs w:val="18"/>
        </w:rPr>
        <w:t>context</w:t>
      </w:r>
      <w:r w:rsidR="00D859D1" w:rsidRPr="00D859D1">
        <w:rPr>
          <w:szCs w:val="18"/>
        </w:rPr>
        <w:t xml:space="preserve"> waarin de bank opereert veranderd</w:t>
      </w:r>
      <w:r w:rsidR="00B579D6" w:rsidRPr="00D859D1">
        <w:rPr>
          <w:szCs w:val="18"/>
        </w:rPr>
        <w:t xml:space="preserve">. </w:t>
      </w:r>
      <w:r w:rsidR="008103B8" w:rsidRPr="00D859D1">
        <w:rPr>
          <w:szCs w:val="18"/>
        </w:rPr>
        <w:t xml:space="preserve">De afgelopen jaren heeft de Bank </w:t>
      </w:r>
      <w:r w:rsidR="003F443F" w:rsidRPr="00D859D1">
        <w:rPr>
          <w:szCs w:val="18"/>
        </w:rPr>
        <w:t>o</w:t>
      </w:r>
      <w:r w:rsidR="008D159B" w:rsidRPr="00D859D1">
        <w:rPr>
          <w:szCs w:val="18"/>
        </w:rPr>
        <w:t>p verzoek van de aandeelhouders</w:t>
      </w:r>
      <w:r w:rsidR="008103B8" w:rsidRPr="00063E70">
        <w:rPr>
          <w:szCs w:val="18"/>
        </w:rPr>
        <w:t xml:space="preserve"> haar </w:t>
      </w:r>
      <w:r w:rsidR="00B23785">
        <w:rPr>
          <w:szCs w:val="18"/>
        </w:rPr>
        <w:t>werkterrein</w:t>
      </w:r>
      <w:r w:rsidR="008103B8" w:rsidRPr="00063E70">
        <w:rPr>
          <w:szCs w:val="18"/>
        </w:rPr>
        <w:t xml:space="preserve"> </w:t>
      </w:r>
      <w:r w:rsidR="00CD1BF5" w:rsidRPr="00063E70">
        <w:rPr>
          <w:szCs w:val="18"/>
        </w:rPr>
        <w:t>uitgebreid</w:t>
      </w:r>
      <w:r w:rsidR="000B3FB4">
        <w:rPr>
          <w:szCs w:val="18"/>
        </w:rPr>
        <w:t xml:space="preserve"> </w:t>
      </w:r>
      <w:r w:rsidR="00B23785">
        <w:rPr>
          <w:szCs w:val="18"/>
        </w:rPr>
        <w:t xml:space="preserve">en zijn </w:t>
      </w:r>
      <w:r w:rsidR="000B3FB4">
        <w:rPr>
          <w:szCs w:val="18"/>
        </w:rPr>
        <w:t>l</w:t>
      </w:r>
      <w:r w:rsidR="00B23785">
        <w:rPr>
          <w:szCs w:val="18"/>
        </w:rPr>
        <w:t>anden in Centraal-</w:t>
      </w:r>
      <w:r w:rsidR="00CD1BF5" w:rsidRPr="00063E70">
        <w:rPr>
          <w:szCs w:val="18"/>
        </w:rPr>
        <w:t>Azië en de Zuidelijke en Oostelijke Mediterrane regio</w:t>
      </w:r>
      <w:r w:rsidR="008103B8" w:rsidRPr="00063E70">
        <w:rPr>
          <w:szCs w:val="18"/>
        </w:rPr>
        <w:t xml:space="preserve"> toegevoegd aan </w:t>
      </w:r>
      <w:r w:rsidR="00B23785">
        <w:rPr>
          <w:szCs w:val="18"/>
        </w:rPr>
        <w:t>het geografische mandaat</w:t>
      </w:r>
      <w:r w:rsidR="008103B8" w:rsidRPr="00063E70">
        <w:rPr>
          <w:szCs w:val="18"/>
        </w:rPr>
        <w:t>. D</w:t>
      </w:r>
      <w:r w:rsidR="0041662E">
        <w:rPr>
          <w:szCs w:val="18"/>
        </w:rPr>
        <w:t>aarnaast is de B</w:t>
      </w:r>
      <w:r w:rsidR="00B6291B" w:rsidRPr="00063E70">
        <w:rPr>
          <w:szCs w:val="18"/>
        </w:rPr>
        <w:t xml:space="preserve">ank </w:t>
      </w:r>
      <w:r w:rsidR="003F443F">
        <w:rPr>
          <w:szCs w:val="18"/>
        </w:rPr>
        <w:t xml:space="preserve">actief </w:t>
      </w:r>
      <w:r w:rsidR="00672E33">
        <w:rPr>
          <w:szCs w:val="18"/>
        </w:rPr>
        <w:t xml:space="preserve">geworden </w:t>
      </w:r>
      <w:r w:rsidR="00A140C1">
        <w:rPr>
          <w:szCs w:val="18"/>
        </w:rPr>
        <w:t>op het terrein van klimaat</w:t>
      </w:r>
      <w:r w:rsidR="003F443F">
        <w:rPr>
          <w:szCs w:val="18"/>
        </w:rPr>
        <w:t>adaptati</w:t>
      </w:r>
      <w:r w:rsidR="008D159B">
        <w:rPr>
          <w:szCs w:val="18"/>
        </w:rPr>
        <w:t>e en mitigatie</w:t>
      </w:r>
      <w:r w:rsidR="00B6291B" w:rsidRPr="00063E70">
        <w:rPr>
          <w:szCs w:val="18"/>
        </w:rPr>
        <w:t xml:space="preserve"> en het promoten van</w:t>
      </w:r>
      <w:r w:rsidR="00B23785">
        <w:rPr>
          <w:szCs w:val="18"/>
        </w:rPr>
        <w:t xml:space="preserve"> het gebruik van</w:t>
      </w:r>
      <w:r w:rsidR="00B6291B" w:rsidRPr="00063E70">
        <w:rPr>
          <w:szCs w:val="18"/>
        </w:rPr>
        <w:t xml:space="preserve"> duurzame energie</w:t>
      </w:r>
      <w:r w:rsidR="000B3FB4">
        <w:rPr>
          <w:szCs w:val="18"/>
        </w:rPr>
        <w:t xml:space="preserve"> </w:t>
      </w:r>
      <w:r w:rsidR="00B23785">
        <w:rPr>
          <w:szCs w:val="18"/>
        </w:rPr>
        <w:t>door</w:t>
      </w:r>
      <w:r w:rsidR="000B3FB4">
        <w:rPr>
          <w:szCs w:val="18"/>
        </w:rPr>
        <w:t xml:space="preserve"> de </w:t>
      </w:r>
      <w:r w:rsidR="000B3FB4" w:rsidRPr="00C503CC">
        <w:rPr>
          <w:szCs w:val="18"/>
        </w:rPr>
        <w:t xml:space="preserve">private </w:t>
      </w:r>
      <w:r w:rsidR="003F443F" w:rsidRPr="00C503CC">
        <w:rPr>
          <w:szCs w:val="18"/>
        </w:rPr>
        <w:t>sector en lagere overheden</w:t>
      </w:r>
      <w:r w:rsidR="00B6291B" w:rsidRPr="00C503CC">
        <w:rPr>
          <w:szCs w:val="18"/>
        </w:rPr>
        <w:t>.</w:t>
      </w:r>
      <w:r w:rsidR="00C43CAD" w:rsidRPr="00C503CC">
        <w:rPr>
          <w:szCs w:val="18"/>
        </w:rPr>
        <w:t xml:space="preserve"> </w:t>
      </w:r>
    </w:p>
    <w:p w14:paraId="29D8A50D" w14:textId="77777777" w:rsidR="00584F72" w:rsidRDefault="00584F72" w:rsidP="0036460D">
      <w:pPr>
        <w:rPr>
          <w:szCs w:val="18"/>
        </w:rPr>
      </w:pPr>
    </w:p>
    <w:p w14:paraId="7740BEFB" w14:textId="6639EAE5" w:rsidR="00584F72" w:rsidRDefault="00584F72" w:rsidP="0036460D">
      <w:pPr>
        <w:rPr>
          <w:szCs w:val="18"/>
        </w:rPr>
      </w:pPr>
      <w:r>
        <w:rPr>
          <w:szCs w:val="18"/>
        </w:rPr>
        <w:t>Nederland hecht veel waarde aan een gefocust en helder profiel voor de EBRD. Enkele andere aandeelhouders lijken hier minder waarde aan te hechten en ook het EBRD management (</w:t>
      </w:r>
      <w:proofErr w:type="gramStart"/>
      <w:r>
        <w:rPr>
          <w:szCs w:val="18"/>
        </w:rPr>
        <w:t>m</w:t>
      </w:r>
      <w:r w:rsidR="00F92015">
        <w:rPr>
          <w:szCs w:val="18"/>
        </w:rPr>
        <w:t>et name</w:t>
      </w:r>
      <w:proofErr w:type="gramEnd"/>
      <w:r>
        <w:rPr>
          <w:szCs w:val="18"/>
        </w:rPr>
        <w:t xml:space="preserve"> de president) zoekt de grens op van het mandaat, iets wat neigt naar </w:t>
      </w:r>
      <w:r w:rsidRPr="00F92015">
        <w:rPr>
          <w:i/>
          <w:szCs w:val="18"/>
        </w:rPr>
        <w:t>mission creep</w:t>
      </w:r>
      <w:r>
        <w:rPr>
          <w:szCs w:val="18"/>
        </w:rPr>
        <w:t xml:space="preserve">. </w:t>
      </w:r>
    </w:p>
    <w:p w14:paraId="09EBAC88" w14:textId="77777777" w:rsidR="000B3FB4" w:rsidRPr="00063E70" w:rsidRDefault="000B3FB4" w:rsidP="0036460D">
      <w:pPr>
        <w:rPr>
          <w:szCs w:val="18"/>
        </w:rPr>
      </w:pPr>
    </w:p>
    <w:p w14:paraId="31468EEF" w14:textId="5561601C" w:rsidR="00EE6F67" w:rsidRPr="00063E70" w:rsidRDefault="008D159B" w:rsidP="0036460D">
      <w:pPr>
        <w:rPr>
          <w:szCs w:val="18"/>
        </w:rPr>
      </w:pPr>
      <w:r>
        <w:rPr>
          <w:szCs w:val="18"/>
        </w:rPr>
        <w:t xml:space="preserve">Tot nu produceerde de </w:t>
      </w:r>
      <w:r w:rsidR="00864082">
        <w:rPr>
          <w:szCs w:val="18"/>
        </w:rPr>
        <w:t>Bank e</w:t>
      </w:r>
      <w:r w:rsidR="007D0D7C" w:rsidRPr="00063E70">
        <w:rPr>
          <w:szCs w:val="18"/>
        </w:rPr>
        <w:t xml:space="preserve">lke vijf jaar </w:t>
      </w:r>
      <w:r>
        <w:rPr>
          <w:szCs w:val="18"/>
        </w:rPr>
        <w:t xml:space="preserve">een </w:t>
      </w:r>
      <w:r w:rsidR="00943776" w:rsidRPr="008D159B">
        <w:rPr>
          <w:i/>
          <w:szCs w:val="18"/>
        </w:rPr>
        <w:t>Capital Resources Review</w:t>
      </w:r>
      <w:r w:rsidR="00943776" w:rsidRPr="00063E70">
        <w:rPr>
          <w:szCs w:val="18"/>
        </w:rPr>
        <w:t xml:space="preserve"> (CRR)</w:t>
      </w:r>
      <w:r w:rsidR="00B23785">
        <w:rPr>
          <w:szCs w:val="18"/>
        </w:rPr>
        <w:t>. D</w:t>
      </w:r>
      <w:r w:rsidR="00CD1BF5" w:rsidRPr="00063E70">
        <w:rPr>
          <w:szCs w:val="18"/>
        </w:rPr>
        <w:t xml:space="preserve">it document </w:t>
      </w:r>
      <w:r w:rsidR="00B23785">
        <w:rPr>
          <w:szCs w:val="18"/>
        </w:rPr>
        <w:t>inventariseerde de</w:t>
      </w:r>
      <w:r w:rsidR="00EE6F67" w:rsidRPr="00063E70">
        <w:rPr>
          <w:szCs w:val="18"/>
        </w:rPr>
        <w:t xml:space="preserve"> beschikbare </w:t>
      </w:r>
      <w:r w:rsidR="00B23785">
        <w:rPr>
          <w:szCs w:val="18"/>
        </w:rPr>
        <w:t xml:space="preserve">middelen </w:t>
      </w:r>
      <w:r w:rsidR="00EE6F67" w:rsidRPr="00063E70">
        <w:rPr>
          <w:szCs w:val="18"/>
        </w:rPr>
        <w:t xml:space="preserve">en </w:t>
      </w:r>
      <w:r w:rsidR="00B23785">
        <w:rPr>
          <w:szCs w:val="18"/>
        </w:rPr>
        <w:t xml:space="preserve">omvatte </w:t>
      </w:r>
      <w:r w:rsidR="00EE6F67" w:rsidRPr="00063E70">
        <w:rPr>
          <w:szCs w:val="18"/>
        </w:rPr>
        <w:t xml:space="preserve">een </w:t>
      </w:r>
      <w:r w:rsidR="00864082">
        <w:rPr>
          <w:szCs w:val="18"/>
        </w:rPr>
        <w:t xml:space="preserve">gedetailleerd </w:t>
      </w:r>
      <w:r>
        <w:rPr>
          <w:szCs w:val="18"/>
        </w:rPr>
        <w:t xml:space="preserve">plan </w:t>
      </w:r>
      <w:r w:rsidR="00B23785">
        <w:rPr>
          <w:szCs w:val="18"/>
        </w:rPr>
        <w:t>met</w:t>
      </w:r>
      <w:r w:rsidR="001358C1">
        <w:rPr>
          <w:szCs w:val="18"/>
        </w:rPr>
        <w:t xml:space="preserve"> </w:t>
      </w:r>
      <w:r w:rsidR="00435809">
        <w:rPr>
          <w:szCs w:val="18"/>
        </w:rPr>
        <w:t>prioriteiten</w:t>
      </w:r>
      <w:r w:rsidR="009E322C" w:rsidRPr="00063E70">
        <w:rPr>
          <w:szCs w:val="18"/>
        </w:rPr>
        <w:t xml:space="preserve">. </w:t>
      </w:r>
      <w:r w:rsidR="00B23785">
        <w:rPr>
          <w:szCs w:val="18"/>
        </w:rPr>
        <w:t xml:space="preserve">Daarnaast verscheen </w:t>
      </w:r>
      <w:r w:rsidR="0064290A">
        <w:rPr>
          <w:szCs w:val="18"/>
        </w:rPr>
        <w:t xml:space="preserve">elk jaar een </w:t>
      </w:r>
      <w:r w:rsidR="005D416C" w:rsidRPr="0064290A">
        <w:rPr>
          <w:i/>
          <w:szCs w:val="18"/>
        </w:rPr>
        <w:t>Business plan and Budget</w:t>
      </w:r>
      <w:r w:rsidR="005D416C" w:rsidRPr="00063E70">
        <w:rPr>
          <w:szCs w:val="18"/>
        </w:rPr>
        <w:t xml:space="preserve"> waarin het beleid </w:t>
      </w:r>
      <w:r w:rsidR="00EF72AB">
        <w:rPr>
          <w:szCs w:val="18"/>
        </w:rPr>
        <w:t>en de begroting voor dat jaar we</w:t>
      </w:r>
      <w:r w:rsidR="005D416C" w:rsidRPr="00063E70">
        <w:rPr>
          <w:szCs w:val="18"/>
        </w:rPr>
        <w:t>rden vastgesteld.</w:t>
      </w:r>
    </w:p>
    <w:p w14:paraId="7AE64322" w14:textId="77777777" w:rsidR="00EE6F67" w:rsidRPr="00063E70" w:rsidRDefault="00EE6F67" w:rsidP="0036460D">
      <w:pPr>
        <w:rPr>
          <w:szCs w:val="18"/>
        </w:rPr>
      </w:pPr>
    </w:p>
    <w:p w14:paraId="6EAA6729" w14:textId="5BD995A7" w:rsidR="00CD1BF5" w:rsidRPr="00063E70" w:rsidRDefault="009E322C" w:rsidP="0036460D">
      <w:pPr>
        <w:rPr>
          <w:szCs w:val="18"/>
        </w:rPr>
      </w:pPr>
      <w:r w:rsidRPr="00063E70">
        <w:rPr>
          <w:szCs w:val="18"/>
        </w:rPr>
        <w:t xml:space="preserve">Vanaf 2016 krijgt </w:t>
      </w:r>
      <w:r w:rsidR="003F443F" w:rsidRPr="00063E70">
        <w:rPr>
          <w:szCs w:val="18"/>
        </w:rPr>
        <w:t>de</w:t>
      </w:r>
      <w:r w:rsidRPr="00063E70">
        <w:rPr>
          <w:szCs w:val="18"/>
        </w:rPr>
        <w:t xml:space="preserve"> </w:t>
      </w:r>
      <w:r w:rsidR="00C75B28" w:rsidRPr="00063E70">
        <w:rPr>
          <w:szCs w:val="18"/>
        </w:rPr>
        <w:t>meerjarig</w:t>
      </w:r>
      <w:r w:rsidR="00722E7C">
        <w:rPr>
          <w:szCs w:val="18"/>
        </w:rPr>
        <w:t>e</w:t>
      </w:r>
      <w:r w:rsidR="00C75B28" w:rsidRPr="00063E70">
        <w:rPr>
          <w:szCs w:val="18"/>
        </w:rPr>
        <w:t xml:space="preserve"> beleidsplanning</w:t>
      </w:r>
      <w:r w:rsidRPr="00063E70">
        <w:rPr>
          <w:szCs w:val="18"/>
        </w:rPr>
        <w:t xml:space="preserve"> </w:t>
      </w:r>
      <w:r w:rsidR="005D416C" w:rsidRPr="00063E70">
        <w:rPr>
          <w:szCs w:val="18"/>
        </w:rPr>
        <w:t xml:space="preserve">van de Bank </w:t>
      </w:r>
      <w:r w:rsidR="00274C0D" w:rsidRPr="00063E70">
        <w:rPr>
          <w:szCs w:val="18"/>
        </w:rPr>
        <w:t>een nieuwe invulling. Elke vijf</w:t>
      </w:r>
      <w:r w:rsidR="00C75B28" w:rsidRPr="00063E70">
        <w:rPr>
          <w:szCs w:val="18"/>
        </w:rPr>
        <w:t xml:space="preserve"> jaar zal er een </w:t>
      </w:r>
      <w:r w:rsidR="00C75B28" w:rsidRPr="00063E70">
        <w:rPr>
          <w:i/>
          <w:szCs w:val="18"/>
        </w:rPr>
        <w:t>Strategic and Capital Framework</w:t>
      </w:r>
      <w:r w:rsidR="00274C0D" w:rsidRPr="00063E70">
        <w:rPr>
          <w:szCs w:val="18"/>
        </w:rPr>
        <w:t xml:space="preserve"> (SCF)</w:t>
      </w:r>
      <w:r w:rsidRPr="00063E70">
        <w:rPr>
          <w:szCs w:val="18"/>
        </w:rPr>
        <w:t xml:space="preserve"> worden opgesteld. Dit document </w:t>
      </w:r>
      <w:r w:rsidR="000B3FB4">
        <w:rPr>
          <w:szCs w:val="18"/>
        </w:rPr>
        <w:t>is</w:t>
      </w:r>
      <w:r w:rsidR="00274C0D" w:rsidRPr="00063E70">
        <w:rPr>
          <w:szCs w:val="18"/>
        </w:rPr>
        <w:t xml:space="preserve"> </w:t>
      </w:r>
      <w:r w:rsidR="00ED08BE">
        <w:rPr>
          <w:szCs w:val="18"/>
        </w:rPr>
        <w:t>strategisch</w:t>
      </w:r>
      <w:r w:rsidR="0041662E">
        <w:rPr>
          <w:szCs w:val="18"/>
        </w:rPr>
        <w:t>er</w:t>
      </w:r>
      <w:r w:rsidR="00ED08BE">
        <w:rPr>
          <w:szCs w:val="18"/>
        </w:rPr>
        <w:t xml:space="preserve"> van opzet dan het</w:t>
      </w:r>
      <w:r w:rsidR="00274C0D" w:rsidRPr="00063E70">
        <w:rPr>
          <w:szCs w:val="18"/>
        </w:rPr>
        <w:t xml:space="preserve"> CRR</w:t>
      </w:r>
      <w:r w:rsidRPr="00063E70">
        <w:rPr>
          <w:szCs w:val="18"/>
        </w:rPr>
        <w:t>.</w:t>
      </w:r>
      <w:r w:rsidR="004C0CDF" w:rsidRPr="00063E70">
        <w:rPr>
          <w:szCs w:val="18"/>
        </w:rPr>
        <w:t xml:space="preserve"> </w:t>
      </w:r>
      <w:r w:rsidR="00ED08BE">
        <w:rPr>
          <w:szCs w:val="18"/>
        </w:rPr>
        <w:t xml:space="preserve">In aanvulling daarop </w:t>
      </w:r>
      <w:r w:rsidR="003574E3" w:rsidRPr="00063E70">
        <w:rPr>
          <w:szCs w:val="18"/>
        </w:rPr>
        <w:t>zal er elk</w:t>
      </w:r>
      <w:r w:rsidR="004C0CDF" w:rsidRPr="00063E70">
        <w:rPr>
          <w:szCs w:val="18"/>
        </w:rPr>
        <w:t xml:space="preserve"> jaar een </w:t>
      </w:r>
      <w:r w:rsidR="004C0CDF" w:rsidRPr="00063E70">
        <w:rPr>
          <w:i/>
          <w:szCs w:val="18"/>
        </w:rPr>
        <w:t>Strategy</w:t>
      </w:r>
      <w:r w:rsidR="00C75B28" w:rsidRPr="00063E70">
        <w:rPr>
          <w:i/>
          <w:szCs w:val="18"/>
        </w:rPr>
        <w:t xml:space="preserve"> and Implementation Plan</w:t>
      </w:r>
      <w:r w:rsidR="004C0CDF" w:rsidRPr="00063E70">
        <w:rPr>
          <w:szCs w:val="18"/>
        </w:rPr>
        <w:t xml:space="preserve"> </w:t>
      </w:r>
      <w:r w:rsidR="00EB585D">
        <w:rPr>
          <w:szCs w:val="18"/>
        </w:rPr>
        <w:t xml:space="preserve">(SIP) </w:t>
      </w:r>
      <w:r w:rsidR="004C0CDF" w:rsidRPr="00063E70">
        <w:rPr>
          <w:szCs w:val="18"/>
        </w:rPr>
        <w:t>worden geproduceerd</w:t>
      </w:r>
      <w:r w:rsidR="00ED08BE">
        <w:rPr>
          <w:szCs w:val="18"/>
        </w:rPr>
        <w:t>. Dit SIP omvat</w:t>
      </w:r>
      <w:r w:rsidR="00722E7C">
        <w:rPr>
          <w:szCs w:val="18"/>
        </w:rPr>
        <w:t xml:space="preserve"> het budget voor het </w:t>
      </w:r>
      <w:r w:rsidR="000B3FB4">
        <w:rPr>
          <w:szCs w:val="18"/>
        </w:rPr>
        <w:t xml:space="preserve">aankomende </w:t>
      </w:r>
      <w:r w:rsidR="00722E7C">
        <w:rPr>
          <w:szCs w:val="18"/>
        </w:rPr>
        <w:t>jaar</w:t>
      </w:r>
      <w:r w:rsidR="000B3FB4">
        <w:rPr>
          <w:szCs w:val="18"/>
        </w:rPr>
        <w:t>,</w:t>
      </w:r>
      <w:r w:rsidR="00722E7C">
        <w:rPr>
          <w:szCs w:val="18"/>
        </w:rPr>
        <w:t xml:space="preserve"> </w:t>
      </w:r>
      <w:r w:rsidR="004C0CDF" w:rsidRPr="00063E70">
        <w:rPr>
          <w:szCs w:val="18"/>
        </w:rPr>
        <w:t xml:space="preserve">de </w:t>
      </w:r>
      <w:r w:rsidR="000B3FB4">
        <w:rPr>
          <w:szCs w:val="18"/>
        </w:rPr>
        <w:t>middellange</w:t>
      </w:r>
      <w:r w:rsidR="00ED08BE">
        <w:rPr>
          <w:szCs w:val="18"/>
        </w:rPr>
        <w:t xml:space="preserve"> </w:t>
      </w:r>
      <w:r w:rsidR="000B3FB4">
        <w:rPr>
          <w:szCs w:val="18"/>
        </w:rPr>
        <w:t>termijn</w:t>
      </w:r>
      <w:r w:rsidR="00ED08BE">
        <w:rPr>
          <w:szCs w:val="18"/>
        </w:rPr>
        <w:t xml:space="preserve"> </w:t>
      </w:r>
      <w:r w:rsidR="004C0CDF" w:rsidRPr="00063E70">
        <w:rPr>
          <w:szCs w:val="18"/>
        </w:rPr>
        <w:t>doelen</w:t>
      </w:r>
      <w:r w:rsidR="003574E3" w:rsidRPr="00063E70">
        <w:rPr>
          <w:szCs w:val="18"/>
        </w:rPr>
        <w:t xml:space="preserve"> voor de </w:t>
      </w:r>
      <w:r w:rsidR="00274C0D" w:rsidRPr="00063E70">
        <w:rPr>
          <w:szCs w:val="18"/>
        </w:rPr>
        <w:t>daaropvolgende drie jaar</w:t>
      </w:r>
      <w:r w:rsidR="00ED08BE">
        <w:rPr>
          <w:szCs w:val="18"/>
        </w:rPr>
        <w:t>.</w:t>
      </w:r>
    </w:p>
    <w:p w14:paraId="1A447AD2" w14:textId="77777777" w:rsidR="008D159B" w:rsidRDefault="008D159B" w:rsidP="00FB2E62">
      <w:pPr>
        <w:rPr>
          <w:szCs w:val="18"/>
        </w:rPr>
      </w:pPr>
    </w:p>
    <w:p w14:paraId="03C1A4C3" w14:textId="0AD5DA93" w:rsidR="009C388D" w:rsidRDefault="00722E7C" w:rsidP="00FB2E62">
      <w:pPr>
        <w:rPr>
          <w:szCs w:val="18"/>
        </w:rPr>
      </w:pPr>
      <w:r>
        <w:rPr>
          <w:szCs w:val="18"/>
        </w:rPr>
        <w:t>De</w:t>
      </w:r>
      <w:r w:rsidR="0064290A">
        <w:rPr>
          <w:szCs w:val="18"/>
        </w:rPr>
        <w:t xml:space="preserve"> </w:t>
      </w:r>
      <w:r w:rsidR="001F20D9">
        <w:rPr>
          <w:szCs w:val="18"/>
        </w:rPr>
        <w:t>B</w:t>
      </w:r>
      <w:r w:rsidR="0064290A">
        <w:rPr>
          <w:szCs w:val="18"/>
        </w:rPr>
        <w:t>ank werkt op basis van landen</w:t>
      </w:r>
      <w:r>
        <w:rPr>
          <w:szCs w:val="18"/>
        </w:rPr>
        <w:t>strategieën die in overleg met</w:t>
      </w:r>
      <w:r w:rsidR="00864082">
        <w:rPr>
          <w:szCs w:val="18"/>
        </w:rPr>
        <w:t xml:space="preserve"> de </w:t>
      </w:r>
      <w:r w:rsidR="00E24905">
        <w:rPr>
          <w:szCs w:val="18"/>
        </w:rPr>
        <w:t>Raad</w:t>
      </w:r>
      <w:r w:rsidR="00864082">
        <w:rPr>
          <w:szCs w:val="18"/>
        </w:rPr>
        <w:t xml:space="preserve"> en</w:t>
      </w:r>
      <w:r>
        <w:rPr>
          <w:szCs w:val="18"/>
        </w:rPr>
        <w:t xml:space="preserve"> de overheid </w:t>
      </w:r>
      <w:r w:rsidR="00ED08BE">
        <w:rPr>
          <w:szCs w:val="18"/>
        </w:rPr>
        <w:t xml:space="preserve">van het ontvangende land </w:t>
      </w:r>
      <w:r>
        <w:rPr>
          <w:szCs w:val="18"/>
        </w:rPr>
        <w:t>worden vastgesteld. In deze plannen worden</w:t>
      </w:r>
      <w:r w:rsidR="0041662E">
        <w:rPr>
          <w:szCs w:val="18"/>
        </w:rPr>
        <w:t xml:space="preserve"> de sectoren geschetst waar de B</w:t>
      </w:r>
      <w:r>
        <w:rPr>
          <w:szCs w:val="18"/>
        </w:rPr>
        <w:t>ank actief zal zijn.</w:t>
      </w:r>
      <w:r w:rsidR="009C388D" w:rsidRPr="009C388D">
        <w:rPr>
          <w:szCs w:val="18"/>
        </w:rPr>
        <w:t xml:space="preserve"> </w:t>
      </w:r>
      <w:r w:rsidR="009C388D">
        <w:rPr>
          <w:szCs w:val="18"/>
        </w:rPr>
        <w:t xml:space="preserve">De Bank heeft goede </w:t>
      </w:r>
      <w:r w:rsidR="009C388D" w:rsidRPr="009C388D">
        <w:rPr>
          <w:szCs w:val="18"/>
        </w:rPr>
        <w:t xml:space="preserve">interne controlemechanismen die schadelijke gevolgen van bankprojecten voor mens </w:t>
      </w:r>
      <w:r w:rsidR="009C388D">
        <w:rPr>
          <w:szCs w:val="18"/>
        </w:rPr>
        <w:t>en milieu moeten identificeren.</w:t>
      </w:r>
    </w:p>
    <w:p w14:paraId="3D988C6D" w14:textId="77777777" w:rsidR="009711D9" w:rsidRPr="00063E70" w:rsidRDefault="009711D9" w:rsidP="00326699">
      <w:pPr>
        <w:rPr>
          <w:szCs w:val="18"/>
        </w:rPr>
      </w:pPr>
    </w:p>
    <w:p w14:paraId="20500465" w14:textId="1E6107A5" w:rsidR="003D3FA8" w:rsidRDefault="00C503CC" w:rsidP="003D3FA8">
      <w:pPr>
        <w:spacing w:line="240" w:lineRule="auto"/>
        <w:rPr>
          <w:szCs w:val="18"/>
        </w:rPr>
      </w:pPr>
      <w:bookmarkStart w:id="22" w:name="_Toc410397630"/>
      <w:r>
        <w:rPr>
          <w:szCs w:val="18"/>
        </w:rPr>
        <w:t>Beoordeling:</w:t>
      </w:r>
      <w:r w:rsidR="00584F72">
        <w:rPr>
          <w:szCs w:val="18"/>
        </w:rPr>
        <w:t xml:space="preserve"> </w:t>
      </w:r>
      <w:r w:rsidR="00C23A4B">
        <w:rPr>
          <w:szCs w:val="18"/>
        </w:rPr>
        <w:t xml:space="preserve">Goed = </w:t>
      </w:r>
      <w:r w:rsidR="00584F72">
        <w:rPr>
          <w:szCs w:val="18"/>
        </w:rPr>
        <w:t>4</w:t>
      </w:r>
      <w:r w:rsidR="003D3FA8" w:rsidRPr="00063E70">
        <w:rPr>
          <w:szCs w:val="18"/>
        </w:rPr>
        <w:t xml:space="preserve"> </w:t>
      </w:r>
    </w:p>
    <w:p w14:paraId="1877C4AC" w14:textId="77777777" w:rsidR="00C23A4B" w:rsidRPr="00063E70" w:rsidRDefault="00C23A4B" w:rsidP="003D3FA8">
      <w:pPr>
        <w:spacing w:line="240" w:lineRule="auto"/>
        <w:rPr>
          <w:szCs w:val="18"/>
        </w:rPr>
      </w:pPr>
    </w:p>
    <w:p w14:paraId="07D45618" w14:textId="3CEC88EC" w:rsidR="00C816B0" w:rsidRPr="00F06BC6" w:rsidRDefault="00C23A4B" w:rsidP="004E2189">
      <w:pPr>
        <w:pStyle w:val="Heading2"/>
        <w:numPr>
          <w:ilvl w:val="1"/>
          <w:numId w:val="20"/>
        </w:numPr>
        <w:tabs>
          <w:tab w:val="left" w:pos="-1162"/>
          <w:tab w:val="left" w:pos="0"/>
        </w:tabs>
        <w:spacing w:line="240" w:lineRule="auto"/>
        <w:rPr>
          <w:szCs w:val="18"/>
          <w:lang w:val="en-GB"/>
        </w:rPr>
      </w:pPr>
      <w:r>
        <w:rPr>
          <w:szCs w:val="18"/>
          <w:lang w:val="en-GB"/>
        </w:rPr>
        <w:tab/>
      </w:r>
      <w:r w:rsidR="00CD5427" w:rsidRPr="00FB1475">
        <w:rPr>
          <w:szCs w:val="18"/>
          <w:lang w:val="en-GB"/>
        </w:rPr>
        <w:t>Result</w:t>
      </w:r>
      <w:r>
        <w:rPr>
          <w:szCs w:val="18"/>
          <w:lang w:val="en-GB"/>
        </w:rPr>
        <w:t>aatsturing</w:t>
      </w:r>
      <w:bookmarkEnd w:id="22"/>
    </w:p>
    <w:p w14:paraId="77F781B9" w14:textId="5410582D" w:rsidR="00435809" w:rsidRDefault="00514F3B" w:rsidP="004E2189">
      <w:pPr>
        <w:rPr>
          <w:szCs w:val="18"/>
        </w:rPr>
      </w:pPr>
      <w:r w:rsidRPr="00063E70">
        <w:rPr>
          <w:szCs w:val="18"/>
        </w:rPr>
        <w:t>J</w:t>
      </w:r>
      <w:r w:rsidR="0010245F" w:rsidRPr="00063E70">
        <w:rPr>
          <w:szCs w:val="18"/>
        </w:rPr>
        <w:t>aarlijks</w:t>
      </w:r>
      <w:r w:rsidR="001C6107" w:rsidRPr="00063E70">
        <w:rPr>
          <w:szCs w:val="18"/>
        </w:rPr>
        <w:t xml:space="preserve"> </w:t>
      </w:r>
      <w:r w:rsidRPr="00063E70">
        <w:rPr>
          <w:szCs w:val="18"/>
        </w:rPr>
        <w:t xml:space="preserve">wordt </w:t>
      </w:r>
      <w:r w:rsidR="001C6107" w:rsidRPr="00063E70">
        <w:rPr>
          <w:szCs w:val="18"/>
        </w:rPr>
        <w:t>het</w:t>
      </w:r>
      <w:r w:rsidR="0010245F" w:rsidRPr="00063E70">
        <w:rPr>
          <w:szCs w:val="18"/>
        </w:rPr>
        <w:t xml:space="preserve"> </w:t>
      </w:r>
      <w:r w:rsidR="001C6107" w:rsidRPr="00063E70">
        <w:rPr>
          <w:i/>
          <w:szCs w:val="18"/>
        </w:rPr>
        <w:t>Financial R</w:t>
      </w:r>
      <w:r w:rsidR="0010245F" w:rsidRPr="00063E70">
        <w:rPr>
          <w:i/>
          <w:szCs w:val="18"/>
        </w:rPr>
        <w:t>eport</w:t>
      </w:r>
      <w:r w:rsidRPr="00063E70">
        <w:rPr>
          <w:i/>
          <w:szCs w:val="18"/>
        </w:rPr>
        <w:t xml:space="preserve"> </w:t>
      </w:r>
      <w:r w:rsidRPr="00063E70">
        <w:rPr>
          <w:szCs w:val="18"/>
        </w:rPr>
        <w:t xml:space="preserve">gepubliceerd </w:t>
      </w:r>
      <w:r w:rsidR="0010245F" w:rsidRPr="00063E70">
        <w:rPr>
          <w:szCs w:val="18"/>
        </w:rPr>
        <w:t xml:space="preserve">waarin </w:t>
      </w:r>
      <w:r w:rsidR="001C6107" w:rsidRPr="00063E70">
        <w:rPr>
          <w:szCs w:val="18"/>
        </w:rPr>
        <w:t xml:space="preserve">de </w:t>
      </w:r>
      <w:r w:rsidR="00C75B28" w:rsidRPr="00063E70">
        <w:rPr>
          <w:szCs w:val="18"/>
        </w:rPr>
        <w:t>financiële</w:t>
      </w:r>
      <w:r w:rsidR="006941DB" w:rsidRPr="00063E70">
        <w:rPr>
          <w:szCs w:val="18"/>
        </w:rPr>
        <w:t xml:space="preserve"> resultaten </w:t>
      </w:r>
      <w:r w:rsidR="00435809">
        <w:rPr>
          <w:szCs w:val="18"/>
        </w:rPr>
        <w:t xml:space="preserve">en positie </w:t>
      </w:r>
      <w:r w:rsidR="006941DB" w:rsidRPr="00063E70">
        <w:rPr>
          <w:szCs w:val="18"/>
        </w:rPr>
        <w:t>inzichtelijk worden</w:t>
      </w:r>
      <w:r w:rsidR="0010245F" w:rsidRPr="00063E70">
        <w:rPr>
          <w:szCs w:val="18"/>
        </w:rPr>
        <w:t xml:space="preserve"> gemaakt.</w:t>
      </w:r>
      <w:r w:rsidR="00734A5A" w:rsidRPr="00063E70">
        <w:rPr>
          <w:szCs w:val="18"/>
        </w:rPr>
        <w:t xml:space="preserve"> </w:t>
      </w:r>
      <w:r w:rsidR="00435809">
        <w:rPr>
          <w:szCs w:val="18"/>
        </w:rPr>
        <w:t xml:space="preserve">De financiële rapportage van de EBRD vindt plaats in lijn met de </w:t>
      </w:r>
      <w:r w:rsidR="00435809" w:rsidRPr="008D159B">
        <w:rPr>
          <w:i/>
          <w:szCs w:val="18"/>
        </w:rPr>
        <w:t>International Financial Reporting Standards</w:t>
      </w:r>
      <w:r w:rsidR="00435809">
        <w:rPr>
          <w:szCs w:val="18"/>
        </w:rPr>
        <w:t xml:space="preserve"> (IFRS) en wordt getoetst door een externe auditor (Deloitte in 2014). </w:t>
      </w:r>
      <w:r w:rsidR="00330684" w:rsidRPr="00063E70">
        <w:rPr>
          <w:szCs w:val="18"/>
        </w:rPr>
        <w:t>De financiële resultatenrappo</w:t>
      </w:r>
      <w:r w:rsidR="00330684">
        <w:rPr>
          <w:szCs w:val="18"/>
        </w:rPr>
        <w:t>rtage van de EBRD is zeer goed.</w:t>
      </w:r>
    </w:p>
    <w:p w14:paraId="6D38A073" w14:textId="77777777" w:rsidR="00435809" w:rsidRDefault="00435809" w:rsidP="004E2189">
      <w:pPr>
        <w:rPr>
          <w:szCs w:val="18"/>
        </w:rPr>
      </w:pPr>
    </w:p>
    <w:p w14:paraId="30703A90" w14:textId="3B5E7B45" w:rsidR="00A106DF" w:rsidRPr="00063E70" w:rsidRDefault="00734A5A" w:rsidP="004E2189">
      <w:pPr>
        <w:rPr>
          <w:szCs w:val="18"/>
        </w:rPr>
      </w:pPr>
      <w:r w:rsidRPr="00063E70">
        <w:rPr>
          <w:szCs w:val="18"/>
        </w:rPr>
        <w:t xml:space="preserve">Als onderdeel van het </w:t>
      </w:r>
      <w:r w:rsidR="00C75B28" w:rsidRPr="00063E70">
        <w:rPr>
          <w:i/>
          <w:szCs w:val="18"/>
        </w:rPr>
        <w:t>An</w:t>
      </w:r>
      <w:r w:rsidRPr="00063E70">
        <w:rPr>
          <w:i/>
          <w:szCs w:val="18"/>
        </w:rPr>
        <w:t>nual Businessplan and Budge</w:t>
      </w:r>
      <w:r w:rsidRPr="00063E70">
        <w:rPr>
          <w:szCs w:val="18"/>
        </w:rPr>
        <w:t>t</w:t>
      </w:r>
      <w:r w:rsidR="001C6107" w:rsidRPr="00063E70">
        <w:rPr>
          <w:szCs w:val="18"/>
        </w:rPr>
        <w:t xml:space="preserve"> </w:t>
      </w:r>
      <w:r w:rsidRPr="00063E70">
        <w:rPr>
          <w:szCs w:val="18"/>
        </w:rPr>
        <w:t>wordt er jaarlijks een</w:t>
      </w:r>
      <w:r w:rsidR="00514F3B" w:rsidRPr="00063E70">
        <w:rPr>
          <w:szCs w:val="18"/>
        </w:rPr>
        <w:t xml:space="preserve"> </w:t>
      </w:r>
      <w:r w:rsidR="001C6107" w:rsidRPr="00063E70">
        <w:rPr>
          <w:i/>
          <w:szCs w:val="18"/>
        </w:rPr>
        <w:t>C</w:t>
      </w:r>
      <w:r w:rsidR="00514F3B" w:rsidRPr="00063E70">
        <w:rPr>
          <w:i/>
          <w:szCs w:val="18"/>
        </w:rPr>
        <w:t>orporate Scorecard</w:t>
      </w:r>
      <w:r w:rsidR="001C6107" w:rsidRPr="00063E70">
        <w:rPr>
          <w:szCs w:val="18"/>
        </w:rPr>
        <w:t xml:space="preserve"> </w:t>
      </w:r>
      <w:r w:rsidRPr="00063E70">
        <w:rPr>
          <w:szCs w:val="18"/>
        </w:rPr>
        <w:t xml:space="preserve">opgesteld </w:t>
      </w:r>
      <w:r w:rsidR="001C6107" w:rsidRPr="00063E70">
        <w:rPr>
          <w:szCs w:val="18"/>
        </w:rPr>
        <w:t>waa</w:t>
      </w:r>
      <w:r w:rsidR="00514F3B" w:rsidRPr="00063E70">
        <w:rPr>
          <w:szCs w:val="18"/>
        </w:rPr>
        <w:t>r</w:t>
      </w:r>
      <w:r w:rsidR="001C6107" w:rsidRPr="00063E70">
        <w:rPr>
          <w:szCs w:val="18"/>
        </w:rPr>
        <w:t>mee de voortgang wordt bepaald van de doelstellingen</w:t>
      </w:r>
      <w:r w:rsidR="00330684">
        <w:rPr>
          <w:szCs w:val="18"/>
        </w:rPr>
        <w:t>, die zijn</w:t>
      </w:r>
      <w:r w:rsidR="001C6107" w:rsidRPr="00063E70">
        <w:rPr>
          <w:szCs w:val="18"/>
        </w:rPr>
        <w:t xml:space="preserve"> vastgelegd in de begroting. </w:t>
      </w:r>
    </w:p>
    <w:p w14:paraId="5C83779C" w14:textId="77777777" w:rsidR="0010245F" w:rsidRPr="00063E70" w:rsidRDefault="0010245F" w:rsidP="004E2189">
      <w:pPr>
        <w:rPr>
          <w:szCs w:val="18"/>
        </w:rPr>
      </w:pPr>
    </w:p>
    <w:p w14:paraId="3A907895" w14:textId="6CA560E0" w:rsidR="00A106DF" w:rsidRPr="00063E70" w:rsidRDefault="0041662E" w:rsidP="004E2189">
      <w:pPr>
        <w:rPr>
          <w:szCs w:val="18"/>
        </w:rPr>
      </w:pPr>
      <w:r>
        <w:rPr>
          <w:szCs w:val="18"/>
        </w:rPr>
        <w:t>Inhoudelijk stuurt de B</w:t>
      </w:r>
      <w:r w:rsidR="0010245F" w:rsidRPr="00063E70">
        <w:rPr>
          <w:szCs w:val="18"/>
        </w:rPr>
        <w:t>ank</w:t>
      </w:r>
      <w:r w:rsidR="0086510F" w:rsidRPr="00063E70">
        <w:rPr>
          <w:szCs w:val="18"/>
        </w:rPr>
        <w:t>, conform haar mandaat,</w:t>
      </w:r>
      <w:r w:rsidR="0010245F" w:rsidRPr="00063E70">
        <w:rPr>
          <w:szCs w:val="18"/>
        </w:rPr>
        <w:t xml:space="preserve"> op</w:t>
      </w:r>
      <w:r w:rsidR="006941DB" w:rsidRPr="00063E70">
        <w:rPr>
          <w:szCs w:val="18"/>
        </w:rPr>
        <w:t xml:space="preserve"> </w:t>
      </w:r>
      <w:r w:rsidR="00330684">
        <w:rPr>
          <w:szCs w:val="18"/>
        </w:rPr>
        <w:t>effectieve economische t</w:t>
      </w:r>
      <w:r w:rsidR="009A5E25">
        <w:rPr>
          <w:szCs w:val="18"/>
        </w:rPr>
        <w:t>ransitie</w:t>
      </w:r>
      <w:r w:rsidR="009A5E25" w:rsidRPr="00063E70">
        <w:rPr>
          <w:szCs w:val="18"/>
        </w:rPr>
        <w:t xml:space="preserve"> </w:t>
      </w:r>
      <w:r w:rsidR="00330684">
        <w:rPr>
          <w:szCs w:val="18"/>
        </w:rPr>
        <w:t xml:space="preserve">van de ontvangende landen </w:t>
      </w:r>
      <w:r w:rsidR="00C75B28" w:rsidRPr="00063E70">
        <w:rPr>
          <w:szCs w:val="18"/>
        </w:rPr>
        <w:t xml:space="preserve">en </w:t>
      </w:r>
      <w:r w:rsidR="00330684">
        <w:rPr>
          <w:szCs w:val="18"/>
        </w:rPr>
        <w:t xml:space="preserve">op de </w:t>
      </w:r>
      <w:r w:rsidR="00C75B28" w:rsidRPr="00063E70">
        <w:rPr>
          <w:szCs w:val="18"/>
        </w:rPr>
        <w:t>duurza</w:t>
      </w:r>
      <w:r w:rsidR="00514F3B" w:rsidRPr="00063E70">
        <w:rPr>
          <w:szCs w:val="18"/>
        </w:rPr>
        <w:t>me impact</w:t>
      </w:r>
      <w:r w:rsidR="0086510F" w:rsidRPr="00063E70">
        <w:rPr>
          <w:szCs w:val="18"/>
        </w:rPr>
        <w:t xml:space="preserve"> </w:t>
      </w:r>
      <w:r w:rsidR="0010245F" w:rsidRPr="00063E70">
        <w:rPr>
          <w:szCs w:val="18"/>
        </w:rPr>
        <w:t xml:space="preserve">van projecten. </w:t>
      </w:r>
      <w:r w:rsidR="00330684">
        <w:rPr>
          <w:szCs w:val="18"/>
        </w:rPr>
        <w:t xml:space="preserve">De bevindingen van </w:t>
      </w:r>
      <w:r w:rsidR="00514F3B" w:rsidRPr="00063E70">
        <w:rPr>
          <w:szCs w:val="18"/>
        </w:rPr>
        <w:t xml:space="preserve">het </w:t>
      </w:r>
      <w:r w:rsidR="00514F3B" w:rsidRPr="00063E70">
        <w:rPr>
          <w:i/>
          <w:szCs w:val="18"/>
        </w:rPr>
        <w:t>T</w:t>
      </w:r>
      <w:r w:rsidR="0009208A" w:rsidRPr="00063E70">
        <w:rPr>
          <w:i/>
          <w:szCs w:val="18"/>
        </w:rPr>
        <w:t>ransi</w:t>
      </w:r>
      <w:r w:rsidR="00514F3B" w:rsidRPr="00063E70">
        <w:rPr>
          <w:i/>
          <w:szCs w:val="18"/>
        </w:rPr>
        <w:t>tion Impact Monitoring S</w:t>
      </w:r>
      <w:r w:rsidR="0009208A" w:rsidRPr="00063E70">
        <w:rPr>
          <w:i/>
          <w:szCs w:val="18"/>
        </w:rPr>
        <w:t>ystem</w:t>
      </w:r>
      <w:r w:rsidR="0009208A" w:rsidRPr="00063E70">
        <w:rPr>
          <w:szCs w:val="18"/>
        </w:rPr>
        <w:t xml:space="preserve"> </w:t>
      </w:r>
      <w:r w:rsidR="00330684">
        <w:rPr>
          <w:szCs w:val="18"/>
        </w:rPr>
        <w:t xml:space="preserve">worden jaarlijks </w:t>
      </w:r>
      <w:r w:rsidR="00C75B28" w:rsidRPr="00063E70">
        <w:rPr>
          <w:szCs w:val="18"/>
        </w:rPr>
        <w:t>gepubliceerd</w:t>
      </w:r>
      <w:r w:rsidR="00514F3B" w:rsidRPr="00063E70">
        <w:rPr>
          <w:szCs w:val="18"/>
        </w:rPr>
        <w:t xml:space="preserve"> in het </w:t>
      </w:r>
      <w:r w:rsidR="00514F3B" w:rsidRPr="00063E70">
        <w:rPr>
          <w:i/>
          <w:szCs w:val="18"/>
        </w:rPr>
        <w:t>Transition R</w:t>
      </w:r>
      <w:r w:rsidR="0009208A" w:rsidRPr="00063E70">
        <w:rPr>
          <w:i/>
          <w:szCs w:val="18"/>
        </w:rPr>
        <w:t>eport</w:t>
      </w:r>
      <w:r w:rsidR="009A5E25" w:rsidRPr="008D159B">
        <w:rPr>
          <w:szCs w:val="18"/>
        </w:rPr>
        <w:t>.</w:t>
      </w:r>
    </w:p>
    <w:p w14:paraId="536ECEF5" w14:textId="77777777" w:rsidR="0010245F" w:rsidRPr="00063E70" w:rsidRDefault="0010245F" w:rsidP="004E2189">
      <w:pPr>
        <w:rPr>
          <w:szCs w:val="18"/>
        </w:rPr>
      </w:pPr>
    </w:p>
    <w:p w14:paraId="5D067D3F" w14:textId="0DD86B9E" w:rsidR="00F30CED" w:rsidRPr="00063E70" w:rsidRDefault="00330684" w:rsidP="004E2189">
      <w:pPr>
        <w:rPr>
          <w:szCs w:val="18"/>
        </w:rPr>
      </w:pPr>
      <w:r>
        <w:rPr>
          <w:szCs w:val="18"/>
        </w:rPr>
        <w:t xml:space="preserve">Ten slotte </w:t>
      </w:r>
      <w:r w:rsidR="00CF0CBE">
        <w:rPr>
          <w:szCs w:val="18"/>
        </w:rPr>
        <w:t>publiceert</w:t>
      </w:r>
      <w:r>
        <w:rPr>
          <w:szCs w:val="18"/>
        </w:rPr>
        <w:t xml:space="preserve"> de Bank jaarlijks</w:t>
      </w:r>
      <w:r w:rsidR="00615508" w:rsidRPr="00063E70">
        <w:rPr>
          <w:szCs w:val="18"/>
        </w:rPr>
        <w:t xml:space="preserve"> </w:t>
      </w:r>
      <w:r w:rsidR="0086510F" w:rsidRPr="00063E70">
        <w:rPr>
          <w:szCs w:val="18"/>
        </w:rPr>
        <w:t xml:space="preserve">het </w:t>
      </w:r>
      <w:r w:rsidR="00514F3B" w:rsidRPr="00063E70">
        <w:rPr>
          <w:i/>
          <w:szCs w:val="18"/>
        </w:rPr>
        <w:t>Sustainability R</w:t>
      </w:r>
      <w:r w:rsidR="00F30CED" w:rsidRPr="00063E70">
        <w:rPr>
          <w:i/>
          <w:szCs w:val="18"/>
        </w:rPr>
        <w:t>eport</w:t>
      </w:r>
      <w:r w:rsidR="00615508" w:rsidRPr="00063E70">
        <w:rPr>
          <w:szCs w:val="18"/>
        </w:rPr>
        <w:t xml:space="preserve"> waarin wordt </w:t>
      </w:r>
      <w:r>
        <w:rPr>
          <w:szCs w:val="18"/>
        </w:rPr>
        <w:t>gerapporteerd</w:t>
      </w:r>
      <w:r w:rsidR="00615508" w:rsidRPr="00063E70">
        <w:rPr>
          <w:szCs w:val="18"/>
        </w:rPr>
        <w:t xml:space="preserve"> in welke mate er in duurzame projecten is </w:t>
      </w:r>
      <w:r w:rsidR="00C75B28" w:rsidRPr="00063E70">
        <w:rPr>
          <w:szCs w:val="18"/>
        </w:rPr>
        <w:t>geïnvesteerd</w:t>
      </w:r>
      <w:r w:rsidR="00615508" w:rsidRPr="00063E70">
        <w:rPr>
          <w:szCs w:val="18"/>
        </w:rPr>
        <w:t>.</w:t>
      </w:r>
    </w:p>
    <w:p w14:paraId="5CFFB779" w14:textId="77777777" w:rsidR="00587701" w:rsidRPr="00063E70" w:rsidRDefault="00587701" w:rsidP="003412ED">
      <w:pPr>
        <w:rPr>
          <w:szCs w:val="18"/>
        </w:rPr>
      </w:pPr>
    </w:p>
    <w:p w14:paraId="65CFAA72" w14:textId="59C5F1D1" w:rsidR="004E2189" w:rsidRPr="00063E70" w:rsidRDefault="003412ED" w:rsidP="003412ED">
      <w:pPr>
        <w:rPr>
          <w:szCs w:val="18"/>
        </w:rPr>
      </w:pPr>
      <w:r w:rsidRPr="00063E70">
        <w:rPr>
          <w:szCs w:val="18"/>
        </w:rPr>
        <w:t xml:space="preserve">Beoordeling: </w:t>
      </w:r>
      <w:r w:rsidR="00C23A4B">
        <w:rPr>
          <w:szCs w:val="18"/>
        </w:rPr>
        <w:t xml:space="preserve">Goed = </w:t>
      </w:r>
      <w:r w:rsidR="00F06BC6">
        <w:rPr>
          <w:szCs w:val="18"/>
        </w:rPr>
        <w:t>4</w:t>
      </w:r>
    </w:p>
    <w:p w14:paraId="7E0FEFFF" w14:textId="77777777" w:rsidR="00B54564" w:rsidRPr="00063E70" w:rsidRDefault="00B54564" w:rsidP="00B54564">
      <w:pPr>
        <w:rPr>
          <w:szCs w:val="18"/>
        </w:rPr>
      </w:pPr>
    </w:p>
    <w:p w14:paraId="44770199" w14:textId="69A9D583" w:rsidR="003D1924" w:rsidRPr="0053653A" w:rsidRDefault="00B54564" w:rsidP="003D1924">
      <w:pPr>
        <w:numPr>
          <w:ilvl w:val="1"/>
          <w:numId w:val="20"/>
        </w:numPr>
        <w:ind w:left="0" w:hanging="1162"/>
        <w:rPr>
          <w:b/>
          <w:szCs w:val="18"/>
        </w:rPr>
      </w:pPr>
      <w:r w:rsidRPr="0053653A">
        <w:rPr>
          <w:b/>
          <w:szCs w:val="18"/>
        </w:rPr>
        <w:t xml:space="preserve">Partnerschappen </w:t>
      </w:r>
    </w:p>
    <w:p w14:paraId="24851D15" w14:textId="5F73CB50" w:rsidR="00A16AE6" w:rsidRDefault="00994478" w:rsidP="00A16AE6">
      <w:pPr>
        <w:rPr>
          <w:szCs w:val="18"/>
        </w:rPr>
      </w:pPr>
      <w:r w:rsidRPr="00063E70">
        <w:rPr>
          <w:szCs w:val="18"/>
        </w:rPr>
        <w:t xml:space="preserve">De EBRD </w:t>
      </w:r>
      <w:r w:rsidR="00A00EE3" w:rsidRPr="00063E70">
        <w:rPr>
          <w:szCs w:val="18"/>
        </w:rPr>
        <w:t>neemt nooit</w:t>
      </w:r>
      <w:r w:rsidRPr="00063E70">
        <w:rPr>
          <w:szCs w:val="18"/>
        </w:rPr>
        <w:t xml:space="preserve"> de volledige financiering van projecten voor haar rekening, maar beperkt</w:t>
      </w:r>
      <w:r w:rsidR="009A5E25">
        <w:rPr>
          <w:szCs w:val="18"/>
        </w:rPr>
        <w:t xml:space="preserve"> </w:t>
      </w:r>
      <w:r w:rsidR="00B83988" w:rsidRPr="00063E70">
        <w:rPr>
          <w:szCs w:val="18"/>
        </w:rPr>
        <w:t>zich</w:t>
      </w:r>
      <w:r w:rsidR="00B83988">
        <w:rPr>
          <w:szCs w:val="18"/>
        </w:rPr>
        <w:t xml:space="preserve"> </w:t>
      </w:r>
      <w:r w:rsidRPr="00063E70">
        <w:rPr>
          <w:szCs w:val="18"/>
        </w:rPr>
        <w:t>tot medefinanciering</w:t>
      </w:r>
      <w:r w:rsidR="00F96162">
        <w:rPr>
          <w:szCs w:val="18"/>
        </w:rPr>
        <w:t xml:space="preserve">, vaak in </w:t>
      </w:r>
      <w:r w:rsidRPr="00063E70">
        <w:rPr>
          <w:szCs w:val="18"/>
        </w:rPr>
        <w:t xml:space="preserve">partnerschap </w:t>
      </w:r>
      <w:r w:rsidR="0041662E">
        <w:rPr>
          <w:szCs w:val="18"/>
        </w:rPr>
        <w:t>met andere B</w:t>
      </w:r>
      <w:r w:rsidR="000A1244" w:rsidRPr="00063E70">
        <w:rPr>
          <w:szCs w:val="18"/>
        </w:rPr>
        <w:t xml:space="preserve">anken of </w:t>
      </w:r>
      <w:r w:rsidR="00C75B28" w:rsidRPr="00063E70">
        <w:rPr>
          <w:szCs w:val="18"/>
        </w:rPr>
        <w:t>financiële</w:t>
      </w:r>
      <w:r w:rsidR="000A1244" w:rsidRPr="00063E70">
        <w:rPr>
          <w:szCs w:val="18"/>
        </w:rPr>
        <w:t xml:space="preserve"> instellingen</w:t>
      </w:r>
      <w:r w:rsidR="00F96162">
        <w:rPr>
          <w:szCs w:val="18"/>
        </w:rPr>
        <w:t>.</w:t>
      </w:r>
      <w:r w:rsidR="000A1244" w:rsidRPr="00063E70">
        <w:rPr>
          <w:szCs w:val="18"/>
        </w:rPr>
        <w:t xml:space="preserve"> </w:t>
      </w:r>
      <w:r w:rsidR="00F96162">
        <w:rPr>
          <w:szCs w:val="18"/>
        </w:rPr>
        <w:t xml:space="preserve">Wanneer </w:t>
      </w:r>
      <w:r w:rsidR="00A16AE6" w:rsidRPr="00063E70">
        <w:rPr>
          <w:szCs w:val="18"/>
        </w:rPr>
        <w:t xml:space="preserve">de EBRD </w:t>
      </w:r>
      <w:r w:rsidR="00C75B28" w:rsidRPr="00063E70">
        <w:rPr>
          <w:szCs w:val="18"/>
        </w:rPr>
        <w:t>participeert</w:t>
      </w:r>
      <w:r w:rsidR="00A16AE6" w:rsidRPr="00063E70">
        <w:rPr>
          <w:szCs w:val="18"/>
        </w:rPr>
        <w:t xml:space="preserve"> in een bedrijf </w:t>
      </w:r>
      <w:r w:rsidR="00E21EE0">
        <w:rPr>
          <w:szCs w:val="18"/>
        </w:rPr>
        <w:t>(</w:t>
      </w:r>
      <w:r w:rsidR="00F96162">
        <w:rPr>
          <w:szCs w:val="18"/>
        </w:rPr>
        <w:t>eventueel</w:t>
      </w:r>
      <w:r w:rsidR="00E21EE0">
        <w:rPr>
          <w:szCs w:val="18"/>
        </w:rPr>
        <w:t xml:space="preserve"> met andere fondsen en instellingen) </w:t>
      </w:r>
      <w:r w:rsidR="00A16AE6" w:rsidRPr="00063E70">
        <w:rPr>
          <w:szCs w:val="18"/>
        </w:rPr>
        <w:t xml:space="preserve">is dit uiteraard </w:t>
      </w:r>
      <w:r w:rsidR="00A16AE6" w:rsidRPr="00F96162">
        <w:rPr>
          <w:i/>
          <w:szCs w:val="18"/>
        </w:rPr>
        <w:t>de facto</w:t>
      </w:r>
      <w:r w:rsidR="00A16AE6" w:rsidRPr="00063E70">
        <w:rPr>
          <w:szCs w:val="18"/>
        </w:rPr>
        <w:t xml:space="preserve"> </w:t>
      </w:r>
      <w:r w:rsidR="004C5010" w:rsidRPr="00063E70">
        <w:rPr>
          <w:szCs w:val="18"/>
        </w:rPr>
        <w:t xml:space="preserve">ook </w:t>
      </w:r>
      <w:r w:rsidR="00A16AE6" w:rsidRPr="00063E70">
        <w:rPr>
          <w:szCs w:val="18"/>
        </w:rPr>
        <w:t>een partnerschap</w:t>
      </w:r>
      <w:r w:rsidR="00E21EE0">
        <w:rPr>
          <w:szCs w:val="18"/>
        </w:rPr>
        <w:t>.</w:t>
      </w:r>
    </w:p>
    <w:p w14:paraId="21B96195" w14:textId="77777777" w:rsidR="00AF0342" w:rsidRDefault="00AF0342" w:rsidP="00A16AE6">
      <w:pPr>
        <w:rPr>
          <w:szCs w:val="18"/>
        </w:rPr>
      </w:pPr>
    </w:p>
    <w:p w14:paraId="63089DD6" w14:textId="64FE5C99" w:rsidR="008D39CE" w:rsidRPr="00063E70" w:rsidRDefault="00F96162" w:rsidP="00A16AE6">
      <w:pPr>
        <w:rPr>
          <w:szCs w:val="18"/>
        </w:rPr>
      </w:pPr>
      <w:r>
        <w:rPr>
          <w:szCs w:val="18"/>
        </w:rPr>
        <w:t>Voor</w:t>
      </w:r>
      <w:r w:rsidR="00FA283C">
        <w:rPr>
          <w:szCs w:val="18"/>
        </w:rPr>
        <w:t xml:space="preserve"> </w:t>
      </w:r>
      <w:r w:rsidR="00FA283C" w:rsidRPr="00F96162">
        <w:rPr>
          <w:i/>
          <w:szCs w:val="18"/>
        </w:rPr>
        <w:t>trust</w:t>
      </w:r>
      <w:r w:rsidRPr="00F96162">
        <w:rPr>
          <w:i/>
          <w:szCs w:val="18"/>
        </w:rPr>
        <w:t xml:space="preserve"> </w:t>
      </w:r>
      <w:r w:rsidR="00FA283C" w:rsidRPr="00F96162">
        <w:rPr>
          <w:i/>
          <w:szCs w:val="18"/>
        </w:rPr>
        <w:t>fund</w:t>
      </w:r>
      <w:r w:rsidRPr="00F96162">
        <w:rPr>
          <w:i/>
          <w:szCs w:val="18"/>
        </w:rPr>
        <w:t>s</w:t>
      </w:r>
      <w:r>
        <w:rPr>
          <w:szCs w:val="18"/>
        </w:rPr>
        <w:t xml:space="preserve"> ontvangt</w:t>
      </w:r>
      <w:r w:rsidR="00FA283C">
        <w:rPr>
          <w:szCs w:val="18"/>
        </w:rPr>
        <w:t xml:space="preserve"> de Bank zowel </w:t>
      </w:r>
      <w:r>
        <w:rPr>
          <w:szCs w:val="18"/>
        </w:rPr>
        <w:t xml:space="preserve">bijdragen van </w:t>
      </w:r>
      <w:r w:rsidR="00FA283C">
        <w:rPr>
          <w:szCs w:val="18"/>
        </w:rPr>
        <w:t>bilaterale</w:t>
      </w:r>
      <w:r w:rsidR="003A13BE">
        <w:rPr>
          <w:szCs w:val="18"/>
        </w:rPr>
        <w:t xml:space="preserve"> donoren, veelal landen</w:t>
      </w:r>
      <w:r>
        <w:rPr>
          <w:szCs w:val="18"/>
        </w:rPr>
        <w:t xml:space="preserve"> die aandeelhouder zijn bij de Bank, als van </w:t>
      </w:r>
      <w:r w:rsidR="003A13BE">
        <w:rPr>
          <w:szCs w:val="18"/>
        </w:rPr>
        <w:t xml:space="preserve">multilaterale donoren, </w:t>
      </w:r>
      <w:proofErr w:type="gramStart"/>
      <w:r w:rsidR="007C5A90">
        <w:rPr>
          <w:szCs w:val="18"/>
        </w:rPr>
        <w:t>waar</w:t>
      </w:r>
      <w:r>
        <w:rPr>
          <w:szCs w:val="18"/>
        </w:rPr>
        <w:t>van</w:t>
      </w:r>
      <w:proofErr w:type="gramEnd"/>
      <w:r>
        <w:rPr>
          <w:szCs w:val="18"/>
        </w:rPr>
        <w:t xml:space="preserve"> de EU verreweg</w:t>
      </w:r>
      <w:r w:rsidR="003A13BE">
        <w:rPr>
          <w:szCs w:val="18"/>
        </w:rPr>
        <w:t xml:space="preserve"> de grootste</w:t>
      </w:r>
      <w:r w:rsidR="007C5A90">
        <w:rPr>
          <w:szCs w:val="18"/>
        </w:rPr>
        <w:t xml:space="preserve"> is</w:t>
      </w:r>
      <w:r w:rsidR="00FA283C">
        <w:rPr>
          <w:szCs w:val="18"/>
        </w:rPr>
        <w:t xml:space="preserve">. </w:t>
      </w:r>
      <w:r w:rsidR="003A13BE">
        <w:rPr>
          <w:szCs w:val="18"/>
        </w:rPr>
        <w:t xml:space="preserve">In </w:t>
      </w:r>
      <w:r>
        <w:rPr>
          <w:szCs w:val="18"/>
        </w:rPr>
        <w:t>een recentelijk gepubliceerde</w:t>
      </w:r>
      <w:r w:rsidR="003A13BE">
        <w:rPr>
          <w:szCs w:val="18"/>
        </w:rPr>
        <w:t xml:space="preserve"> </w:t>
      </w:r>
      <w:r>
        <w:rPr>
          <w:szCs w:val="18"/>
        </w:rPr>
        <w:t xml:space="preserve">beleidsstrategie, </w:t>
      </w:r>
      <w:r w:rsidR="003A13BE" w:rsidRPr="00C503CC">
        <w:rPr>
          <w:i/>
          <w:szCs w:val="18"/>
        </w:rPr>
        <w:t>Future Directions for Grant Co-financing</w:t>
      </w:r>
      <w:r w:rsidR="00D4040C">
        <w:rPr>
          <w:i/>
          <w:szCs w:val="18"/>
        </w:rPr>
        <w:t xml:space="preserve"> </w:t>
      </w:r>
      <w:r w:rsidR="00D4040C" w:rsidRPr="00F92015">
        <w:rPr>
          <w:szCs w:val="18"/>
        </w:rPr>
        <w:t>(2015)</w:t>
      </w:r>
      <w:r w:rsidR="003A13BE" w:rsidRPr="00F92015">
        <w:rPr>
          <w:szCs w:val="18"/>
        </w:rPr>
        <w:t>,</w:t>
      </w:r>
      <w:r w:rsidR="003A13BE">
        <w:rPr>
          <w:szCs w:val="18"/>
        </w:rPr>
        <w:t xml:space="preserve"> geeft de Bank aan</w:t>
      </w:r>
      <w:r>
        <w:rPr>
          <w:szCs w:val="18"/>
        </w:rPr>
        <w:t xml:space="preserve"> toe te willen </w:t>
      </w:r>
      <w:r w:rsidR="003A13BE">
        <w:rPr>
          <w:szCs w:val="18"/>
        </w:rPr>
        <w:t xml:space="preserve">werken naar </w:t>
      </w:r>
      <w:r w:rsidR="007C5A90" w:rsidRPr="007C5A90">
        <w:rPr>
          <w:szCs w:val="18"/>
        </w:rPr>
        <w:t>een bredere groep van donoren, zoals ontvangende</w:t>
      </w:r>
      <w:r w:rsidR="00C23A4B">
        <w:rPr>
          <w:szCs w:val="18"/>
        </w:rPr>
        <w:t xml:space="preserve"> </w:t>
      </w:r>
      <w:r w:rsidR="007C5A90" w:rsidRPr="007C5A90">
        <w:rPr>
          <w:szCs w:val="18"/>
        </w:rPr>
        <w:t>landen, landen die geen lid zijn van de Bank, private partijen en ni</w:t>
      </w:r>
      <w:r w:rsidR="00EB1320">
        <w:rPr>
          <w:szCs w:val="18"/>
        </w:rPr>
        <w:t>et-gouvernementele organisaties.</w:t>
      </w:r>
    </w:p>
    <w:p w14:paraId="5C9C0CB5" w14:textId="77777777" w:rsidR="00C503CC" w:rsidRDefault="00C503CC" w:rsidP="00DA757D">
      <w:pPr>
        <w:rPr>
          <w:szCs w:val="18"/>
        </w:rPr>
      </w:pPr>
    </w:p>
    <w:p w14:paraId="69A06028" w14:textId="28F05C02" w:rsidR="003D1924" w:rsidRPr="00063E70" w:rsidRDefault="000A1244" w:rsidP="00DA757D">
      <w:pPr>
        <w:rPr>
          <w:szCs w:val="18"/>
        </w:rPr>
      </w:pPr>
      <w:r w:rsidRPr="00063E70">
        <w:rPr>
          <w:szCs w:val="18"/>
        </w:rPr>
        <w:t>Bij de uit</w:t>
      </w:r>
      <w:r w:rsidR="00DB7F9F">
        <w:rPr>
          <w:szCs w:val="18"/>
        </w:rPr>
        <w:t>voer van</w:t>
      </w:r>
      <w:r w:rsidR="00A16AE6" w:rsidRPr="00063E70">
        <w:rPr>
          <w:szCs w:val="18"/>
        </w:rPr>
        <w:t xml:space="preserve"> projecten werkt de B</w:t>
      </w:r>
      <w:r w:rsidRPr="00063E70">
        <w:rPr>
          <w:szCs w:val="18"/>
        </w:rPr>
        <w:t xml:space="preserve">ank </w:t>
      </w:r>
      <w:r w:rsidR="00A16AE6" w:rsidRPr="00063E70">
        <w:rPr>
          <w:szCs w:val="18"/>
        </w:rPr>
        <w:t>bij voorkeur samen met bedrijven waar zij al va</w:t>
      </w:r>
      <w:r w:rsidR="004C5010" w:rsidRPr="00063E70">
        <w:rPr>
          <w:szCs w:val="18"/>
        </w:rPr>
        <w:t xml:space="preserve">ker mee samen heeft gewerkt </w:t>
      </w:r>
      <w:r w:rsidR="007B5451" w:rsidRPr="00063E70">
        <w:rPr>
          <w:szCs w:val="18"/>
        </w:rPr>
        <w:t xml:space="preserve">en </w:t>
      </w:r>
      <w:r w:rsidR="00DB7F9F">
        <w:rPr>
          <w:szCs w:val="18"/>
        </w:rPr>
        <w:t>waarmee een vertrouwensbasis is opgebouwd</w:t>
      </w:r>
      <w:r w:rsidR="007B5451" w:rsidRPr="00063E70">
        <w:rPr>
          <w:szCs w:val="18"/>
        </w:rPr>
        <w:t xml:space="preserve">. </w:t>
      </w:r>
    </w:p>
    <w:p w14:paraId="4895C7A8" w14:textId="77777777" w:rsidR="003D1924" w:rsidRPr="00063E70" w:rsidRDefault="003D1924" w:rsidP="00DA757D">
      <w:pPr>
        <w:rPr>
          <w:szCs w:val="18"/>
        </w:rPr>
      </w:pPr>
    </w:p>
    <w:p w14:paraId="35194BCD" w14:textId="33468363" w:rsidR="003D1924" w:rsidRPr="00063E70" w:rsidRDefault="003D1924" w:rsidP="00DA757D">
      <w:pPr>
        <w:rPr>
          <w:szCs w:val="18"/>
        </w:rPr>
      </w:pPr>
      <w:r w:rsidRPr="00063E70">
        <w:rPr>
          <w:szCs w:val="18"/>
        </w:rPr>
        <w:t xml:space="preserve">De sterke link met </w:t>
      </w:r>
      <w:r w:rsidR="00DB7F9F">
        <w:rPr>
          <w:szCs w:val="18"/>
        </w:rPr>
        <w:t xml:space="preserve">de </w:t>
      </w:r>
      <w:r w:rsidRPr="00063E70">
        <w:rPr>
          <w:szCs w:val="18"/>
        </w:rPr>
        <w:t xml:space="preserve">lokale private en </w:t>
      </w:r>
      <w:r w:rsidR="00C75B28" w:rsidRPr="00063E70">
        <w:rPr>
          <w:szCs w:val="18"/>
        </w:rPr>
        <w:t>financiële</w:t>
      </w:r>
      <w:r w:rsidRPr="00063E70">
        <w:rPr>
          <w:szCs w:val="18"/>
        </w:rPr>
        <w:t xml:space="preserve"> sector </w:t>
      </w:r>
      <w:r w:rsidR="00DB7F9F">
        <w:rPr>
          <w:szCs w:val="18"/>
        </w:rPr>
        <w:t xml:space="preserve">is </w:t>
      </w:r>
      <w:r w:rsidR="00864082">
        <w:rPr>
          <w:szCs w:val="18"/>
        </w:rPr>
        <w:t xml:space="preserve">conform het mandaat </w:t>
      </w:r>
      <w:r w:rsidR="00DB7F9F">
        <w:rPr>
          <w:szCs w:val="18"/>
        </w:rPr>
        <w:t xml:space="preserve">van de Bank en is </w:t>
      </w:r>
      <w:r w:rsidR="002F0421">
        <w:rPr>
          <w:szCs w:val="18"/>
        </w:rPr>
        <w:t>een belangrijke</w:t>
      </w:r>
      <w:r w:rsidRPr="00063E70">
        <w:rPr>
          <w:szCs w:val="18"/>
        </w:rPr>
        <w:t xml:space="preserve"> </w:t>
      </w:r>
      <w:r w:rsidR="00C75B28" w:rsidRPr="00063E70">
        <w:rPr>
          <w:szCs w:val="18"/>
        </w:rPr>
        <w:t>onderscheidende</w:t>
      </w:r>
      <w:r w:rsidR="000A1244" w:rsidRPr="00063E70">
        <w:rPr>
          <w:szCs w:val="18"/>
        </w:rPr>
        <w:t xml:space="preserve"> krach</w:t>
      </w:r>
      <w:r w:rsidR="0041662E">
        <w:rPr>
          <w:szCs w:val="18"/>
        </w:rPr>
        <w:t>t van de EBRD als ontwikkelings</w:t>
      </w:r>
      <w:r w:rsidR="00CF0CBE">
        <w:rPr>
          <w:szCs w:val="18"/>
        </w:rPr>
        <w:t>b</w:t>
      </w:r>
      <w:r w:rsidR="000A1244" w:rsidRPr="00063E70">
        <w:rPr>
          <w:szCs w:val="18"/>
        </w:rPr>
        <w:t>ank</w:t>
      </w:r>
      <w:r w:rsidR="002F0421">
        <w:rPr>
          <w:szCs w:val="18"/>
        </w:rPr>
        <w:t>.</w:t>
      </w:r>
    </w:p>
    <w:p w14:paraId="267DD429" w14:textId="77777777" w:rsidR="003D1924" w:rsidRPr="00063E70" w:rsidRDefault="003D1924" w:rsidP="00DA757D">
      <w:pPr>
        <w:rPr>
          <w:szCs w:val="18"/>
        </w:rPr>
      </w:pPr>
    </w:p>
    <w:p w14:paraId="246CB9DF" w14:textId="6E903C72" w:rsidR="00994478" w:rsidRPr="00063E70" w:rsidRDefault="000A1244" w:rsidP="009A5E25">
      <w:pPr>
        <w:rPr>
          <w:szCs w:val="18"/>
        </w:rPr>
      </w:pPr>
      <w:r w:rsidRPr="00063E70">
        <w:rPr>
          <w:szCs w:val="18"/>
        </w:rPr>
        <w:t xml:space="preserve">De EBRD werkt veel samen met andere </w:t>
      </w:r>
      <w:r w:rsidR="004B1389">
        <w:rPr>
          <w:szCs w:val="18"/>
        </w:rPr>
        <w:t>multilaterale ontwikkelingsbanken (</w:t>
      </w:r>
      <w:r w:rsidRPr="00063E70">
        <w:rPr>
          <w:szCs w:val="18"/>
        </w:rPr>
        <w:t>MDB’s</w:t>
      </w:r>
      <w:r w:rsidR="004B1389">
        <w:rPr>
          <w:szCs w:val="18"/>
        </w:rPr>
        <w:t>)</w:t>
      </w:r>
      <w:r w:rsidRPr="00063E70">
        <w:rPr>
          <w:szCs w:val="18"/>
        </w:rPr>
        <w:t>, o</w:t>
      </w:r>
      <w:r w:rsidR="008F0FB1" w:rsidRPr="00063E70">
        <w:rPr>
          <w:szCs w:val="18"/>
        </w:rPr>
        <w:t xml:space="preserve">verheden en kennisinstellingen. </w:t>
      </w:r>
      <w:r w:rsidRPr="00063E70">
        <w:rPr>
          <w:szCs w:val="18"/>
        </w:rPr>
        <w:t xml:space="preserve">Samenwerking </w:t>
      </w:r>
      <w:r w:rsidR="008F0FB1" w:rsidRPr="00063E70">
        <w:rPr>
          <w:szCs w:val="18"/>
        </w:rPr>
        <w:t xml:space="preserve">met andere MDB’s vindt </w:t>
      </w:r>
      <w:r w:rsidRPr="00063E70">
        <w:rPr>
          <w:szCs w:val="18"/>
        </w:rPr>
        <w:t xml:space="preserve">zowel </w:t>
      </w:r>
      <w:r w:rsidR="008F0FB1" w:rsidRPr="00063E70">
        <w:rPr>
          <w:szCs w:val="18"/>
        </w:rPr>
        <w:t xml:space="preserve">plaats op het niveau van </w:t>
      </w:r>
      <w:r w:rsidRPr="00063E70">
        <w:rPr>
          <w:szCs w:val="18"/>
        </w:rPr>
        <w:t xml:space="preserve">de </w:t>
      </w:r>
      <w:proofErr w:type="gramStart"/>
      <w:r w:rsidR="00DB7F9F">
        <w:rPr>
          <w:szCs w:val="18"/>
        </w:rPr>
        <w:t>implementatie</w:t>
      </w:r>
      <w:proofErr w:type="gramEnd"/>
      <w:r w:rsidR="00DB7F9F">
        <w:rPr>
          <w:szCs w:val="18"/>
        </w:rPr>
        <w:t xml:space="preserve"> </w:t>
      </w:r>
      <w:r w:rsidRPr="00063E70">
        <w:rPr>
          <w:szCs w:val="18"/>
        </w:rPr>
        <w:t xml:space="preserve">van projecten als bij beleid- en </w:t>
      </w:r>
      <w:r w:rsidR="00C75B28" w:rsidRPr="00063E70">
        <w:rPr>
          <w:szCs w:val="18"/>
        </w:rPr>
        <w:t>strategieontwikkeling</w:t>
      </w:r>
      <w:r w:rsidRPr="00063E70">
        <w:rPr>
          <w:szCs w:val="18"/>
        </w:rPr>
        <w:t>.</w:t>
      </w:r>
      <w:r w:rsidR="002035DB" w:rsidRPr="00063E70">
        <w:rPr>
          <w:szCs w:val="18"/>
        </w:rPr>
        <w:t xml:space="preserve"> Voorbeeld hier</w:t>
      </w:r>
      <w:r w:rsidR="008F0FB1" w:rsidRPr="00063E70">
        <w:rPr>
          <w:szCs w:val="18"/>
        </w:rPr>
        <w:t xml:space="preserve">van is het </w:t>
      </w:r>
      <w:r w:rsidR="00C75B28" w:rsidRPr="00063E70">
        <w:rPr>
          <w:i/>
          <w:szCs w:val="18"/>
        </w:rPr>
        <w:t>Vienna Initiative</w:t>
      </w:r>
      <w:r w:rsidR="008F0FB1" w:rsidRPr="00063E70">
        <w:rPr>
          <w:szCs w:val="18"/>
        </w:rPr>
        <w:t xml:space="preserve">, een overleg </w:t>
      </w:r>
      <w:r w:rsidR="002035DB" w:rsidRPr="00063E70">
        <w:rPr>
          <w:szCs w:val="18"/>
        </w:rPr>
        <w:t xml:space="preserve">waar </w:t>
      </w:r>
      <w:r w:rsidR="008F0FB1" w:rsidRPr="00063E70">
        <w:rPr>
          <w:szCs w:val="18"/>
        </w:rPr>
        <w:t xml:space="preserve">zowel IFI’s, overheidsinstellingen als </w:t>
      </w:r>
      <w:r w:rsidR="002035DB" w:rsidRPr="00063E70">
        <w:rPr>
          <w:szCs w:val="18"/>
        </w:rPr>
        <w:t xml:space="preserve">de </w:t>
      </w:r>
      <w:r w:rsidR="00C75B28" w:rsidRPr="00063E70">
        <w:rPr>
          <w:szCs w:val="18"/>
        </w:rPr>
        <w:t>financiële</w:t>
      </w:r>
      <w:r w:rsidR="002035DB" w:rsidRPr="00063E70">
        <w:rPr>
          <w:szCs w:val="18"/>
        </w:rPr>
        <w:t xml:space="preserve"> sector bij zijn aangesloten.</w:t>
      </w:r>
      <w:r w:rsidR="008F0FB1" w:rsidRPr="00063E70">
        <w:rPr>
          <w:szCs w:val="18"/>
        </w:rPr>
        <w:t xml:space="preserve"> </w:t>
      </w:r>
      <w:r w:rsidR="009A5E25">
        <w:rPr>
          <w:szCs w:val="18"/>
        </w:rPr>
        <w:t xml:space="preserve">EBRD werkt </w:t>
      </w:r>
      <w:r w:rsidR="00CF0CBE">
        <w:rPr>
          <w:szCs w:val="18"/>
        </w:rPr>
        <w:t xml:space="preserve">ook </w:t>
      </w:r>
      <w:r w:rsidR="00DB7F9F">
        <w:rPr>
          <w:szCs w:val="18"/>
        </w:rPr>
        <w:t xml:space="preserve">bijvoorbeeld nauw </w:t>
      </w:r>
      <w:r w:rsidR="009A5E25">
        <w:rPr>
          <w:szCs w:val="18"/>
        </w:rPr>
        <w:t xml:space="preserve">samen met </w:t>
      </w:r>
      <w:r w:rsidR="00DB7F9F">
        <w:rPr>
          <w:szCs w:val="18"/>
        </w:rPr>
        <w:t xml:space="preserve">de </w:t>
      </w:r>
      <w:r w:rsidR="009A5E25">
        <w:rPr>
          <w:szCs w:val="18"/>
        </w:rPr>
        <w:t>FAO in het kader</w:t>
      </w:r>
      <w:r w:rsidR="00DB7F9F">
        <w:rPr>
          <w:szCs w:val="18"/>
        </w:rPr>
        <w:t xml:space="preserve"> van het </w:t>
      </w:r>
      <w:r w:rsidR="00DB7F9F">
        <w:rPr>
          <w:i/>
          <w:szCs w:val="18"/>
        </w:rPr>
        <w:t>Foodsecurity I</w:t>
      </w:r>
      <w:r w:rsidR="00DB7F9F" w:rsidRPr="00DB7F9F">
        <w:rPr>
          <w:i/>
          <w:szCs w:val="18"/>
        </w:rPr>
        <w:t>nitiative</w:t>
      </w:r>
      <w:r w:rsidR="00DB7F9F">
        <w:rPr>
          <w:szCs w:val="18"/>
        </w:rPr>
        <w:t xml:space="preserve"> en met </w:t>
      </w:r>
      <w:r w:rsidR="009A5E25">
        <w:rPr>
          <w:szCs w:val="18"/>
        </w:rPr>
        <w:t xml:space="preserve">het IMF </w:t>
      </w:r>
      <w:r w:rsidR="00B83988">
        <w:rPr>
          <w:szCs w:val="18"/>
        </w:rPr>
        <w:t xml:space="preserve">en de Wereldbank </w:t>
      </w:r>
      <w:r w:rsidR="009A5E25">
        <w:rPr>
          <w:szCs w:val="18"/>
        </w:rPr>
        <w:t xml:space="preserve">bij activiteiten in Oekraïne. In en rond </w:t>
      </w:r>
      <w:r w:rsidR="00964979">
        <w:rPr>
          <w:szCs w:val="18"/>
        </w:rPr>
        <w:t xml:space="preserve">de EU </w:t>
      </w:r>
      <w:r w:rsidR="009A5E25">
        <w:rPr>
          <w:szCs w:val="18"/>
        </w:rPr>
        <w:t>is vooral de samenwerking met de EIB noemenswaardig</w:t>
      </w:r>
      <w:r w:rsidR="00F8761F">
        <w:rPr>
          <w:szCs w:val="18"/>
        </w:rPr>
        <w:t>. D</w:t>
      </w:r>
      <w:r w:rsidR="00DB7F9F">
        <w:rPr>
          <w:szCs w:val="18"/>
        </w:rPr>
        <w:t>eze is</w:t>
      </w:r>
      <w:r w:rsidR="00964979">
        <w:rPr>
          <w:szCs w:val="18"/>
        </w:rPr>
        <w:t xml:space="preserve"> de afgelopen jaren </w:t>
      </w:r>
      <w:r w:rsidR="008D159B">
        <w:rPr>
          <w:szCs w:val="18"/>
        </w:rPr>
        <w:t>aanzienlijk</w:t>
      </w:r>
      <w:r w:rsidR="00964979">
        <w:rPr>
          <w:szCs w:val="18"/>
        </w:rPr>
        <w:t xml:space="preserve"> verbeterd. </w:t>
      </w:r>
      <w:r w:rsidR="00CF0CBE">
        <w:rPr>
          <w:szCs w:val="18"/>
        </w:rPr>
        <w:t>D</w:t>
      </w:r>
      <w:r w:rsidR="002035DB" w:rsidRPr="00063E70">
        <w:rPr>
          <w:szCs w:val="18"/>
        </w:rPr>
        <w:t xml:space="preserve">e Bank </w:t>
      </w:r>
      <w:r w:rsidR="00DB7F9F">
        <w:rPr>
          <w:szCs w:val="18"/>
        </w:rPr>
        <w:t>is van plan</w:t>
      </w:r>
      <w:r w:rsidR="00F8761F">
        <w:rPr>
          <w:szCs w:val="18"/>
        </w:rPr>
        <w:t xml:space="preserve"> </w:t>
      </w:r>
      <w:r w:rsidR="002035DB" w:rsidRPr="00063E70">
        <w:rPr>
          <w:szCs w:val="18"/>
        </w:rPr>
        <w:t>de samenwerking met andere IFI’s verder uit te breiden.</w:t>
      </w:r>
      <w:r w:rsidR="009A5E25">
        <w:rPr>
          <w:szCs w:val="18"/>
        </w:rPr>
        <w:t xml:space="preserve"> </w:t>
      </w:r>
    </w:p>
    <w:p w14:paraId="7A235907" w14:textId="77777777" w:rsidR="002C7BBC" w:rsidRPr="00063E70" w:rsidRDefault="002C7BBC" w:rsidP="00DA757D">
      <w:pPr>
        <w:rPr>
          <w:szCs w:val="18"/>
        </w:rPr>
      </w:pPr>
    </w:p>
    <w:p w14:paraId="391B6A83" w14:textId="77777777" w:rsidR="002C7BBC" w:rsidRPr="00063E70" w:rsidRDefault="002C7BBC" w:rsidP="00DA757D">
      <w:pPr>
        <w:rPr>
          <w:szCs w:val="18"/>
        </w:rPr>
      </w:pPr>
      <w:r w:rsidRPr="00063E70">
        <w:rPr>
          <w:szCs w:val="18"/>
        </w:rPr>
        <w:t xml:space="preserve">Ten slotte werkt de Bank ook veel samen met NGO’s, al komt er vanuit die hoek nog wel eens het verwijt dat dit </w:t>
      </w:r>
      <w:r w:rsidR="00AF0342">
        <w:rPr>
          <w:szCs w:val="18"/>
        </w:rPr>
        <w:t xml:space="preserve">intensiever </w:t>
      </w:r>
      <w:r w:rsidRPr="00063E70">
        <w:rPr>
          <w:szCs w:val="18"/>
        </w:rPr>
        <w:t>zou kunnen.</w:t>
      </w:r>
    </w:p>
    <w:p w14:paraId="6BD1FEED" w14:textId="77777777" w:rsidR="008E22BC" w:rsidRPr="00063E70" w:rsidRDefault="008E22BC" w:rsidP="003D1924">
      <w:pPr>
        <w:rPr>
          <w:szCs w:val="18"/>
        </w:rPr>
      </w:pPr>
    </w:p>
    <w:p w14:paraId="722DB40B" w14:textId="65C6896B" w:rsidR="003D1924" w:rsidRPr="00063E70" w:rsidRDefault="008E22BC" w:rsidP="00A74DEC">
      <w:pPr>
        <w:rPr>
          <w:szCs w:val="18"/>
        </w:rPr>
      </w:pPr>
      <w:r w:rsidRPr="00063E70">
        <w:rPr>
          <w:szCs w:val="18"/>
        </w:rPr>
        <w:t xml:space="preserve">Beoordeling: </w:t>
      </w:r>
      <w:r w:rsidR="00C23A4B">
        <w:rPr>
          <w:szCs w:val="18"/>
        </w:rPr>
        <w:t xml:space="preserve">Goed = </w:t>
      </w:r>
      <w:r w:rsidR="00B83988">
        <w:rPr>
          <w:szCs w:val="18"/>
        </w:rPr>
        <w:t>4</w:t>
      </w:r>
    </w:p>
    <w:p w14:paraId="4AE562E1" w14:textId="77777777" w:rsidR="00B54564" w:rsidRDefault="00B54564" w:rsidP="003412ED">
      <w:pPr>
        <w:rPr>
          <w:szCs w:val="18"/>
        </w:rPr>
      </w:pPr>
    </w:p>
    <w:p w14:paraId="5D0F2AC0" w14:textId="77777777" w:rsidR="00936F95" w:rsidRPr="00063E70" w:rsidRDefault="004D372F" w:rsidP="00E34D02">
      <w:pPr>
        <w:pStyle w:val="Heading2"/>
        <w:tabs>
          <w:tab w:val="left" w:pos="-1162"/>
          <w:tab w:val="left" w:pos="0"/>
          <w:tab w:val="num" w:pos="1160"/>
        </w:tabs>
        <w:spacing w:line="240" w:lineRule="auto"/>
        <w:ind w:hanging="1162"/>
        <w:rPr>
          <w:szCs w:val="18"/>
        </w:rPr>
      </w:pPr>
      <w:bookmarkStart w:id="23" w:name="_Toc410140903"/>
      <w:bookmarkStart w:id="24" w:name="_Toc410397631"/>
      <w:r w:rsidRPr="00063E70">
        <w:rPr>
          <w:szCs w:val="18"/>
        </w:rPr>
        <w:t>3.</w:t>
      </w:r>
      <w:r w:rsidR="00A74DEC" w:rsidRPr="00063E70">
        <w:rPr>
          <w:szCs w:val="18"/>
        </w:rPr>
        <w:t>4</w:t>
      </w:r>
      <w:r w:rsidRPr="00063E70">
        <w:rPr>
          <w:szCs w:val="18"/>
        </w:rPr>
        <w:t xml:space="preserve"> </w:t>
      </w:r>
      <w:r w:rsidRPr="00063E70">
        <w:rPr>
          <w:szCs w:val="18"/>
        </w:rPr>
        <w:tab/>
      </w:r>
      <w:r w:rsidR="00DE343C" w:rsidRPr="00865648">
        <w:rPr>
          <w:szCs w:val="18"/>
        </w:rPr>
        <w:t>Effectiviteit bestuurs- en beheersorganen</w:t>
      </w:r>
      <w:bookmarkEnd w:id="23"/>
      <w:bookmarkEnd w:id="24"/>
      <w:r w:rsidR="00D85A93" w:rsidRPr="00063E70">
        <w:rPr>
          <w:szCs w:val="18"/>
        </w:rPr>
        <w:t xml:space="preserve"> </w:t>
      </w:r>
    </w:p>
    <w:p w14:paraId="29E7FFDD" w14:textId="1C36A387" w:rsidR="002F0421" w:rsidRDefault="00F33A06" w:rsidP="00DA757D">
      <w:pPr>
        <w:rPr>
          <w:szCs w:val="18"/>
        </w:rPr>
      </w:pPr>
      <w:r w:rsidRPr="00063E70">
        <w:rPr>
          <w:szCs w:val="18"/>
        </w:rPr>
        <w:t xml:space="preserve">De jaarlijkse vergadering van Gouverneurs neemt op efficiënte wijze besluiten, doorgaans met consensus. </w:t>
      </w:r>
      <w:r w:rsidR="002F0421">
        <w:rPr>
          <w:szCs w:val="18"/>
        </w:rPr>
        <w:t xml:space="preserve">Naast de jaarlijkse vergadering </w:t>
      </w:r>
      <w:r w:rsidR="002F0421" w:rsidRPr="002F0421">
        <w:rPr>
          <w:szCs w:val="18"/>
        </w:rPr>
        <w:t xml:space="preserve">zijn regelmatig schriftelijke stemmingen. Stemmingen van de Raad van Gouverneurs worden altijd voorbereid door de Raad van Bewindvoerders </w:t>
      </w:r>
      <w:r w:rsidR="00CB751A">
        <w:rPr>
          <w:szCs w:val="18"/>
        </w:rPr>
        <w:t>om het besluitvormingsproces te versoepelen.</w:t>
      </w:r>
    </w:p>
    <w:p w14:paraId="444F7B48" w14:textId="77777777" w:rsidR="00CA6B84" w:rsidRDefault="00CA6B84" w:rsidP="00DA757D">
      <w:pPr>
        <w:rPr>
          <w:szCs w:val="18"/>
        </w:rPr>
      </w:pPr>
    </w:p>
    <w:p w14:paraId="38394343" w14:textId="62E56FF2" w:rsidR="00F33A06" w:rsidRDefault="00987D7A" w:rsidP="00DA757D">
      <w:pPr>
        <w:rPr>
          <w:szCs w:val="18"/>
        </w:rPr>
      </w:pPr>
      <w:r w:rsidRPr="00063E70">
        <w:rPr>
          <w:szCs w:val="18"/>
        </w:rPr>
        <w:t xml:space="preserve">De Raad van Bewindvoerders komt </w:t>
      </w:r>
      <w:proofErr w:type="gramStart"/>
      <w:r w:rsidRPr="00063E70">
        <w:rPr>
          <w:szCs w:val="18"/>
        </w:rPr>
        <w:t>ten</w:t>
      </w:r>
      <w:r w:rsidR="00473F9B">
        <w:rPr>
          <w:szCs w:val="18"/>
        </w:rPr>
        <w:t xml:space="preserve"> </w:t>
      </w:r>
      <w:r w:rsidRPr="00063E70">
        <w:rPr>
          <w:szCs w:val="18"/>
        </w:rPr>
        <w:t>minste</w:t>
      </w:r>
      <w:proofErr w:type="gramEnd"/>
      <w:r w:rsidRPr="00063E70">
        <w:rPr>
          <w:szCs w:val="18"/>
        </w:rPr>
        <w:t xml:space="preserve"> twee maal per maand bijeen </w:t>
      </w:r>
      <w:r w:rsidR="00CB751A">
        <w:rPr>
          <w:szCs w:val="18"/>
        </w:rPr>
        <w:t>kan voldoende sturing uitoefenen</w:t>
      </w:r>
      <w:r w:rsidRPr="00063E70">
        <w:rPr>
          <w:szCs w:val="18"/>
        </w:rPr>
        <w:t xml:space="preserve"> op het management van de Bank. </w:t>
      </w:r>
      <w:r w:rsidR="00F33A06" w:rsidRPr="00063E70">
        <w:rPr>
          <w:szCs w:val="18"/>
        </w:rPr>
        <w:t>De lange staat van dienst van veel leden van het management draagt bij aan de continuïteit van de organisatie. De Raad is gehuisvest binnen het hoofdkantoor van de Bank, waardoor er korte lijnen bestaan tussen Raad en management.</w:t>
      </w:r>
    </w:p>
    <w:p w14:paraId="07D62D79" w14:textId="77777777" w:rsidR="00B83988" w:rsidRDefault="00B83988" w:rsidP="00DA757D">
      <w:pPr>
        <w:rPr>
          <w:szCs w:val="18"/>
        </w:rPr>
      </w:pPr>
    </w:p>
    <w:p w14:paraId="3E9B1D0D" w14:textId="20802F4B" w:rsidR="00B83988" w:rsidRDefault="00B83988" w:rsidP="00DA757D">
      <w:pPr>
        <w:rPr>
          <w:szCs w:val="18"/>
        </w:rPr>
      </w:pPr>
      <w:r>
        <w:rPr>
          <w:szCs w:val="18"/>
        </w:rPr>
        <w:t>Tijdens de jaarlijkse Raad van Gouverneurs vergadering in 2013 is besloten dat de samenstelling van de Raad van Bewindvoerders aangepast zou moeten worden</w:t>
      </w:r>
      <w:r w:rsidR="00D750F0">
        <w:rPr>
          <w:szCs w:val="18"/>
        </w:rPr>
        <w:t>.</w:t>
      </w:r>
      <w:r>
        <w:rPr>
          <w:szCs w:val="18"/>
        </w:rPr>
        <w:t xml:space="preserve"> </w:t>
      </w:r>
      <w:r w:rsidR="00D750F0">
        <w:rPr>
          <w:szCs w:val="18"/>
        </w:rPr>
        <w:t>De belangrijkste reden was</w:t>
      </w:r>
      <w:r>
        <w:rPr>
          <w:szCs w:val="18"/>
        </w:rPr>
        <w:t xml:space="preserve"> het aanzienlijk gegroeide aantal ontvangende landen </w:t>
      </w:r>
      <w:r w:rsidR="00D750F0">
        <w:rPr>
          <w:szCs w:val="18"/>
        </w:rPr>
        <w:t xml:space="preserve">meer </w:t>
      </w:r>
      <w:r>
        <w:rPr>
          <w:szCs w:val="18"/>
        </w:rPr>
        <w:t xml:space="preserve">vertegenwoordiging te geven. </w:t>
      </w:r>
      <w:r w:rsidR="00D750F0">
        <w:rPr>
          <w:szCs w:val="18"/>
        </w:rPr>
        <w:t>De Raad van Gouverneurs heeft echter in mei jl. het voorstel van de Raad van Bewindvoerders afgewezen, waarmee de EBRD niet in staat is gebleken haar bestuurs</w:t>
      </w:r>
      <w:r w:rsidR="00F92015">
        <w:rPr>
          <w:szCs w:val="18"/>
        </w:rPr>
        <w:t>organen effectief te hervormen.</w:t>
      </w:r>
    </w:p>
    <w:p w14:paraId="5FB64800" w14:textId="77777777" w:rsidR="00AF0342" w:rsidRDefault="00AF0342" w:rsidP="00DA757D">
      <w:pPr>
        <w:rPr>
          <w:szCs w:val="18"/>
        </w:rPr>
      </w:pPr>
    </w:p>
    <w:p w14:paraId="6EF4FE64" w14:textId="3CB0B2EB" w:rsidR="00CF7F10" w:rsidRDefault="00037141" w:rsidP="00CF7F10">
      <w:pPr>
        <w:rPr>
          <w:szCs w:val="18"/>
        </w:rPr>
      </w:pPr>
      <w:r>
        <w:rPr>
          <w:szCs w:val="18"/>
        </w:rPr>
        <w:t xml:space="preserve">Het trustfundmanagement valt onder de vicepresident </w:t>
      </w:r>
      <w:r w:rsidR="00CF7F10">
        <w:rPr>
          <w:szCs w:val="18"/>
        </w:rPr>
        <w:t xml:space="preserve">voor Beleid en Partnerschappen. </w:t>
      </w:r>
      <w:r w:rsidR="00CB751A">
        <w:rPr>
          <w:szCs w:val="18"/>
        </w:rPr>
        <w:t>H</w:t>
      </w:r>
      <w:r w:rsidR="00CF7F10">
        <w:rPr>
          <w:szCs w:val="18"/>
        </w:rPr>
        <w:t xml:space="preserve">et </w:t>
      </w:r>
      <w:r w:rsidR="00CF7F10" w:rsidRPr="00CB751A">
        <w:rPr>
          <w:i/>
          <w:szCs w:val="18"/>
        </w:rPr>
        <w:t>trus</w:t>
      </w:r>
      <w:r w:rsidR="00CB751A" w:rsidRPr="00CB751A">
        <w:rPr>
          <w:i/>
          <w:szCs w:val="18"/>
        </w:rPr>
        <w:t xml:space="preserve">t </w:t>
      </w:r>
      <w:r w:rsidR="00CF7F10" w:rsidRPr="00CB751A">
        <w:rPr>
          <w:i/>
          <w:szCs w:val="18"/>
        </w:rPr>
        <w:t>fund</w:t>
      </w:r>
      <w:r w:rsidR="00CB751A">
        <w:rPr>
          <w:szCs w:val="18"/>
        </w:rPr>
        <w:t xml:space="preserve"> </w:t>
      </w:r>
      <w:r w:rsidR="00CF7F10">
        <w:rPr>
          <w:szCs w:val="18"/>
        </w:rPr>
        <w:t xml:space="preserve">beheer </w:t>
      </w:r>
      <w:r w:rsidR="00CB751A">
        <w:rPr>
          <w:szCs w:val="18"/>
        </w:rPr>
        <w:t xml:space="preserve">staat </w:t>
      </w:r>
      <w:r w:rsidR="00CF7F10">
        <w:rPr>
          <w:szCs w:val="18"/>
        </w:rPr>
        <w:t>nu redelijk los</w:t>
      </w:r>
      <w:r w:rsidR="00CF7F10" w:rsidRPr="00CF7F10">
        <w:rPr>
          <w:szCs w:val="18"/>
        </w:rPr>
        <w:t xml:space="preserve"> van de reg</w:t>
      </w:r>
      <w:r w:rsidR="00CF7F10">
        <w:rPr>
          <w:szCs w:val="18"/>
        </w:rPr>
        <w:t xml:space="preserve">uliere activiteiten van de Bank, </w:t>
      </w:r>
      <w:r w:rsidR="00CB751A">
        <w:rPr>
          <w:szCs w:val="18"/>
        </w:rPr>
        <w:t xml:space="preserve">maar zal </w:t>
      </w:r>
      <w:r w:rsidR="00CF7F10">
        <w:rPr>
          <w:szCs w:val="18"/>
        </w:rPr>
        <w:t xml:space="preserve">volgens de nieuwe donorstrategie </w:t>
      </w:r>
      <w:r w:rsidR="00CF7F10" w:rsidRPr="00CF7F10">
        <w:rPr>
          <w:szCs w:val="18"/>
        </w:rPr>
        <w:t xml:space="preserve">worden gekoppeld aan </w:t>
      </w:r>
      <w:r w:rsidR="00CF7F10">
        <w:rPr>
          <w:szCs w:val="18"/>
        </w:rPr>
        <w:t>de strategie van de Bank</w:t>
      </w:r>
      <w:r w:rsidR="00CB751A">
        <w:rPr>
          <w:szCs w:val="18"/>
        </w:rPr>
        <w:t>,</w:t>
      </w:r>
      <w:r w:rsidR="00CF7F10">
        <w:rPr>
          <w:szCs w:val="18"/>
        </w:rPr>
        <w:t xml:space="preserve"> en de uitvoering </w:t>
      </w:r>
      <w:r w:rsidR="00FC6A56">
        <w:rPr>
          <w:szCs w:val="18"/>
        </w:rPr>
        <w:t xml:space="preserve">zal </w:t>
      </w:r>
      <w:r w:rsidR="00CF7F10">
        <w:rPr>
          <w:szCs w:val="18"/>
        </w:rPr>
        <w:t xml:space="preserve">worden </w:t>
      </w:r>
      <w:r w:rsidR="00CF7F10" w:rsidRPr="00CF7F10">
        <w:rPr>
          <w:szCs w:val="18"/>
        </w:rPr>
        <w:t xml:space="preserve">geïntegreerd in het </w:t>
      </w:r>
      <w:r w:rsidR="00FC6A56">
        <w:rPr>
          <w:szCs w:val="18"/>
        </w:rPr>
        <w:t xml:space="preserve">reguliere </w:t>
      </w:r>
      <w:r w:rsidR="00CF7F10" w:rsidRPr="00CF7F10">
        <w:rPr>
          <w:szCs w:val="18"/>
        </w:rPr>
        <w:t>bedrijfsproces</w:t>
      </w:r>
      <w:r w:rsidR="00CB751A">
        <w:rPr>
          <w:szCs w:val="18"/>
        </w:rPr>
        <w:t>.</w:t>
      </w:r>
    </w:p>
    <w:p w14:paraId="47D02CBA" w14:textId="77777777" w:rsidR="00037141" w:rsidRPr="00063E70" w:rsidRDefault="00037141" w:rsidP="00DA757D">
      <w:pPr>
        <w:rPr>
          <w:szCs w:val="18"/>
        </w:rPr>
      </w:pPr>
    </w:p>
    <w:p w14:paraId="1850B2B7" w14:textId="0F4BE0BF" w:rsidR="0037757A" w:rsidRPr="00063E70" w:rsidRDefault="0037757A" w:rsidP="0037757A">
      <w:pPr>
        <w:rPr>
          <w:szCs w:val="18"/>
        </w:rPr>
      </w:pPr>
      <w:r w:rsidRPr="00063E70">
        <w:rPr>
          <w:szCs w:val="18"/>
        </w:rPr>
        <w:t>De voornaamste taak van de regiokantoren is monitoring van de projecten en relatiebeheer</w:t>
      </w:r>
      <w:r w:rsidR="00864082">
        <w:rPr>
          <w:szCs w:val="18"/>
        </w:rPr>
        <w:t xml:space="preserve"> maar ook het aandragen van mogelijkheden voor nieuwe </w:t>
      </w:r>
      <w:r w:rsidR="00EF72AB">
        <w:rPr>
          <w:szCs w:val="18"/>
        </w:rPr>
        <w:t>investeringsmogelijkheden</w:t>
      </w:r>
      <w:r w:rsidRPr="00063E70">
        <w:rPr>
          <w:szCs w:val="18"/>
        </w:rPr>
        <w:t xml:space="preserve">. </w:t>
      </w:r>
      <w:r w:rsidR="00CC03B3" w:rsidRPr="00063E70">
        <w:rPr>
          <w:szCs w:val="18"/>
        </w:rPr>
        <w:t xml:space="preserve">De besluitvorming is </w:t>
      </w:r>
      <w:r w:rsidR="00E34D02" w:rsidRPr="00063E70">
        <w:rPr>
          <w:szCs w:val="18"/>
        </w:rPr>
        <w:t xml:space="preserve">echter </w:t>
      </w:r>
      <w:r w:rsidR="00CC03B3" w:rsidRPr="00063E70">
        <w:rPr>
          <w:szCs w:val="18"/>
        </w:rPr>
        <w:t xml:space="preserve">volledig gecentraliseerd </w:t>
      </w:r>
      <w:r w:rsidR="00BA1D5F">
        <w:rPr>
          <w:szCs w:val="18"/>
        </w:rPr>
        <w:t xml:space="preserve">in </w:t>
      </w:r>
      <w:r w:rsidR="00E34D02" w:rsidRPr="00063E70">
        <w:rPr>
          <w:szCs w:val="18"/>
        </w:rPr>
        <w:t>het hoofdkantoor</w:t>
      </w:r>
      <w:r w:rsidR="00CB751A">
        <w:rPr>
          <w:szCs w:val="18"/>
        </w:rPr>
        <w:t xml:space="preserve"> om het risico te beperken </w:t>
      </w:r>
      <w:r w:rsidRPr="00063E70">
        <w:rPr>
          <w:szCs w:val="18"/>
        </w:rPr>
        <w:t xml:space="preserve">dat de regiokantoren niet in lijn met </w:t>
      </w:r>
      <w:r w:rsidR="00CB751A">
        <w:rPr>
          <w:szCs w:val="18"/>
        </w:rPr>
        <w:t xml:space="preserve">de </w:t>
      </w:r>
      <w:r w:rsidRPr="00063E70">
        <w:rPr>
          <w:szCs w:val="18"/>
        </w:rPr>
        <w:t xml:space="preserve">doelstellingen van de </w:t>
      </w:r>
      <w:r w:rsidR="00CB751A">
        <w:rPr>
          <w:szCs w:val="18"/>
        </w:rPr>
        <w:t>Bank</w:t>
      </w:r>
      <w:r w:rsidR="00BA1D5F">
        <w:rPr>
          <w:szCs w:val="18"/>
        </w:rPr>
        <w:t xml:space="preserve"> opereren</w:t>
      </w:r>
      <w:r w:rsidRPr="00063E70">
        <w:rPr>
          <w:szCs w:val="18"/>
        </w:rPr>
        <w:t>. Voor elk l</w:t>
      </w:r>
      <w:r w:rsidR="00CB751A">
        <w:rPr>
          <w:szCs w:val="18"/>
        </w:rPr>
        <w:t xml:space="preserve">and wordt </w:t>
      </w:r>
      <w:r w:rsidR="002F0421">
        <w:rPr>
          <w:szCs w:val="18"/>
        </w:rPr>
        <w:t xml:space="preserve">een afzonderlijke </w:t>
      </w:r>
      <w:r w:rsidR="002F0421">
        <w:rPr>
          <w:i/>
          <w:szCs w:val="18"/>
        </w:rPr>
        <w:t>Country Strategy</w:t>
      </w:r>
      <w:r w:rsidRPr="00063E70">
        <w:rPr>
          <w:szCs w:val="18"/>
        </w:rPr>
        <w:t xml:space="preserve"> opgesteld</w:t>
      </w:r>
      <w:r w:rsidR="002F0421">
        <w:rPr>
          <w:szCs w:val="18"/>
        </w:rPr>
        <w:t>. De</w:t>
      </w:r>
      <w:r w:rsidR="00CB751A">
        <w:rPr>
          <w:szCs w:val="18"/>
        </w:rPr>
        <w:t>ze</w:t>
      </w:r>
      <w:r w:rsidR="002F0421">
        <w:rPr>
          <w:szCs w:val="18"/>
        </w:rPr>
        <w:t xml:space="preserve"> worden goedgekeurd </w:t>
      </w:r>
      <w:r w:rsidR="00323E4E">
        <w:rPr>
          <w:szCs w:val="18"/>
        </w:rPr>
        <w:t xml:space="preserve">door de Raad van Bewindvoerders en </w:t>
      </w:r>
      <w:r w:rsidRPr="00063E70">
        <w:rPr>
          <w:szCs w:val="18"/>
        </w:rPr>
        <w:t xml:space="preserve">jaarlijks </w:t>
      </w:r>
      <w:r w:rsidR="00CB751A">
        <w:rPr>
          <w:szCs w:val="18"/>
        </w:rPr>
        <w:t>geactualiseerd.</w:t>
      </w:r>
    </w:p>
    <w:p w14:paraId="6AE4D378" w14:textId="77777777" w:rsidR="00E34D02" w:rsidRPr="00063E70" w:rsidRDefault="00E34D02" w:rsidP="00DA757D">
      <w:pPr>
        <w:rPr>
          <w:szCs w:val="18"/>
        </w:rPr>
      </w:pPr>
    </w:p>
    <w:p w14:paraId="7C196B95" w14:textId="77777777" w:rsidR="00F92015" w:rsidRDefault="007845DD" w:rsidP="00A01077">
      <w:pPr>
        <w:rPr>
          <w:szCs w:val="18"/>
        </w:rPr>
      </w:pPr>
      <w:r w:rsidRPr="00063E70">
        <w:rPr>
          <w:szCs w:val="18"/>
        </w:rPr>
        <w:t xml:space="preserve">Eind 2012 is er </w:t>
      </w:r>
      <w:r w:rsidR="00CB751A">
        <w:rPr>
          <w:szCs w:val="18"/>
        </w:rPr>
        <w:t>onder de noemer van ‘</w:t>
      </w:r>
      <w:r w:rsidR="00CB751A" w:rsidRPr="00063E70">
        <w:rPr>
          <w:i/>
          <w:szCs w:val="18"/>
        </w:rPr>
        <w:t>One Bank</w:t>
      </w:r>
      <w:r w:rsidR="00CB751A">
        <w:rPr>
          <w:i/>
          <w:szCs w:val="18"/>
        </w:rPr>
        <w:t>’</w:t>
      </w:r>
      <w:r w:rsidR="00CB751A" w:rsidRPr="00063E70">
        <w:rPr>
          <w:szCs w:val="18"/>
        </w:rPr>
        <w:t xml:space="preserve"> </w:t>
      </w:r>
      <w:r w:rsidRPr="00063E70">
        <w:rPr>
          <w:szCs w:val="18"/>
        </w:rPr>
        <w:t xml:space="preserve">een </w:t>
      </w:r>
      <w:r w:rsidR="00C75B28" w:rsidRPr="00063E70">
        <w:rPr>
          <w:szCs w:val="18"/>
        </w:rPr>
        <w:t>intern veranderingsprogramma opgezet</w:t>
      </w:r>
      <w:r w:rsidR="00CB751A">
        <w:rPr>
          <w:szCs w:val="18"/>
        </w:rPr>
        <w:t xml:space="preserve">. Het programma loopt eind 2015 af </w:t>
      </w:r>
      <w:r w:rsidRPr="00063E70">
        <w:rPr>
          <w:szCs w:val="18"/>
        </w:rPr>
        <w:t>en heeft als doel de management</w:t>
      </w:r>
      <w:r w:rsidR="00C75B28" w:rsidRPr="00063E70">
        <w:rPr>
          <w:szCs w:val="18"/>
        </w:rPr>
        <w:t>cultuur</w:t>
      </w:r>
      <w:r w:rsidRPr="00063E70">
        <w:rPr>
          <w:szCs w:val="18"/>
        </w:rPr>
        <w:t xml:space="preserve"> te moderniseren, interne processen </w:t>
      </w:r>
      <w:r w:rsidR="00C75B28" w:rsidRPr="00063E70">
        <w:rPr>
          <w:szCs w:val="18"/>
        </w:rPr>
        <w:t>efficiënter</w:t>
      </w:r>
      <w:r w:rsidRPr="00063E70">
        <w:rPr>
          <w:szCs w:val="18"/>
        </w:rPr>
        <w:t xml:space="preserve"> te laten verlopen en het aanpassingsvermogen van de Bank te vergroten. </w:t>
      </w:r>
    </w:p>
    <w:p w14:paraId="3AA9601A" w14:textId="77777777" w:rsidR="00F92015" w:rsidRDefault="00F92015" w:rsidP="00A01077">
      <w:pPr>
        <w:rPr>
          <w:szCs w:val="18"/>
        </w:rPr>
      </w:pPr>
    </w:p>
    <w:p w14:paraId="3E3A3F02" w14:textId="76411AAD" w:rsidR="008B45D6" w:rsidRPr="00063E70" w:rsidRDefault="00F92015" w:rsidP="00A01077">
      <w:pPr>
        <w:rPr>
          <w:szCs w:val="18"/>
        </w:rPr>
      </w:pPr>
      <w:r>
        <w:rPr>
          <w:szCs w:val="18"/>
        </w:rPr>
        <w:t>B</w:t>
      </w:r>
      <w:r w:rsidR="00CD02E0" w:rsidRPr="00063E70">
        <w:rPr>
          <w:szCs w:val="18"/>
        </w:rPr>
        <w:t xml:space="preserve">ij de uitvoer van projecten </w:t>
      </w:r>
      <w:r>
        <w:rPr>
          <w:szCs w:val="18"/>
        </w:rPr>
        <w:t xml:space="preserve">wordt er </w:t>
      </w:r>
      <w:r w:rsidR="00CD02E0" w:rsidRPr="00063E70">
        <w:rPr>
          <w:szCs w:val="18"/>
        </w:rPr>
        <w:t xml:space="preserve">nauw samengewerkt met </w:t>
      </w:r>
      <w:r w:rsidR="00CB751A">
        <w:rPr>
          <w:szCs w:val="18"/>
        </w:rPr>
        <w:t xml:space="preserve">het </w:t>
      </w:r>
      <w:r w:rsidR="00CD02E0" w:rsidRPr="00063E70">
        <w:rPr>
          <w:szCs w:val="18"/>
        </w:rPr>
        <w:t xml:space="preserve">lokale bedrijfsleven en </w:t>
      </w:r>
      <w:r w:rsidR="00CB751A">
        <w:rPr>
          <w:szCs w:val="18"/>
        </w:rPr>
        <w:t xml:space="preserve">de </w:t>
      </w:r>
      <w:r w:rsidR="00CD02E0" w:rsidRPr="00063E70">
        <w:rPr>
          <w:szCs w:val="18"/>
        </w:rPr>
        <w:t xml:space="preserve">lokale </w:t>
      </w:r>
      <w:r w:rsidR="00C75B28" w:rsidRPr="00063E70">
        <w:rPr>
          <w:szCs w:val="18"/>
        </w:rPr>
        <w:t>financiële</w:t>
      </w:r>
      <w:r w:rsidR="00CD02E0" w:rsidRPr="00063E70">
        <w:rPr>
          <w:szCs w:val="18"/>
        </w:rPr>
        <w:t xml:space="preserve"> sector.</w:t>
      </w:r>
      <w:r w:rsidR="00956623" w:rsidRPr="00063E70">
        <w:rPr>
          <w:szCs w:val="18"/>
        </w:rPr>
        <w:t xml:space="preserve"> </w:t>
      </w:r>
    </w:p>
    <w:p w14:paraId="5B900478" w14:textId="77777777" w:rsidR="00D85A93" w:rsidRPr="00063E70" w:rsidRDefault="00D85A93" w:rsidP="00D85A93">
      <w:pPr>
        <w:ind w:left="227"/>
        <w:rPr>
          <w:szCs w:val="18"/>
        </w:rPr>
      </w:pPr>
    </w:p>
    <w:p w14:paraId="3F085A24" w14:textId="2B2D8614" w:rsidR="00326699" w:rsidRPr="00063E70" w:rsidRDefault="00326699" w:rsidP="00326699">
      <w:pPr>
        <w:rPr>
          <w:szCs w:val="18"/>
        </w:rPr>
      </w:pPr>
      <w:r w:rsidRPr="00063E70">
        <w:rPr>
          <w:szCs w:val="18"/>
        </w:rPr>
        <w:t>Beoordeling:</w:t>
      </w:r>
      <w:r w:rsidR="00C23A4B">
        <w:rPr>
          <w:szCs w:val="18"/>
        </w:rPr>
        <w:t xml:space="preserve"> Voldoende =</w:t>
      </w:r>
      <w:r w:rsidRPr="00063E70">
        <w:rPr>
          <w:szCs w:val="18"/>
        </w:rPr>
        <w:t xml:space="preserve"> </w:t>
      </w:r>
      <w:r w:rsidR="00D750F0">
        <w:rPr>
          <w:szCs w:val="18"/>
        </w:rPr>
        <w:t>3</w:t>
      </w:r>
    </w:p>
    <w:p w14:paraId="3E76FC28" w14:textId="1BB99AD1" w:rsidR="00326699" w:rsidRPr="00063E70" w:rsidRDefault="00326699" w:rsidP="00326699">
      <w:pPr>
        <w:rPr>
          <w:szCs w:val="18"/>
        </w:rPr>
      </w:pPr>
      <w:r w:rsidRPr="00063E70">
        <w:rPr>
          <w:szCs w:val="18"/>
        </w:rPr>
        <w:t>Verwachting voor positieve verandering:</w:t>
      </w:r>
      <w:r w:rsidR="00F92015">
        <w:rPr>
          <w:szCs w:val="18"/>
        </w:rPr>
        <w:t xml:space="preserve"> waar</w:t>
      </w:r>
      <w:r w:rsidR="00134AD7">
        <w:rPr>
          <w:szCs w:val="18"/>
        </w:rPr>
        <w:t>schijnlijk =</w:t>
      </w:r>
      <w:r w:rsidRPr="00063E70">
        <w:rPr>
          <w:szCs w:val="18"/>
        </w:rPr>
        <w:t xml:space="preserve"> </w:t>
      </w:r>
      <w:r w:rsidR="00F06BC6" w:rsidRPr="00193994">
        <w:sym w:font="Wingdings" w:char="F0E9"/>
      </w:r>
    </w:p>
    <w:p w14:paraId="75B465A4" w14:textId="77777777" w:rsidR="00CB7C1F" w:rsidRPr="00063E70" w:rsidRDefault="00CB7C1F" w:rsidP="00326699">
      <w:pPr>
        <w:rPr>
          <w:szCs w:val="18"/>
        </w:rPr>
      </w:pPr>
    </w:p>
    <w:p w14:paraId="24AC3FFD" w14:textId="77777777" w:rsidR="003A32D7" w:rsidRPr="00063E70" w:rsidRDefault="00E276B2" w:rsidP="003A32D7">
      <w:pPr>
        <w:pStyle w:val="Heading2"/>
        <w:tabs>
          <w:tab w:val="left" w:pos="-1162"/>
          <w:tab w:val="left" w:pos="0"/>
          <w:tab w:val="num" w:pos="1160"/>
        </w:tabs>
        <w:spacing w:line="240" w:lineRule="auto"/>
        <w:ind w:hanging="1162"/>
        <w:rPr>
          <w:b w:val="0"/>
          <w:szCs w:val="18"/>
        </w:rPr>
      </w:pPr>
      <w:bookmarkStart w:id="25" w:name="_Toc410397632"/>
      <w:r w:rsidRPr="00063E70">
        <w:rPr>
          <w:szCs w:val="18"/>
        </w:rPr>
        <w:t>3.</w:t>
      </w:r>
      <w:r w:rsidR="00A74DEC" w:rsidRPr="00063E70">
        <w:rPr>
          <w:szCs w:val="18"/>
        </w:rPr>
        <w:t>5</w:t>
      </w:r>
      <w:r w:rsidRPr="00063E70">
        <w:rPr>
          <w:szCs w:val="18"/>
        </w:rPr>
        <w:tab/>
      </w:r>
      <w:r w:rsidR="003A32D7" w:rsidRPr="00F3241F">
        <w:rPr>
          <w:szCs w:val="18"/>
        </w:rPr>
        <w:t>Beleidsevaluatie</w:t>
      </w:r>
      <w:bookmarkEnd w:id="25"/>
    </w:p>
    <w:p w14:paraId="7F1F86AD" w14:textId="5D8385E6" w:rsidR="002A6CCF" w:rsidRPr="00063E70" w:rsidRDefault="002A6CCF" w:rsidP="002A6CCF">
      <w:pPr>
        <w:rPr>
          <w:szCs w:val="18"/>
        </w:rPr>
      </w:pPr>
      <w:r w:rsidRPr="00063E70">
        <w:rPr>
          <w:szCs w:val="18"/>
        </w:rPr>
        <w:t xml:space="preserve">De Bank </w:t>
      </w:r>
      <w:r w:rsidR="00D750F0">
        <w:rPr>
          <w:szCs w:val="18"/>
        </w:rPr>
        <w:t>h</w:t>
      </w:r>
      <w:r w:rsidRPr="00063E70">
        <w:rPr>
          <w:szCs w:val="18"/>
        </w:rPr>
        <w:t>eeft een onafh</w:t>
      </w:r>
      <w:r w:rsidR="00C60FE6" w:rsidRPr="00063E70">
        <w:rPr>
          <w:szCs w:val="18"/>
        </w:rPr>
        <w:t>ankelijke evaluatie-afdeling die</w:t>
      </w:r>
      <w:r w:rsidR="008544D0">
        <w:rPr>
          <w:szCs w:val="18"/>
        </w:rPr>
        <w:t xml:space="preserve"> de</w:t>
      </w:r>
      <w:r w:rsidR="00BA1D5F">
        <w:rPr>
          <w:szCs w:val="18"/>
        </w:rPr>
        <w:t xml:space="preserve"> impact </w:t>
      </w:r>
      <w:r w:rsidRPr="00063E70">
        <w:rPr>
          <w:szCs w:val="18"/>
        </w:rPr>
        <w:t xml:space="preserve">van </w:t>
      </w:r>
      <w:r w:rsidR="00CB751A">
        <w:rPr>
          <w:szCs w:val="18"/>
        </w:rPr>
        <w:t>het werk van de B</w:t>
      </w:r>
      <w:r w:rsidRPr="00063E70">
        <w:rPr>
          <w:szCs w:val="18"/>
        </w:rPr>
        <w:t xml:space="preserve">ank </w:t>
      </w:r>
      <w:r w:rsidR="00317035">
        <w:rPr>
          <w:szCs w:val="18"/>
        </w:rPr>
        <w:t xml:space="preserve">en van individuele projecten </w:t>
      </w:r>
      <w:r w:rsidRPr="00063E70">
        <w:rPr>
          <w:szCs w:val="18"/>
        </w:rPr>
        <w:t xml:space="preserve">aan de hand van de </w:t>
      </w:r>
      <w:r w:rsidR="00317035">
        <w:rPr>
          <w:szCs w:val="18"/>
        </w:rPr>
        <w:t>beleids</w:t>
      </w:r>
      <w:r w:rsidRPr="00063E70">
        <w:rPr>
          <w:szCs w:val="18"/>
        </w:rPr>
        <w:t xml:space="preserve">doelstellingen evalueert. </w:t>
      </w:r>
    </w:p>
    <w:p w14:paraId="777E9CC5" w14:textId="77777777" w:rsidR="004072E3" w:rsidRPr="00063E70" w:rsidRDefault="004072E3" w:rsidP="004072E3">
      <w:pPr>
        <w:rPr>
          <w:szCs w:val="18"/>
        </w:rPr>
      </w:pPr>
    </w:p>
    <w:p w14:paraId="4F51306B" w14:textId="4778D412" w:rsidR="004072E3" w:rsidRPr="00063E70" w:rsidRDefault="00C60FE6" w:rsidP="004072E3">
      <w:pPr>
        <w:rPr>
          <w:szCs w:val="18"/>
        </w:rPr>
      </w:pPr>
      <w:r w:rsidRPr="00063E70">
        <w:rPr>
          <w:szCs w:val="18"/>
        </w:rPr>
        <w:t>E</w:t>
      </w:r>
      <w:r w:rsidR="002A6CCF" w:rsidRPr="00063E70">
        <w:rPr>
          <w:szCs w:val="18"/>
        </w:rPr>
        <w:t>ind 2014 heeft d</w:t>
      </w:r>
      <w:r w:rsidR="00ED2E79" w:rsidRPr="00063E70">
        <w:rPr>
          <w:szCs w:val="18"/>
        </w:rPr>
        <w:t xml:space="preserve">e Bank een </w:t>
      </w:r>
      <w:r w:rsidRPr="00063E70">
        <w:rPr>
          <w:szCs w:val="18"/>
        </w:rPr>
        <w:t xml:space="preserve">nieuw </w:t>
      </w:r>
      <w:r w:rsidR="00ED2E79" w:rsidRPr="00063E70">
        <w:rPr>
          <w:szCs w:val="18"/>
        </w:rPr>
        <w:t>evaluatiebeleid</w:t>
      </w:r>
      <w:r w:rsidRPr="00063E70">
        <w:rPr>
          <w:szCs w:val="18"/>
        </w:rPr>
        <w:t xml:space="preserve"> opgesteld</w:t>
      </w:r>
      <w:r w:rsidR="00ED2E79" w:rsidRPr="00063E70">
        <w:rPr>
          <w:szCs w:val="18"/>
        </w:rPr>
        <w:t>.</w:t>
      </w:r>
      <w:r w:rsidR="00E81EF2">
        <w:rPr>
          <w:szCs w:val="18"/>
        </w:rPr>
        <w:t xml:space="preserve"> Uitgangspunt van dit beleid is een onafhankelijke en onderbouwde beoordeling van de resultaten aan de hand van de gestelde doelen. De evaluatieafdeling heeft hierin de eerste verantwoordelijkheid. De</w:t>
      </w:r>
      <w:r w:rsidR="00F8761F">
        <w:rPr>
          <w:szCs w:val="18"/>
        </w:rPr>
        <w:t xml:space="preserve"> Raad van Bewindvoerders bepaalt</w:t>
      </w:r>
      <w:r w:rsidR="00E81EF2">
        <w:rPr>
          <w:szCs w:val="18"/>
        </w:rPr>
        <w:t xml:space="preserve"> het beleid en overziet de </w:t>
      </w:r>
      <w:proofErr w:type="gramStart"/>
      <w:r w:rsidR="00E81EF2">
        <w:rPr>
          <w:szCs w:val="18"/>
        </w:rPr>
        <w:t>implementatie</w:t>
      </w:r>
      <w:proofErr w:type="gramEnd"/>
      <w:r w:rsidR="00E81EF2">
        <w:rPr>
          <w:szCs w:val="18"/>
        </w:rPr>
        <w:t>. Management is betrokken bij het gehele proces en draagt tevens zorg voor een effectief systeem van zelfevaluatie.</w:t>
      </w:r>
      <w:r w:rsidR="00ED2E79" w:rsidRPr="00063E70">
        <w:rPr>
          <w:szCs w:val="18"/>
        </w:rPr>
        <w:t xml:space="preserve"> </w:t>
      </w:r>
    </w:p>
    <w:p w14:paraId="78BB66A3" w14:textId="77777777" w:rsidR="004072E3" w:rsidRPr="00063E70" w:rsidRDefault="004072E3" w:rsidP="004072E3">
      <w:pPr>
        <w:pStyle w:val="ListParagraph"/>
        <w:rPr>
          <w:szCs w:val="18"/>
        </w:rPr>
      </w:pPr>
    </w:p>
    <w:p w14:paraId="485D7F63" w14:textId="4FB0FF16" w:rsidR="00462778" w:rsidRPr="00063E70" w:rsidRDefault="00BA1D5F" w:rsidP="004072E3">
      <w:pPr>
        <w:rPr>
          <w:szCs w:val="18"/>
        </w:rPr>
      </w:pPr>
      <w:r>
        <w:rPr>
          <w:szCs w:val="18"/>
        </w:rPr>
        <w:t>Eva</w:t>
      </w:r>
      <w:r w:rsidR="00E24905">
        <w:rPr>
          <w:szCs w:val="18"/>
        </w:rPr>
        <w:t>luatie</w:t>
      </w:r>
      <w:r w:rsidR="00317035">
        <w:rPr>
          <w:szCs w:val="18"/>
        </w:rPr>
        <w:t xml:space="preserve">rapporten worden aan de </w:t>
      </w:r>
      <w:r w:rsidR="00E24905">
        <w:rPr>
          <w:szCs w:val="18"/>
        </w:rPr>
        <w:t>Raad</w:t>
      </w:r>
      <w:r>
        <w:rPr>
          <w:szCs w:val="18"/>
        </w:rPr>
        <w:t xml:space="preserve"> g</w:t>
      </w:r>
      <w:r w:rsidR="0064290A">
        <w:rPr>
          <w:szCs w:val="18"/>
        </w:rPr>
        <w:t xml:space="preserve">epresenteerd in het </w:t>
      </w:r>
      <w:r w:rsidR="0064290A" w:rsidRPr="0064290A">
        <w:rPr>
          <w:i/>
          <w:szCs w:val="18"/>
        </w:rPr>
        <w:t>Audit Comittee</w:t>
      </w:r>
      <w:r w:rsidR="00E24905">
        <w:rPr>
          <w:szCs w:val="18"/>
        </w:rPr>
        <w:t>. Het m</w:t>
      </w:r>
      <w:r w:rsidR="009A6608" w:rsidRPr="00063E70">
        <w:rPr>
          <w:szCs w:val="18"/>
        </w:rPr>
        <w:t>an</w:t>
      </w:r>
      <w:r w:rsidR="00317035">
        <w:rPr>
          <w:szCs w:val="18"/>
        </w:rPr>
        <w:t>agement geeft commentaar op elk</w:t>
      </w:r>
      <w:r w:rsidR="00E24905">
        <w:rPr>
          <w:szCs w:val="18"/>
        </w:rPr>
        <w:t xml:space="preserve"> evaluatierapport en</w:t>
      </w:r>
      <w:r>
        <w:rPr>
          <w:szCs w:val="18"/>
        </w:rPr>
        <w:t xml:space="preserve"> </w:t>
      </w:r>
      <w:r w:rsidR="009A6608" w:rsidRPr="00063E70">
        <w:rPr>
          <w:szCs w:val="18"/>
        </w:rPr>
        <w:t xml:space="preserve">houdt de </w:t>
      </w:r>
      <w:r w:rsidR="00E24905">
        <w:t>evaluatie</w:t>
      </w:r>
      <w:r w:rsidR="4FB0FF16">
        <w:t>-</w:t>
      </w:r>
      <w:r w:rsidR="00C60FE6" w:rsidRPr="00063E70">
        <w:rPr>
          <w:szCs w:val="18"/>
        </w:rPr>
        <w:t>afdeling</w:t>
      </w:r>
      <w:r w:rsidR="009A6608" w:rsidRPr="00063E70">
        <w:rPr>
          <w:szCs w:val="18"/>
        </w:rPr>
        <w:t xml:space="preserve"> </w:t>
      </w:r>
      <w:r w:rsidR="00864082">
        <w:rPr>
          <w:szCs w:val="18"/>
        </w:rPr>
        <w:t xml:space="preserve">en de </w:t>
      </w:r>
      <w:r w:rsidR="00E24905">
        <w:rPr>
          <w:szCs w:val="18"/>
        </w:rPr>
        <w:t>Raad</w:t>
      </w:r>
      <w:r w:rsidR="00864082">
        <w:rPr>
          <w:szCs w:val="18"/>
        </w:rPr>
        <w:t xml:space="preserve"> </w:t>
      </w:r>
      <w:r w:rsidR="009A6608" w:rsidRPr="00063E70">
        <w:rPr>
          <w:szCs w:val="18"/>
        </w:rPr>
        <w:t>op de hoogte van de maatregelen die na aanleiding van het rapport worden genomen.</w:t>
      </w:r>
      <w:r w:rsidR="002E39DD" w:rsidRPr="00063E70">
        <w:rPr>
          <w:szCs w:val="18"/>
        </w:rPr>
        <w:t xml:space="preserve"> </w:t>
      </w:r>
    </w:p>
    <w:p w14:paraId="4E4E1C2E" w14:textId="4EEEE297" w:rsidR="008577CA" w:rsidRDefault="00F8761F" w:rsidP="003A32D7">
      <w:pPr>
        <w:rPr>
          <w:szCs w:val="18"/>
        </w:rPr>
      </w:pPr>
      <w:r w:rsidRPr="00F8761F">
        <w:rPr>
          <w:szCs w:val="18"/>
        </w:rPr>
        <w:t xml:space="preserve">De afgelopen twee jaar is er onder andere een evaluatie verschenen over het EBRD </w:t>
      </w:r>
      <w:r w:rsidRPr="00134AD7">
        <w:rPr>
          <w:i/>
          <w:szCs w:val="18"/>
        </w:rPr>
        <w:t>Shareholder Special Fund</w:t>
      </w:r>
      <w:r w:rsidRPr="00F8761F">
        <w:rPr>
          <w:szCs w:val="18"/>
        </w:rPr>
        <w:t xml:space="preserve"> (november 2014) en een evaluatie naar de EBRD beleidsdialoog in Oekraïne (april 2014).</w:t>
      </w:r>
    </w:p>
    <w:p w14:paraId="78A0E144" w14:textId="77777777" w:rsidR="00F8761F" w:rsidRPr="00063E70" w:rsidRDefault="00F8761F" w:rsidP="003A32D7">
      <w:pPr>
        <w:rPr>
          <w:szCs w:val="18"/>
        </w:rPr>
      </w:pPr>
    </w:p>
    <w:p w14:paraId="259BEC0D" w14:textId="18DDEEF4" w:rsidR="003A32D7" w:rsidRDefault="003A32D7" w:rsidP="003A32D7">
      <w:pPr>
        <w:rPr>
          <w:szCs w:val="18"/>
        </w:rPr>
      </w:pPr>
      <w:r w:rsidRPr="00063E70">
        <w:rPr>
          <w:szCs w:val="18"/>
        </w:rPr>
        <w:t>Beoordeling:</w:t>
      </w:r>
      <w:r w:rsidR="00A462E4">
        <w:rPr>
          <w:szCs w:val="18"/>
        </w:rPr>
        <w:t xml:space="preserve"> </w:t>
      </w:r>
      <w:r w:rsidR="00C23A4B">
        <w:rPr>
          <w:szCs w:val="18"/>
        </w:rPr>
        <w:t xml:space="preserve">Goed = </w:t>
      </w:r>
      <w:r w:rsidR="00A462E4">
        <w:rPr>
          <w:szCs w:val="18"/>
        </w:rPr>
        <w:t>4</w:t>
      </w:r>
      <w:r w:rsidR="00A462E4" w:rsidRPr="00063E70">
        <w:rPr>
          <w:szCs w:val="18"/>
        </w:rPr>
        <w:t xml:space="preserve"> </w:t>
      </w:r>
    </w:p>
    <w:p w14:paraId="47C2D7CF" w14:textId="77777777" w:rsidR="00C23A4B" w:rsidRPr="00063E70" w:rsidRDefault="00C23A4B" w:rsidP="003A32D7">
      <w:pPr>
        <w:rPr>
          <w:szCs w:val="18"/>
        </w:rPr>
      </w:pPr>
    </w:p>
    <w:p w14:paraId="571D1465" w14:textId="6A629AA2" w:rsidR="00E548CD" w:rsidRPr="00063E70" w:rsidRDefault="004D372F" w:rsidP="00C0242B">
      <w:pPr>
        <w:pStyle w:val="Heading2"/>
        <w:tabs>
          <w:tab w:val="left" w:pos="-1162"/>
          <w:tab w:val="left" w:pos="0"/>
          <w:tab w:val="num" w:pos="1160"/>
        </w:tabs>
        <w:spacing w:line="240" w:lineRule="auto"/>
        <w:ind w:hanging="1162"/>
        <w:rPr>
          <w:szCs w:val="18"/>
        </w:rPr>
      </w:pPr>
      <w:bookmarkStart w:id="26" w:name="_Toc348364671"/>
      <w:bookmarkStart w:id="27" w:name="_Toc410397633"/>
      <w:r w:rsidRPr="00063E70">
        <w:rPr>
          <w:szCs w:val="18"/>
        </w:rPr>
        <w:t>3.</w:t>
      </w:r>
      <w:r w:rsidR="00A74DEC" w:rsidRPr="00063E70">
        <w:rPr>
          <w:szCs w:val="18"/>
        </w:rPr>
        <w:t>6</w:t>
      </w:r>
      <w:r w:rsidRPr="00063E70">
        <w:rPr>
          <w:szCs w:val="18"/>
        </w:rPr>
        <w:tab/>
      </w:r>
      <w:bookmarkEnd w:id="26"/>
      <w:bookmarkEnd w:id="27"/>
      <w:r w:rsidR="00C23A4B">
        <w:rPr>
          <w:szCs w:val="18"/>
        </w:rPr>
        <w:t>Personeelsbeleid</w:t>
      </w:r>
    </w:p>
    <w:p w14:paraId="11A43C6A" w14:textId="57722EEE" w:rsidR="00A462E4" w:rsidRDefault="00E548CD" w:rsidP="00A462E4">
      <w:pPr>
        <w:pStyle w:val="PlainText"/>
        <w:rPr>
          <w:rFonts w:ascii="Verdana" w:hAnsi="Verdana"/>
          <w:sz w:val="18"/>
          <w:szCs w:val="18"/>
        </w:rPr>
      </w:pPr>
      <w:r w:rsidRPr="00063E70">
        <w:rPr>
          <w:rFonts w:ascii="Verdana" w:hAnsi="Verdana"/>
          <w:sz w:val="18"/>
          <w:szCs w:val="18"/>
        </w:rPr>
        <w:t xml:space="preserve">Het personeelsbeleid </w:t>
      </w:r>
      <w:r w:rsidR="00A462E4">
        <w:rPr>
          <w:rFonts w:ascii="Verdana" w:hAnsi="Verdana"/>
          <w:sz w:val="18"/>
          <w:szCs w:val="18"/>
        </w:rPr>
        <w:t xml:space="preserve">van de Bank </w:t>
      </w:r>
      <w:r w:rsidRPr="00063E70">
        <w:rPr>
          <w:rFonts w:ascii="Verdana" w:hAnsi="Verdana"/>
          <w:sz w:val="18"/>
          <w:szCs w:val="18"/>
        </w:rPr>
        <w:t>is redelijk efficiënt en effectief en</w:t>
      </w:r>
      <w:r w:rsidR="00063E70">
        <w:rPr>
          <w:rFonts w:ascii="Verdana" w:hAnsi="Verdana"/>
          <w:sz w:val="18"/>
          <w:szCs w:val="18"/>
        </w:rPr>
        <w:t xml:space="preserve"> spe</w:t>
      </w:r>
      <w:r w:rsidRPr="00063E70">
        <w:rPr>
          <w:rFonts w:ascii="Verdana" w:hAnsi="Verdana"/>
          <w:sz w:val="18"/>
          <w:szCs w:val="18"/>
        </w:rPr>
        <w:t xml:space="preserve">elt snel in op nieuwe eisen en ontwikkelingen. </w:t>
      </w:r>
      <w:r w:rsidR="00C040E1">
        <w:rPr>
          <w:rFonts w:ascii="Verdana" w:hAnsi="Verdana"/>
          <w:sz w:val="18"/>
          <w:szCs w:val="18"/>
        </w:rPr>
        <w:t>Door de locatie van het</w:t>
      </w:r>
      <w:r w:rsidR="00415E25" w:rsidRPr="00063E70">
        <w:rPr>
          <w:rFonts w:ascii="Verdana" w:hAnsi="Verdana"/>
          <w:sz w:val="18"/>
          <w:szCs w:val="18"/>
        </w:rPr>
        <w:t xml:space="preserve"> hoofdkantoor in het financiële centrum van Europa is er een groot aanbod van goed gekwalificeerd personeel</w:t>
      </w:r>
      <w:r w:rsidR="00A462E4">
        <w:rPr>
          <w:rFonts w:ascii="Verdana" w:hAnsi="Verdana"/>
          <w:sz w:val="18"/>
          <w:szCs w:val="18"/>
        </w:rPr>
        <w:t>.</w:t>
      </w:r>
      <w:r w:rsidR="00415E25">
        <w:rPr>
          <w:rFonts w:ascii="Verdana" w:hAnsi="Verdana"/>
          <w:sz w:val="18"/>
          <w:szCs w:val="18"/>
        </w:rPr>
        <w:t xml:space="preserve"> </w:t>
      </w:r>
      <w:r w:rsidR="00C040E1">
        <w:rPr>
          <w:rFonts w:ascii="Verdana" w:hAnsi="Verdana"/>
          <w:sz w:val="18"/>
          <w:szCs w:val="18"/>
        </w:rPr>
        <w:t xml:space="preserve">Het personeel is over het algemeen </w:t>
      </w:r>
      <w:r w:rsidR="00BD059D">
        <w:rPr>
          <w:rFonts w:ascii="Verdana" w:hAnsi="Verdana"/>
          <w:sz w:val="18"/>
          <w:szCs w:val="18"/>
        </w:rPr>
        <w:t>dan ook</w:t>
      </w:r>
      <w:r w:rsidR="00C040E1">
        <w:rPr>
          <w:rFonts w:ascii="Verdana" w:hAnsi="Verdana"/>
          <w:sz w:val="18"/>
          <w:szCs w:val="18"/>
        </w:rPr>
        <w:t xml:space="preserve"> goed gekwalificeerd</w:t>
      </w:r>
      <w:r w:rsidR="00A462E4">
        <w:rPr>
          <w:rFonts w:ascii="Verdana" w:hAnsi="Verdana"/>
          <w:sz w:val="18"/>
          <w:szCs w:val="18"/>
        </w:rPr>
        <w:t xml:space="preserve"> en</w:t>
      </w:r>
      <w:r w:rsidR="00415E25">
        <w:rPr>
          <w:rFonts w:ascii="Verdana" w:hAnsi="Verdana"/>
          <w:sz w:val="18"/>
          <w:szCs w:val="18"/>
        </w:rPr>
        <w:t xml:space="preserve"> de EBRD </w:t>
      </w:r>
      <w:r w:rsidR="00A462E4">
        <w:rPr>
          <w:rFonts w:ascii="Verdana" w:hAnsi="Verdana"/>
          <w:sz w:val="18"/>
          <w:szCs w:val="18"/>
        </w:rPr>
        <w:t xml:space="preserve">wordt </w:t>
      </w:r>
      <w:r w:rsidR="00415E25">
        <w:rPr>
          <w:rFonts w:ascii="Verdana" w:hAnsi="Verdana"/>
          <w:sz w:val="18"/>
          <w:szCs w:val="18"/>
        </w:rPr>
        <w:t xml:space="preserve">gekenmerkt door een hoge mate van </w:t>
      </w:r>
      <w:r w:rsidR="00A34D64">
        <w:rPr>
          <w:rFonts w:ascii="Verdana" w:hAnsi="Verdana"/>
          <w:sz w:val="18"/>
          <w:szCs w:val="18"/>
        </w:rPr>
        <w:t>professionaliteit</w:t>
      </w:r>
      <w:r w:rsidR="00A462E4">
        <w:rPr>
          <w:rFonts w:ascii="Verdana" w:hAnsi="Verdana"/>
          <w:sz w:val="18"/>
          <w:szCs w:val="18"/>
        </w:rPr>
        <w:t>.</w:t>
      </w:r>
      <w:r w:rsidR="00415E25" w:rsidRPr="00063E70">
        <w:rPr>
          <w:rFonts w:ascii="Verdana" w:hAnsi="Verdana"/>
          <w:sz w:val="18"/>
          <w:szCs w:val="18"/>
        </w:rPr>
        <w:t xml:space="preserve"> </w:t>
      </w:r>
      <w:r w:rsidR="004B7004">
        <w:rPr>
          <w:rFonts w:ascii="Verdana" w:hAnsi="Verdana"/>
          <w:sz w:val="18"/>
          <w:szCs w:val="18"/>
        </w:rPr>
        <w:t xml:space="preserve">Wel is het </w:t>
      </w:r>
      <w:r w:rsidR="004B7004" w:rsidRPr="004B7004">
        <w:rPr>
          <w:rFonts w:ascii="Verdana" w:hAnsi="Verdana"/>
          <w:sz w:val="18"/>
          <w:szCs w:val="18"/>
        </w:rPr>
        <w:t>beleid naar de mening van Nederland niet transparant genoeg</w:t>
      </w:r>
      <w:r w:rsidR="00A34D64">
        <w:rPr>
          <w:rFonts w:ascii="Verdana" w:hAnsi="Verdana"/>
          <w:sz w:val="18"/>
          <w:szCs w:val="18"/>
        </w:rPr>
        <w:t>,</w:t>
      </w:r>
      <w:r w:rsidR="001319A0">
        <w:rPr>
          <w:rFonts w:ascii="Verdana" w:hAnsi="Verdana"/>
          <w:sz w:val="18"/>
          <w:szCs w:val="18"/>
        </w:rPr>
        <w:t xml:space="preserve"> </w:t>
      </w:r>
      <w:r w:rsidR="004B7004" w:rsidRPr="004B7004">
        <w:rPr>
          <w:rFonts w:ascii="Verdana" w:hAnsi="Verdana"/>
          <w:sz w:val="18"/>
          <w:szCs w:val="18"/>
        </w:rPr>
        <w:t xml:space="preserve">is er </w:t>
      </w:r>
      <w:r w:rsidR="00A34D64">
        <w:rPr>
          <w:rFonts w:ascii="Verdana" w:hAnsi="Verdana"/>
          <w:sz w:val="18"/>
          <w:szCs w:val="18"/>
        </w:rPr>
        <w:t xml:space="preserve">te </w:t>
      </w:r>
      <w:r w:rsidR="004B7004" w:rsidRPr="004B7004">
        <w:rPr>
          <w:rFonts w:ascii="Verdana" w:hAnsi="Verdana"/>
          <w:sz w:val="18"/>
          <w:szCs w:val="18"/>
        </w:rPr>
        <w:t xml:space="preserve">weinig doorstroom en </w:t>
      </w:r>
      <w:r w:rsidR="00A462E4" w:rsidRPr="004B7004">
        <w:rPr>
          <w:rFonts w:ascii="Verdana" w:hAnsi="Verdana"/>
          <w:sz w:val="18"/>
          <w:szCs w:val="18"/>
        </w:rPr>
        <w:t xml:space="preserve">mensen </w:t>
      </w:r>
      <w:r w:rsidR="004B7004" w:rsidRPr="004B7004">
        <w:rPr>
          <w:rFonts w:ascii="Verdana" w:hAnsi="Verdana"/>
          <w:sz w:val="18"/>
          <w:szCs w:val="18"/>
        </w:rPr>
        <w:t>blijven erg lang op een plek zitten.</w:t>
      </w:r>
      <w:r w:rsidR="004B7004">
        <w:rPr>
          <w:rFonts w:ascii="Verdana" w:hAnsi="Verdana"/>
          <w:sz w:val="18"/>
          <w:szCs w:val="18"/>
        </w:rPr>
        <w:t xml:space="preserve"> </w:t>
      </w:r>
    </w:p>
    <w:p w14:paraId="64AE5A30" w14:textId="77777777" w:rsidR="00A462E4" w:rsidRDefault="00A462E4" w:rsidP="00A462E4">
      <w:pPr>
        <w:pStyle w:val="PlainText"/>
        <w:rPr>
          <w:rFonts w:ascii="Verdana" w:hAnsi="Verdana"/>
          <w:sz w:val="18"/>
          <w:szCs w:val="18"/>
        </w:rPr>
      </w:pPr>
    </w:p>
    <w:p w14:paraId="0FC6DFAC" w14:textId="7106E37A" w:rsidR="001319A0" w:rsidRPr="00A462E4" w:rsidRDefault="00415E25" w:rsidP="00A462E4">
      <w:pPr>
        <w:pStyle w:val="PlainText"/>
        <w:rPr>
          <w:rFonts w:ascii="Verdana" w:hAnsi="Verdana"/>
          <w:sz w:val="18"/>
          <w:szCs w:val="18"/>
        </w:rPr>
      </w:pPr>
      <w:r>
        <w:rPr>
          <w:rFonts w:ascii="Verdana" w:hAnsi="Verdana"/>
          <w:sz w:val="18"/>
          <w:szCs w:val="18"/>
        </w:rPr>
        <w:t xml:space="preserve">Ook is Nederland </w:t>
      </w:r>
      <w:r w:rsidR="00C80F63">
        <w:rPr>
          <w:rFonts w:ascii="Verdana" w:hAnsi="Verdana"/>
          <w:sz w:val="18"/>
          <w:szCs w:val="18"/>
        </w:rPr>
        <w:t>over het alge</w:t>
      </w:r>
      <w:r>
        <w:rPr>
          <w:rFonts w:ascii="Verdana" w:hAnsi="Verdana"/>
          <w:sz w:val="18"/>
          <w:szCs w:val="18"/>
        </w:rPr>
        <w:t xml:space="preserve">meen </w:t>
      </w:r>
      <w:r w:rsidR="00A34D64">
        <w:rPr>
          <w:rFonts w:ascii="Verdana" w:hAnsi="Verdana"/>
          <w:sz w:val="18"/>
          <w:szCs w:val="18"/>
        </w:rPr>
        <w:t xml:space="preserve">vrij </w:t>
      </w:r>
      <w:r>
        <w:rPr>
          <w:rFonts w:ascii="Verdana" w:hAnsi="Verdana"/>
          <w:sz w:val="18"/>
          <w:szCs w:val="18"/>
        </w:rPr>
        <w:t>kritisch op het belonings</w:t>
      </w:r>
      <w:r w:rsidR="00C80F63">
        <w:rPr>
          <w:rFonts w:ascii="Verdana" w:hAnsi="Verdana"/>
          <w:sz w:val="18"/>
          <w:szCs w:val="18"/>
        </w:rPr>
        <w:t xml:space="preserve">beleid van de EBRD. </w:t>
      </w:r>
      <w:r w:rsidR="004806D3">
        <w:rPr>
          <w:rFonts w:ascii="Verdana" w:hAnsi="Verdana"/>
          <w:sz w:val="18"/>
          <w:szCs w:val="18"/>
        </w:rPr>
        <w:t xml:space="preserve">Een jaarlijks terugkerende </w:t>
      </w:r>
      <w:r w:rsidR="00C80F63">
        <w:rPr>
          <w:rFonts w:ascii="Verdana" w:hAnsi="Verdana"/>
          <w:sz w:val="18"/>
          <w:szCs w:val="18"/>
        </w:rPr>
        <w:t>discussie is de aanpassing/verhoging</w:t>
      </w:r>
      <w:r w:rsidR="004806D3">
        <w:rPr>
          <w:rFonts w:ascii="Verdana" w:hAnsi="Verdana"/>
          <w:sz w:val="18"/>
          <w:szCs w:val="18"/>
        </w:rPr>
        <w:t xml:space="preserve"> van de salarissen van medewerkers en management. Voor de medewerkers wordt elk jaar een analyse gemaakt van de salarisontwikkelingen van de financiële indu</w:t>
      </w:r>
      <w:r w:rsidR="00C80F63">
        <w:rPr>
          <w:rFonts w:ascii="Verdana" w:hAnsi="Verdana"/>
          <w:sz w:val="18"/>
          <w:szCs w:val="18"/>
        </w:rPr>
        <w:t xml:space="preserve">strie en de andere IFI’s (de EBRD </w:t>
      </w:r>
      <w:r w:rsidR="00A34D64">
        <w:rPr>
          <w:rFonts w:ascii="Verdana" w:hAnsi="Verdana"/>
          <w:sz w:val="18"/>
          <w:szCs w:val="18"/>
        </w:rPr>
        <w:t xml:space="preserve">wil </w:t>
      </w:r>
      <w:r w:rsidR="00C80F63">
        <w:rPr>
          <w:rFonts w:ascii="Verdana" w:hAnsi="Verdana"/>
          <w:sz w:val="18"/>
          <w:szCs w:val="18"/>
        </w:rPr>
        <w:t xml:space="preserve">competitief </w:t>
      </w:r>
      <w:r w:rsidR="00A462E4">
        <w:rPr>
          <w:rFonts w:ascii="Verdana" w:hAnsi="Verdana"/>
          <w:sz w:val="18"/>
          <w:szCs w:val="18"/>
        </w:rPr>
        <w:t xml:space="preserve">kunnen </w:t>
      </w:r>
      <w:r w:rsidR="00C80F63">
        <w:rPr>
          <w:rFonts w:ascii="Verdana" w:hAnsi="Verdana"/>
          <w:sz w:val="18"/>
          <w:szCs w:val="18"/>
        </w:rPr>
        <w:t xml:space="preserve">zijn), waarna een voorstel tot marktcorrectie volgt. Nederland ziet IFI’s als semipublieke instellingen en vindt daarmee dat salarissen tevens met de publieke sector vergeleken zouden moeten worden. </w:t>
      </w:r>
      <w:r w:rsidR="00647397">
        <w:rPr>
          <w:rFonts w:ascii="Verdana" w:hAnsi="Verdana"/>
          <w:sz w:val="18"/>
          <w:szCs w:val="18"/>
        </w:rPr>
        <w:t>Bovenop het salaris</w:t>
      </w:r>
      <w:r w:rsidR="00C80F63">
        <w:rPr>
          <w:rFonts w:ascii="Verdana" w:hAnsi="Verdana"/>
          <w:sz w:val="18"/>
          <w:szCs w:val="18"/>
        </w:rPr>
        <w:t xml:space="preserve"> keert de EBRD bonussen uit aan ha</w:t>
      </w:r>
      <w:r w:rsidR="00647397">
        <w:rPr>
          <w:rFonts w:ascii="Verdana" w:hAnsi="Verdana"/>
          <w:sz w:val="18"/>
          <w:szCs w:val="18"/>
        </w:rPr>
        <w:t>ar medewerkers.</w:t>
      </w:r>
      <w:r w:rsidR="00C80F63">
        <w:rPr>
          <w:rFonts w:ascii="Verdana" w:hAnsi="Verdana"/>
          <w:sz w:val="18"/>
          <w:szCs w:val="18"/>
        </w:rPr>
        <w:t xml:space="preserve"> </w:t>
      </w:r>
      <w:r w:rsidR="00647397">
        <w:rPr>
          <w:rFonts w:ascii="Verdana" w:hAnsi="Verdana"/>
          <w:sz w:val="18"/>
          <w:szCs w:val="18"/>
        </w:rPr>
        <w:t>D</w:t>
      </w:r>
      <w:r w:rsidR="00C80F63">
        <w:rPr>
          <w:rFonts w:ascii="Verdana" w:hAnsi="Verdana"/>
          <w:sz w:val="18"/>
          <w:szCs w:val="18"/>
        </w:rPr>
        <w:t xml:space="preserve">e bonuspool wordt bepaald door de prestaties van de Bank in het afgelopen jaar. Nederland is over het algemeen kritisch op de hoogte van deze bonuspool. </w:t>
      </w:r>
      <w:r>
        <w:rPr>
          <w:rFonts w:ascii="Verdana" w:hAnsi="Verdana"/>
          <w:sz w:val="18"/>
          <w:szCs w:val="18"/>
        </w:rPr>
        <w:t xml:space="preserve">EBRD hoger management heeft in principe contractueel recht op inflatiecorrectie, iets wat tevens niet </w:t>
      </w:r>
      <w:r w:rsidR="00BD059D">
        <w:rPr>
          <w:rFonts w:ascii="Verdana" w:hAnsi="Verdana"/>
          <w:sz w:val="18"/>
          <w:szCs w:val="18"/>
        </w:rPr>
        <w:t xml:space="preserve">strookt </w:t>
      </w:r>
      <w:r>
        <w:rPr>
          <w:rFonts w:ascii="Verdana" w:hAnsi="Verdana"/>
          <w:sz w:val="18"/>
          <w:szCs w:val="18"/>
        </w:rPr>
        <w:t>met het se</w:t>
      </w:r>
      <w:r w:rsidR="00A34D64">
        <w:rPr>
          <w:rFonts w:ascii="Verdana" w:hAnsi="Verdana"/>
          <w:sz w:val="18"/>
          <w:szCs w:val="18"/>
        </w:rPr>
        <w:t>mipublieke karakter van een IFI.</w:t>
      </w:r>
    </w:p>
    <w:p w14:paraId="5B7F831A" w14:textId="77777777" w:rsidR="00A462E4" w:rsidRDefault="00A462E4" w:rsidP="00A462E4">
      <w:pPr>
        <w:contextualSpacing/>
        <w:rPr>
          <w:szCs w:val="18"/>
        </w:rPr>
      </w:pPr>
    </w:p>
    <w:p w14:paraId="45D5706F" w14:textId="776FEBE5" w:rsidR="00415E25" w:rsidRDefault="00415E25" w:rsidP="00326699">
      <w:pPr>
        <w:contextualSpacing/>
        <w:rPr>
          <w:szCs w:val="18"/>
        </w:rPr>
      </w:pPr>
      <w:r w:rsidRPr="00415E25">
        <w:rPr>
          <w:szCs w:val="18"/>
        </w:rPr>
        <w:t>Sinds 2013 heeft de Bank een</w:t>
      </w:r>
      <w:r w:rsidRPr="00323E4E">
        <w:t xml:space="preserve"> </w:t>
      </w:r>
      <w:r w:rsidRPr="00415E25">
        <w:rPr>
          <w:szCs w:val="18"/>
        </w:rPr>
        <w:t>nieuwe</w:t>
      </w:r>
      <w:r w:rsidR="00A462E4">
        <w:rPr>
          <w:szCs w:val="18"/>
        </w:rPr>
        <w:t>,</w:t>
      </w:r>
      <w:r w:rsidRPr="00415E25">
        <w:rPr>
          <w:szCs w:val="18"/>
        </w:rPr>
        <w:t xml:space="preserve"> hervormingsgezinde </w:t>
      </w:r>
      <w:r w:rsidRPr="00415E25">
        <w:rPr>
          <w:i/>
          <w:szCs w:val="18"/>
        </w:rPr>
        <w:t>Managing Director HR</w:t>
      </w:r>
      <w:r w:rsidRPr="00415E25">
        <w:rPr>
          <w:szCs w:val="18"/>
        </w:rPr>
        <w:t>, en zij</w:t>
      </w:r>
      <w:r w:rsidR="00A462E4">
        <w:rPr>
          <w:szCs w:val="18"/>
        </w:rPr>
        <w:t xml:space="preserve"> heeft</w:t>
      </w:r>
      <w:r w:rsidRPr="00415E25">
        <w:rPr>
          <w:szCs w:val="18"/>
        </w:rPr>
        <w:t xml:space="preserve"> significante verbeteringen heeft </w:t>
      </w:r>
      <w:r w:rsidR="00134AD7">
        <w:rPr>
          <w:szCs w:val="18"/>
        </w:rPr>
        <w:t>doorgevoerd ten aanzien van</w:t>
      </w:r>
      <w:r w:rsidR="00A462E4">
        <w:rPr>
          <w:szCs w:val="18"/>
        </w:rPr>
        <w:t xml:space="preserve"> </w:t>
      </w:r>
      <w:r w:rsidRPr="00415E25">
        <w:rPr>
          <w:szCs w:val="18"/>
        </w:rPr>
        <w:t>beoordelingssystemen en e</w:t>
      </w:r>
      <w:r w:rsidR="00647397">
        <w:rPr>
          <w:szCs w:val="18"/>
        </w:rPr>
        <w:t>fficiency</w:t>
      </w:r>
      <w:r w:rsidRPr="00415E25">
        <w:rPr>
          <w:szCs w:val="18"/>
        </w:rPr>
        <w:t>maatregelen, o</w:t>
      </w:r>
      <w:r w:rsidR="00134AD7">
        <w:rPr>
          <w:szCs w:val="18"/>
        </w:rPr>
        <w:t>nder andere</w:t>
      </w:r>
      <w:r w:rsidRPr="00415E25">
        <w:rPr>
          <w:szCs w:val="18"/>
        </w:rPr>
        <w:t xml:space="preserve"> door betere beschrijvingen van functies en van te voren vastgestelde doelen per functie. Daarnaast werkt de EBRD aan een </w:t>
      </w:r>
      <w:r w:rsidRPr="00A462E4">
        <w:rPr>
          <w:i/>
          <w:szCs w:val="18"/>
        </w:rPr>
        <w:t>Total Reward</w:t>
      </w:r>
      <w:r w:rsidRPr="00415E25">
        <w:rPr>
          <w:szCs w:val="18"/>
        </w:rPr>
        <w:t xml:space="preserve"> systeem waarbij meer nadruk komt op niet-financiële beloning. Het kiesgroepkantoor wordt betrokken bij het bespreken van </w:t>
      </w:r>
      <w:r w:rsidR="00A34D64">
        <w:rPr>
          <w:szCs w:val="18"/>
        </w:rPr>
        <w:t>mogelijke hervormingen en ver</w:t>
      </w:r>
      <w:r w:rsidR="00647397">
        <w:rPr>
          <w:szCs w:val="18"/>
        </w:rPr>
        <w:t>wacht positieve veranderingen.</w:t>
      </w:r>
    </w:p>
    <w:p w14:paraId="2847330F" w14:textId="77777777" w:rsidR="00A462E4" w:rsidRDefault="00A462E4" w:rsidP="00326699">
      <w:pPr>
        <w:contextualSpacing/>
        <w:rPr>
          <w:szCs w:val="18"/>
        </w:rPr>
      </w:pPr>
    </w:p>
    <w:p w14:paraId="4E7E8D08" w14:textId="126B4325" w:rsidR="00326699" w:rsidRPr="00063E70" w:rsidRDefault="00326699" w:rsidP="00326699">
      <w:pPr>
        <w:rPr>
          <w:szCs w:val="18"/>
        </w:rPr>
      </w:pPr>
      <w:r w:rsidRPr="00063E70">
        <w:rPr>
          <w:szCs w:val="18"/>
        </w:rPr>
        <w:t xml:space="preserve">Beoordeling: </w:t>
      </w:r>
      <w:r w:rsidR="00C23A4B">
        <w:rPr>
          <w:szCs w:val="18"/>
        </w:rPr>
        <w:t xml:space="preserve">Voldoende = </w:t>
      </w:r>
      <w:r w:rsidRPr="00063E70">
        <w:rPr>
          <w:szCs w:val="18"/>
        </w:rPr>
        <w:t>3</w:t>
      </w:r>
    </w:p>
    <w:p w14:paraId="67F549CA" w14:textId="3E5FFA16" w:rsidR="00326699" w:rsidRPr="00063E70" w:rsidRDefault="00326699" w:rsidP="00326699">
      <w:pPr>
        <w:rPr>
          <w:szCs w:val="18"/>
        </w:rPr>
      </w:pPr>
      <w:r w:rsidRPr="00063E70">
        <w:rPr>
          <w:szCs w:val="18"/>
        </w:rPr>
        <w:t>Verwachting voor positieve verandering:</w:t>
      </w:r>
      <w:r w:rsidR="00134AD7">
        <w:rPr>
          <w:szCs w:val="18"/>
        </w:rPr>
        <w:t xml:space="preserve"> waarschijnlijk =</w:t>
      </w:r>
      <w:r w:rsidRPr="00063E70">
        <w:rPr>
          <w:szCs w:val="18"/>
        </w:rPr>
        <w:t xml:space="preserve"> </w:t>
      </w:r>
      <w:r w:rsidR="002D2248" w:rsidRPr="00193994">
        <w:sym w:font="Wingdings" w:char="F0E9"/>
      </w:r>
    </w:p>
    <w:p w14:paraId="481CBB13" w14:textId="77777777" w:rsidR="00057600" w:rsidRPr="00063E70" w:rsidRDefault="00057600" w:rsidP="004D372F">
      <w:pPr>
        <w:pStyle w:val="Heading2"/>
        <w:tabs>
          <w:tab w:val="left" w:pos="-1162"/>
          <w:tab w:val="left" w:pos="0"/>
          <w:tab w:val="num" w:pos="1160"/>
        </w:tabs>
        <w:spacing w:line="240" w:lineRule="auto"/>
        <w:ind w:hanging="1162"/>
        <w:rPr>
          <w:szCs w:val="18"/>
        </w:rPr>
      </w:pPr>
      <w:bookmarkStart w:id="28" w:name="_Toc410397634"/>
    </w:p>
    <w:p w14:paraId="1141A8F0" w14:textId="434133E1" w:rsidR="005E18EE" w:rsidRPr="00063E70" w:rsidRDefault="00326699" w:rsidP="00DF798C">
      <w:pPr>
        <w:pStyle w:val="Heading2"/>
        <w:tabs>
          <w:tab w:val="left" w:pos="-1162"/>
          <w:tab w:val="left" w:pos="0"/>
          <w:tab w:val="num" w:pos="1160"/>
        </w:tabs>
        <w:spacing w:line="240" w:lineRule="auto"/>
        <w:ind w:hanging="1162"/>
        <w:rPr>
          <w:szCs w:val="18"/>
        </w:rPr>
      </w:pPr>
      <w:r w:rsidRPr="000F7106">
        <w:rPr>
          <w:szCs w:val="18"/>
        </w:rPr>
        <w:t>3.</w:t>
      </w:r>
      <w:r w:rsidR="00A74DEC" w:rsidRPr="000F7106">
        <w:rPr>
          <w:szCs w:val="18"/>
        </w:rPr>
        <w:t>7</w:t>
      </w:r>
      <w:r w:rsidR="004D372F" w:rsidRPr="000F7106">
        <w:rPr>
          <w:szCs w:val="18"/>
        </w:rPr>
        <w:t xml:space="preserve"> </w:t>
      </w:r>
      <w:r w:rsidR="004D372F" w:rsidRPr="000F7106">
        <w:rPr>
          <w:szCs w:val="18"/>
        </w:rPr>
        <w:tab/>
      </w:r>
      <w:r w:rsidR="00DE343C" w:rsidRPr="000F7106">
        <w:rPr>
          <w:szCs w:val="18"/>
        </w:rPr>
        <w:t>Financi</w:t>
      </w:r>
      <w:bookmarkEnd w:id="28"/>
      <w:r w:rsidR="00C23A4B">
        <w:rPr>
          <w:szCs w:val="18"/>
        </w:rPr>
        <w:t>eel beheer</w:t>
      </w:r>
    </w:p>
    <w:p w14:paraId="1EFABB48" w14:textId="57E4C1F6" w:rsidR="00DE0C40" w:rsidRDefault="00C040E1" w:rsidP="005E18EE">
      <w:pPr>
        <w:rPr>
          <w:szCs w:val="18"/>
        </w:rPr>
      </w:pPr>
      <w:r>
        <w:rPr>
          <w:szCs w:val="18"/>
        </w:rPr>
        <w:t>Het financiële beheer van de Bank is op orde</w:t>
      </w:r>
      <w:r w:rsidR="00764112" w:rsidRPr="00063E70">
        <w:rPr>
          <w:szCs w:val="18"/>
        </w:rPr>
        <w:t xml:space="preserve">. </w:t>
      </w:r>
      <w:r w:rsidR="005E18EE" w:rsidRPr="00063E70">
        <w:rPr>
          <w:szCs w:val="18"/>
        </w:rPr>
        <w:t>De EBRD is een gezonde en professioneel geleide multilate</w:t>
      </w:r>
      <w:r w:rsidR="00BD059D">
        <w:rPr>
          <w:szCs w:val="18"/>
        </w:rPr>
        <w:t xml:space="preserve">rale ontwikkelingsbank met een </w:t>
      </w:r>
      <w:r w:rsidR="00BD059D" w:rsidRPr="00BD059D">
        <w:rPr>
          <w:i/>
          <w:szCs w:val="18"/>
        </w:rPr>
        <w:t>t</w:t>
      </w:r>
      <w:r w:rsidR="005E18EE" w:rsidRPr="00BD059D">
        <w:rPr>
          <w:i/>
          <w:szCs w:val="18"/>
        </w:rPr>
        <w:t>riple-A</w:t>
      </w:r>
      <w:r w:rsidR="005E18EE" w:rsidRPr="00063E70">
        <w:rPr>
          <w:szCs w:val="18"/>
        </w:rPr>
        <w:t xml:space="preserve"> status. Voor haar activiteiten leent de Bank in op de kapitaalmarkten. </w:t>
      </w:r>
      <w:r w:rsidR="004A0E5F">
        <w:rPr>
          <w:szCs w:val="18"/>
        </w:rPr>
        <w:t xml:space="preserve">De </w:t>
      </w:r>
      <w:r w:rsidR="003B3AD2" w:rsidRPr="00063E70">
        <w:rPr>
          <w:szCs w:val="18"/>
        </w:rPr>
        <w:t>liquiditeitspositie</w:t>
      </w:r>
      <w:r w:rsidR="00764112" w:rsidRPr="00063E70">
        <w:rPr>
          <w:szCs w:val="18"/>
        </w:rPr>
        <w:t xml:space="preserve"> is </w:t>
      </w:r>
      <w:r w:rsidR="002E13B1" w:rsidRPr="00063E70">
        <w:rPr>
          <w:szCs w:val="18"/>
        </w:rPr>
        <w:t>goed.</w:t>
      </w:r>
    </w:p>
    <w:p w14:paraId="13EF868F" w14:textId="77777777" w:rsidR="004A0E5F" w:rsidRDefault="004A0E5F" w:rsidP="005E18EE">
      <w:pPr>
        <w:rPr>
          <w:szCs w:val="18"/>
        </w:rPr>
      </w:pPr>
    </w:p>
    <w:p w14:paraId="6709E7C6" w14:textId="547C7D8D" w:rsidR="005E18EE" w:rsidRPr="00063E70" w:rsidRDefault="00764112" w:rsidP="005E18EE">
      <w:pPr>
        <w:rPr>
          <w:szCs w:val="18"/>
        </w:rPr>
      </w:pPr>
      <w:r w:rsidRPr="00063E70">
        <w:rPr>
          <w:szCs w:val="18"/>
        </w:rPr>
        <w:t xml:space="preserve">Een punt van aandacht is dat het risico op </w:t>
      </w:r>
      <w:r w:rsidR="00B36F69">
        <w:rPr>
          <w:szCs w:val="18"/>
        </w:rPr>
        <w:t xml:space="preserve">en de volatiliteit van </w:t>
      </w:r>
      <w:r w:rsidRPr="00063E70">
        <w:rPr>
          <w:szCs w:val="18"/>
        </w:rPr>
        <w:t xml:space="preserve">de </w:t>
      </w:r>
      <w:r w:rsidR="00C040E1">
        <w:rPr>
          <w:szCs w:val="18"/>
        </w:rPr>
        <w:t>leningenportefeuille</w:t>
      </w:r>
      <w:r w:rsidRPr="00063E70">
        <w:rPr>
          <w:szCs w:val="18"/>
        </w:rPr>
        <w:t xml:space="preserve"> van de </w:t>
      </w:r>
      <w:r w:rsidRPr="000F7106">
        <w:rPr>
          <w:szCs w:val="18"/>
        </w:rPr>
        <w:t xml:space="preserve">Bank </w:t>
      </w:r>
      <w:r w:rsidR="00B36F69">
        <w:rPr>
          <w:szCs w:val="18"/>
        </w:rPr>
        <w:t>recent</w:t>
      </w:r>
      <w:r w:rsidR="0083665E">
        <w:rPr>
          <w:szCs w:val="18"/>
        </w:rPr>
        <w:t xml:space="preserve"> </w:t>
      </w:r>
      <w:r w:rsidR="000F7106" w:rsidRPr="000F7106">
        <w:rPr>
          <w:szCs w:val="18"/>
        </w:rPr>
        <w:t>is</w:t>
      </w:r>
      <w:r w:rsidR="000F7106" w:rsidRPr="00063E70">
        <w:rPr>
          <w:szCs w:val="18"/>
        </w:rPr>
        <w:t xml:space="preserve"> </w:t>
      </w:r>
      <w:r w:rsidR="00C040E1">
        <w:rPr>
          <w:szCs w:val="18"/>
        </w:rPr>
        <w:t>toegenomen</w:t>
      </w:r>
      <w:r w:rsidR="0031057B">
        <w:rPr>
          <w:szCs w:val="18"/>
        </w:rPr>
        <w:t>.</w:t>
      </w:r>
      <w:r w:rsidR="00B36F69">
        <w:rPr>
          <w:szCs w:val="18"/>
        </w:rPr>
        <w:t xml:space="preserve"> Belangrijk</w:t>
      </w:r>
      <w:r w:rsidR="00C040E1">
        <w:rPr>
          <w:szCs w:val="18"/>
        </w:rPr>
        <w:t>e factor</w:t>
      </w:r>
      <w:r w:rsidR="00B36F69">
        <w:rPr>
          <w:szCs w:val="18"/>
        </w:rPr>
        <w:t xml:space="preserve"> hierin zijn de ontwikkelingen in Oekraïne en Rusland,</w:t>
      </w:r>
      <w:r w:rsidR="00140120">
        <w:rPr>
          <w:szCs w:val="18"/>
        </w:rPr>
        <w:t xml:space="preserve"> </w:t>
      </w:r>
      <w:r w:rsidR="00C040E1">
        <w:rPr>
          <w:szCs w:val="18"/>
        </w:rPr>
        <w:t>met</w:t>
      </w:r>
      <w:r w:rsidR="00140120">
        <w:rPr>
          <w:szCs w:val="18"/>
        </w:rPr>
        <w:t xml:space="preserve"> een aanzienlijk</w:t>
      </w:r>
      <w:r w:rsidR="00B36F69">
        <w:rPr>
          <w:szCs w:val="18"/>
        </w:rPr>
        <w:t xml:space="preserve"> deel</w:t>
      </w:r>
      <w:r w:rsidR="00C040E1">
        <w:rPr>
          <w:szCs w:val="18"/>
        </w:rPr>
        <w:t xml:space="preserve"> in de portfolio </w:t>
      </w:r>
      <w:r w:rsidR="00B36F69">
        <w:rPr>
          <w:szCs w:val="18"/>
        </w:rPr>
        <w:t xml:space="preserve">van </w:t>
      </w:r>
      <w:r w:rsidR="00F37B37">
        <w:rPr>
          <w:szCs w:val="18"/>
        </w:rPr>
        <w:t>de EBRD.</w:t>
      </w:r>
      <w:r w:rsidRPr="00063E70">
        <w:rPr>
          <w:szCs w:val="18"/>
        </w:rPr>
        <w:t xml:space="preserve"> </w:t>
      </w:r>
      <w:r w:rsidR="00B36F69">
        <w:rPr>
          <w:szCs w:val="18"/>
        </w:rPr>
        <w:t>D</w:t>
      </w:r>
      <w:r w:rsidR="0083665E" w:rsidRPr="0083665E">
        <w:rPr>
          <w:szCs w:val="18"/>
        </w:rPr>
        <w:t xml:space="preserve">aarnaast </w:t>
      </w:r>
      <w:r w:rsidR="00C040E1">
        <w:rPr>
          <w:szCs w:val="18"/>
        </w:rPr>
        <w:t xml:space="preserve">kan de door de </w:t>
      </w:r>
      <w:r w:rsidR="0083665E" w:rsidRPr="0083665E">
        <w:rPr>
          <w:szCs w:val="18"/>
        </w:rPr>
        <w:t xml:space="preserve">EBRD </w:t>
      </w:r>
      <w:r w:rsidR="00C040E1">
        <w:rPr>
          <w:szCs w:val="18"/>
        </w:rPr>
        <w:t xml:space="preserve">uit </w:t>
      </w:r>
      <w:r w:rsidR="00BD059D">
        <w:rPr>
          <w:szCs w:val="18"/>
        </w:rPr>
        <w:t xml:space="preserve">de </w:t>
      </w:r>
      <w:r w:rsidR="00C040E1">
        <w:rPr>
          <w:szCs w:val="18"/>
        </w:rPr>
        <w:t xml:space="preserve">eigen reserves toegezegde bijdrage aan het door haar beheerde </w:t>
      </w:r>
      <w:r w:rsidR="0083665E" w:rsidRPr="0083665E">
        <w:rPr>
          <w:i/>
          <w:szCs w:val="18"/>
        </w:rPr>
        <w:t>Chernobyl Shelter Fund</w:t>
      </w:r>
      <w:r w:rsidR="0083665E" w:rsidRPr="0083665E">
        <w:rPr>
          <w:szCs w:val="18"/>
        </w:rPr>
        <w:t xml:space="preserve"> </w:t>
      </w:r>
      <w:r w:rsidR="00C040E1">
        <w:rPr>
          <w:szCs w:val="18"/>
        </w:rPr>
        <w:t>op</w:t>
      </w:r>
      <w:r w:rsidR="0083665E" w:rsidRPr="0083665E">
        <w:rPr>
          <w:szCs w:val="18"/>
        </w:rPr>
        <w:t>lopen tot EUR 450</w:t>
      </w:r>
      <w:r w:rsidR="0083665E">
        <w:rPr>
          <w:szCs w:val="18"/>
        </w:rPr>
        <w:t xml:space="preserve"> </w:t>
      </w:r>
      <w:r w:rsidR="00BD059D">
        <w:rPr>
          <w:szCs w:val="18"/>
        </w:rPr>
        <w:t>miljoen</w:t>
      </w:r>
      <w:r w:rsidR="0083665E" w:rsidRPr="0083665E">
        <w:rPr>
          <w:szCs w:val="18"/>
        </w:rPr>
        <w:t>.</w:t>
      </w:r>
    </w:p>
    <w:p w14:paraId="020D903E" w14:textId="77777777" w:rsidR="005E18EE" w:rsidRPr="00063E70" w:rsidRDefault="005E18EE" w:rsidP="005E18EE">
      <w:pPr>
        <w:rPr>
          <w:szCs w:val="18"/>
        </w:rPr>
      </w:pPr>
    </w:p>
    <w:p w14:paraId="5D6350EB" w14:textId="1A25C32C" w:rsidR="00910E6D" w:rsidRDefault="00C040E1" w:rsidP="005E18EE">
      <w:pPr>
        <w:rPr>
          <w:szCs w:val="18"/>
        </w:rPr>
      </w:pPr>
      <w:r>
        <w:rPr>
          <w:szCs w:val="18"/>
        </w:rPr>
        <w:t>Het risico</w:t>
      </w:r>
      <w:r w:rsidR="005E18EE" w:rsidRPr="00063E70">
        <w:rPr>
          <w:szCs w:val="18"/>
        </w:rPr>
        <w:t xml:space="preserve">management </w:t>
      </w:r>
      <w:r>
        <w:rPr>
          <w:szCs w:val="18"/>
        </w:rPr>
        <w:t xml:space="preserve">van </w:t>
      </w:r>
      <w:r w:rsidR="005E18EE" w:rsidRPr="00063E70">
        <w:rPr>
          <w:szCs w:val="18"/>
        </w:rPr>
        <w:t xml:space="preserve">de EBRD </w:t>
      </w:r>
      <w:r>
        <w:rPr>
          <w:szCs w:val="18"/>
        </w:rPr>
        <w:t>wordt</w:t>
      </w:r>
      <w:r w:rsidR="005E18EE" w:rsidRPr="00063E70">
        <w:rPr>
          <w:szCs w:val="18"/>
        </w:rPr>
        <w:t xml:space="preserve"> voortdurend </w:t>
      </w:r>
      <w:r>
        <w:rPr>
          <w:szCs w:val="18"/>
        </w:rPr>
        <w:t>aangescherpt</w:t>
      </w:r>
      <w:r w:rsidR="005E18EE" w:rsidRPr="00063E70">
        <w:rPr>
          <w:szCs w:val="18"/>
        </w:rPr>
        <w:t xml:space="preserve"> op </w:t>
      </w:r>
      <w:r>
        <w:rPr>
          <w:szCs w:val="18"/>
        </w:rPr>
        <w:t xml:space="preserve">basis van </w:t>
      </w:r>
      <w:r w:rsidR="005E18EE" w:rsidRPr="00063E70">
        <w:rPr>
          <w:szCs w:val="18"/>
        </w:rPr>
        <w:t xml:space="preserve">ontwikkelingen </w:t>
      </w:r>
      <w:r>
        <w:rPr>
          <w:szCs w:val="18"/>
        </w:rPr>
        <w:t>en</w:t>
      </w:r>
      <w:r w:rsidR="005E18EE" w:rsidRPr="00063E70">
        <w:rPr>
          <w:szCs w:val="18"/>
        </w:rPr>
        <w:t xml:space="preserve"> </w:t>
      </w:r>
      <w:r w:rsidR="005E18EE" w:rsidRPr="00BD059D">
        <w:rPr>
          <w:i/>
          <w:szCs w:val="18"/>
        </w:rPr>
        <w:t>best practices</w:t>
      </w:r>
      <w:r w:rsidR="005E18EE" w:rsidRPr="00063E70">
        <w:rPr>
          <w:szCs w:val="18"/>
        </w:rPr>
        <w:t xml:space="preserve"> in de financiële wereld. </w:t>
      </w:r>
      <w:r w:rsidR="00C76BAF">
        <w:rPr>
          <w:szCs w:val="18"/>
        </w:rPr>
        <w:t>Recent is het risico</w:t>
      </w:r>
      <w:r w:rsidR="00910E6D">
        <w:rPr>
          <w:szCs w:val="18"/>
        </w:rPr>
        <w:t>management van de Bank erg verbeterd</w:t>
      </w:r>
      <w:r>
        <w:rPr>
          <w:szCs w:val="18"/>
        </w:rPr>
        <w:t>.</w:t>
      </w:r>
      <w:r w:rsidR="00910E6D">
        <w:rPr>
          <w:szCs w:val="18"/>
        </w:rPr>
        <w:t xml:space="preserve"> </w:t>
      </w:r>
      <w:r>
        <w:rPr>
          <w:szCs w:val="18"/>
        </w:rPr>
        <w:t xml:space="preserve">Risico’s worden nu </w:t>
      </w:r>
      <w:r w:rsidR="00C76BAF">
        <w:rPr>
          <w:szCs w:val="18"/>
        </w:rPr>
        <w:t xml:space="preserve">meer </w:t>
      </w:r>
      <w:r>
        <w:rPr>
          <w:szCs w:val="18"/>
        </w:rPr>
        <w:t xml:space="preserve">op </w:t>
      </w:r>
      <w:r w:rsidR="00C76BAF">
        <w:rPr>
          <w:szCs w:val="18"/>
        </w:rPr>
        <w:t>portfolio</w:t>
      </w:r>
      <w:r w:rsidR="00910E6D">
        <w:rPr>
          <w:szCs w:val="18"/>
        </w:rPr>
        <w:t xml:space="preserve">niveau </w:t>
      </w:r>
      <w:proofErr w:type="gramStart"/>
      <w:r w:rsidR="00C76BAF">
        <w:rPr>
          <w:szCs w:val="18"/>
        </w:rPr>
        <w:t>ingeschat</w:t>
      </w:r>
      <w:proofErr w:type="gramEnd"/>
      <w:r>
        <w:rPr>
          <w:szCs w:val="18"/>
        </w:rPr>
        <w:t xml:space="preserve"> en er is </w:t>
      </w:r>
      <w:r w:rsidR="00910E6D">
        <w:rPr>
          <w:szCs w:val="18"/>
        </w:rPr>
        <w:t xml:space="preserve">een </w:t>
      </w:r>
      <w:r w:rsidR="00910E6D" w:rsidRPr="00C040E1">
        <w:rPr>
          <w:i/>
          <w:szCs w:val="18"/>
        </w:rPr>
        <w:t>Risk Committee</w:t>
      </w:r>
      <w:r>
        <w:rPr>
          <w:szCs w:val="18"/>
        </w:rPr>
        <w:t xml:space="preserve"> gecreëerd</w:t>
      </w:r>
      <w:r w:rsidR="00910E6D">
        <w:rPr>
          <w:szCs w:val="18"/>
        </w:rPr>
        <w:t xml:space="preserve">. </w:t>
      </w:r>
      <w:r w:rsidR="00C76BAF">
        <w:rPr>
          <w:szCs w:val="18"/>
        </w:rPr>
        <w:t>Deze</w:t>
      </w:r>
      <w:r w:rsidR="00C76BAF" w:rsidRPr="00C76BAF">
        <w:rPr>
          <w:i/>
          <w:szCs w:val="18"/>
        </w:rPr>
        <w:t xml:space="preserve"> </w:t>
      </w:r>
      <w:r w:rsidR="00C76BAF" w:rsidRPr="00C040E1">
        <w:rPr>
          <w:i/>
          <w:szCs w:val="18"/>
        </w:rPr>
        <w:t>Risk Committee</w:t>
      </w:r>
      <w:r w:rsidR="00C76BAF">
        <w:rPr>
          <w:i/>
          <w:szCs w:val="18"/>
        </w:rPr>
        <w:t xml:space="preserve"> </w:t>
      </w:r>
      <w:r w:rsidR="00C76BAF" w:rsidRPr="00C76BAF">
        <w:rPr>
          <w:szCs w:val="18"/>
        </w:rPr>
        <w:t xml:space="preserve">werkt </w:t>
      </w:r>
      <w:r w:rsidR="00910E6D" w:rsidRPr="00C76BAF">
        <w:rPr>
          <w:szCs w:val="18"/>
        </w:rPr>
        <w:t>op</w:t>
      </w:r>
      <w:r w:rsidR="00910E6D">
        <w:rPr>
          <w:szCs w:val="18"/>
        </w:rPr>
        <w:t xml:space="preserve"> dit moment i</w:t>
      </w:r>
      <w:r w:rsidR="00134AD7">
        <w:rPr>
          <w:szCs w:val="18"/>
        </w:rPr>
        <w:t>n samenwerking met</w:t>
      </w:r>
      <w:r w:rsidR="00910E6D">
        <w:rPr>
          <w:szCs w:val="18"/>
        </w:rPr>
        <w:t xml:space="preserve"> de Raad van Bewindvoerders aan een </w:t>
      </w:r>
      <w:r w:rsidR="00910E6D" w:rsidRPr="00BD059D">
        <w:rPr>
          <w:i/>
          <w:szCs w:val="18"/>
        </w:rPr>
        <w:t>Risk Policy Framework</w:t>
      </w:r>
      <w:r w:rsidR="00910E6D">
        <w:rPr>
          <w:szCs w:val="18"/>
        </w:rPr>
        <w:t>.</w:t>
      </w:r>
    </w:p>
    <w:p w14:paraId="462442A1" w14:textId="77777777" w:rsidR="00910E6D" w:rsidRDefault="00910E6D" w:rsidP="005E18EE">
      <w:pPr>
        <w:rPr>
          <w:szCs w:val="18"/>
        </w:rPr>
      </w:pPr>
    </w:p>
    <w:p w14:paraId="781D039C" w14:textId="2AF792DE" w:rsidR="005E18EE" w:rsidRPr="00063E70" w:rsidRDefault="00C76BAF" w:rsidP="005E18EE">
      <w:pPr>
        <w:rPr>
          <w:szCs w:val="18"/>
        </w:rPr>
      </w:pPr>
      <w:r>
        <w:rPr>
          <w:szCs w:val="18"/>
        </w:rPr>
        <w:t>H</w:t>
      </w:r>
      <w:r w:rsidR="005E18EE" w:rsidRPr="00063E70">
        <w:rPr>
          <w:szCs w:val="18"/>
        </w:rPr>
        <w:t xml:space="preserve">et uitleenplafond van de Bank </w:t>
      </w:r>
      <w:r>
        <w:rPr>
          <w:szCs w:val="18"/>
        </w:rPr>
        <w:t xml:space="preserve">is vastgesteld op </w:t>
      </w:r>
      <w:r w:rsidR="00BD059D">
        <w:rPr>
          <w:szCs w:val="18"/>
        </w:rPr>
        <w:t xml:space="preserve">een maximum </w:t>
      </w:r>
      <w:r w:rsidR="005E18EE" w:rsidRPr="00063E70">
        <w:rPr>
          <w:szCs w:val="18"/>
        </w:rPr>
        <w:t>dat is gekoppeld aan de totale kapitaal</w:t>
      </w:r>
      <w:r>
        <w:rPr>
          <w:szCs w:val="18"/>
        </w:rPr>
        <w:t>s</w:t>
      </w:r>
      <w:r w:rsidR="005E18EE" w:rsidRPr="00063E70">
        <w:rPr>
          <w:szCs w:val="18"/>
        </w:rPr>
        <w:t xml:space="preserve">basis. </w:t>
      </w:r>
      <w:r>
        <w:rPr>
          <w:szCs w:val="18"/>
        </w:rPr>
        <w:t>D</w:t>
      </w:r>
      <w:r w:rsidR="005E18EE" w:rsidRPr="00063E70">
        <w:rPr>
          <w:szCs w:val="18"/>
        </w:rPr>
        <w:t xml:space="preserve">e EBRD </w:t>
      </w:r>
      <w:r w:rsidRPr="00063E70">
        <w:rPr>
          <w:szCs w:val="18"/>
        </w:rPr>
        <w:t>houdt</w:t>
      </w:r>
      <w:r>
        <w:rPr>
          <w:szCs w:val="18"/>
        </w:rPr>
        <w:t xml:space="preserve"> d</w:t>
      </w:r>
      <w:r w:rsidRPr="00063E70">
        <w:rPr>
          <w:szCs w:val="18"/>
        </w:rPr>
        <w:t xml:space="preserve">aarnaast </w:t>
      </w:r>
      <w:r w:rsidR="005E18EE" w:rsidRPr="00063E70">
        <w:rPr>
          <w:szCs w:val="18"/>
        </w:rPr>
        <w:t xml:space="preserve">ook rekening met </w:t>
      </w:r>
      <w:r w:rsidR="00140120">
        <w:rPr>
          <w:szCs w:val="18"/>
        </w:rPr>
        <w:t xml:space="preserve">het </w:t>
      </w:r>
      <w:r w:rsidR="005E18EE" w:rsidRPr="00063E70">
        <w:rPr>
          <w:szCs w:val="18"/>
        </w:rPr>
        <w:t xml:space="preserve">oordeel van externe </w:t>
      </w:r>
      <w:r w:rsidR="005E18EE" w:rsidRPr="00E155CB">
        <w:rPr>
          <w:i/>
          <w:szCs w:val="18"/>
        </w:rPr>
        <w:t>rating agencies</w:t>
      </w:r>
      <w:r w:rsidR="005E18EE" w:rsidRPr="00063E70">
        <w:rPr>
          <w:szCs w:val="18"/>
        </w:rPr>
        <w:t xml:space="preserve"> en </w:t>
      </w:r>
      <w:r>
        <w:rPr>
          <w:szCs w:val="18"/>
        </w:rPr>
        <w:t xml:space="preserve">de </w:t>
      </w:r>
      <w:r w:rsidR="005E18EE" w:rsidRPr="00063E70">
        <w:rPr>
          <w:szCs w:val="18"/>
        </w:rPr>
        <w:t>Bazel</w:t>
      </w:r>
      <w:r w:rsidR="009505AC">
        <w:rPr>
          <w:szCs w:val="18"/>
        </w:rPr>
        <w:t xml:space="preserve"> kapitaalr</w:t>
      </w:r>
      <w:r w:rsidR="005E18EE" w:rsidRPr="00063E70">
        <w:rPr>
          <w:szCs w:val="18"/>
        </w:rPr>
        <w:t xml:space="preserve">atio’s. </w:t>
      </w:r>
      <w:r w:rsidR="00140120">
        <w:rPr>
          <w:szCs w:val="18"/>
        </w:rPr>
        <w:t>Om een goed beeld te krijgen van de risico’s die de EBRD loopt voert men regelmatig stresstesten uit.</w:t>
      </w:r>
    </w:p>
    <w:p w14:paraId="0C2071CF" w14:textId="77777777" w:rsidR="005E18EE" w:rsidRPr="00063E70" w:rsidRDefault="005E18EE" w:rsidP="005E18EE">
      <w:pPr>
        <w:rPr>
          <w:szCs w:val="18"/>
        </w:rPr>
      </w:pPr>
    </w:p>
    <w:p w14:paraId="53BAC885" w14:textId="77777777" w:rsidR="005E18EE" w:rsidRPr="00063E70" w:rsidRDefault="005E18EE" w:rsidP="005E18EE">
      <w:pPr>
        <w:rPr>
          <w:szCs w:val="18"/>
        </w:rPr>
      </w:pPr>
      <w:r w:rsidRPr="00063E70">
        <w:rPr>
          <w:szCs w:val="18"/>
        </w:rPr>
        <w:t xml:space="preserve">Het financiële jaarverslag is onderworpen aan een externe audit. De interne accountantsdienst toetst de bestedingen en activiteiten van de Bank op rechtmatigheid. </w:t>
      </w:r>
      <w:r w:rsidR="0083665E">
        <w:rPr>
          <w:szCs w:val="18"/>
        </w:rPr>
        <w:t xml:space="preserve">De </w:t>
      </w:r>
      <w:r w:rsidR="0083665E" w:rsidRPr="00957F7E">
        <w:rPr>
          <w:i/>
          <w:szCs w:val="18"/>
        </w:rPr>
        <w:t>A</w:t>
      </w:r>
      <w:r w:rsidR="0083665E" w:rsidRPr="0083665E">
        <w:rPr>
          <w:i/>
          <w:szCs w:val="18"/>
        </w:rPr>
        <w:t xml:space="preserve">udit </w:t>
      </w:r>
      <w:r w:rsidR="0083665E">
        <w:rPr>
          <w:i/>
          <w:szCs w:val="18"/>
        </w:rPr>
        <w:t>C</w:t>
      </w:r>
      <w:r w:rsidR="0083665E" w:rsidRPr="0083665E">
        <w:rPr>
          <w:i/>
          <w:szCs w:val="18"/>
        </w:rPr>
        <w:t>ommittee</w:t>
      </w:r>
      <w:r w:rsidR="0083665E" w:rsidRPr="00063E70">
        <w:rPr>
          <w:szCs w:val="18"/>
        </w:rPr>
        <w:t xml:space="preserve"> </w:t>
      </w:r>
      <w:r w:rsidR="00957F7E">
        <w:rPr>
          <w:szCs w:val="18"/>
        </w:rPr>
        <w:t xml:space="preserve">houdt de </w:t>
      </w:r>
      <w:r w:rsidR="00957F7E" w:rsidRPr="00063E70">
        <w:rPr>
          <w:szCs w:val="18"/>
        </w:rPr>
        <w:t xml:space="preserve">Raad van Bewindvoerders </w:t>
      </w:r>
      <w:r w:rsidR="00957F7E" w:rsidRPr="0083665E">
        <w:rPr>
          <w:szCs w:val="18"/>
        </w:rPr>
        <w:t xml:space="preserve">op de hoogte </w:t>
      </w:r>
      <w:r w:rsidR="0083665E" w:rsidRPr="0083665E">
        <w:rPr>
          <w:szCs w:val="18"/>
        </w:rPr>
        <w:t xml:space="preserve">van de risico’s die de Bank loopt </w:t>
      </w:r>
      <w:r w:rsidR="00957F7E">
        <w:rPr>
          <w:szCs w:val="18"/>
        </w:rPr>
        <w:t xml:space="preserve">en informeert </w:t>
      </w:r>
      <w:r w:rsidR="008544D0">
        <w:rPr>
          <w:szCs w:val="18"/>
        </w:rPr>
        <w:t xml:space="preserve">hen </w:t>
      </w:r>
      <w:r w:rsidR="00957F7E">
        <w:rPr>
          <w:szCs w:val="18"/>
        </w:rPr>
        <w:t>over de uitkomsten van</w:t>
      </w:r>
      <w:r w:rsidR="00140120">
        <w:rPr>
          <w:szCs w:val="18"/>
        </w:rPr>
        <w:t xml:space="preserve"> </w:t>
      </w:r>
      <w:proofErr w:type="gramStart"/>
      <w:r w:rsidR="00140120">
        <w:rPr>
          <w:szCs w:val="18"/>
        </w:rPr>
        <w:t>de</w:t>
      </w:r>
      <w:proofErr w:type="gramEnd"/>
      <w:r w:rsidR="0083665E" w:rsidRPr="0083665E">
        <w:rPr>
          <w:szCs w:val="18"/>
        </w:rPr>
        <w:t xml:space="preserve"> </w:t>
      </w:r>
      <w:r w:rsidR="00140120" w:rsidRPr="00F3241F">
        <w:rPr>
          <w:szCs w:val="18"/>
        </w:rPr>
        <w:t>stresstesten</w:t>
      </w:r>
      <w:r w:rsidR="00957F7E" w:rsidRPr="00F3241F">
        <w:rPr>
          <w:szCs w:val="18"/>
        </w:rPr>
        <w:t>.</w:t>
      </w:r>
      <w:r w:rsidRPr="00063E70">
        <w:rPr>
          <w:szCs w:val="18"/>
        </w:rPr>
        <w:t xml:space="preserve"> </w:t>
      </w:r>
    </w:p>
    <w:p w14:paraId="3FAB8A9B" w14:textId="77777777" w:rsidR="009505AC" w:rsidRPr="00063E70" w:rsidRDefault="009505AC" w:rsidP="004D58E9">
      <w:pPr>
        <w:rPr>
          <w:szCs w:val="18"/>
        </w:rPr>
      </w:pPr>
    </w:p>
    <w:p w14:paraId="32F1328D" w14:textId="1F25D035" w:rsidR="000A22CF" w:rsidRPr="00063E70" w:rsidRDefault="00764112" w:rsidP="00294B14">
      <w:pPr>
        <w:rPr>
          <w:szCs w:val="18"/>
        </w:rPr>
      </w:pPr>
      <w:r w:rsidRPr="00063E70">
        <w:rPr>
          <w:szCs w:val="18"/>
        </w:rPr>
        <w:t>De samenhang tussen de inhoudelijke en fin</w:t>
      </w:r>
      <w:r w:rsidR="00C76BAF">
        <w:rPr>
          <w:szCs w:val="18"/>
        </w:rPr>
        <w:t>anciële rapportages is goed. H</w:t>
      </w:r>
      <w:r w:rsidRPr="00063E70">
        <w:rPr>
          <w:szCs w:val="18"/>
        </w:rPr>
        <w:t xml:space="preserve">et jaarlijkse </w:t>
      </w:r>
      <w:r w:rsidRPr="00063E70">
        <w:rPr>
          <w:i/>
          <w:szCs w:val="18"/>
        </w:rPr>
        <w:t>Annual Report</w:t>
      </w:r>
      <w:r w:rsidRPr="00063E70">
        <w:rPr>
          <w:szCs w:val="18"/>
        </w:rPr>
        <w:t xml:space="preserve"> </w:t>
      </w:r>
      <w:r w:rsidR="00C76BAF">
        <w:rPr>
          <w:szCs w:val="18"/>
        </w:rPr>
        <w:t>vat</w:t>
      </w:r>
      <w:r w:rsidRPr="00063E70">
        <w:rPr>
          <w:szCs w:val="18"/>
        </w:rPr>
        <w:t xml:space="preserve"> de inhoudelijke en </w:t>
      </w:r>
      <w:r w:rsidR="00396300" w:rsidRPr="00063E70">
        <w:rPr>
          <w:szCs w:val="18"/>
        </w:rPr>
        <w:t>financiële</w:t>
      </w:r>
      <w:r w:rsidR="00C76BAF">
        <w:rPr>
          <w:szCs w:val="18"/>
        </w:rPr>
        <w:t xml:space="preserve"> resultaten samen</w:t>
      </w:r>
      <w:r w:rsidRPr="00063E70">
        <w:rPr>
          <w:szCs w:val="18"/>
        </w:rPr>
        <w:t>.</w:t>
      </w:r>
    </w:p>
    <w:p w14:paraId="6A2D27AF" w14:textId="77777777" w:rsidR="00DE343C" w:rsidRPr="00063E70" w:rsidRDefault="00DE343C" w:rsidP="00DE343C">
      <w:pPr>
        <w:rPr>
          <w:b/>
          <w:szCs w:val="18"/>
        </w:rPr>
      </w:pPr>
    </w:p>
    <w:p w14:paraId="615843F5" w14:textId="5C70245C" w:rsidR="00326699" w:rsidRPr="00063E70" w:rsidRDefault="00326699" w:rsidP="00326699">
      <w:pPr>
        <w:rPr>
          <w:szCs w:val="18"/>
        </w:rPr>
      </w:pPr>
      <w:r w:rsidRPr="00063E70">
        <w:rPr>
          <w:szCs w:val="18"/>
        </w:rPr>
        <w:t xml:space="preserve">Beoordeling: </w:t>
      </w:r>
      <w:r w:rsidR="00C23A4B">
        <w:rPr>
          <w:szCs w:val="18"/>
        </w:rPr>
        <w:t>Voldoende = 3</w:t>
      </w:r>
    </w:p>
    <w:p w14:paraId="1233F09D" w14:textId="72A64D65" w:rsidR="003D3E27" w:rsidRPr="00063E70" w:rsidRDefault="00326699" w:rsidP="00DE343C">
      <w:pPr>
        <w:rPr>
          <w:szCs w:val="18"/>
        </w:rPr>
      </w:pPr>
      <w:r w:rsidRPr="00063E70">
        <w:rPr>
          <w:szCs w:val="18"/>
        </w:rPr>
        <w:t>Verwachting voor positieve verandering</w:t>
      </w:r>
      <w:r w:rsidR="00294B14" w:rsidRPr="00063E70">
        <w:rPr>
          <w:szCs w:val="18"/>
        </w:rPr>
        <w:t>:</w:t>
      </w:r>
      <w:r w:rsidR="00134AD7">
        <w:rPr>
          <w:szCs w:val="18"/>
        </w:rPr>
        <w:t xml:space="preserve"> neutraal =</w:t>
      </w:r>
      <w:r w:rsidR="00294B14" w:rsidRPr="00063E70">
        <w:rPr>
          <w:szCs w:val="18"/>
        </w:rPr>
        <w:t xml:space="preserve"> </w:t>
      </w:r>
      <w:r w:rsidR="0031057B" w:rsidRPr="00063E70">
        <w:rPr>
          <w:szCs w:val="18"/>
        </w:rPr>
        <w:sym w:font="Wingdings" w:char="F0E8"/>
      </w:r>
    </w:p>
    <w:p w14:paraId="6DA26C02" w14:textId="77777777" w:rsidR="00DE343C" w:rsidRPr="00063E70" w:rsidRDefault="000A22CF" w:rsidP="002F1C6A">
      <w:pPr>
        <w:pStyle w:val="Heading2"/>
        <w:tabs>
          <w:tab w:val="left" w:pos="-1162"/>
          <w:tab w:val="left" w:pos="0"/>
          <w:tab w:val="num" w:pos="1160"/>
        </w:tabs>
        <w:spacing w:line="240" w:lineRule="auto"/>
        <w:ind w:hanging="1162"/>
        <w:rPr>
          <w:szCs w:val="18"/>
        </w:rPr>
      </w:pPr>
      <w:bookmarkStart w:id="29" w:name="_Toc410397635"/>
      <w:r w:rsidRPr="00063E70">
        <w:rPr>
          <w:szCs w:val="18"/>
        </w:rPr>
        <w:t>3.</w:t>
      </w:r>
      <w:r w:rsidR="00A74DEC" w:rsidRPr="00063E70">
        <w:rPr>
          <w:szCs w:val="18"/>
        </w:rPr>
        <w:t>8</w:t>
      </w:r>
      <w:r w:rsidR="004D372F" w:rsidRPr="00063E70">
        <w:rPr>
          <w:szCs w:val="18"/>
        </w:rPr>
        <w:t xml:space="preserve"> </w:t>
      </w:r>
      <w:r w:rsidR="004D372F" w:rsidRPr="00063E70">
        <w:rPr>
          <w:szCs w:val="18"/>
        </w:rPr>
        <w:tab/>
      </w:r>
      <w:r w:rsidR="00DE343C" w:rsidRPr="00063E70">
        <w:rPr>
          <w:szCs w:val="18"/>
        </w:rPr>
        <w:t>Corruptiebestrijding in de interne organisatie</w:t>
      </w:r>
      <w:bookmarkEnd w:id="29"/>
    </w:p>
    <w:p w14:paraId="0B1672AE" w14:textId="5189FED0" w:rsidR="00721ABE" w:rsidRPr="00063E70" w:rsidRDefault="00721ABE" w:rsidP="00721ABE">
      <w:pPr>
        <w:rPr>
          <w:szCs w:val="18"/>
        </w:rPr>
      </w:pPr>
      <w:r w:rsidRPr="00063E70">
        <w:rPr>
          <w:szCs w:val="18"/>
        </w:rPr>
        <w:t>Corruptiebestrijding staat hoog in het vaandel van de EBRD. De EBRD bevordert integriteit, goed bestuur en hoge ethische standaarden in alle activiteiten. Dit raakt immers rechtstreeks de reputat</w:t>
      </w:r>
      <w:r w:rsidR="00B912E1" w:rsidRPr="00063E70">
        <w:rPr>
          <w:szCs w:val="18"/>
        </w:rPr>
        <w:t>ie en toekomst van de Bank zelf</w:t>
      </w:r>
      <w:r w:rsidRPr="00063E70">
        <w:rPr>
          <w:szCs w:val="18"/>
        </w:rPr>
        <w:t xml:space="preserve">. De Bank heeft tal van maatregelen genomen om corruptie en fraude te bestrijden: richtlijnen voor private sectoractiviteiten, faciliteiten om fraude en corruptie te melden via e-mail, een klokkenluidersregeling, gedragsregels en een zwarte lijst voor </w:t>
      </w:r>
      <w:r w:rsidR="00DE0C40">
        <w:rPr>
          <w:szCs w:val="18"/>
        </w:rPr>
        <w:t xml:space="preserve">bieders op </w:t>
      </w:r>
      <w:r w:rsidRPr="00063E70">
        <w:rPr>
          <w:szCs w:val="18"/>
        </w:rPr>
        <w:t xml:space="preserve">aanbestedingen. De uitwerking hiervan en </w:t>
      </w:r>
      <w:r w:rsidR="00246B54">
        <w:rPr>
          <w:szCs w:val="18"/>
        </w:rPr>
        <w:t xml:space="preserve">het </w:t>
      </w:r>
      <w:r w:rsidRPr="00063E70">
        <w:rPr>
          <w:szCs w:val="18"/>
        </w:rPr>
        <w:t xml:space="preserve">toezicht erop zijn de taak van de </w:t>
      </w:r>
      <w:r w:rsidRPr="00063E70">
        <w:rPr>
          <w:i/>
          <w:szCs w:val="18"/>
        </w:rPr>
        <w:t>Chief Compliance Officer</w:t>
      </w:r>
      <w:r w:rsidR="00957F7E">
        <w:rPr>
          <w:i/>
          <w:szCs w:val="18"/>
        </w:rPr>
        <w:t xml:space="preserve"> </w:t>
      </w:r>
      <w:r w:rsidR="00957F7E" w:rsidRPr="00957F7E">
        <w:rPr>
          <w:szCs w:val="18"/>
        </w:rPr>
        <w:t>(CCO)</w:t>
      </w:r>
      <w:r w:rsidRPr="00063E70">
        <w:rPr>
          <w:szCs w:val="18"/>
        </w:rPr>
        <w:t xml:space="preserve">. </w:t>
      </w:r>
      <w:r w:rsidR="00246B54">
        <w:rPr>
          <w:szCs w:val="18"/>
        </w:rPr>
        <w:t>Voor</w:t>
      </w:r>
      <w:r w:rsidR="00957F7E">
        <w:rPr>
          <w:szCs w:val="18"/>
        </w:rPr>
        <w:t xml:space="preserve"> elk financieringsvoorstel wordt een oordeel gegeven door de CCO. Daarnaast is de CCO</w:t>
      </w:r>
      <w:r w:rsidRPr="00063E70">
        <w:rPr>
          <w:szCs w:val="18"/>
        </w:rPr>
        <w:t xml:space="preserve"> verantwoordelijk voor de bewaking van de integriteit van de staf.</w:t>
      </w:r>
    </w:p>
    <w:p w14:paraId="773A2A8A" w14:textId="77777777" w:rsidR="00721ABE" w:rsidRPr="00063E70" w:rsidRDefault="00721ABE" w:rsidP="00721ABE">
      <w:pPr>
        <w:rPr>
          <w:szCs w:val="18"/>
        </w:rPr>
      </w:pPr>
    </w:p>
    <w:p w14:paraId="0D7EEC38" w14:textId="5EBC8691" w:rsidR="00721ABE" w:rsidRPr="00063E70" w:rsidRDefault="00721ABE" w:rsidP="00DE343C">
      <w:pPr>
        <w:rPr>
          <w:szCs w:val="18"/>
        </w:rPr>
      </w:pPr>
      <w:r w:rsidRPr="00063E70">
        <w:rPr>
          <w:szCs w:val="18"/>
        </w:rPr>
        <w:t>De Bank kent een mechanisme voor het ontvangen van klachten v</w:t>
      </w:r>
      <w:r w:rsidR="00396300" w:rsidRPr="00063E70">
        <w:rPr>
          <w:szCs w:val="18"/>
        </w:rPr>
        <w:t>an derden over projecten van de</w:t>
      </w:r>
      <w:r w:rsidRPr="00063E70">
        <w:rPr>
          <w:szCs w:val="18"/>
        </w:rPr>
        <w:t xml:space="preserve"> EBRD. </w:t>
      </w:r>
      <w:r w:rsidR="00246B54">
        <w:rPr>
          <w:szCs w:val="18"/>
        </w:rPr>
        <w:t>D</w:t>
      </w:r>
      <w:r w:rsidRPr="00063E70">
        <w:rPr>
          <w:szCs w:val="18"/>
        </w:rPr>
        <w:t xml:space="preserve">e EBRD </w:t>
      </w:r>
      <w:r w:rsidR="00246B54">
        <w:rPr>
          <w:szCs w:val="18"/>
        </w:rPr>
        <w:t>heeft een overeenkomst ge</w:t>
      </w:r>
      <w:r w:rsidRPr="00063E70">
        <w:rPr>
          <w:szCs w:val="18"/>
        </w:rPr>
        <w:t>tekend met andere multilaterale ontwikkelingsbanken, het IMF en de EIB voor een gecoördineerd</w:t>
      </w:r>
      <w:r w:rsidR="00246B54">
        <w:rPr>
          <w:szCs w:val="18"/>
        </w:rPr>
        <w:t>e</w:t>
      </w:r>
      <w:r w:rsidRPr="00063E70">
        <w:rPr>
          <w:szCs w:val="18"/>
        </w:rPr>
        <w:t xml:space="preserve"> </w:t>
      </w:r>
      <w:r w:rsidR="00246B54">
        <w:rPr>
          <w:szCs w:val="18"/>
        </w:rPr>
        <w:t>aanpak</w:t>
      </w:r>
      <w:r w:rsidRPr="00063E70">
        <w:rPr>
          <w:szCs w:val="18"/>
        </w:rPr>
        <w:t xml:space="preserve"> om fraude en corruptie te bestrijden. In het kader</w:t>
      </w:r>
      <w:r w:rsidR="00246B54">
        <w:rPr>
          <w:szCs w:val="18"/>
        </w:rPr>
        <w:t xml:space="preserve"> van deze samenwerking zijn de</w:t>
      </w:r>
      <w:r w:rsidRPr="00063E70">
        <w:rPr>
          <w:szCs w:val="18"/>
        </w:rPr>
        <w:t xml:space="preserve"> instellingen overeengekomen elkaars besluiten om bedrijven op een zwarte lijst te plaatsen over te nemen</w:t>
      </w:r>
      <w:r w:rsidR="00DE0C40">
        <w:rPr>
          <w:szCs w:val="18"/>
        </w:rPr>
        <w:t xml:space="preserve"> (</w:t>
      </w:r>
      <w:r w:rsidR="00DE0C40" w:rsidRPr="00134AD7">
        <w:rPr>
          <w:i/>
          <w:szCs w:val="18"/>
        </w:rPr>
        <w:t>cross debarment</w:t>
      </w:r>
      <w:r w:rsidR="00DE0C40">
        <w:rPr>
          <w:szCs w:val="18"/>
        </w:rPr>
        <w:t>)</w:t>
      </w:r>
      <w:r w:rsidRPr="00063E70">
        <w:rPr>
          <w:szCs w:val="18"/>
        </w:rPr>
        <w:t xml:space="preserve">. </w:t>
      </w:r>
    </w:p>
    <w:p w14:paraId="5938CC07" w14:textId="77777777" w:rsidR="00721ABE" w:rsidRPr="00063E70" w:rsidRDefault="00721ABE" w:rsidP="00DE343C">
      <w:pPr>
        <w:rPr>
          <w:b/>
          <w:szCs w:val="18"/>
        </w:rPr>
      </w:pPr>
    </w:p>
    <w:p w14:paraId="72F7FE68" w14:textId="61CAD09E" w:rsidR="00326699" w:rsidRDefault="00326699" w:rsidP="00326699">
      <w:pPr>
        <w:rPr>
          <w:szCs w:val="18"/>
        </w:rPr>
      </w:pPr>
      <w:r w:rsidRPr="00063E70">
        <w:rPr>
          <w:szCs w:val="18"/>
        </w:rPr>
        <w:t xml:space="preserve">Beoordeling: </w:t>
      </w:r>
      <w:r w:rsidR="00C23A4B">
        <w:rPr>
          <w:szCs w:val="18"/>
        </w:rPr>
        <w:t xml:space="preserve">Goed = </w:t>
      </w:r>
      <w:r w:rsidRPr="00063E70">
        <w:rPr>
          <w:szCs w:val="18"/>
        </w:rPr>
        <w:t>4</w:t>
      </w:r>
    </w:p>
    <w:p w14:paraId="20646694" w14:textId="28FC286F" w:rsidR="00866E1C" w:rsidRDefault="00866E1C">
      <w:pPr>
        <w:spacing w:line="240" w:lineRule="auto"/>
        <w:rPr>
          <w:szCs w:val="18"/>
        </w:rPr>
      </w:pPr>
      <w:r>
        <w:rPr>
          <w:szCs w:val="18"/>
        </w:rPr>
        <w:br w:type="page"/>
      </w:r>
    </w:p>
    <w:p w14:paraId="3A0459D0" w14:textId="49E44447" w:rsidR="00866E1C" w:rsidRPr="00C23A4B" w:rsidRDefault="00866E1C" w:rsidP="00866E1C">
      <w:pPr>
        <w:pStyle w:val="Heading1"/>
        <w:tabs>
          <w:tab w:val="num" w:pos="0"/>
        </w:tabs>
        <w:spacing w:after="240" w:line="240" w:lineRule="auto"/>
        <w:ind w:hanging="1162"/>
        <w:rPr>
          <w:szCs w:val="24"/>
        </w:rPr>
      </w:pPr>
      <w:r>
        <w:rPr>
          <w:szCs w:val="24"/>
        </w:rPr>
        <w:t>4</w:t>
      </w:r>
      <w:r w:rsidRPr="00C23A4B">
        <w:rPr>
          <w:szCs w:val="24"/>
        </w:rPr>
        <w:t xml:space="preserve"> </w:t>
      </w:r>
      <w:r w:rsidRPr="00C23A4B">
        <w:rPr>
          <w:szCs w:val="24"/>
        </w:rPr>
        <w:tab/>
      </w:r>
      <w:r w:rsidRPr="00866E1C">
        <w:rPr>
          <w:szCs w:val="24"/>
        </w:rPr>
        <w:t>Beleidsrelevantie en resultaten van de organisatie</w:t>
      </w:r>
      <w:r>
        <w:rPr>
          <w:szCs w:val="24"/>
        </w:rPr>
        <w:br/>
      </w:r>
    </w:p>
    <w:p w14:paraId="10DAD9B1" w14:textId="77777777" w:rsidR="0027051F" w:rsidRPr="00063E70" w:rsidRDefault="0027051F" w:rsidP="0008255C">
      <w:pPr>
        <w:pStyle w:val="Heading2"/>
        <w:tabs>
          <w:tab w:val="left" w:pos="-1162"/>
          <w:tab w:val="left" w:pos="0"/>
        </w:tabs>
        <w:spacing w:line="240" w:lineRule="auto"/>
        <w:ind w:hanging="1134"/>
        <w:rPr>
          <w:szCs w:val="18"/>
        </w:rPr>
      </w:pPr>
      <w:bookmarkStart w:id="30" w:name="_Toc410397637"/>
      <w:r w:rsidRPr="00063E70">
        <w:rPr>
          <w:szCs w:val="18"/>
        </w:rPr>
        <w:t xml:space="preserve">4.1 </w:t>
      </w:r>
      <w:r w:rsidR="0008255C" w:rsidRPr="00063E70">
        <w:rPr>
          <w:szCs w:val="18"/>
        </w:rPr>
        <w:tab/>
      </w:r>
      <w:r w:rsidRPr="00063E70">
        <w:rPr>
          <w:szCs w:val="18"/>
        </w:rPr>
        <w:t>Relevantie voor Nederlandse BHOS-prioriteiten</w:t>
      </w:r>
      <w:bookmarkEnd w:id="30"/>
    </w:p>
    <w:p w14:paraId="757297E4" w14:textId="77777777" w:rsidR="00480E1F" w:rsidRDefault="00480E1F" w:rsidP="0027051F">
      <w:pPr>
        <w:rPr>
          <w:szCs w:val="18"/>
          <w:u w:val="single"/>
        </w:rPr>
      </w:pPr>
    </w:p>
    <w:p w14:paraId="722C2A6D" w14:textId="36C588BD" w:rsidR="00480E1F" w:rsidRDefault="00C23A4B" w:rsidP="00480E1F">
      <w:pPr>
        <w:rPr>
          <w:szCs w:val="18"/>
        </w:rPr>
      </w:pPr>
      <w:r>
        <w:rPr>
          <w:szCs w:val="18"/>
        </w:rPr>
        <w:t xml:space="preserve">Rol van de Bank: </w:t>
      </w:r>
      <w:r w:rsidR="00480E1F" w:rsidRPr="00480E1F">
        <w:rPr>
          <w:szCs w:val="18"/>
        </w:rPr>
        <w:t>Alle projecten van de EBRD zijn gebaseerd op investeringen in combinatie met technische assistentie en beleidsdialoog.</w:t>
      </w:r>
      <w:r w:rsidR="0041662E">
        <w:rPr>
          <w:szCs w:val="18"/>
        </w:rPr>
        <w:t xml:space="preserve"> De rol van de B</w:t>
      </w:r>
      <w:r w:rsidR="00480E1F" w:rsidRPr="00480E1F">
        <w:rPr>
          <w:szCs w:val="18"/>
        </w:rPr>
        <w:t xml:space="preserve">ank is dus </w:t>
      </w:r>
      <w:r w:rsidR="00246B54">
        <w:rPr>
          <w:szCs w:val="18"/>
        </w:rPr>
        <w:t xml:space="preserve">zowel gericht op het </w:t>
      </w:r>
      <w:r w:rsidR="00480E1F" w:rsidRPr="00480E1F">
        <w:rPr>
          <w:szCs w:val="18"/>
        </w:rPr>
        <w:t xml:space="preserve">verlenen van financiering </w:t>
      </w:r>
      <w:r w:rsidR="00246B54">
        <w:rPr>
          <w:szCs w:val="18"/>
        </w:rPr>
        <w:t>als</w:t>
      </w:r>
      <w:r w:rsidR="00480E1F" w:rsidRPr="00480E1F">
        <w:rPr>
          <w:szCs w:val="18"/>
        </w:rPr>
        <w:t xml:space="preserve"> (beleids)adviserend.</w:t>
      </w:r>
    </w:p>
    <w:p w14:paraId="2364993A" w14:textId="77777777" w:rsidR="00480E1F" w:rsidRPr="00063E70" w:rsidRDefault="00480E1F" w:rsidP="00480E1F">
      <w:pPr>
        <w:rPr>
          <w:szCs w:val="18"/>
        </w:rPr>
      </w:pPr>
    </w:p>
    <w:p w14:paraId="655702AF" w14:textId="77777777" w:rsidR="0027051F" w:rsidRPr="00353344" w:rsidRDefault="0027051F" w:rsidP="00681B2D">
      <w:pPr>
        <w:numPr>
          <w:ilvl w:val="0"/>
          <w:numId w:val="29"/>
        </w:numPr>
        <w:ind w:left="360"/>
        <w:rPr>
          <w:szCs w:val="18"/>
        </w:rPr>
      </w:pPr>
      <w:r w:rsidRPr="00353344">
        <w:rPr>
          <w:szCs w:val="18"/>
        </w:rPr>
        <w:t>Voedselzekerheid</w:t>
      </w:r>
    </w:p>
    <w:p w14:paraId="1497B413" w14:textId="0041790E" w:rsidR="00646274" w:rsidRPr="00353344" w:rsidRDefault="000F7106" w:rsidP="0094218D">
      <w:pPr>
        <w:rPr>
          <w:szCs w:val="18"/>
        </w:rPr>
      </w:pPr>
      <w:r w:rsidRPr="00353344">
        <w:rPr>
          <w:szCs w:val="18"/>
        </w:rPr>
        <w:t>R</w:t>
      </w:r>
      <w:r w:rsidR="00E6739D">
        <w:rPr>
          <w:szCs w:val="18"/>
        </w:rPr>
        <w:t>elevant</w:t>
      </w:r>
      <w:r w:rsidR="00C23A4B">
        <w:rPr>
          <w:szCs w:val="18"/>
        </w:rPr>
        <w:t xml:space="preserve">. </w:t>
      </w:r>
      <w:r w:rsidR="00646274" w:rsidRPr="00353344">
        <w:rPr>
          <w:szCs w:val="18"/>
        </w:rPr>
        <w:t xml:space="preserve">De EBRD heeft eind 2011 het </w:t>
      </w:r>
      <w:r w:rsidR="00646274" w:rsidRPr="00353344">
        <w:rPr>
          <w:i/>
          <w:szCs w:val="18"/>
        </w:rPr>
        <w:t>Private Sector Food Security</w:t>
      </w:r>
      <w:r w:rsidR="00646274" w:rsidRPr="00353344">
        <w:rPr>
          <w:szCs w:val="18"/>
        </w:rPr>
        <w:t xml:space="preserve"> </w:t>
      </w:r>
      <w:r w:rsidR="00646274" w:rsidRPr="00353344">
        <w:rPr>
          <w:i/>
          <w:szCs w:val="18"/>
        </w:rPr>
        <w:t>Initiative</w:t>
      </w:r>
      <w:r w:rsidR="00646274" w:rsidRPr="00353344">
        <w:rPr>
          <w:szCs w:val="18"/>
        </w:rPr>
        <w:t xml:space="preserve"> opgezet. Doelstelling van het initiatief </w:t>
      </w:r>
      <w:r w:rsidR="00683DCB" w:rsidRPr="00353344">
        <w:rPr>
          <w:szCs w:val="18"/>
        </w:rPr>
        <w:t xml:space="preserve">is </w:t>
      </w:r>
      <w:r w:rsidR="00646274" w:rsidRPr="00353344">
        <w:rPr>
          <w:szCs w:val="18"/>
        </w:rPr>
        <w:t xml:space="preserve">aanbod en vraag in de </w:t>
      </w:r>
      <w:r w:rsidR="00300FF4" w:rsidRPr="00353344">
        <w:rPr>
          <w:szCs w:val="18"/>
        </w:rPr>
        <w:t>landbouw</w:t>
      </w:r>
      <w:r w:rsidR="00683DCB" w:rsidRPr="00353344">
        <w:rPr>
          <w:szCs w:val="18"/>
        </w:rPr>
        <w:t xml:space="preserve"> sector b</w:t>
      </w:r>
      <w:r w:rsidR="00646274" w:rsidRPr="00353344">
        <w:rPr>
          <w:szCs w:val="18"/>
        </w:rPr>
        <w:t>eter op elkaar</w:t>
      </w:r>
      <w:r w:rsidR="00246B54">
        <w:rPr>
          <w:szCs w:val="18"/>
        </w:rPr>
        <w:t xml:space="preserve"> te</w:t>
      </w:r>
      <w:r w:rsidR="00646274" w:rsidRPr="00353344">
        <w:rPr>
          <w:szCs w:val="18"/>
        </w:rPr>
        <w:t xml:space="preserve"> laten aansluiten</w:t>
      </w:r>
      <w:r w:rsidR="00246B54">
        <w:rPr>
          <w:szCs w:val="18"/>
        </w:rPr>
        <w:t xml:space="preserve"> en d</w:t>
      </w:r>
      <w:r w:rsidR="00646274" w:rsidRPr="00353344">
        <w:rPr>
          <w:szCs w:val="18"/>
        </w:rPr>
        <w:t>aarbij de gehele voedselketen</w:t>
      </w:r>
      <w:r w:rsidR="00246B54">
        <w:rPr>
          <w:szCs w:val="18"/>
        </w:rPr>
        <w:t xml:space="preserve"> in aanmerking te nemen</w:t>
      </w:r>
      <w:r w:rsidR="00646274" w:rsidRPr="00353344">
        <w:rPr>
          <w:szCs w:val="18"/>
        </w:rPr>
        <w:t xml:space="preserve">. </w:t>
      </w:r>
      <w:r w:rsidR="0041662E">
        <w:rPr>
          <w:szCs w:val="18"/>
        </w:rPr>
        <w:t>De investeringen van de B</w:t>
      </w:r>
      <w:r w:rsidR="00300FF4" w:rsidRPr="00353344">
        <w:rPr>
          <w:szCs w:val="18"/>
        </w:rPr>
        <w:t xml:space="preserve">ank in </w:t>
      </w:r>
      <w:r w:rsidR="00246B54">
        <w:rPr>
          <w:szCs w:val="18"/>
        </w:rPr>
        <w:t xml:space="preserve">de </w:t>
      </w:r>
      <w:r w:rsidR="00300FF4" w:rsidRPr="00353344">
        <w:rPr>
          <w:szCs w:val="18"/>
        </w:rPr>
        <w:t>landbouw</w:t>
      </w:r>
      <w:r w:rsidR="00246B54">
        <w:rPr>
          <w:szCs w:val="18"/>
        </w:rPr>
        <w:t>sector zijn aanzienlijk;</w:t>
      </w:r>
      <w:r w:rsidR="00300FF4" w:rsidRPr="00353344">
        <w:rPr>
          <w:szCs w:val="18"/>
        </w:rPr>
        <w:t xml:space="preserve"> in 2014 </w:t>
      </w:r>
      <w:r w:rsidR="00246B54">
        <w:rPr>
          <w:szCs w:val="18"/>
        </w:rPr>
        <w:t>heeft</w:t>
      </w:r>
      <w:r w:rsidR="00300FF4" w:rsidRPr="00353344">
        <w:rPr>
          <w:szCs w:val="18"/>
        </w:rPr>
        <w:t xml:space="preserve"> de Bank EUR </w:t>
      </w:r>
      <w:r w:rsidR="00955C16" w:rsidRPr="00353344">
        <w:rPr>
          <w:szCs w:val="18"/>
        </w:rPr>
        <w:t>869</w:t>
      </w:r>
      <w:r w:rsidR="00246B54">
        <w:rPr>
          <w:szCs w:val="18"/>
        </w:rPr>
        <w:t xml:space="preserve"> miljoen</w:t>
      </w:r>
      <w:r w:rsidR="00300FF4" w:rsidRPr="00353344">
        <w:rPr>
          <w:szCs w:val="18"/>
        </w:rPr>
        <w:t xml:space="preserve"> </w:t>
      </w:r>
      <w:r w:rsidR="001D6051" w:rsidRPr="00353344">
        <w:rPr>
          <w:szCs w:val="18"/>
        </w:rPr>
        <w:t>geïnvesteerd</w:t>
      </w:r>
      <w:r w:rsidR="00300FF4" w:rsidRPr="00353344">
        <w:rPr>
          <w:szCs w:val="18"/>
        </w:rPr>
        <w:t xml:space="preserve"> in de landbouwsector</w:t>
      </w:r>
      <w:r w:rsidR="00246B54">
        <w:rPr>
          <w:szCs w:val="18"/>
        </w:rPr>
        <w:t>.</w:t>
      </w:r>
    </w:p>
    <w:p w14:paraId="1AE40104" w14:textId="77777777" w:rsidR="00093CA2" w:rsidRPr="00353344" w:rsidRDefault="00093CA2" w:rsidP="0094218D">
      <w:pPr>
        <w:rPr>
          <w:szCs w:val="18"/>
        </w:rPr>
      </w:pPr>
    </w:p>
    <w:p w14:paraId="3807AE33" w14:textId="77777777" w:rsidR="002E05CA" w:rsidRPr="00353344" w:rsidRDefault="0027051F" w:rsidP="00681B2D">
      <w:pPr>
        <w:numPr>
          <w:ilvl w:val="0"/>
          <w:numId w:val="29"/>
        </w:numPr>
        <w:ind w:left="360"/>
        <w:rPr>
          <w:szCs w:val="18"/>
        </w:rPr>
      </w:pPr>
      <w:r w:rsidRPr="00353344">
        <w:rPr>
          <w:szCs w:val="18"/>
        </w:rPr>
        <w:t>Water</w:t>
      </w:r>
    </w:p>
    <w:p w14:paraId="5E3D58CE" w14:textId="0EBC43AB" w:rsidR="004D3333" w:rsidRPr="00353344" w:rsidRDefault="00E6739D" w:rsidP="0048490D">
      <w:pPr>
        <w:rPr>
          <w:szCs w:val="18"/>
        </w:rPr>
      </w:pPr>
      <w:r>
        <w:rPr>
          <w:szCs w:val="18"/>
        </w:rPr>
        <w:t>Beperkt relevant</w:t>
      </w:r>
      <w:r w:rsidR="00C23A4B">
        <w:rPr>
          <w:szCs w:val="18"/>
        </w:rPr>
        <w:t xml:space="preserve">. </w:t>
      </w:r>
      <w:r w:rsidR="00683DCB" w:rsidRPr="00353344">
        <w:rPr>
          <w:szCs w:val="18"/>
        </w:rPr>
        <w:t xml:space="preserve">Vanuit het </w:t>
      </w:r>
      <w:r w:rsidR="00683DCB" w:rsidRPr="00353344">
        <w:rPr>
          <w:i/>
          <w:szCs w:val="18"/>
        </w:rPr>
        <w:t>Sustainable Resource Initiative</w:t>
      </w:r>
      <w:r w:rsidR="00683DCB" w:rsidRPr="00353344">
        <w:rPr>
          <w:szCs w:val="18"/>
        </w:rPr>
        <w:t xml:space="preserve"> (SRI) zet de Bank onder andere in op </w:t>
      </w:r>
      <w:r w:rsidR="003A4BEE" w:rsidRPr="00353344">
        <w:rPr>
          <w:szCs w:val="18"/>
        </w:rPr>
        <w:t>efficiënt</w:t>
      </w:r>
      <w:r w:rsidR="00683DCB" w:rsidRPr="00353344">
        <w:rPr>
          <w:szCs w:val="18"/>
        </w:rPr>
        <w:t xml:space="preserve"> gebruik van water. Dit is vooral relevant in de oostelijke </w:t>
      </w:r>
      <w:r w:rsidR="001D6051" w:rsidRPr="00353344">
        <w:rPr>
          <w:szCs w:val="18"/>
        </w:rPr>
        <w:t>Mediterrane</w:t>
      </w:r>
      <w:r w:rsidR="00683DCB" w:rsidRPr="00353344">
        <w:rPr>
          <w:szCs w:val="18"/>
        </w:rPr>
        <w:t xml:space="preserve"> regio </w:t>
      </w:r>
      <w:r w:rsidR="008E4711" w:rsidRPr="00353344">
        <w:rPr>
          <w:szCs w:val="18"/>
        </w:rPr>
        <w:t xml:space="preserve">de Kaukasus </w:t>
      </w:r>
      <w:r w:rsidR="00683DCB" w:rsidRPr="00353344">
        <w:rPr>
          <w:szCs w:val="18"/>
        </w:rPr>
        <w:t xml:space="preserve">en Centraal </w:t>
      </w:r>
      <w:r w:rsidR="001D6051" w:rsidRPr="00353344">
        <w:rPr>
          <w:szCs w:val="18"/>
        </w:rPr>
        <w:t>Azië</w:t>
      </w:r>
      <w:r w:rsidR="00683DCB" w:rsidRPr="00353344">
        <w:rPr>
          <w:szCs w:val="18"/>
        </w:rPr>
        <w:t>. De</w:t>
      </w:r>
      <w:r w:rsidR="00C722B7" w:rsidRPr="00353344">
        <w:rPr>
          <w:szCs w:val="18"/>
        </w:rPr>
        <w:t xml:space="preserve"> projecten zijn</w:t>
      </w:r>
      <w:r w:rsidR="00FA50DC" w:rsidRPr="00353344">
        <w:rPr>
          <w:szCs w:val="18"/>
        </w:rPr>
        <w:t xml:space="preserve"> gericht op lokale watervoorziening en afvalwaterverwerking en –zuivering. Daarbij gaat het behalve om rehabilitatie vooral om de introductie van een meer marktconforme aanpak van de bedrijfsvoering van de betreffende nutsbedrijven.</w:t>
      </w:r>
    </w:p>
    <w:p w14:paraId="7284C01C" w14:textId="77777777" w:rsidR="004D3333" w:rsidRPr="00353344" w:rsidRDefault="004D3333" w:rsidP="0048490D">
      <w:pPr>
        <w:rPr>
          <w:szCs w:val="18"/>
        </w:rPr>
      </w:pPr>
    </w:p>
    <w:p w14:paraId="69CAD3E0" w14:textId="77777777" w:rsidR="00FA50DC" w:rsidRPr="00353344" w:rsidRDefault="0027051F" w:rsidP="00FA50DC">
      <w:pPr>
        <w:numPr>
          <w:ilvl w:val="0"/>
          <w:numId w:val="29"/>
        </w:numPr>
        <w:ind w:left="360"/>
        <w:rPr>
          <w:szCs w:val="18"/>
        </w:rPr>
      </w:pPr>
      <w:r w:rsidRPr="00353344">
        <w:rPr>
          <w:szCs w:val="18"/>
        </w:rPr>
        <w:t>Veiligheid en Rechtsorde</w:t>
      </w:r>
    </w:p>
    <w:p w14:paraId="7B4B74F2" w14:textId="10189DDB" w:rsidR="00F37F3C" w:rsidRPr="00353344" w:rsidRDefault="000C41E3" w:rsidP="0048490D">
      <w:pPr>
        <w:rPr>
          <w:szCs w:val="18"/>
        </w:rPr>
      </w:pPr>
      <w:r w:rsidRPr="00353344">
        <w:rPr>
          <w:szCs w:val="18"/>
        </w:rPr>
        <w:t>Beperkt</w:t>
      </w:r>
      <w:r w:rsidR="00E6739D">
        <w:rPr>
          <w:szCs w:val="18"/>
        </w:rPr>
        <w:t xml:space="preserve"> relevant</w:t>
      </w:r>
      <w:r w:rsidR="00C23A4B">
        <w:rPr>
          <w:szCs w:val="18"/>
        </w:rPr>
        <w:t xml:space="preserve">. </w:t>
      </w:r>
      <w:r w:rsidR="0048490D" w:rsidRPr="00353344">
        <w:rPr>
          <w:szCs w:val="18"/>
        </w:rPr>
        <w:t xml:space="preserve">Vanuit </w:t>
      </w:r>
      <w:r w:rsidR="002A616E" w:rsidRPr="00353344">
        <w:rPr>
          <w:szCs w:val="18"/>
        </w:rPr>
        <w:t xml:space="preserve">haar </w:t>
      </w:r>
      <w:r w:rsidR="0048490D" w:rsidRPr="00353344">
        <w:rPr>
          <w:szCs w:val="18"/>
        </w:rPr>
        <w:t xml:space="preserve">mandaat is </w:t>
      </w:r>
      <w:r w:rsidR="00354400" w:rsidRPr="00353344">
        <w:rPr>
          <w:szCs w:val="18"/>
        </w:rPr>
        <w:t xml:space="preserve">een meerpartijendemocratie </w:t>
      </w:r>
      <w:r w:rsidR="00EB5AD6" w:rsidRPr="00353344">
        <w:rPr>
          <w:szCs w:val="18"/>
        </w:rPr>
        <w:t xml:space="preserve">een </w:t>
      </w:r>
      <w:r w:rsidR="0048490D" w:rsidRPr="00353344">
        <w:rPr>
          <w:szCs w:val="18"/>
        </w:rPr>
        <w:t>voorwaarde</w:t>
      </w:r>
      <w:r w:rsidR="002A616E" w:rsidRPr="00353344">
        <w:rPr>
          <w:szCs w:val="18"/>
        </w:rPr>
        <w:t xml:space="preserve"> om</w:t>
      </w:r>
      <w:r w:rsidR="00FA50DC" w:rsidRPr="00353344">
        <w:rPr>
          <w:szCs w:val="18"/>
        </w:rPr>
        <w:t xml:space="preserve"> programmaland te worden</w:t>
      </w:r>
      <w:r w:rsidR="0048490D" w:rsidRPr="00353344">
        <w:rPr>
          <w:szCs w:val="18"/>
        </w:rPr>
        <w:t>.</w:t>
      </w:r>
      <w:r w:rsidR="00FA50DC" w:rsidRPr="00353344">
        <w:rPr>
          <w:szCs w:val="18"/>
        </w:rPr>
        <w:t xml:space="preserve"> </w:t>
      </w:r>
      <w:r w:rsidR="00D22F5A">
        <w:rPr>
          <w:szCs w:val="18"/>
        </w:rPr>
        <w:t>D</w:t>
      </w:r>
      <w:r w:rsidR="00FA50DC" w:rsidRPr="00353344">
        <w:rPr>
          <w:szCs w:val="18"/>
        </w:rPr>
        <w:t xml:space="preserve">e Bank zet </w:t>
      </w:r>
      <w:r w:rsidR="00D22F5A">
        <w:rPr>
          <w:szCs w:val="18"/>
        </w:rPr>
        <w:t xml:space="preserve">echter </w:t>
      </w:r>
      <w:r w:rsidR="00FA50DC" w:rsidRPr="00353344">
        <w:rPr>
          <w:szCs w:val="18"/>
        </w:rPr>
        <w:t>n</w:t>
      </w:r>
      <w:r w:rsidR="00F37F3C" w:rsidRPr="00353344">
        <w:rPr>
          <w:szCs w:val="18"/>
        </w:rPr>
        <w:t>ie</w:t>
      </w:r>
      <w:r w:rsidR="002A616E" w:rsidRPr="00353344">
        <w:rPr>
          <w:szCs w:val="18"/>
        </w:rPr>
        <w:t>t</w:t>
      </w:r>
      <w:r w:rsidR="00F37F3C" w:rsidRPr="00353344">
        <w:rPr>
          <w:szCs w:val="18"/>
        </w:rPr>
        <w:t xml:space="preserve"> actief</w:t>
      </w:r>
      <w:r w:rsidR="00354400" w:rsidRPr="00353344">
        <w:rPr>
          <w:szCs w:val="18"/>
        </w:rPr>
        <w:t xml:space="preserve"> in op </w:t>
      </w:r>
      <w:r w:rsidR="00EB5AD6" w:rsidRPr="00353344">
        <w:rPr>
          <w:szCs w:val="18"/>
        </w:rPr>
        <w:t>v</w:t>
      </w:r>
      <w:r w:rsidR="00354400" w:rsidRPr="00353344">
        <w:rPr>
          <w:szCs w:val="18"/>
        </w:rPr>
        <w:t xml:space="preserve">eiligheid en </w:t>
      </w:r>
      <w:r w:rsidR="00EB5AD6" w:rsidRPr="00353344">
        <w:rPr>
          <w:szCs w:val="18"/>
        </w:rPr>
        <w:t>r</w:t>
      </w:r>
      <w:r w:rsidR="00FA50DC" w:rsidRPr="00353344">
        <w:rPr>
          <w:szCs w:val="18"/>
        </w:rPr>
        <w:t xml:space="preserve">echtsorde </w:t>
      </w:r>
      <w:r w:rsidR="002A616E" w:rsidRPr="00353344">
        <w:rPr>
          <w:szCs w:val="18"/>
        </w:rPr>
        <w:t>door middel van</w:t>
      </w:r>
      <w:r w:rsidR="00FA50DC" w:rsidRPr="00353344">
        <w:rPr>
          <w:szCs w:val="18"/>
        </w:rPr>
        <w:t xml:space="preserve"> projecten</w:t>
      </w:r>
      <w:r w:rsidR="008E3DA4" w:rsidRPr="00353344">
        <w:rPr>
          <w:szCs w:val="18"/>
        </w:rPr>
        <w:t>.</w:t>
      </w:r>
    </w:p>
    <w:p w14:paraId="18D267E5" w14:textId="77777777" w:rsidR="0048490D" w:rsidRPr="00353344" w:rsidRDefault="0048490D" w:rsidP="0048490D">
      <w:pPr>
        <w:rPr>
          <w:szCs w:val="18"/>
        </w:rPr>
      </w:pPr>
    </w:p>
    <w:p w14:paraId="5AE878F5" w14:textId="77777777" w:rsidR="0027051F" w:rsidRPr="00353344" w:rsidRDefault="0027051F" w:rsidP="00681B2D">
      <w:pPr>
        <w:numPr>
          <w:ilvl w:val="0"/>
          <w:numId w:val="29"/>
        </w:numPr>
        <w:ind w:left="360"/>
        <w:rPr>
          <w:szCs w:val="18"/>
        </w:rPr>
      </w:pPr>
      <w:r w:rsidRPr="00353344">
        <w:rPr>
          <w:szCs w:val="18"/>
        </w:rPr>
        <w:t>Seksuele en Reproductieve Gezondheid en Rechten (SRGR), inclusief hiv/aids</w:t>
      </w:r>
    </w:p>
    <w:p w14:paraId="5ADCDB15" w14:textId="4C0B96AE" w:rsidR="0048490D" w:rsidRPr="00353344" w:rsidRDefault="0048490D" w:rsidP="0048490D">
      <w:pPr>
        <w:rPr>
          <w:szCs w:val="18"/>
        </w:rPr>
      </w:pPr>
      <w:r w:rsidRPr="00353344">
        <w:rPr>
          <w:szCs w:val="18"/>
        </w:rPr>
        <w:t>Niet relevant</w:t>
      </w:r>
      <w:r w:rsidR="00C23A4B">
        <w:rPr>
          <w:szCs w:val="18"/>
        </w:rPr>
        <w:t xml:space="preserve">. </w:t>
      </w:r>
      <w:r w:rsidR="00A37C4F" w:rsidRPr="00353344">
        <w:rPr>
          <w:szCs w:val="18"/>
        </w:rPr>
        <w:t>De EBRD is niet actief op dit gebied.</w:t>
      </w:r>
    </w:p>
    <w:p w14:paraId="65CD980F" w14:textId="77777777" w:rsidR="0048490D" w:rsidRPr="00353344" w:rsidRDefault="0048490D" w:rsidP="0048490D">
      <w:pPr>
        <w:rPr>
          <w:szCs w:val="18"/>
        </w:rPr>
      </w:pPr>
    </w:p>
    <w:p w14:paraId="4D24F319" w14:textId="421C1B1F" w:rsidR="0048490D" w:rsidRPr="00C23A4B" w:rsidRDefault="0027051F" w:rsidP="0048490D">
      <w:pPr>
        <w:numPr>
          <w:ilvl w:val="0"/>
          <w:numId w:val="29"/>
        </w:numPr>
        <w:ind w:left="360"/>
        <w:rPr>
          <w:szCs w:val="18"/>
        </w:rPr>
      </w:pPr>
      <w:r w:rsidRPr="00353344">
        <w:rPr>
          <w:szCs w:val="18"/>
        </w:rPr>
        <w:t>Gendergelijkheid</w:t>
      </w:r>
    </w:p>
    <w:p w14:paraId="0CE395E7" w14:textId="5BB21A13" w:rsidR="003E1D89" w:rsidRPr="00353344" w:rsidRDefault="00C23A4B" w:rsidP="0048490D">
      <w:pPr>
        <w:rPr>
          <w:szCs w:val="18"/>
        </w:rPr>
      </w:pPr>
      <w:r>
        <w:rPr>
          <w:szCs w:val="18"/>
        </w:rPr>
        <w:t xml:space="preserve">Beperkt relevant. </w:t>
      </w:r>
      <w:r w:rsidR="00864A77" w:rsidRPr="00353344">
        <w:rPr>
          <w:szCs w:val="18"/>
        </w:rPr>
        <w:t xml:space="preserve">Midden </w:t>
      </w:r>
      <w:r w:rsidR="0048490D" w:rsidRPr="00353344">
        <w:rPr>
          <w:szCs w:val="18"/>
        </w:rPr>
        <w:t xml:space="preserve">2013 </w:t>
      </w:r>
      <w:r w:rsidR="00344624" w:rsidRPr="00353344">
        <w:rPr>
          <w:szCs w:val="18"/>
        </w:rPr>
        <w:t xml:space="preserve">startte de Bank het </w:t>
      </w:r>
      <w:r w:rsidR="0048490D" w:rsidRPr="00353344">
        <w:rPr>
          <w:i/>
          <w:szCs w:val="18"/>
        </w:rPr>
        <w:t>Strategic Gender Initiative</w:t>
      </w:r>
      <w:r w:rsidR="00864A77" w:rsidRPr="00353344">
        <w:rPr>
          <w:i/>
          <w:szCs w:val="18"/>
        </w:rPr>
        <w:t xml:space="preserve"> </w:t>
      </w:r>
      <w:r w:rsidR="00864A77" w:rsidRPr="00353344">
        <w:rPr>
          <w:szCs w:val="18"/>
        </w:rPr>
        <w:t xml:space="preserve">waarmee het de economische vooruitzichten voor vrouwen probeert te verbeteren in regio’s waar genderongelijkheid groot is. Vanaf de start van het project tot april 2014 zijn er binnen dit initiatief 16 projecten opgestart en is er </w:t>
      </w:r>
      <w:r w:rsidR="00C722B7" w:rsidRPr="00353344">
        <w:rPr>
          <w:szCs w:val="18"/>
        </w:rPr>
        <w:t>voor</w:t>
      </w:r>
      <w:r w:rsidR="00D22F5A">
        <w:rPr>
          <w:szCs w:val="18"/>
        </w:rPr>
        <w:t xml:space="preserve"> EUR 1,5 miljoen</w:t>
      </w:r>
      <w:r w:rsidR="00864A77" w:rsidRPr="00353344">
        <w:rPr>
          <w:szCs w:val="18"/>
        </w:rPr>
        <w:t xml:space="preserve"> een technisch ondersteuningsprogramma opgezet. </w:t>
      </w:r>
      <w:r w:rsidR="003E1D89" w:rsidRPr="00353344">
        <w:rPr>
          <w:szCs w:val="18"/>
        </w:rPr>
        <w:t>Hoewel dit stappe</w:t>
      </w:r>
      <w:r w:rsidR="00D22F5A">
        <w:rPr>
          <w:szCs w:val="18"/>
        </w:rPr>
        <w:t xml:space="preserve">n in de goede richting zijn kan de </w:t>
      </w:r>
      <w:r w:rsidR="003E1D89" w:rsidRPr="00353344">
        <w:rPr>
          <w:szCs w:val="18"/>
        </w:rPr>
        <w:t xml:space="preserve">EBRD zich meer </w:t>
      </w:r>
      <w:r w:rsidR="00D22F5A">
        <w:rPr>
          <w:szCs w:val="18"/>
        </w:rPr>
        <w:t>inspannen om g</w:t>
      </w:r>
      <w:r w:rsidR="003E1D89" w:rsidRPr="00353344">
        <w:rPr>
          <w:szCs w:val="18"/>
        </w:rPr>
        <w:t>ender systematisch te verankeren in haar beleid.</w:t>
      </w:r>
      <w:r w:rsidR="00E6739D">
        <w:rPr>
          <w:szCs w:val="18"/>
        </w:rPr>
        <w:t xml:space="preserve"> </w:t>
      </w:r>
      <w:r w:rsidR="00D22F5A">
        <w:rPr>
          <w:szCs w:val="18"/>
        </w:rPr>
        <w:t>D</w:t>
      </w:r>
      <w:r w:rsidR="00E6739D">
        <w:rPr>
          <w:szCs w:val="18"/>
        </w:rPr>
        <w:t xml:space="preserve">e Bank </w:t>
      </w:r>
      <w:r w:rsidR="00D22F5A">
        <w:rPr>
          <w:szCs w:val="18"/>
        </w:rPr>
        <w:t xml:space="preserve">komt </w:t>
      </w:r>
      <w:r w:rsidR="00E6739D">
        <w:rPr>
          <w:szCs w:val="18"/>
        </w:rPr>
        <w:t>dit jaar met een nieuwe genderstrategie</w:t>
      </w:r>
      <w:r w:rsidR="00D22F5A">
        <w:rPr>
          <w:szCs w:val="18"/>
        </w:rPr>
        <w:t>.</w:t>
      </w:r>
    </w:p>
    <w:p w14:paraId="11FA6E20" w14:textId="77777777" w:rsidR="0048490D" w:rsidRPr="00353344" w:rsidRDefault="0048490D" w:rsidP="0048490D">
      <w:pPr>
        <w:rPr>
          <w:szCs w:val="18"/>
        </w:rPr>
      </w:pPr>
    </w:p>
    <w:p w14:paraId="4F5F85BC" w14:textId="77777777" w:rsidR="0027051F" w:rsidRPr="00353344" w:rsidRDefault="0027051F" w:rsidP="00681B2D">
      <w:pPr>
        <w:numPr>
          <w:ilvl w:val="0"/>
          <w:numId w:val="29"/>
        </w:numPr>
        <w:ind w:left="360"/>
        <w:rPr>
          <w:szCs w:val="18"/>
        </w:rPr>
      </w:pPr>
      <w:r w:rsidRPr="00353344">
        <w:rPr>
          <w:szCs w:val="18"/>
        </w:rPr>
        <w:t>Klimaat</w:t>
      </w:r>
    </w:p>
    <w:p w14:paraId="0F226220" w14:textId="791403DB" w:rsidR="00297F06" w:rsidRDefault="00A65A0D" w:rsidP="0048490D">
      <w:pPr>
        <w:rPr>
          <w:szCs w:val="18"/>
        </w:rPr>
      </w:pPr>
      <w:r w:rsidRPr="00353344">
        <w:rPr>
          <w:szCs w:val="18"/>
        </w:rPr>
        <w:t>R</w:t>
      </w:r>
      <w:r w:rsidR="00A37C4F" w:rsidRPr="00353344">
        <w:rPr>
          <w:szCs w:val="18"/>
        </w:rPr>
        <w:t>ele</w:t>
      </w:r>
      <w:r w:rsidR="00C23A4B">
        <w:rPr>
          <w:szCs w:val="18"/>
        </w:rPr>
        <w:t xml:space="preserve">vant. </w:t>
      </w:r>
      <w:r w:rsidR="00F52FE7" w:rsidRPr="00353344">
        <w:rPr>
          <w:szCs w:val="18"/>
        </w:rPr>
        <w:t>Met het</w:t>
      </w:r>
      <w:r w:rsidR="00F52FE7" w:rsidRPr="00353344">
        <w:rPr>
          <w:i/>
          <w:szCs w:val="18"/>
        </w:rPr>
        <w:t xml:space="preserve"> </w:t>
      </w:r>
      <w:r w:rsidR="00297F06" w:rsidRPr="00353344">
        <w:rPr>
          <w:i/>
          <w:szCs w:val="18"/>
        </w:rPr>
        <w:t>Sustainable Energy Initiative</w:t>
      </w:r>
      <w:r w:rsidR="00F52FE7" w:rsidRPr="00353344">
        <w:rPr>
          <w:szCs w:val="18"/>
        </w:rPr>
        <w:t xml:space="preserve"> dat werd opgezet in 2006 zet</w:t>
      </w:r>
      <w:r w:rsidR="00297F06" w:rsidRPr="00353344">
        <w:rPr>
          <w:szCs w:val="18"/>
        </w:rPr>
        <w:t xml:space="preserve"> </w:t>
      </w:r>
      <w:r w:rsidR="00F52FE7" w:rsidRPr="00353344">
        <w:rPr>
          <w:szCs w:val="18"/>
        </w:rPr>
        <w:t xml:space="preserve">de </w:t>
      </w:r>
      <w:r w:rsidR="00297F06" w:rsidRPr="00353344">
        <w:rPr>
          <w:szCs w:val="18"/>
        </w:rPr>
        <w:t xml:space="preserve">Bank in op </w:t>
      </w:r>
      <w:r w:rsidR="00F52FE7" w:rsidRPr="00353344">
        <w:rPr>
          <w:szCs w:val="18"/>
        </w:rPr>
        <w:t xml:space="preserve">projecten gericht op </w:t>
      </w:r>
      <w:r w:rsidR="003A4BEE" w:rsidRPr="00353344">
        <w:rPr>
          <w:szCs w:val="18"/>
        </w:rPr>
        <w:t>efficiënt</w:t>
      </w:r>
      <w:r w:rsidR="00297F06" w:rsidRPr="00353344">
        <w:rPr>
          <w:szCs w:val="18"/>
        </w:rPr>
        <w:t xml:space="preserve"> gebruik van energie en </w:t>
      </w:r>
      <w:r w:rsidR="00D22F5A">
        <w:rPr>
          <w:szCs w:val="18"/>
        </w:rPr>
        <w:t xml:space="preserve">de toepassing van </w:t>
      </w:r>
      <w:r w:rsidR="00297F06" w:rsidRPr="00353344">
        <w:rPr>
          <w:szCs w:val="18"/>
        </w:rPr>
        <w:t>hernieuwbare energie</w:t>
      </w:r>
      <w:r w:rsidR="00D22F5A">
        <w:rPr>
          <w:szCs w:val="18"/>
        </w:rPr>
        <w:t>bronnen</w:t>
      </w:r>
      <w:r w:rsidR="00297F06" w:rsidRPr="00353344">
        <w:rPr>
          <w:szCs w:val="18"/>
        </w:rPr>
        <w:t xml:space="preserve">. </w:t>
      </w:r>
      <w:r w:rsidR="00F52FE7" w:rsidRPr="00353344">
        <w:rPr>
          <w:szCs w:val="18"/>
        </w:rPr>
        <w:t xml:space="preserve">De resultaten voor dit initiatief zijn boven verwachting. In de periode </w:t>
      </w:r>
      <w:r w:rsidR="003A4BEE" w:rsidRPr="00353344">
        <w:rPr>
          <w:szCs w:val="18"/>
        </w:rPr>
        <w:t>2009-2011 is er voor EUR 6,</w:t>
      </w:r>
      <w:r w:rsidR="00D22F5A">
        <w:rPr>
          <w:szCs w:val="18"/>
        </w:rPr>
        <w:t>1 miljard</w:t>
      </w:r>
      <w:r w:rsidR="00F52FE7" w:rsidRPr="00353344">
        <w:rPr>
          <w:szCs w:val="18"/>
        </w:rPr>
        <w:t xml:space="preserve"> in projecten binnen </w:t>
      </w:r>
      <w:r w:rsidR="001D6051" w:rsidRPr="00353344">
        <w:rPr>
          <w:szCs w:val="18"/>
        </w:rPr>
        <w:t>geïnvesteerd</w:t>
      </w:r>
      <w:r w:rsidR="00F52FE7" w:rsidRPr="00353344">
        <w:rPr>
          <w:szCs w:val="18"/>
        </w:rPr>
        <w:t xml:space="preserve"> met een </w:t>
      </w:r>
      <w:r w:rsidR="003A4BEE" w:rsidRPr="00353344">
        <w:rPr>
          <w:szCs w:val="18"/>
        </w:rPr>
        <w:t>totale projectwaarde van EUR 32,</w:t>
      </w:r>
      <w:r w:rsidR="00D22F5A">
        <w:rPr>
          <w:szCs w:val="18"/>
        </w:rPr>
        <w:t>9 miljard</w:t>
      </w:r>
      <w:r w:rsidR="00F52FE7" w:rsidRPr="00353344">
        <w:rPr>
          <w:szCs w:val="18"/>
        </w:rPr>
        <w:t xml:space="preserve">. Dit heeft </w:t>
      </w:r>
      <w:r w:rsidR="00D22F5A">
        <w:rPr>
          <w:szCs w:val="18"/>
        </w:rPr>
        <w:t>in deze</w:t>
      </w:r>
      <w:r w:rsidR="003A4BEE" w:rsidRPr="00353344">
        <w:rPr>
          <w:szCs w:val="18"/>
        </w:rPr>
        <w:t xml:space="preserve"> periode geresulteerd in 25,</w:t>
      </w:r>
      <w:r w:rsidR="00D22F5A">
        <w:rPr>
          <w:szCs w:val="18"/>
        </w:rPr>
        <w:t>6 miljoen</w:t>
      </w:r>
      <w:r w:rsidR="001D6051" w:rsidRPr="00353344">
        <w:rPr>
          <w:szCs w:val="18"/>
        </w:rPr>
        <w:t xml:space="preserve"> ton CO2-</w:t>
      </w:r>
      <w:r w:rsidR="00F52FE7" w:rsidRPr="00353344">
        <w:rPr>
          <w:szCs w:val="18"/>
        </w:rPr>
        <w:t xml:space="preserve">reductie per jaar. </w:t>
      </w:r>
    </w:p>
    <w:p w14:paraId="351B22D8" w14:textId="77777777" w:rsidR="009505AC" w:rsidRDefault="009505AC" w:rsidP="0048490D">
      <w:pPr>
        <w:rPr>
          <w:szCs w:val="18"/>
        </w:rPr>
      </w:pPr>
    </w:p>
    <w:p w14:paraId="6D147B4D" w14:textId="4634309C" w:rsidR="0048490D" w:rsidRDefault="00AA17AD" w:rsidP="0048490D">
      <w:pPr>
        <w:rPr>
          <w:szCs w:val="18"/>
        </w:rPr>
      </w:pPr>
      <w:r w:rsidRPr="00AA17AD">
        <w:rPr>
          <w:szCs w:val="18"/>
        </w:rPr>
        <w:t xml:space="preserve">De EBRD geeft in haar meerjarig beleidsplan aan zich de komende jaren nog veel meer te zullen inzetten op klimaat. De potentie van de Bank op dit vlak is groot: </w:t>
      </w:r>
      <w:r w:rsidR="00C10A75">
        <w:rPr>
          <w:szCs w:val="18"/>
        </w:rPr>
        <w:t xml:space="preserve">Een goed functionerende markteconomie maakt efficiënt gebruikt van energie en internaliseert de kosten van emissies. De regio waarin de EBRD opereert is een van de </w:t>
      </w:r>
      <w:proofErr w:type="gramStart"/>
      <w:r w:rsidR="00C10A75">
        <w:rPr>
          <w:szCs w:val="18"/>
        </w:rPr>
        <w:t>m</w:t>
      </w:r>
      <w:r w:rsidR="00D22F5A">
        <w:rPr>
          <w:szCs w:val="18"/>
        </w:rPr>
        <w:t>inst</w:t>
      </w:r>
      <w:proofErr w:type="gramEnd"/>
      <w:r w:rsidR="00D22F5A">
        <w:rPr>
          <w:szCs w:val="18"/>
        </w:rPr>
        <w:t xml:space="preserve"> energie </w:t>
      </w:r>
      <w:r w:rsidR="00C10A75">
        <w:rPr>
          <w:szCs w:val="18"/>
        </w:rPr>
        <w:t>efficiënte regio’s ter wereld. Door haar focus op de private sector en</w:t>
      </w:r>
      <w:r w:rsidR="00D22F5A">
        <w:rPr>
          <w:szCs w:val="18"/>
        </w:rPr>
        <w:t xml:space="preserve"> op</w:t>
      </w:r>
      <w:r w:rsidR="00C10A75">
        <w:rPr>
          <w:szCs w:val="18"/>
        </w:rPr>
        <w:t xml:space="preserve"> marktwerking kan de EBRD commercieel </w:t>
      </w:r>
      <w:r w:rsidR="00D22F5A">
        <w:rPr>
          <w:szCs w:val="18"/>
        </w:rPr>
        <w:t xml:space="preserve">enerzijds </w:t>
      </w:r>
      <w:r w:rsidR="00C10A75">
        <w:rPr>
          <w:szCs w:val="18"/>
        </w:rPr>
        <w:t xml:space="preserve">aantrekkelijke </w:t>
      </w:r>
      <w:proofErr w:type="gramStart"/>
      <w:r w:rsidR="00C10A75">
        <w:rPr>
          <w:szCs w:val="18"/>
        </w:rPr>
        <w:t>emissiereductie</w:t>
      </w:r>
      <w:r w:rsidR="00D22F5A">
        <w:rPr>
          <w:szCs w:val="18"/>
        </w:rPr>
        <w:t>s</w:t>
      </w:r>
      <w:proofErr w:type="gramEnd"/>
      <w:r w:rsidR="00C10A75">
        <w:rPr>
          <w:szCs w:val="18"/>
        </w:rPr>
        <w:t xml:space="preserve"> stimuleren, </w:t>
      </w:r>
      <w:r w:rsidR="00D22F5A">
        <w:rPr>
          <w:szCs w:val="18"/>
        </w:rPr>
        <w:t>en anderzijds</w:t>
      </w:r>
      <w:r w:rsidR="00C10A75">
        <w:rPr>
          <w:szCs w:val="18"/>
        </w:rPr>
        <w:t xml:space="preserve"> private </w:t>
      </w:r>
      <w:r w:rsidR="00D22F5A">
        <w:rPr>
          <w:szCs w:val="18"/>
        </w:rPr>
        <w:t xml:space="preserve">sector </w:t>
      </w:r>
      <w:r w:rsidR="00C10A75">
        <w:rPr>
          <w:szCs w:val="18"/>
        </w:rPr>
        <w:t>financiering aan</w:t>
      </w:r>
      <w:r w:rsidR="00D22F5A">
        <w:rPr>
          <w:szCs w:val="18"/>
        </w:rPr>
        <w:t>tre</w:t>
      </w:r>
      <w:r w:rsidR="00C10A75">
        <w:rPr>
          <w:szCs w:val="18"/>
        </w:rPr>
        <w:t xml:space="preserve">kken voor duurzame energieprojecten. </w:t>
      </w:r>
    </w:p>
    <w:p w14:paraId="45CB3A13" w14:textId="77777777" w:rsidR="00FA56CD" w:rsidRPr="00353344" w:rsidRDefault="00FA56CD" w:rsidP="0048490D">
      <w:pPr>
        <w:rPr>
          <w:szCs w:val="18"/>
        </w:rPr>
      </w:pPr>
    </w:p>
    <w:p w14:paraId="207FC38B" w14:textId="77777777" w:rsidR="0027051F" w:rsidRPr="00134AD7" w:rsidRDefault="0027051F" w:rsidP="00681B2D">
      <w:pPr>
        <w:numPr>
          <w:ilvl w:val="0"/>
          <w:numId w:val="29"/>
        </w:numPr>
        <w:ind w:left="360"/>
        <w:rPr>
          <w:i/>
          <w:szCs w:val="18"/>
        </w:rPr>
      </w:pPr>
      <w:r w:rsidRPr="00134AD7">
        <w:rPr>
          <w:i/>
          <w:szCs w:val="18"/>
        </w:rPr>
        <w:t xml:space="preserve">Private Sector Development </w:t>
      </w:r>
    </w:p>
    <w:p w14:paraId="26358012" w14:textId="6743C993" w:rsidR="002D4384" w:rsidRDefault="002D4384" w:rsidP="002D4384">
      <w:pPr>
        <w:rPr>
          <w:szCs w:val="18"/>
        </w:rPr>
      </w:pPr>
      <w:r>
        <w:rPr>
          <w:szCs w:val="18"/>
        </w:rPr>
        <w:t>R</w:t>
      </w:r>
      <w:r w:rsidRPr="00F2249B">
        <w:rPr>
          <w:szCs w:val="18"/>
        </w:rPr>
        <w:t>elevant</w:t>
      </w:r>
      <w:r w:rsidR="00C23A4B">
        <w:rPr>
          <w:szCs w:val="18"/>
        </w:rPr>
        <w:t xml:space="preserve">. </w:t>
      </w:r>
      <w:r w:rsidR="000E7C7F" w:rsidRPr="000E7C7F">
        <w:rPr>
          <w:szCs w:val="18"/>
        </w:rPr>
        <w:t xml:space="preserve">Het ondersteunen van duurzame economische </w:t>
      </w:r>
      <w:r w:rsidR="000E7C7F">
        <w:rPr>
          <w:szCs w:val="18"/>
        </w:rPr>
        <w:t>t</w:t>
      </w:r>
      <w:r>
        <w:rPr>
          <w:szCs w:val="18"/>
        </w:rPr>
        <w:t xml:space="preserve">ransitie in middeninkomenslanden door middel van private sector ontwikkeling is de hoofddoelstelling van de Bank. De Bank levert met haar activiteiten een </w:t>
      </w:r>
      <w:r w:rsidR="00F077E1">
        <w:rPr>
          <w:szCs w:val="18"/>
        </w:rPr>
        <w:t>forse</w:t>
      </w:r>
      <w:r>
        <w:rPr>
          <w:szCs w:val="18"/>
        </w:rPr>
        <w:t xml:space="preserve"> bijdrage aan de ontwikkeling van de private sector in de </w:t>
      </w:r>
      <w:r w:rsidR="00F077E1">
        <w:rPr>
          <w:szCs w:val="18"/>
        </w:rPr>
        <w:t xml:space="preserve">ontvangende </w:t>
      </w:r>
      <w:r>
        <w:rPr>
          <w:szCs w:val="18"/>
        </w:rPr>
        <w:t>landen. Naast het financieren van projecten en het aankopen van deelnemingen en obligaties om kapitaalmarkten te ontwikkelen, zet de EBRD zich in om de institutionele voorwaarden te creëren voor pri</w:t>
      </w:r>
      <w:r w:rsidR="000E7C7F">
        <w:rPr>
          <w:szCs w:val="18"/>
        </w:rPr>
        <w:t>vate sector ontwikkeling. D</w:t>
      </w:r>
      <w:r>
        <w:rPr>
          <w:szCs w:val="18"/>
        </w:rPr>
        <w:t xml:space="preserve">oor anti-corruptieactiviteiten en beleidsadvies op het gebied van </w:t>
      </w:r>
      <w:r>
        <w:rPr>
          <w:i/>
          <w:szCs w:val="18"/>
        </w:rPr>
        <w:t>good governance</w:t>
      </w:r>
      <w:r>
        <w:rPr>
          <w:szCs w:val="18"/>
        </w:rPr>
        <w:t xml:space="preserve"> probeert de EBRD een systematische en blijvende verbet</w:t>
      </w:r>
      <w:r w:rsidR="000E7C7F">
        <w:rPr>
          <w:szCs w:val="18"/>
        </w:rPr>
        <w:t xml:space="preserve">ering te bewerkstelligen in de ontvangende </w:t>
      </w:r>
      <w:r>
        <w:rPr>
          <w:szCs w:val="18"/>
        </w:rPr>
        <w:t xml:space="preserve">landen. </w:t>
      </w:r>
    </w:p>
    <w:p w14:paraId="6D7EE9E9" w14:textId="77777777" w:rsidR="005B4084" w:rsidRPr="00353344" w:rsidRDefault="005B4084" w:rsidP="0048490D">
      <w:pPr>
        <w:rPr>
          <w:szCs w:val="18"/>
        </w:rPr>
      </w:pPr>
    </w:p>
    <w:p w14:paraId="15919C55" w14:textId="2FA25B1C" w:rsidR="0048490D" w:rsidRPr="00C23A4B" w:rsidRDefault="0027051F" w:rsidP="0048490D">
      <w:pPr>
        <w:numPr>
          <w:ilvl w:val="0"/>
          <w:numId w:val="29"/>
        </w:numPr>
        <w:ind w:left="360"/>
        <w:rPr>
          <w:szCs w:val="18"/>
        </w:rPr>
      </w:pPr>
      <w:r w:rsidRPr="00353344">
        <w:rPr>
          <w:szCs w:val="18"/>
        </w:rPr>
        <w:t>Humanitaire hulp</w:t>
      </w:r>
      <w:r w:rsidR="002E05CA" w:rsidRPr="00353344">
        <w:rPr>
          <w:szCs w:val="18"/>
        </w:rPr>
        <w:t xml:space="preserve"> </w:t>
      </w:r>
    </w:p>
    <w:p w14:paraId="0EA57328" w14:textId="633E946B" w:rsidR="004D3333" w:rsidRPr="00353344" w:rsidRDefault="0048490D" w:rsidP="002C45B0">
      <w:pPr>
        <w:rPr>
          <w:szCs w:val="18"/>
        </w:rPr>
      </w:pPr>
      <w:r w:rsidRPr="00353344">
        <w:rPr>
          <w:szCs w:val="18"/>
        </w:rPr>
        <w:t>Niet relevant</w:t>
      </w:r>
      <w:r w:rsidR="00C23A4B">
        <w:rPr>
          <w:szCs w:val="18"/>
        </w:rPr>
        <w:t xml:space="preserve">. </w:t>
      </w:r>
      <w:r w:rsidR="00A37C4F" w:rsidRPr="00353344">
        <w:rPr>
          <w:szCs w:val="18"/>
        </w:rPr>
        <w:t>De EBRD is niet actief op dit gebied.</w:t>
      </w:r>
      <w:r w:rsidR="00957F7E" w:rsidRPr="00353344">
        <w:rPr>
          <w:szCs w:val="18"/>
        </w:rPr>
        <w:t xml:space="preserve"> Maar, wanneer de EBRD binnen haar mandaat kan bijdragen is zij daartoe eventueel bereid. Een voorbeeld is de reactie op de overstromingen in de Westelijke-Balkan van begin 2014 waarbij de EBRD bestaande faciliteiten richting wederopbouw herleidde en zich committeerde aan nieuwe financieringen</w:t>
      </w:r>
      <w:r w:rsidR="00DE4E53">
        <w:rPr>
          <w:szCs w:val="18"/>
        </w:rPr>
        <w:t>.</w:t>
      </w:r>
      <w:r w:rsidR="00EE5549" w:rsidRPr="00353344">
        <w:rPr>
          <w:szCs w:val="18"/>
        </w:rPr>
        <w:t xml:space="preserve"> </w:t>
      </w:r>
    </w:p>
    <w:p w14:paraId="7C3F6DD7" w14:textId="77777777" w:rsidR="00EB5AD6" w:rsidRPr="00063E70" w:rsidRDefault="00EB5AD6" w:rsidP="002C45B0">
      <w:pPr>
        <w:rPr>
          <w:szCs w:val="18"/>
        </w:rPr>
      </w:pPr>
    </w:p>
    <w:p w14:paraId="267C78FE" w14:textId="77777777" w:rsidR="00C23A4B" w:rsidRDefault="005749A5" w:rsidP="00C23A4B">
      <w:pPr>
        <w:pStyle w:val="Heading2"/>
        <w:tabs>
          <w:tab w:val="left" w:pos="-1162"/>
          <w:tab w:val="left" w:pos="0"/>
          <w:tab w:val="num" w:pos="1160"/>
        </w:tabs>
        <w:spacing w:line="240" w:lineRule="auto"/>
        <w:ind w:hanging="1162"/>
        <w:rPr>
          <w:szCs w:val="18"/>
        </w:rPr>
      </w:pPr>
      <w:bookmarkStart w:id="31" w:name="_Toc410140912"/>
      <w:bookmarkStart w:id="32" w:name="_Toc410397638"/>
      <w:r w:rsidRPr="00063E70">
        <w:rPr>
          <w:szCs w:val="18"/>
        </w:rPr>
        <w:t>4</w:t>
      </w:r>
      <w:r w:rsidR="003331DA" w:rsidRPr="00063E70">
        <w:rPr>
          <w:szCs w:val="18"/>
        </w:rPr>
        <w:t>.</w:t>
      </w:r>
      <w:r w:rsidR="00195B13" w:rsidRPr="00063E70">
        <w:rPr>
          <w:szCs w:val="18"/>
        </w:rPr>
        <w:t>2</w:t>
      </w:r>
      <w:r w:rsidR="008624F0" w:rsidRPr="00063E70">
        <w:rPr>
          <w:szCs w:val="18"/>
        </w:rPr>
        <w:tab/>
      </w:r>
      <w:r w:rsidR="00C23A4B">
        <w:rPr>
          <w:szCs w:val="18"/>
        </w:rPr>
        <w:t>Extra</w:t>
      </w:r>
      <w:r w:rsidR="008624F0" w:rsidRPr="00063E70">
        <w:rPr>
          <w:szCs w:val="18"/>
        </w:rPr>
        <w:t xml:space="preserve"> relevantie</w:t>
      </w:r>
      <w:bookmarkEnd w:id="31"/>
      <w:bookmarkEnd w:id="32"/>
      <w:r w:rsidR="0057402A" w:rsidRPr="00063E70">
        <w:rPr>
          <w:szCs w:val="18"/>
        </w:rPr>
        <w:t xml:space="preserve"> </w:t>
      </w:r>
    </w:p>
    <w:p w14:paraId="2DC14810" w14:textId="77777777" w:rsidR="00C23A4B" w:rsidRDefault="00C23A4B" w:rsidP="00C23A4B">
      <w:pPr>
        <w:pStyle w:val="Heading2"/>
        <w:tabs>
          <w:tab w:val="left" w:pos="-1162"/>
          <w:tab w:val="left" w:pos="0"/>
          <w:tab w:val="num" w:pos="1160"/>
        </w:tabs>
        <w:spacing w:line="240" w:lineRule="auto"/>
        <w:ind w:hanging="1162"/>
        <w:rPr>
          <w:szCs w:val="18"/>
        </w:rPr>
      </w:pPr>
    </w:p>
    <w:p w14:paraId="39EE79CC" w14:textId="2CEDC470" w:rsidR="00BA627E" w:rsidRPr="00C23A4B" w:rsidRDefault="00C23A4B" w:rsidP="00C23A4B">
      <w:pPr>
        <w:pStyle w:val="Heading2"/>
        <w:tabs>
          <w:tab w:val="left" w:pos="-1162"/>
          <w:tab w:val="left" w:pos="0"/>
          <w:tab w:val="num" w:pos="1160"/>
        </w:tabs>
        <w:spacing w:line="240" w:lineRule="auto"/>
        <w:ind w:hanging="1162"/>
        <w:rPr>
          <w:b w:val="0"/>
          <w:szCs w:val="18"/>
        </w:rPr>
      </w:pPr>
      <w:r>
        <w:rPr>
          <w:szCs w:val="18"/>
        </w:rPr>
        <w:tab/>
      </w:r>
      <w:r w:rsidR="00BA627E" w:rsidRPr="00C23A4B">
        <w:rPr>
          <w:b w:val="0"/>
          <w:szCs w:val="18"/>
        </w:rPr>
        <w:t xml:space="preserve">Met haar doelstelling </w:t>
      </w:r>
      <w:r w:rsidR="00791F13" w:rsidRPr="00C23A4B">
        <w:rPr>
          <w:b w:val="0"/>
          <w:szCs w:val="18"/>
        </w:rPr>
        <w:t>van</w:t>
      </w:r>
      <w:r w:rsidR="00BA627E" w:rsidRPr="00C23A4B">
        <w:rPr>
          <w:b w:val="0"/>
          <w:szCs w:val="18"/>
        </w:rPr>
        <w:t xml:space="preserve"> het bevorderen</w:t>
      </w:r>
      <w:r w:rsidR="00791F13" w:rsidRPr="00C23A4B">
        <w:rPr>
          <w:b w:val="0"/>
          <w:szCs w:val="18"/>
        </w:rPr>
        <w:t xml:space="preserve"> van een open markteconomie in C</w:t>
      </w:r>
      <w:r w:rsidR="00BA627E" w:rsidRPr="00C23A4B">
        <w:rPr>
          <w:b w:val="0"/>
          <w:szCs w:val="18"/>
        </w:rPr>
        <w:t>entraal</w:t>
      </w:r>
      <w:r w:rsidR="00791F13" w:rsidRPr="00C23A4B">
        <w:rPr>
          <w:b w:val="0"/>
          <w:szCs w:val="18"/>
        </w:rPr>
        <w:t>- en Oost-</w:t>
      </w:r>
      <w:r w:rsidR="00BA627E" w:rsidRPr="00C23A4B">
        <w:rPr>
          <w:b w:val="0"/>
          <w:szCs w:val="18"/>
        </w:rPr>
        <w:t xml:space="preserve">Europa draagt de EBRD op een positieve manier bij aan het </w:t>
      </w:r>
      <w:r w:rsidR="001D6051" w:rsidRPr="00C23A4B">
        <w:rPr>
          <w:b w:val="0"/>
          <w:szCs w:val="18"/>
        </w:rPr>
        <w:t>Europese</w:t>
      </w:r>
      <w:r w:rsidR="00BA627E" w:rsidRPr="00C23A4B">
        <w:rPr>
          <w:b w:val="0"/>
          <w:szCs w:val="18"/>
        </w:rPr>
        <w:t xml:space="preserve"> integratieproces. </w:t>
      </w:r>
      <w:r w:rsidR="00E6739D" w:rsidRPr="00C23A4B">
        <w:rPr>
          <w:b w:val="0"/>
          <w:szCs w:val="18"/>
        </w:rPr>
        <w:t>Tekenend is dat s</w:t>
      </w:r>
      <w:r w:rsidR="00EE5549" w:rsidRPr="00C23A4B">
        <w:rPr>
          <w:b w:val="0"/>
          <w:szCs w:val="18"/>
        </w:rPr>
        <w:t>inds 2004</w:t>
      </w:r>
      <w:r w:rsidR="00DE4E53" w:rsidRPr="00C23A4B">
        <w:rPr>
          <w:b w:val="0"/>
          <w:szCs w:val="18"/>
        </w:rPr>
        <w:t xml:space="preserve"> </w:t>
      </w:r>
      <w:r w:rsidR="00A13274">
        <w:rPr>
          <w:b w:val="0"/>
          <w:szCs w:val="18"/>
        </w:rPr>
        <w:t>elf</w:t>
      </w:r>
      <w:r w:rsidR="00DE4E53" w:rsidRPr="00C23A4B">
        <w:rPr>
          <w:b w:val="0"/>
          <w:szCs w:val="18"/>
        </w:rPr>
        <w:t xml:space="preserve"> </w:t>
      </w:r>
      <w:r w:rsidR="00F077E1" w:rsidRPr="00C23A4B">
        <w:rPr>
          <w:b w:val="0"/>
          <w:szCs w:val="18"/>
        </w:rPr>
        <w:t xml:space="preserve">ontvangende </w:t>
      </w:r>
      <w:r w:rsidR="00EE5549" w:rsidRPr="00C23A4B">
        <w:rPr>
          <w:b w:val="0"/>
          <w:szCs w:val="18"/>
        </w:rPr>
        <w:t>landen</w:t>
      </w:r>
      <w:r w:rsidR="00F32E25" w:rsidRPr="00C23A4B">
        <w:rPr>
          <w:b w:val="0"/>
          <w:szCs w:val="18"/>
        </w:rPr>
        <w:t xml:space="preserve"> zijn</w:t>
      </w:r>
      <w:r w:rsidR="00EE5549" w:rsidRPr="00C23A4B">
        <w:rPr>
          <w:b w:val="0"/>
          <w:szCs w:val="18"/>
        </w:rPr>
        <w:t xml:space="preserve"> toegetreden tot de EU.</w:t>
      </w:r>
    </w:p>
    <w:p w14:paraId="0CC355F0" w14:textId="77777777" w:rsidR="00480E1F" w:rsidRDefault="00480E1F" w:rsidP="00BA627E">
      <w:pPr>
        <w:rPr>
          <w:szCs w:val="18"/>
        </w:rPr>
      </w:pPr>
    </w:p>
    <w:p w14:paraId="3CC48EF6" w14:textId="48A4E236" w:rsidR="00097B3F" w:rsidRPr="000072DE" w:rsidRDefault="00866E1C" w:rsidP="00097B3F">
      <w:pPr>
        <w:pStyle w:val="Heading1"/>
        <w:tabs>
          <w:tab w:val="num" w:pos="0"/>
        </w:tabs>
        <w:spacing w:after="240" w:line="240" w:lineRule="auto"/>
        <w:ind w:hanging="1162"/>
        <w:rPr>
          <w:szCs w:val="24"/>
        </w:rPr>
      </w:pPr>
      <w:bookmarkStart w:id="33" w:name="_Toc410397639"/>
      <w:r>
        <w:rPr>
          <w:szCs w:val="24"/>
        </w:rPr>
        <w:t>5</w:t>
      </w:r>
      <w:r>
        <w:rPr>
          <w:szCs w:val="24"/>
        </w:rPr>
        <w:tab/>
      </w:r>
      <w:r w:rsidR="00097B3F" w:rsidRPr="000072DE">
        <w:rPr>
          <w:szCs w:val="24"/>
        </w:rPr>
        <w:t>Conclusie</w:t>
      </w:r>
      <w:bookmarkEnd w:id="33"/>
    </w:p>
    <w:p w14:paraId="5BAD44BD" w14:textId="77777777" w:rsidR="00097B3F" w:rsidRPr="00063E70" w:rsidRDefault="00097B3F" w:rsidP="00097B3F">
      <w:pPr>
        <w:rPr>
          <w:szCs w:val="18"/>
        </w:rPr>
      </w:pPr>
    </w:p>
    <w:p w14:paraId="2132EA8B" w14:textId="77777777" w:rsidR="00097B3F" w:rsidRPr="00063E70" w:rsidRDefault="00097B3F" w:rsidP="00097B3F">
      <w:pPr>
        <w:pStyle w:val="Heading2"/>
        <w:tabs>
          <w:tab w:val="left" w:pos="-1162"/>
          <w:tab w:val="left" w:pos="0"/>
          <w:tab w:val="num" w:pos="1160"/>
        </w:tabs>
        <w:spacing w:line="240" w:lineRule="auto"/>
        <w:ind w:hanging="1162"/>
        <w:rPr>
          <w:szCs w:val="18"/>
        </w:rPr>
      </w:pPr>
      <w:bookmarkStart w:id="34" w:name="_Toc410397640"/>
      <w:r w:rsidRPr="00063E70">
        <w:rPr>
          <w:szCs w:val="18"/>
        </w:rPr>
        <w:t xml:space="preserve">5.1 </w:t>
      </w:r>
      <w:r w:rsidRPr="00063E70">
        <w:rPr>
          <w:szCs w:val="18"/>
        </w:rPr>
        <w:tab/>
        <w:t>Institutionele aspecten en functioneren</w:t>
      </w:r>
      <w:bookmarkEnd w:id="34"/>
    </w:p>
    <w:p w14:paraId="395C8ED8" w14:textId="77777777" w:rsidR="00097B3F" w:rsidRPr="00063E70" w:rsidRDefault="003C2C44" w:rsidP="007218DF">
      <w:pPr>
        <w:numPr>
          <w:ilvl w:val="0"/>
          <w:numId w:val="47"/>
        </w:numPr>
        <w:rPr>
          <w:szCs w:val="18"/>
        </w:rPr>
      </w:pPr>
      <w:r w:rsidRPr="00063E70">
        <w:rPr>
          <w:szCs w:val="18"/>
        </w:rPr>
        <w:t>Het mandaat</w:t>
      </w:r>
      <w:r w:rsidR="009D5C2E">
        <w:rPr>
          <w:szCs w:val="18"/>
        </w:rPr>
        <w:t>gebied</w:t>
      </w:r>
      <w:r w:rsidRPr="00063E70">
        <w:rPr>
          <w:szCs w:val="18"/>
        </w:rPr>
        <w:t xml:space="preserve"> van Bank is door de jaren </w:t>
      </w:r>
      <w:r w:rsidR="00934881" w:rsidRPr="00063E70">
        <w:rPr>
          <w:szCs w:val="18"/>
        </w:rPr>
        <w:t xml:space="preserve">heen </w:t>
      </w:r>
      <w:r w:rsidR="009D5C2E">
        <w:rPr>
          <w:szCs w:val="18"/>
        </w:rPr>
        <w:t>uitgebreid</w:t>
      </w:r>
      <w:r w:rsidRPr="00063E70">
        <w:rPr>
          <w:szCs w:val="18"/>
        </w:rPr>
        <w:t>. Er is een goede korte</w:t>
      </w:r>
      <w:r w:rsidR="00934881" w:rsidRPr="00063E70">
        <w:rPr>
          <w:szCs w:val="18"/>
        </w:rPr>
        <w:t>-</w:t>
      </w:r>
      <w:r w:rsidRPr="00063E70">
        <w:rPr>
          <w:szCs w:val="18"/>
        </w:rPr>
        <w:t xml:space="preserve"> en </w:t>
      </w:r>
      <w:r w:rsidR="00934881" w:rsidRPr="00063E70">
        <w:rPr>
          <w:szCs w:val="18"/>
        </w:rPr>
        <w:t>lange</w:t>
      </w:r>
      <w:r w:rsidRPr="00063E70">
        <w:rPr>
          <w:szCs w:val="18"/>
        </w:rPr>
        <w:t xml:space="preserve">termijnbeleidsplanning. </w:t>
      </w:r>
    </w:p>
    <w:p w14:paraId="2EE0BEB9" w14:textId="146C1113" w:rsidR="003C2C44" w:rsidRPr="00063E70" w:rsidRDefault="003C2C44" w:rsidP="007218DF">
      <w:pPr>
        <w:numPr>
          <w:ilvl w:val="0"/>
          <w:numId w:val="47"/>
        </w:numPr>
        <w:rPr>
          <w:szCs w:val="18"/>
        </w:rPr>
      </w:pPr>
      <w:r w:rsidRPr="00063E70">
        <w:rPr>
          <w:szCs w:val="18"/>
        </w:rPr>
        <w:t xml:space="preserve">Zowel de financiële als </w:t>
      </w:r>
      <w:r w:rsidR="000E7C7F">
        <w:rPr>
          <w:szCs w:val="18"/>
        </w:rPr>
        <w:t xml:space="preserve">de </w:t>
      </w:r>
      <w:r w:rsidRPr="00063E70">
        <w:rPr>
          <w:szCs w:val="18"/>
        </w:rPr>
        <w:t>inho</w:t>
      </w:r>
      <w:r w:rsidR="000E7C7F">
        <w:rPr>
          <w:szCs w:val="18"/>
        </w:rPr>
        <w:t>udelijke resultatenrapportage zijn</w:t>
      </w:r>
      <w:r w:rsidRPr="00063E70">
        <w:rPr>
          <w:szCs w:val="18"/>
        </w:rPr>
        <w:t xml:space="preserve"> goed.</w:t>
      </w:r>
    </w:p>
    <w:p w14:paraId="7F019944" w14:textId="77777777" w:rsidR="003C2C44" w:rsidRPr="00063E70" w:rsidRDefault="003C2C44" w:rsidP="007218DF">
      <w:pPr>
        <w:numPr>
          <w:ilvl w:val="0"/>
          <w:numId w:val="47"/>
        </w:numPr>
        <w:rPr>
          <w:szCs w:val="18"/>
        </w:rPr>
      </w:pPr>
      <w:r w:rsidRPr="00063E70">
        <w:rPr>
          <w:szCs w:val="18"/>
        </w:rPr>
        <w:t>Werken in partnerschappen staat aan de basis van de werkwijze van de Bank.</w:t>
      </w:r>
    </w:p>
    <w:p w14:paraId="7B61D2A4" w14:textId="77777777" w:rsidR="008441C9" w:rsidRPr="00063E70" w:rsidRDefault="003C2C44" w:rsidP="007218DF">
      <w:pPr>
        <w:numPr>
          <w:ilvl w:val="0"/>
          <w:numId w:val="47"/>
        </w:numPr>
        <w:rPr>
          <w:szCs w:val="18"/>
        </w:rPr>
      </w:pPr>
      <w:r w:rsidRPr="00063E70">
        <w:rPr>
          <w:szCs w:val="18"/>
        </w:rPr>
        <w:t>De Bank wordt op zeer efficiënte wijze bestuurd en beheerd.</w:t>
      </w:r>
    </w:p>
    <w:p w14:paraId="72DAD10A" w14:textId="77777777" w:rsidR="003C2C44" w:rsidRPr="00063E70" w:rsidRDefault="003C2C44" w:rsidP="007218DF">
      <w:pPr>
        <w:numPr>
          <w:ilvl w:val="0"/>
          <w:numId w:val="47"/>
        </w:numPr>
        <w:rPr>
          <w:szCs w:val="18"/>
        </w:rPr>
      </w:pPr>
      <w:r w:rsidRPr="00063E70">
        <w:rPr>
          <w:szCs w:val="18"/>
        </w:rPr>
        <w:t xml:space="preserve">De Bank evalueert al haar projecten. </w:t>
      </w:r>
    </w:p>
    <w:p w14:paraId="4F926963" w14:textId="77777777" w:rsidR="003C2C44" w:rsidRPr="00063E70" w:rsidRDefault="00A26207" w:rsidP="007218DF">
      <w:pPr>
        <w:numPr>
          <w:ilvl w:val="0"/>
          <w:numId w:val="47"/>
        </w:numPr>
        <w:rPr>
          <w:szCs w:val="18"/>
        </w:rPr>
      </w:pPr>
      <w:r w:rsidRPr="00063E70">
        <w:rPr>
          <w:szCs w:val="18"/>
        </w:rPr>
        <w:t>De Bank heeft een effectief en efficiënt personeelsbeleid.</w:t>
      </w:r>
    </w:p>
    <w:p w14:paraId="3EE1E570" w14:textId="77777777" w:rsidR="00A26207" w:rsidRPr="00063E70" w:rsidRDefault="00A26207" w:rsidP="007218DF">
      <w:pPr>
        <w:numPr>
          <w:ilvl w:val="0"/>
          <w:numId w:val="47"/>
        </w:numPr>
        <w:rPr>
          <w:szCs w:val="18"/>
        </w:rPr>
      </w:pPr>
      <w:r w:rsidRPr="00063E70">
        <w:rPr>
          <w:szCs w:val="18"/>
        </w:rPr>
        <w:t xml:space="preserve">De Bank heeft een goede financiële positie. Het financiële beheer is zeer adequaat. </w:t>
      </w:r>
    </w:p>
    <w:p w14:paraId="7B2BD7CB" w14:textId="77777777" w:rsidR="008441C9" w:rsidRPr="00063E70" w:rsidRDefault="00A26207" w:rsidP="007218DF">
      <w:pPr>
        <w:numPr>
          <w:ilvl w:val="0"/>
          <w:numId w:val="47"/>
        </w:numPr>
        <w:rPr>
          <w:szCs w:val="18"/>
        </w:rPr>
      </w:pPr>
      <w:r w:rsidRPr="00063E70">
        <w:rPr>
          <w:szCs w:val="18"/>
        </w:rPr>
        <w:t>Er wordt veel aandacht besteed aan corruptiebestrijding.</w:t>
      </w:r>
    </w:p>
    <w:p w14:paraId="5C028C58" w14:textId="77777777" w:rsidR="00097B3F" w:rsidRPr="00063E70" w:rsidRDefault="00097B3F" w:rsidP="00097B3F">
      <w:pPr>
        <w:rPr>
          <w:szCs w:val="18"/>
        </w:rPr>
      </w:pP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
        <w:gridCol w:w="5349"/>
        <w:gridCol w:w="841"/>
        <w:gridCol w:w="852"/>
      </w:tblGrid>
      <w:tr w:rsidR="00097B3F" w:rsidRPr="00063E70" w14:paraId="365B009A" w14:textId="77777777" w:rsidTr="000605A3">
        <w:tc>
          <w:tcPr>
            <w:tcW w:w="359" w:type="dxa"/>
            <w:shd w:val="clear" w:color="auto" w:fill="auto"/>
          </w:tcPr>
          <w:p w14:paraId="68CEE0B6" w14:textId="77777777" w:rsidR="00097B3F" w:rsidRPr="00063E70" w:rsidRDefault="00097B3F" w:rsidP="000605A3">
            <w:pPr>
              <w:rPr>
                <w:szCs w:val="18"/>
              </w:rPr>
            </w:pPr>
          </w:p>
        </w:tc>
        <w:tc>
          <w:tcPr>
            <w:tcW w:w="5349" w:type="dxa"/>
            <w:shd w:val="clear" w:color="auto" w:fill="auto"/>
          </w:tcPr>
          <w:p w14:paraId="638F90AA" w14:textId="77777777" w:rsidR="00097B3F" w:rsidRPr="00063E70" w:rsidRDefault="00097B3F" w:rsidP="000605A3">
            <w:pPr>
              <w:rPr>
                <w:szCs w:val="18"/>
              </w:rPr>
            </w:pPr>
          </w:p>
        </w:tc>
        <w:tc>
          <w:tcPr>
            <w:tcW w:w="841" w:type="dxa"/>
            <w:shd w:val="clear" w:color="auto" w:fill="auto"/>
          </w:tcPr>
          <w:p w14:paraId="15ADAED7" w14:textId="77777777" w:rsidR="00097B3F" w:rsidRPr="00063E70" w:rsidRDefault="00097B3F" w:rsidP="000605A3">
            <w:pPr>
              <w:rPr>
                <w:szCs w:val="18"/>
              </w:rPr>
            </w:pPr>
            <w:r w:rsidRPr="00063E70">
              <w:rPr>
                <w:szCs w:val="18"/>
              </w:rPr>
              <w:t>Score</w:t>
            </w:r>
          </w:p>
        </w:tc>
        <w:tc>
          <w:tcPr>
            <w:tcW w:w="852" w:type="dxa"/>
            <w:shd w:val="clear" w:color="auto" w:fill="auto"/>
          </w:tcPr>
          <w:p w14:paraId="431922DB" w14:textId="77777777" w:rsidR="00097B3F" w:rsidRPr="00063E70" w:rsidRDefault="00097B3F" w:rsidP="000605A3">
            <w:pPr>
              <w:rPr>
                <w:szCs w:val="18"/>
              </w:rPr>
            </w:pPr>
            <w:r w:rsidRPr="00063E70">
              <w:rPr>
                <w:szCs w:val="18"/>
              </w:rPr>
              <w:t>Verw.</w:t>
            </w:r>
          </w:p>
        </w:tc>
      </w:tr>
      <w:tr w:rsidR="00097B3F" w:rsidRPr="00063E70" w14:paraId="29C79EF6" w14:textId="77777777" w:rsidTr="000605A3">
        <w:tc>
          <w:tcPr>
            <w:tcW w:w="7401" w:type="dxa"/>
            <w:gridSpan w:val="4"/>
            <w:shd w:val="clear" w:color="auto" w:fill="auto"/>
          </w:tcPr>
          <w:p w14:paraId="5C32F401" w14:textId="77777777" w:rsidR="00097B3F" w:rsidRPr="00AA17AD" w:rsidRDefault="00097B3F" w:rsidP="000605A3">
            <w:pPr>
              <w:rPr>
                <w:b/>
                <w:szCs w:val="18"/>
              </w:rPr>
            </w:pPr>
            <w:r w:rsidRPr="00AA17AD">
              <w:rPr>
                <w:b/>
                <w:szCs w:val="18"/>
              </w:rPr>
              <w:t xml:space="preserve">3 Institutionele aspecten en functioneren </w:t>
            </w:r>
          </w:p>
        </w:tc>
      </w:tr>
      <w:tr w:rsidR="00097B3F" w:rsidRPr="00063E70" w14:paraId="2B26DDC5" w14:textId="77777777" w:rsidTr="000605A3">
        <w:tc>
          <w:tcPr>
            <w:tcW w:w="359" w:type="dxa"/>
            <w:shd w:val="clear" w:color="auto" w:fill="auto"/>
          </w:tcPr>
          <w:p w14:paraId="6A29F99D" w14:textId="77777777" w:rsidR="00097B3F" w:rsidRPr="00063E70" w:rsidRDefault="00097B3F" w:rsidP="000605A3">
            <w:pPr>
              <w:rPr>
                <w:b/>
                <w:szCs w:val="18"/>
              </w:rPr>
            </w:pPr>
          </w:p>
        </w:tc>
        <w:tc>
          <w:tcPr>
            <w:tcW w:w="5349" w:type="dxa"/>
            <w:shd w:val="clear" w:color="auto" w:fill="auto"/>
          </w:tcPr>
          <w:p w14:paraId="6759E95A" w14:textId="77777777" w:rsidR="00097B3F" w:rsidRPr="00AA17AD" w:rsidRDefault="00097B3F" w:rsidP="000605A3">
            <w:pPr>
              <w:rPr>
                <w:szCs w:val="18"/>
              </w:rPr>
            </w:pPr>
            <w:r w:rsidRPr="00AA17AD">
              <w:rPr>
                <w:szCs w:val="18"/>
              </w:rPr>
              <w:t xml:space="preserve">Strategie en focus </w:t>
            </w:r>
          </w:p>
        </w:tc>
        <w:tc>
          <w:tcPr>
            <w:tcW w:w="841" w:type="dxa"/>
            <w:shd w:val="clear" w:color="auto" w:fill="auto"/>
            <w:vAlign w:val="center"/>
          </w:tcPr>
          <w:p w14:paraId="7F5A226B" w14:textId="77777777" w:rsidR="00097B3F" w:rsidRPr="00063E70" w:rsidRDefault="00F42A51" w:rsidP="000605A3">
            <w:pPr>
              <w:jc w:val="center"/>
              <w:rPr>
                <w:szCs w:val="18"/>
              </w:rPr>
            </w:pPr>
            <w:r>
              <w:rPr>
                <w:szCs w:val="18"/>
              </w:rPr>
              <w:t>4</w:t>
            </w:r>
          </w:p>
        </w:tc>
        <w:tc>
          <w:tcPr>
            <w:tcW w:w="852" w:type="dxa"/>
            <w:shd w:val="clear" w:color="auto" w:fill="auto"/>
            <w:vAlign w:val="center"/>
          </w:tcPr>
          <w:p w14:paraId="3FE76552" w14:textId="5EC12DF6" w:rsidR="00097B3F" w:rsidRPr="00063E70" w:rsidRDefault="00097B3F" w:rsidP="000605A3">
            <w:pPr>
              <w:jc w:val="center"/>
              <w:rPr>
                <w:szCs w:val="18"/>
              </w:rPr>
            </w:pPr>
          </w:p>
        </w:tc>
      </w:tr>
      <w:tr w:rsidR="00097B3F" w:rsidRPr="00063E70" w14:paraId="3B9EECA4" w14:textId="77777777" w:rsidTr="000605A3">
        <w:tc>
          <w:tcPr>
            <w:tcW w:w="359" w:type="dxa"/>
            <w:shd w:val="clear" w:color="auto" w:fill="auto"/>
          </w:tcPr>
          <w:p w14:paraId="0D16A663" w14:textId="77777777" w:rsidR="00097B3F" w:rsidRPr="00063E70" w:rsidRDefault="00097B3F" w:rsidP="000605A3">
            <w:pPr>
              <w:rPr>
                <w:b/>
                <w:szCs w:val="18"/>
              </w:rPr>
            </w:pPr>
          </w:p>
        </w:tc>
        <w:tc>
          <w:tcPr>
            <w:tcW w:w="5349" w:type="dxa"/>
            <w:shd w:val="clear" w:color="auto" w:fill="auto"/>
          </w:tcPr>
          <w:p w14:paraId="38F9D2F2" w14:textId="295A69D2" w:rsidR="00097B3F" w:rsidRPr="00063E70" w:rsidRDefault="007218DF" w:rsidP="000605A3">
            <w:pPr>
              <w:rPr>
                <w:szCs w:val="18"/>
              </w:rPr>
            </w:pPr>
            <w:r>
              <w:rPr>
                <w:szCs w:val="18"/>
              </w:rPr>
              <w:t>Resultaatsturing</w:t>
            </w:r>
            <w:r w:rsidR="00097B3F" w:rsidRPr="00063E70">
              <w:rPr>
                <w:szCs w:val="18"/>
              </w:rPr>
              <w:t xml:space="preserve"> </w:t>
            </w:r>
          </w:p>
        </w:tc>
        <w:tc>
          <w:tcPr>
            <w:tcW w:w="841" w:type="dxa"/>
            <w:shd w:val="clear" w:color="auto" w:fill="auto"/>
            <w:vAlign w:val="center"/>
          </w:tcPr>
          <w:p w14:paraId="631E637B" w14:textId="77777777" w:rsidR="00097B3F" w:rsidRPr="00063E70" w:rsidRDefault="00C75A83" w:rsidP="000605A3">
            <w:pPr>
              <w:jc w:val="center"/>
              <w:rPr>
                <w:szCs w:val="18"/>
              </w:rPr>
            </w:pPr>
            <w:r w:rsidRPr="00063E70">
              <w:rPr>
                <w:szCs w:val="18"/>
              </w:rPr>
              <w:t>4</w:t>
            </w:r>
          </w:p>
        </w:tc>
        <w:tc>
          <w:tcPr>
            <w:tcW w:w="852" w:type="dxa"/>
            <w:shd w:val="clear" w:color="auto" w:fill="auto"/>
            <w:vAlign w:val="center"/>
          </w:tcPr>
          <w:p w14:paraId="1FDB5029" w14:textId="487E99B1" w:rsidR="00097B3F" w:rsidRPr="00063E70" w:rsidRDefault="00097B3F" w:rsidP="000605A3">
            <w:pPr>
              <w:jc w:val="center"/>
              <w:rPr>
                <w:szCs w:val="18"/>
              </w:rPr>
            </w:pPr>
          </w:p>
        </w:tc>
      </w:tr>
      <w:tr w:rsidR="00097B3F" w:rsidRPr="00063E70" w14:paraId="7075BE9E" w14:textId="77777777" w:rsidTr="000605A3">
        <w:tc>
          <w:tcPr>
            <w:tcW w:w="359" w:type="dxa"/>
            <w:shd w:val="clear" w:color="auto" w:fill="auto"/>
          </w:tcPr>
          <w:p w14:paraId="5AE92ED0" w14:textId="77777777" w:rsidR="00097B3F" w:rsidRPr="00063E70" w:rsidRDefault="00097B3F" w:rsidP="000605A3">
            <w:pPr>
              <w:rPr>
                <w:b/>
                <w:szCs w:val="18"/>
              </w:rPr>
            </w:pPr>
          </w:p>
        </w:tc>
        <w:tc>
          <w:tcPr>
            <w:tcW w:w="5349" w:type="dxa"/>
            <w:shd w:val="clear" w:color="auto" w:fill="auto"/>
          </w:tcPr>
          <w:p w14:paraId="3EB5B63B" w14:textId="77777777" w:rsidR="00097B3F" w:rsidRPr="00063E70" w:rsidRDefault="00097B3F" w:rsidP="000605A3">
            <w:pPr>
              <w:rPr>
                <w:szCs w:val="18"/>
              </w:rPr>
            </w:pPr>
            <w:r w:rsidRPr="00063E70">
              <w:rPr>
                <w:szCs w:val="18"/>
              </w:rPr>
              <w:t>Partnerschappen</w:t>
            </w:r>
          </w:p>
        </w:tc>
        <w:tc>
          <w:tcPr>
            <w:tcW w:w="841" w:type="dxa"/>
            <w:shd w:val="clear" w:color="auto" w:fill="auto"/>
            <w:vAlign w:val="center"/>
          </w:tcPr>
          <w:p w14:paraId="5C1CD903" w14:textId="77777777" w:rsidR="00097B3F" w:rsidRPr="00063E70" w:rsidRDefault="00F42A51" w:rsidP="000605A3">
            <w:pPr>
              <w:jc w:val="center"/>
              <w:rPr>
                <w:szCs w:val="18"/>
              </w:rPr>
            </w:pPr>
            <w:r>
              <w:rPr>
                <w:szCs w:val="18"/>
              </w:rPr>
              <w:t>4</w:t>
            </w:r>
          </w:p>
        </w:tc>
        <w:tc>
          <w:tcPr>
            <w:tcW w:w="852" w:type="dxa"/>
            <w:shd w:val="clear" w:color="auto" w:fill="auto"/>
            <w:vAlign w:val="center"/>
          </w:tcPr>
          <w:p w14:paraId="59BE314A" w14:textId="4B4A2A87" w:rsidR="00097B3F" w:rsidRPr="00063E70" w:rsidRDefault="00097B3F" w:rsidP="000605A3">
            <w:pPr>
              <w:jc w:val="center"/>
              <w:rPr>
                <w:szCs w:val="18"/>
              </w:rPr>
            </w:pPr>
          </w:p>
        </w:tc>
      </w:tr>
      <w:tr w:rsidR="00097B3F" w:rsidRPr="00063E70" w14:paraId="3180020B" w14:textId="77777777" w:rsidTr="000605A3">
        <w:tc>
          <w:tcPr>
            <w:tcW w:w="359" w:type="dxa"/>
            <w:shd w:val="clear" w:color="auto" w:fill="auto"/>
          </w:tcPr>
          <w:p w14:paraId="701EB253" w14:textId="77777777" w:rsidR="00097B3F" w:rsidRPr="00063E70" w:rsidRDefault="00097B3F" w:rsidP="000605A3">
            <w:pPr>
              <w:rPr>
                <w:b/>
                <w:szCs w:val="18"/>
              </w:rPr>
            </w:pPr>
          </w:p>
        </w:tc>
        <w:tc>
          <w:tcPr>
            <w:tcW w:w="5349" w:type="dxa"/>
            <w:shd w:val="clear" w:color="auto" w:fill="auto"/>
          </w:tcPr>
          <w:p w14:paraId="64AC0ED0" w14:textId="77777777" w:rsidR="00097B3F" w:rsidRPr="00063E70" w:rsidRDefault="00097B3F" w:rsidP="000605A3">
            <w:pPr>
              <w:rPr>
                <w:szCs w:val="18"/>
              </w:rPr>
            </w:pPr>
            <w:r w:rsidRPr="00063E70">
              <w:rPr>
                <w:szCs w:val="18"/>
              </w:rPr>
              <w:t>Effectiviteit bestuurs- en beheersorganen</w:t>
            </w:r>
          </w:p>
        </w:tc>
        <w:tc>
          <w:tcPr>
            <w:tcW w:w="841" w:type="dxa"/>
            <w:shd w:val="clear" w:color="auto" w:fill="auto"/>
            <w:vAlign w:val="center"/>
          </w:tcPr>
          <w:p w14:paraId="37C13AB9" w14:textId="77777777" w:rsidR="00097B3F" w:rsidRPr="00063E70" w:rsidRDefault="00F42A51" w:rsidP="000605A3">
            <w:pPr>
              <w:jc w:val="center"/>
              <w:rPr>
                <w:szCs w:val="18"/>
              </w:rPr>
            </w:pPr>
            <w:r>
              <w:rPr>
                <w:szCs w:val="18"/>
              </w:rPr>
              <w:t>3</w:t>
            </w:r>
          </w:p>
        </w:tc>
        <w:tc>
          <w:tcPr>
            <w:tcW w:w="852" w:type="dxa"/>
            <w:shd w:val="clear" w:color="auto" w:fill="auto"/>
            <w:vAlign w:val="center"/>
          </w:tcPr>
          <w:p w14:paraId="0AF69A09" w14:textId="77777777" w:rsidR="00097B3F" w:rsidRPr="00063E70" w:rsidRDefault="00F42A51" w:rsidP="000605A3">
            <w:pPr>
              <w:jc w:val="center"/>
              <w:rPr>
                <w:szCs w:val="18"/>
              </w:rPr>
            </w:pPr>
            <w:r w:rsidRPr="00193994">
              <w:sym w:font="Wingdings" w:char="F0E9"/>
            </w:r>
          </w:p>
        </w:tc>
      </w:tr>
      <w:tr w:rsidR="00097B3F" w:rsidRPr="00063E70" w14:paraId="46548FB6" w14:textId="77777777" w:rsidTr="000605A3">
        <w:tc>
          <w:tcPr>
            <w:tcW w:w="359" w:type="dxa"/>
            <w:shd w:val="clear" w:color="auto" w:fill="auto"/>
          </w:tcPr>
          <w:p w14:paraId="16DB315F" w14:textId="77777777" w:rsidR="00097B3F" w:rsidRPr="00063E70" w:rsidRDefault="00097B3F" w:rsidP="000605A3">
            <w:pPr>
              <w:rPr>
                <w:b/>
                <w:szCs w:val="18"/>
              </w:rPr>
            </w:pPr>
          </w:p>
        </w:tc>
        <w:tc>
          <w:tcPr>
            <w:tcW w:w="5349" w:type="dxa"/>
            <w:shd w:val="clear" w:color="auto" w:fill="auto"/>
          </w:tcPr>
          <w:p w14:paraId="7201C706" w14:textId="77777777" w:rsidR="00097B3F" w:rsidRPr="00063E70" w:rsidRDefault="00097B3F" w:rsidP="000605A3">
            <w:pPr>
              <w:rPr>
                <w:szCs w:val="18"/>
              </w:rPr>
            </w:pPr>
            <w:r w:rsidRPr="00063E70">
              <w:rPr>
                <w:szCs w:val="18"/>
              </w:rPr>
              <w:t>Beleidsevaluatie</w:t>
            </w:r>
          </w:p>
        </w:tc>
        <w:tc>
          <w:tcPr>
            <w:tcW w:w="841" w:type="dxa"/>
            <w:shd w:val="clear" w:color="auto" w:fill="auto"/>
            <w:vAlign w:val="center"/>
          </w:tcPr>
          <w:p w14:paraId="493D3641" w14:textId="159549E3" w:rsidR="00097B3F" w:rsidRPr="00063E70" w:rsidRDefault="001D6693" w:rsidP="000605A3">
            <w:pPr>
              <w:jc w:val="center"/>
              <w:rPr>
                <w:szCs w:val="18"/>
              </w:rPr>
            </w:pPr>
            <w:r>
              <w:rPr>
                <w:szCs w:val="18"/>
              </w:rPr>
              <w:t>4</w:t>
            </w:r>
          </w:p>
        </w:tc>
        <w:tc>
          <w:tcPr>
            <w:tcW w:w="852" w:type="dxa"/>
            <w:shd w:val="clear" w:color="auto" w:fill="auto"/>
            <w:vAlign w:val="center"/>
          </w:tcPr>
          <w:p w14:paraId="4C5725DE" w14:textId="17689213" w:rsidR="00097B3F" w:rsidRPr="00063E70" w:rsidRDefault="00097B3F" w:rsidP="000605A3">
            <w:pPr>
              <w:jc w:val="center"/>
              <w:rPr>
                <w:szCs w:val="18"/>
              </w:rPr>
            </w:pPr>
          </w:p>
        </w:tc>
      </w:tr>
      <w:tr w:rsidR="00097B3F" w:rsidRPr="00063E70" w14:paraId="302D6073" w14:textId="77777777" w:rsidTr="000605A3">
        <w:tc>
          <w:tcPr>
            <w:tcW w:w="359" w:type="dxa"/>
            <w:shd w:val="clear" w:color="auto" w:fill="auto"/>
          </w:tcPr>
          <w:p w14:paraId="351A1FB2" w14:textId="77777777" w:rsidR="00097B3F" w:rsidRPr="00063E70" w:rsidRDefault="00097B3F" w:rsidP="000605A3">
            <w:pPr>
              <w:rPr>
                <w:b/>
                <w:szCs w:val="18"/>
              </w:rPr>
            </w:pPr>
          </w:p>
        </w:tc>
        <w:tc>
          <w:tcPr>
            <w:tcW w:w="5349" w:type="dxa"/>
            <w:shd w:val="clear" w:color="auto" w:fill="auto"/>
          </w:tcPr>
          <w:p w14:paraId="463EBCB1" w14:textId="006A762E" w:rsidR="00097B3F" w:rsidRPr="00063E70" w:rsidRDefault="007218DF" w:rsidP="000605A3">
            <w:pPr>
              <w:rPr>
                <w:szCs w:val="18"/>
              </w:rPr>
            </w:pPr>
            <w:r>
              <w:rPr>
                <w:szCs w:val="18"/>
              </w:rPr>
              <w:t>Personeelsbeleid</w:t>
            </w:r>
          </w:p>
        </w:tc>
        <w:tc>
          <w:tcPr>
            <w:tcW w:w="841" w:type="dxa"/>
            <w:shd w:val="clear" w:color="auto" w:fill="auto"/>
            <w:vAlign w:val="center"/>
          </w:tcPr>
          <w:p w14:paraId="6FD9A1A6" w14:textId="77777777" w:rsidR="00097B3F" w:rsidRPr="00063E70" w:rsidRDefault="008441C9" w:rsidP="000605A3">
            <w:pPr>
              <w:jc w:val="center"/>
              <w:rPr>
                <w:szCs w:val="18"/>
              </w:rPr>
            </w:pPr>
            <w:r w:rsidRPr="00063E70">
              <w:rPr>
                <w:szCs w:val="18"/>
              </w:rPr>
              <w:t>3</w:t>
            </w:r>
          </w:p>
        </w:tc>
        <w:tc>
          <w:tcPr>
            <w:tcW w:w="852" w:type="dxa"/>
            <w:shd w:val="clear" w:color="auto" w:fill="auto"/>
            <w:vAlign w:val="center"/>
          </w:tcPr>
          <w:p w14:paraId="0B1B44DC" w14:textId="77777777" w:rsidR="00097B3F" w:rsidRPr="00063E70" w:rsidRDefault="00F42A51" w:rsidP="000605A3">
            <w:pPr>
              <w:jc w:val="center"/>
              <w:rPr>
                <w:szCs w:val="18"/>
              </w:rPr>
            </w:pPr>
            <w:r w:rsidRPr="00193994">
              <w:sym w:font="Wingdings" w:char="F0E9"/>
            </w:r>
          </w:p>
        </w:tc>
      </w:tr>
      <w:tr w:rsidR="00097B3F" w:rsidRPr="00063E70" w14:paraId="7C57D71F" w14:textId="77777777" w:rsidTr="000605A3">
        <w:tc>
          <w:tcPr>
            <w:tcW w:w="359" w:type="dxa"/>
            <w:shd w:val="clear" w:color="auto" w:fill="auto"/>
          </w:tcPr>
          <w:p w14:paraId="57D9DBEA" w14:textId="77777777" w:rsidR="00097B3F" w:rsidRPr="00063E70" w:rsidRDefault="00097B3F" w:rsidP="000605A3">
            <w:pPr>
              <w:rPr>
                <w:b/>
                <w:szCs w:val="18"/>
              </w:rPr>
            </w:pPr>
          </w:p>
        </w:tc>
        <w:tc>
          <w:tcPr>
            <w:tcW w:w="5349" w:type="dxa"/>
            <w:shd w:val="clear" w:color="auto" w:fill="auto"/>
          </w:tcPr>
          <w:p w14:paraId="5BD68C6D" w14:textId="308DABA0" w:rsidR="00097B3F" w:rsidRPr="00063E70" w:rsidRDefault="007218DF" w:rsidP="007218DF">
            <w:pPr>
              <w:rPr>
                <w:szCs w:val="18"/>
              </w:rPr>
            </w:pPr>
            <w:r>
              <w:rPr>
                <w:szCs w:val="18"/>
              </w:rPr>
              <w:t>Financieel beheer</w:t>
            </w:r>
          </w:p>
        </w:tc>
        <w:tc>
          <w:tcPr>
            <w:tcW w:w="841" w:type="dxa"/>
            <w:shd w:val="clear" w:color="auto" w:fill="auto"/>
            <w:vAlign w:val="center"/>
          </w:tcPr>
          <w:p w14:paraId="50D62B6E" w14:textId="77777777" w:rsidR="00097B3F" w:rsidRPr="00063E70" w:rsidRDefault="00F42A51" w:rsidP="000605A3">
            <w:pPr>
              <w:jc w:val="center"/>
              <w:rPr>
                <w:szCs w:val="18"/>
              </w:rPr>
            </w:pPr>
            <w:r>
              <w:rPr>
                <w:szCs w:val="18"/>
              </w:rPr>
              <w:t>3</w:t>
            </w:r>
          </w:p>
        </w:tc>
        <w:tc>
          <w:tcPr>
            <w:tcW w:w="852" w:type="dxa"/>
            <w:shd w:val="clear" w:color="auto" w:fill="auto"/>
            <w:vAlign w:val="center"/>
          </w:tcPr>
          <w:p w14:paraId="434D0223" w14:textId="77777777" w:rsidR="00097B3F" w:rsidRPr="00063E70" w:rsidRDefault="00F63EBA" w:rsidP="000605A3">
            <w:pPr>
              <w:jc w:val="center"/>
              <w:rPr>
                <w:szCs w:val="18"/>
              </w:rPr>
            </w:pPr>
            <w:r w:rsidRPr="00063E70">
              <w:rPr>
                <w:szCs w:val="18"/>
              </w:rPr>
              <w:sym w:font="Wingdings" w:char="F0E8"/>
            </w:r>
          </w:p>
        </w:tc>
      </w:tr>
      <w:tr w:rsidR="00097B3F" w:rsidRPr="00063E70" w14:paraId="67786BF6" w14:textId="77777777" w:rsidTr="000605A3">
        <w:tc>
          <w:tcPr>
            <w:tcW w:w="359" w:type="dxa"/>
            <w:shd w:val="clear" w:color="auto" w:fill="auto"/>
          </w:tcPr>
          <w:p w14:paraId="50E4BB5E" w14:textId="77777777" w:rsidR="00097B3F" w:rsidRPr="00063E70" w:rsidRDefault="00097B3F" w:rsidP="000605A3">
            <w:pPr>
              <w:rPr>
                <w:b/>
                <w:szCs w:val="18"/>
              </w:rPr>
            </w:pPr>
          </w:p>
        </w:tc>
        <w:tc>
          <w:tcPr>
            <w:tcW w:w="5349" w:type="dxa"/>
            <w:shd w:val="clear" w:color="auto" w:fill="auto"/>
          </w:tcPr>
          <w:p w14:paraId="71F4EFC5" w14:textId="77777777" w:rsidR="00097B3F" w:rsidRPr="00063E70" w:rsidRDefault="00097B3F" w:rsidP="000605A3">
            <w:pPr>
              <w:rPr>
                <w:szCs w:val="18"/>
              </w:rPr>
            </w:pPr>
            <w:r w:rsidRPr="00063E70">
              <w:rPr>
                <w:szCs w:val="18"/>
              </w:rPr>
              <w:t>Corruptiebestrijding in de interne organisatie</w:t>
            </w:r>
          </w:p>
        </w:tc>
        <w:tc>
          <w:tcPr>
            <w:tcW w:w="841" w:type="dxa"/>
            <w:shd w:val="clear" w:color="auto" w:fill="auto"/>
            <w:vAlign w:val="center"/>
          </w:tcPr>
          <w:p w14:paraId="5C9F449D" w14:textId="77777777" w:rsidR="00097B3F" w:rsidRPr="00063E70" w:rsidRDefault="00C75A83" w:rsidP="000605A3">
            <w:pPr>
              <w:jc w:val="center"/>
              <w:rPr>
                <w:szCs w:val="18"/>
              </w:rPr>
            </w:pPr>
            <w:r w:rsidRPr="00063E70">
              <w:rPr>
                <w:szCs w:val="18"/>
              </w:rPr>
              <w:t>4</w:t>
            </w:r>
          </w:p>
        </w:tc>
        <w:tc>
          <w:tcPr>
            <w:tcW w:w="852" w:type="dxa"/>
            <w:shd w:val="clear" w:color="auto" w:fill="auto"/>
            <w:vAlign w:val="center"/>
          </w:tcPr>
          <w:p w14:paraId="65181206" w14:textId="64AA5508" w:rsidR="00097B3F" w:rsidRPr="00063E70" w:rsidRDefault="00097B3F" w:rsidP="000605A3">
            <w:pPr>
              <w:jc w:val="center"/>
              <w:rPr>
                <w:szCs w:val="18"/>
              </w:rPr>
            </w:pPr>
          </w:p>
        </w:tc>
      </w:tr>
    </w:tbl>
    <w:p w14:paraId="11D298E8" w14:textId="77777777" w:rsidR="00097B3F" w:rsidRPr="00063E70" w:rsidRDefault="00097B3F" w:rsidP="00097B3F">
      <w:pPr>
        <w:rPr>
          <w:szCs w:val="18"/>
        </w:rPr>
      </w:pPr>
    </w:p>
    <w:p w14:paraId="5740BC45" w14:textId="77777777" w:rsidR="00097B3F" w:rsidRPr="00063E70" w:rsidRDefault="00097B3F" w:rsidP="00097B3F">
      <w:pPr>
        <w:pStyle w:val="Heading2"/>
        <w:tabs>
          <w:tab w:val="left" w:pos="-1162"/>
          <w:tab w:val="left" w:pos="0"/>
          <w:tab w:val="num" w:pos="1160"/>
        </w:tabs>
        <w:spacing w:line="240" w:lineRule="auto"/>
        <w:ind w:hanging="1162"/>
        <w:rPr>
          <w:szCs w:val="18"/>
        </w:rPr>
      </w:pPr>
      <w:bookmarkStart w:id="35" w:name="_Toc410397641"/>
      <w:r w:rsidRPr="00063E70">
        <w:rPr>
          <w:szCs w:val="18"/>
        </w:rPr>
        <w:t xml:space="preserve">5.2 </w:t>
      </w:r>
      <w:r w:rsidRPr="00063E70">
        <w:rPr>
          <w:szCs w:val="18"/>
        </w:rPr>
        <w:tab/>
        <w:t>Beleidsrelevantie</w:t>
      </w:r>
      <w:bookmarkEnd w:id="35"/>
    </w:p>
    <w:p w14:paraId="6983818C" w14:textId="77777777" w:rsidR="00097B3F" w:rsidRPr="00063E70" w:rsidRDefault="000469D5" w:rsidP="007218DF">
      <w:pPr>
        <w:numPr>
          <w:ilvl w:val="0"/>
          <w:numId w:val="47"/>
        </w:numPr>
        <w:rPr>
          <w:szCs w:val="18"/>
        </w:rPr>
      </w:pPr>
      <w:r w:rsidRPr="00063E70">
        <w:rPr>
          <w:szCs w:val="18"/>
        </w:rPr>
        <w:t xml:space="preserve">Door de focus op middeninkomenslanden is het beleid van de Bank niet voor alle BHOS-prioriteiten relevant. </w:t>
      </w:r>
    </w:p>
    <w:p w14:paraId="750DD9EF" w14:textId="3A62E5B9" w:rsidR="000C41E3" w:rsidRPr="00063E70" w:rsidRDefault="000469D5" w:rsidP="007218DF">
      <w:pPr>
        <w:numPr>
          <w:ilvl w:val="0"/>
          <w:numId w:val="47"/>
        </w:numPr>
        <w:rPr>
          <w:szCs w:val="18"/>
        </w:rPr>
      </w:pPr>
      <w:r w:rsidRPr="00063E70">
        <w:rPr>
          <w:szCs w:val="18"/>
        </w:rPr>
        <w:t xml:space="preserve">Het beleid is wel zeer relevant voor </w:t>
      </w:r>
      <w:r w:rsidR="000E7C7F">
        <w:rPr>
          <w:szCs w:val="18"/>
        </w:rPr>
        <w:t xml:space="preserve">de </w:t>
      </w:r>
      <w:r w:rsidRPr="00063E70">
        <w:rPr>
          <w:szCs w:val="18"/>
        </w:rPr>
        <w:t>thema’s private sectorontwikkeling en klimaat.</w:t>
      </w:r>
    </w:p>
    <w:p w14:paraId="2F6E8C41" w14:textId="77777777" w:rsidR="000C41E3" w:rsidRPr="00063E70" w:rsidRDefault="000C41E3" w:rsidP="000C41E3">
      <w:pPr>
        <w:rPr>
          <w:szCs w:val="18"/>
        </w:rPr>
      </w:pP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360"/>
        <w:gridCol w:w="6269"/>
        <w:gridCol w:w="983"/>
      </w:tblGrid>
      <w:tr w:rsidR="00097B3F" w:rsidRPr="00A42D78" w14:paraId="660194AE" w14:textId="77777777" w:rsidTr="00A42D78">
        <w:tc>
          <w:tcPr>
            <w:tcW w:w="360" w:type="dxa"/>
            <w:shd w:val="clear" w:color="auto" w:fill="FFFFFF"/>
          </w:tcPr>
          <w:p w14:paraId="3F0758C7" w14:textId="77777777" w:rsidR="00097B3F" w:rsidRPr="00A42D78" w:rsidRDefault="00097B3F" w:rsidP="000605A3">
            <w:pPr>
              <w:rPr>
                <w:szCs w:val="18"/>
              </w:rPr>
            </w:pPr>
          </w:p>
        </w:tc>
        <w:tc>
          <w:tcPr>
            <w:tcW w:w="6269" w:type="dxa"/>
            <w:shd w:val="clear" w:color="auto" w:fill="FFFFFF"/>
          </w:tcPr>
          <w:p w14:paraId="17E5A8DB" w14:textId="77777777" w:rsidR="00097B3F" w:rsidRPr="00A42D78" w:rsidRDefault="00097B3F" w:rsidP="000605A3">
            <w:pPr>
              <w:rPr>
                <w:szCs w:val="18"/>
              </w:rPr>
            </w:pPr>
          </w:p>
        </w:tc>
        <w:tc>
          <w:tcPr>
            <w:tcW w:w="983" w:type="dxa"/>
            <w:shd w:val="clear" w:color="auto" w:fill="FFFFFF"/>
          </w:tcPr>
          <w:p w14:paraId="608B95E0" w14:textId="77777777" w:rsidR="00097B3F" w:rsidRPr="00A42D78" w:rsidRDefault="00097B3F" w:rsidP="000605A3">
            <w:pPr>
              <w:rPr>
                <w:szCs w:val="18"/>
              </w:rPr>
            </w:pPr>
            <w:r w:rsidRPr="00A42D78">
              <w:rPr>
                <w:szCs w:val="18"/>
              </w:rPr>
              <w:t>Score</w:t>
            </w:r>
          </w:p>
        </w:tc>
      </w:tr>
      <w:tr w:rsidR="00097B3F" w:rsidRPr="00A42D78" w14:paraId="6EADFCB3" w14:textId="77777777" w:rsidTr="00A42D78">
        <w:tc>
          <w:tcPr>
            <w:tcW w:w="7612" w:type="dxa"/>
            <w:gridSpan w:val="3"/>
            <w:shd w:val="clear" w:color="auto" w:fill="FFFFFF"/>
          </w:tcPr>
          <w:p w14:paraId="65B1BD09" w14:textId="6118C3E9" w:rsidR="00097B3F" w:rsidRPr="00A42D78" w:rsidRDefault="00866E1C" w:rsidP="000605A3">
            <w:pPr>
              <w:rPr>
                <w:szCs w:val="18"/>
              </w:rPr>
            </w:pPr>
            <w:r>
              <w:rPr>
                <w:b/>
                <w:szCs w:val="18"/>
              </w:rPr>
              <w:t>4</w:t>
            </w:r>
            <w:r w:rsidR="00097B3F" w:rsidRPr="00A42D78">
              <w:rPr>
                <w:b/>
                <w:szCs w:val="18"/>
              </w:rPr>
              <w:t>.1 Relevantie voor Nederlandse BHOS-prioriteiten</w:t>
            </w:r>
          </w:p>
        </w:tc>
      </w:tr>
      <w:tr w:rsidR="00097B3F" w:rsidRPr="00A42D78" w14:paraId="52E8A4F6" w14:textId="77777777" w:rsidTr="00A42D78">
        <w:tc>
          <w:tcPr>
            <w:tcW w:w="360" w:type="dxa"/>
            <w:shd w:val="clear" w:color="auto" w:fill="FFFFFF"/>
          </w:tcPr>
          <w:p w14:paraId="23C45797" w14:textId="77777777" w:rsidR="00097B3F" w:rsidRPr="00A42D78" w:rsidRDefault="00097B3F" w:rsidP="000605A3">
            <w:pPr>
              <w:rPr>
                <w:szCs w:val="18"/>
              </w:rPr>
            </w:pPr>
          </w:p>
        </w:tc>
        <w:tc>
          <w:tcPr>
            <w:tcW w:w="6269" w:type="dxa"/>
            <w:shd w:val="clear" w:color="auto" w:fill="FFFFFF"/>
          </w:tcPr>
          <w:p w14:paraId="3E60F95F" w14:textId="77777777" w:rsidR="00097B3F" w:rsidRPr="00A42D78" w:rsidRDefault="00097B3F" w:rsidP="000605A3">
            <w:pPr>
              <w:rPr>
                <w:szCs w:val="18"/>
              </w:rPr>
            </w:pPr>
            <w:r w:rsidRPr="00A42D78">
              <w:rPr>
                <w:szCs w:val="18"/>
              </w:rPr>
              <w:t>Voedselzekerheid</w:t>
            </w:r>
          </w:p>
        </w:tc>
        <w:tc>
          <w:tcPr>
            <w:tcW w:w="983" w:type="dxa"/>
            <w:shd w:val="clear" w:color="auto" w:fill="FFFFFF"/>
          </w:tcPr>
          <w:p w14:paraId="294B9039" w14:textId="77777777" w:rsidR="00097B3F" w:rsidRPr="00A42D78" w:rsidRDefault="008E4711" w:rsidP="00C23A4B">
            <w:pPr>
              <w:jc w:val="center"/>
              <w:rPr>
                <w:szCs w:val="18"/>
              </w:rPr>
            </w:pPr>
            <w:r w:rsidRPr="00A42D78">
              <w:rPr>
                <w:szCs w:val="18"/>
              </w:rPr>
              <w:t>+</w:t>
            </w:r>
          </w:p>
        </w:tc>
      </w:tr>
      <w:tr w:rsidR="00097B3F" w:rsidRPr="00A42D78" w14:paraId="05C50C3F" w14:textId="77777777" w:rsidTr="00A42D78">
        <w:tc>
          <w:tcPr>
            <w:tcW w:w="360" w:type="dxa"/>
            <w:shd w:val="clear" w:color="auto" w:fill="FFFFFF"/>
          </w:tcPr>
          <w:p w14:paraId="420D4B6E" w14:textId="77777777" w:rsidR="00097B3F" w:rsidRPr="00A42D78" w:rsidRDefault="00097B3F" w:rsidP="000605A3">
            <w:pPr>
              <w:rPr>
                <w:szCs w:val="18"/>
              </w:rPr>
            </w:pPr>
          </w:p>
        </w:tc>
        <w:tc>
          <w:tcPr>
            <w:tcW w:w="6269" w:type="dxa"/>
            <w:shd w:val="clear" w:color="auto" w:fill="FFFFFF"/>
          </w:tcPr>
          <w:p w14:paraId="1313A18A" w14:textId="77777777" w:rsidR="00097B3F" w:rsidRPr="00A42D78" w:rsidRDefault="00097B3F" w:rsidP="000605A3">
            <w:pPr>
              <w:rPr>
                <w:szCs w:val="18"/>
              </w:rPr>
            </w:pPr>
            <w:r w:rsidRPr="00A42D78">
              <w:rPr>
                <w:szCs w:val="18"/>
              </w:rPr>
              <w:t>Water</w:t>
            </w:r>
          </w:p>
        </w:tc>
        <w:tc>
          <w:tcPr>
            <w:tcW w:w="983" w:type="dxa"/>
            <w:shd w:val="clear" w:color="auto" w:fill="FFFFFF"/>
          </w:tcPr>
          <w:p w14:paraId="7328F828" w14:textId="77777777" w:rsidR="00097B3F" w:rsidRPr="00A42D78" w:rsidRDefault="00C75A83" w:rsidP="00C23A4B">
            <w:pPr>
              <w:jc w:val="center"/>
              <w:rPr>
                <w:szCs w:val="18"/>
              </w:rPr>
            </w:pPr>
            <w:r w:rsidRPr="00A42D78">
              <w:rPr>
                <w:szCs w:val="18"/>
              </w:rPr>
              <w:t>0</w:t>
            </w:r>
          </w:p>
        </w:tc>
      </w:tr>
      <w:tr w:rsidR="00097B3F" w:rsidRPr="00A42D78" w14:paraId="5B380AB9" w14:textId="77777777" w:rsidTr="00A42D78">
        <w:tc>
          <w:tcPr>
            <w:tcW w:w="360" w:type="dxa"/>
            <w:shd w:val="clear" w:color="auto" w:fill="FFFFFF"/>
          </w:tcPr>
          <w:p w14:paraId="73738E25" w14:textId="77777777" w:rsidR="00097B3F" w:rsidRPr="00A42D78" w:rsidRDefault="00097B3F" w:rsidP="000605A3">
            <w:pPr>
              <w:rPr>
                <w:szCs w:val="18"/>
              </w:rPr>
            </w:pPr>
          </w:p>
        </w:tc>
        <w:tc>
          <w:tcPr>
            <w:tcW w:w="6269" w:type="dxa"/>
            <w:shd w:val="clear" w:color="auto" w:fill="FFFFFF"/>
          </w:tcPr>
          <w:p w14:paraId="332129AA" w14:textId="77777777" w:rsidR="00097B3F" w:rsidRPr="00A42D78" w:rsidRDefault="00097B3F" w:rsidP="000605A3">
            <w:pPr>
              <w:rPr>
                <w:szCs w:val="18"/>
              </w:rPr>
            </w:pPr>
            <w:r w:rsidRPr="00A42D78">
              <w:rPr>
                <w:szCs w:val="18"/>
              </w:rPr>
              <w:t>Veiligheid en rechtsorde</w:t>
            </w:r>
          </w:p>
        </w:tc>
        <w:tc>
          <w:tcPr>
            <w:tcW w:w="983" w:type="dxa"/>
            <w:shd w:val="clear" w:color="auto" w:fill="FFFFFF"/>
          </w:tcPr>
          <w:p w14:paraId="1A481AC7" w14:textId="77777777" w:rsidR="00097B3F" w:rsidRPr="00A42D78" w:rsidRDefault="000C41E3" w:rsidP="00C23A4B">
            <w:pPr>
              <w:jc w:val="center"/>
              <w:rPr>
                <w:szCs w:val="18"/>
              </w:rPr>
            </w:pPr>
            <w:r w:rsidRPr="00A42D78">
              <w:rPr>
                <w:szCs w:val="18"/>
              </w:rPr>
              <w:t>0</w:t>
            </w:r>
          </w:p>
        </w:tc>
      </w:tr>
      <w:tr w:rsidR="00097B3F" w:rsidRPr="00A42D78" w14:paraId="7DCAB1F5" w14:textId="77777777" w:rsidTr="00A42D78">
        <w:tc>
          <w:tcPr>
            <w:tcW w:w="360" w:type="dxa"/>
            <w:shd w:val="clear" w:color="auto" w:fill="FFFFFF"/>
          </w:tcPr>
          <w:p w14:paraId="10005186" w14:textId="77777777" w:rsidR="00097B3F" w:rsidRPr="00A42D78" w:rsidRDefault="00097B3F" w:rsidP="000605A3">
            <w:pPr>
              <w:rPr>
                <w:szCs w:val="18"/>
              </w:rPr>
            </w:pPr>
          </w:p>
        </w:tc>
        <w:tc>
          <w:tcPr>
            <w:tcW w:w="6269" w:type="dxa"/>
            <w:shd w:val="clear" w:color="auto" w:fill="FFFFFF"/>
          </w:tcPr>
          <w:p w14:paraId="77442DE2" w14:textId="77777777" w:rsidR="00097B3F" w:rsidRPr="00A42D78" w:rsidRDefault="00097B3F" w:rsidP="000605A3">
            <w:pPr>
              <w:rPr>
                <w:szCs w:val="18"/>
              </w:rPr>
            </w:pPr>
            <w:r w:rsidRPr="00A42D78">
              <w:rPr>
                <w:szCs w:val="18"/>
              </w:rPr>
              <w:t>SRGR, inclusief hiv/aids</w:t>
            </w:r>
          </w:p>
        </w:tc>
        <w:tc>
          <w:tcPr>
            <w:tcW w:w="983" w:type="dxa"/>
            <w:shd w:val="clear" w:color="auto" w:fill="FFFFFF"/>
          </w:tcPr>
          <w:p w14:paraId="0DA13DC0" w14:textId="77777777" w:rsidR="00097B3F" w:rsidRPr="00A42D78" w:rsidRDefault="00C75A83" w:rsidP="00C23A4B">
            <w:pPr>
              <w:jc w:val="center"/>
              <w:rPr>
                <w:szCs w:val="18"/>
              </w:rPr>
            </w:pPr>
            <w:r w:rsidRPr="00A42D78">
              <w:rPr>
                <w:szCs w:val="18"/>
              </w:rPr>
              <w:t>-</w:t>
            </w:r>
          </w:p>
        </w:tc>
      </w:tr>
      <w:tr w:rsidR="00097B3F" w:rsidRPr="00A42D78" w14:paraId="1E38C18A" w14:textId="77777777" w:rsidTr="00A42D78">
        <w:tc>
          <w:tcPr>
            <w:tcW w:w="360" w:type="dxa"/>
            <w:shd w:val="clear" w:color="auto" w:fill="FFFFFF"/>
          </w:tcPr>
          <w:p w14:paraId="641A0195" w14:textId="77777777" w:rsidR="00097B3F" w:rsidRPr="00A42D78" w:rsidRDefault="00097B3F" w:rsidP="000605A3">
            <w:pPr>
              <w:rPr>
                <w:szCs w:val="18"/>
              </w:rPr>
            </w:pPr>
          </w:p>
        </w:tc>
        <w:tc>
          <w:tcPr>
            <w:tcW w:w="6269" w:type="dxa"/>
            <w:shd w:val="clear" w:color="auto" w:fill="FFFFFF"/>
          </w:tcPr>
          <w:p w14:paraId="54BB9B74" w14:textId="77777777" w:rsidR="00097B3F" w:rsidRPr="00A42D78" w:rsidRDefault="00097B3F" w:rsidP="000605A3">
            <w:pPr>
              <w:rPr>
                <w:szCs w:val="18"/>
              </w:rPr>
            </w:pPr>
            <w:r w:rsidRPr="00A42D78">
              <w:rPr>
                <w:szCs w:val="18"/>
              </w:rPr>
              <w:t>Gendergelijkheid</w:t>
            </w:r>
          </w:p>
        </w:tc>
        <w:tc>
          <w:tcPr>
            <w:tcW w:w="983" w:type="dxa"/>
            <w:shd w:val="clear" w:color="auto" w:fill="FFFFFF"/>
          </w:tcPr>
          <w:p w14:paraId="3C478150" w14:textId="77777777" w:rsidR="00097B3F" w:rsidRPr="00A42D78" w:rsidRDefault="00C75A83" w:rsidP="00C23A4B">
            <w:pPr>
              <w:jc w:val="center"/>
              <w:rPr>
                <w:szCs w:val="18"/>
              </w:rPr>
            </w:pPr>
            <w:r w:rsidRPr="00A42D78">
              <w:rPr>
                <w:szCs w:val="18"/>
              </w:rPr>
              <w:t>0</w:t>
            </w:r>
          </w:p>
        </w:tc>
      </w:tr>
      <w:tr w:rsidR="00097B3F" w:rsidRPr="00A42D78" w14:paraId="6BBA5372" w14:textId="77777777" w:rsidTr="00A42D78">
        <w:tc>
          <w:tcPr>
            <w:tcW w:w="360" w:type="dxa"/>
            <w:shd w:val="clear" w:color="auto" w:fill="FFFFFF"/>
          </w:tcPr>
          <w:p w14:paraId="02659F0E" w14:textId="77777777" w:rsidR="00097B3F" w:rsidRPr="00A42D78" w:rsidRDefault="00097B3F" w:rsidP="000605A3">
            <w:pPr>
              <w:rPr>
                <w:szCs w:val="18"/>
              </w:rPr>
            </w:pPr>
          </w:p>
        </w:tc>
        <w:tc>
          <w:tcPr>
            <w:tcW w:w="6269" w:type="dxa"/>
            <w:shd w:val="clear" w:color="auto" w:fill="FFFFFF"/>
          </w:tcPr>
          <w:p w14:paraId="0F93A059" w14:textId="77777777" w:rsidR="00097B3F" w:rsidRPr="00A42D78" w:rsidRDefault="00097B3F" w:rsidP="000605A3">
            <w:pPr>
              <w:rPr>
                <w:szCs w:val="18"/>
              </w:rPr>
            </w:pPr>
            <w:r w:rsidRPr="00A42D78">
              <w:rPr>
                <w:szCs w:val="18"/>
              </w:rPr>
              <w:t>Klimaat</w:t>
            </w:r>
          </w:p>
        </w:tc>
        <w:tc>
          <w:tcPr>
            <w:tcW w:w="983" w:type="dxa"/>
            <w:shd w:val="clear" w:color="auto" w:fill="FFFFFF"/>
          </w:tcPr>
          <w:p w14:paraId="2D7B3C05" w14:textId="53ABCF46" w:rsidR="00097B3F" w:rsidRPr="00A42D78" w:rsidRDefault="00C75A83" w:rsidP="00C23A4B">
            <w:pPr>
              <w:jc w:val="center"/>
              <w:rPr>
                <w:szCs w:val="18"/>
              </w:rPr>
            </w:pPr>
            <w:r w:rsidRPr="00A42D78">
              <w:rPr>
                <w:szCs w:val="18"/>
              </w:rPr>
              <w:t>+</w:t>
            </w:r>
          </w:p>
        </w:tc>
      </w:tr>
      <w:tr w:rsidR="00097B3F" w:rsidRPr="00A42D78" w14:paraId="7F01E013" w14:textId="77777777" w:rsidTr="00A42D78">
        <w:tc>
          <w:tcPr>
            <w:tcW w:w="360" w:type="dxa"/>
            <w:shd w:val="clear" w:color="auto" w:fill="FFFFFF"/>
          </w:tcPr>
          <w:p w14:paraId="66202F21" w14:textId="77777777" w:rsidR="00097B3F" w:rsidRPr="00A42D78" w:rsidRDefault="00097B3F" w:rsidP="000605A3">
            <w:pPr>
              <w:rPr>
                <w:szCs w:val="18"/>
              </w:rPr>
            </w:pPr>
          </w:p>
        </w:tc>
        <w:tc>
          <w:tcPr>
            <w:tcW w:w="6269" w:type="dxa"/>
            <w:shd w:val="clear" w:color="auto" w:fill="FFFFFF"/>
          </w:tcPr>
          <w:p w14:paraId="7BBCE26C" w14:textId="77777777" w:rsidR="00097B3F" w:rsidRPr="00A42D78" w:rsidRDefault="00097B3F" w:rsidP="000605A3">
            <w:pPr>
              <w:rPr>
                <w:szCs w:val="18"/>
                <w:lang w:val="en-GB"/>
              </w:rPr>
            </w:pPr>
            <w:r w:rsidRPr="00A42D78">
              <w:rPr>
                <w:i/>
                <w:szCs w:val="18"/>
                <w:lang w:val="en-GB"/>
              </w:rPr>
              <w:t>Private Sector Development</w:t>
            </w:r>
            <w:r w:rsidRPr="00A42D78">
              <w:rPr>
                <w:szCs w:val="18"/>
                <w:lang w:val="en-GB"/>
              </w:rPr>
              <w:t xml:space="preserve"> (inclusief IMVO)</w:t>
            </w:r>
          </w:p>
        </w:tc>
        <w:tc>
          <w:tcPr>
            <w:tcW w:w="983" w:type="dxa"/>
            <w:shd w:val="clear" w:color="auto" w:fill="FFFFFF"/>
          </w:tcPr>
          <w:p w14:paraId="1847367C" w14:textId="77777777" w:rsidR="00097B3F" w:rsidRPr="00A42D78" w:rsidRDefault="007A6E58" w:rsidP="00C23A4B">
            <w:pPr>
              <w:jc w:val="center"/>
              <w:rPr>
                <w:szCs w:val="18"/>
                <w:lang w:val="en-GB"/>
              </w:rPr>
            </w:pPr>
            <w:r>
              <w:rPr>
                <w:szCs w:val="18"/>
                <w:lang w:val="en-GB"/>
              </w:rPr>
              <w:t>+</w:t>
            </w:r>
          </w:p>
        </w:tc>
      </w:tr>
      <w:tr w:rsidR="00097B3F" w:rsidRPr="00A42D78" w14:paraId="7E59125C" w14:textId="77777777" w:rsidTr="00A42D78">
        <w:tc>
          <w:tcPr>
            <w:tcW w:w="360" w:type="dxa"/>
            <w:shd w:val="clear" w:color="auto" w:fill="FFFFFF"/>
          </w:tcPr>
          <w:p w14:paraId="05FE3F7A" w14:textId="77777777" w:rsidR="00097B3F" w:rsidRPr="00A42D78" w:rsidRDefault="00097B3F" w:rsidP="000605A3">
            <w:pPr>
              <w:rPr>
                <w:szCs w:val="18"/>
                <w:lang w:val="en-GB"/>
              </w:rPr>
            </w:pPr>
          </w:p>
        </w:tc>
        <w:tc>
          <w:tcPr>
            <w:tcW w:w="6269" w:type="dxa"/>
            <w:shd w:val="clear" w:color="auto" w:fill="FFFFFF"/>
          </w:tcPr>
          <w:p w14:paraId="05D5E77E" w14:textId="77777777" w:rsidR="00097B3F" w:rsidRPr="00A42D78" w:rsidRDefault="00097B3F" w:rsidP="000605A3">
            <w:pPr>
              <w:rPr>
                <w:szCs w:val="18"/>
              </w:rPr>
            </w:pPr>
            <w:r w:rsidRPr="00A42D78">
              <w:rPr>
                <w:szCs w:val="18"/>
              </w:rPr>
              <w:t>Humanitaire hulp</w:t>
            </w:r>
          </w:p>
        </w:tc>
        <w:tc>
          <w:tcPr>
            <w:tcW w:w="983" w:type="dxa"/>
            <w:shd w:val="clear" w:color="auto" w:fill="FFFFFF"/>
          </w:tcPr>
          <w:p w14:paraId="7A1E7AC7" w14:textId="77777777" w:rsidR="00097B3F" w:rsidRPr="00A42D78" w:rsidRDefault="00C75A83" w:rsidP="00C23A4B">
            <w:pPr>
              <w:jc w:val="center"/>
              <w:rPr>
                <w:szCs w:val="18"/>
              </w:rPr>
            </w:pPr>
            <w:r w:rsidRPr="00A42D78">
              <w:rPr>
                <w:szCs w:val="18"/>
              </w:rPr>
              <w:t>-</w:t>
            </w:r>
          </w:p>
        </w:tc>
      </w:tr>
    </w:tbl>
    <w:p w14:paraId="1EACE892" w14:textId="77777777" w:rsidR="00097B3F" w:rsidRPr="00063E70" w:rsidRDefault="00097B3F" w:rsidP="00097B3F">
      <w:pPr>
        <w:rPr>
          <w:szCs w:val="18"/>
        </w:rPr>
      </w:pPr>
    </w:p>
    <w:p w14:paraId="6A62F22B" w14:textId="77777777" w:rsidR="00746658" w:rsidRPr="00063E70" w:rsidRDefault="00746658" w:rsidP="00097B3F">
      <w:pPr>
        <w:rPr>
          <w:szCs w:val="18"/>
        </w:rPr>
      </w:pPr>
    </w:p>
    <w:sectPr w:rsidR="00746658" w:rsidRPr="00063E70" w:rsidSect="001049E6">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B1661" w14:textId="77777777" w:rsidR="00C23A4B" w:rsidRDefault="00C23A4B">
      <w:r>
        <w:separator/>
      </w:r>
    </w:p>
    <w:p w14:paraId="5786796E" w14:textId="77777777" w:rsidR="00C23A4B" w:rsidRDefault="00C23A4B"/>
    <w:p w14:paraId="5CED43E8" w14:textId="77777777" w:rsidR="00C23A4B" w:rsidRDefault="00C23A4B"/>
  </w:endnote>
  <w:endnote w:type="continuationSeparator" w:id="0">
    <w:p w14:paraId="2B0292E4" w14:textId="77777777" w:rsidR="00C23A4B" w:rsidRDefault="00C23A4B">
      <w:r>
        <w:continuationSeparator/>
      </w:r>
    </w:p>
    <w:p w14:paraId="1CCA06F4" w14:textId="77777777" w:rsidR="00C23A4B" w:rsidRDefault="00C23A4B"/>
    <w:p w14:paraId="0D79751E" w14:textId="77777777" w:rsidR="00C23A4B" w:rsidRDefault="00C23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C23A4B" w:rsidRPr="00785F18" w14:paraId="40A94A9B" w14:textId="77777777" w:rsidTr="003B518B">
      <w:trPr>
        <w:trHeight w:hRule="exact" w:val="240"/>
      </w:trPr>
      <w:tc>
        <w:tcPr>
          <w:tcW w:w="7752" w:type="dxa"/>
          <w:gridSpan w:val="3"/>
          <w:shd w:val="clear" w:color="auto" w:fill="auto"/>
        </w:tcPr>
        <w:p w14:paraId="28F10067" w14:textId="77777777" w:rsidR="00C23A4B" w:rsidRPr="00785F18" w:rsidRDefault="00C23A4B">
          <w:pPr>
            <w:spacing w:line="240" w:lineRule="auto"/>
          </w:pPr>
        </w:p>
      </w:tc>
    </w:tr>
    <w:tr w:rsidR="00C23A4B" w:rsidRPr="00785F18" w14:paraId="0F7ADD8B" w14:textId="77777777" w:rsidTr="003B518B">
      <w:trPr>
        <w:gridAfter w:val="1"/>
        <w:wAfter w:w="99" w:type="dxa"/>
        <w:trHeight w:hRule="exact" w:val="240"/>
      </w:trPr>
      <w:tc>
        <w:tcPr>
          <w:tcW w:w="6260" w:type="dxa"/>
          <w:shd w:val="clear" w:color="auto" w:fill="auto"/>
        </w:tcPr>
        <w:p w14:paraId="399FF852" w14:textId="77777777" w:rsidR="00C23A4B" w:rsidRPr="00785F18" w:rsidRDefault="00A35777" w:rsidP="003B518B">
          <w:pPr>
            <w:pStyle w:val="Huisstijl-Paginanummering"/>
            <w:rPr>
              <w:rStyle w:val="Huisstijl-Rubricering"/>
            </w:rPr>
          </w:pPr>
          <w:fldSimple w:instr=" DOCPROPERTY  L_PAGE  \* MERGEFORMAT ">
            <w:r w:rsidR="00C23A4B">
              <w:t>Pagina</w:t>
            </w:r>
          </w:fldSimple>
          <w:r w:rsidR="00C23A4B" w:rsidRPr="00785F18">
            <w:t xml:space="preserve"> </w:t>
          </w:r>
          <w:r w:rsidR="00C23A4B">
            <w:fldChar w:fldCharType="begin"/>
          </w:r>
          <w:r w:rsidR="00C23A4B">
            <w:instrText xml:space="preserve"> PAGE   \* MERGEFORMAT </w:instrText>
          </w:r>
          <w:r w:rsidR="00C23A4B">
            <w:fldChar w:fldCharType="separate"/>
          </w:r>
          <w:r w:rsidR="00C23A4B">
            <w:t>10</w:t>
          </w:r>
          <w:r w:rsidR="00C23A4B">
            <w:fldChar w:fldCharType="end"/>
          </w:r>
          <w:r w:rsidR="00C23A4B" w:rsidRPr="00785F18">
            <w:t xml:space="preserve"> </w:t>
          </w:r>
          <w:fldSimple w:instr=" DOCPROPERTY  L_PAGEOF  \* MERGEFORMAT ">
            <w:r w:rsidR="00C23A4B">
              <w:t>van</w:t>
            </w:r>
          </w:fldSimple>
          <w:r w:rsidR="00C23A4B" w:rsidRPr="00785F18">
            <w:t xml:space="preserve"> </w:t>
          </w:r>
          <w:fldSimple w:instr=" NUMPAGES   \* MERGEFORMAT ">
            <w:r w:rsidR="00C23A4B">
              <w:t>11</w:t>
            </w:r>
          </w:fldSimple>
        </w:p>
      </w:tc>
      <w:tc>
        <w:tcPr>
          <w:tcW w:w="1392" w:type="dxa"/>
        </w:tcPr>
        <w:p w14:paraId="49063DBA" w14:textId="77777777" w:rsidR="00C23A4B" w:rsidRPr="00785F18" w:rsidRDefault="00C23A4B" w:rsidP="003B518B">
          <w:pPr>
            <w:pStyle w:val="Huisstijl-Paginanummering"/>
            <w:jc w:val="right"/>
          </w:pPr>
        </w:p>
      </w:tc>
    </w:tr>
  </w:tbl>
  <w:p w14:paraId="7791D038" w14:textId="77777777" w:rsidR="00C23A4B" w:rsidRPr="00785F18" w:rsidRDefault="00C23A4B" w:rsidP="003B518B">
    <w:pPr>
      <w:spacing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C23A4B" w:rsidRPr="00785F18" w14:paraId="1ACBAF4C" w14:textId="77777777" w:rsidTr="003B518B">
      <w:trPr>
        <w:trHeight w:hRule="exact" w:val="240"/>
      </w:trPr>
      <w:tc>
        <w:tcPr>
          <w:tcW w:w="6260" w:type="dxa"/>
          <w:shd w:val="clear" w:color="auto" w:fill="auto"/>
        </w:tcPr>
        <w:p w14:paraId="56A05278" w14:textId="77777777" w:rsidR="00C23A4B" w:rsidRPr="00785F18" w:rsidRDefault="00C23A4B" w:rsidP="003B518B">
          <w:pPr>
            <w:rPr>
              <w:rStyle w:val="Huisstijl-Rubricering"/>
            </w:rPr>
          </w:pPr>
        </w:p>
      </w:tc>
      <w:tc>
        <w:tcPr>
          <w:tcW w:w="1392" w:type="dxa"/>
        </w:tcPr>
        <w:p w14:paraId="5F88B66F" w14:textId="77777777" w:rsidR="00C23A4B" w:rsidRPr="00785F18" w:rsidRDefault="00A35777" w:rsidP="003B518B">
          <w:pPr>
            <w:pStyle w:val="Huisstijl-Paginanummering"/>
            <w:jc w:val="right"/>
          </w:pPr>
          <w:fldSimple w:instr=" DOCPROPERTY  L_PAGE  \* MERGEFORMAT ">
            <w:r w:rsidR="00C23A4B">
              <w:t>Pagina</w:t>
            </w:r>
          </w:fldSimple>
          <w:r w:rsidR="00C23A4B" w:rsidRPr="00785F18">
            <w:t xml:space="preserve"> </w:t>
          </w:r>
          <w:r w:rsidR="00C23A4B" w:rsidRPr="00A908F9">
            <w:rPr>
              <w:rStyle w:val="PageNumber"/>
              <w:noProof w:val="0"/>
              <w:szCs w:val="13"/>
            </w:rPr>
            <w:fldChar w:fldCharType="begin"/>
          </w:r>
          <w:r w:rsidR="00C23A4B" w:rsidRPr="00A908F9">
            <w:rPr>
              <w:rStyle w:val="PageNumber"/>
              <w:noProof w:val="0"/>
              <w:szCs w:val="13"/>
            </w:rPr>
            <w:instrText xml:space="preserve"> PAGE </w:instrText>
          </w:r>
          <w:r w:rsidR="00C23A4B" w:rsidRPr="00A908F9">
            <w:rPr>
              <w:rStyle w:val="PageNumber"/>
              <w:noProof w:val="0"/>
              <w:szCs w:val="13"/>
            </w:rPr>
            <w:fldChar w:fldCharType="separate"/>
          </w:r>
          <w:r w:rsidR="00A13274">
            <w:rPr>
              <w:rStyle w:val="PageNumber"/>
              <w:szCs w:val="13"/>
            </w:rPr>
            <w:t>3</w:t>
          </w:r>
          <w:r w:rsidR="00C23A4B" w:rsidRPr="00A908F9">
            <w:rPr>
              <w:rStyle w:val="PageNumber"/>
              <w:noProof w:val="0"/>
              <w:szCs w:val="13"/>
            </w:rPr>
            <w:fldChar w:fldCharType="end"/>
          </w:r>
          <w:r w:rsidR="00C23A4B" w:rsidRPr="00785F18">
            <w:t xml:space="preserve"> </w:t>
          </w:r>
          <w:fldSimple w:instr=" DOCPROPERTY  L_PAGEOF  \* MERGEFORMAT ">
            <w:r w:rsidR="00C23A4B">
              <w:t>van</w:t>
            </w:r>
          </w:fldSimple>
          <w:r w:rsidR="00C23A4B" w:rsidRPr="00785F18">
            <w:t xml:space="preserve"> </w:t>
          </w:r>
          <w:fldSimple w:instr=" NUMPAGES   \* MERGEFORMAT ">
            <w:r w:rsidR="00A13274">
              <w:t>14</w:t>
            </w:r>
          </w:fldSimple>
        </w:p>
      </w:tc>
    </w:tr>
  </w:tbl>
  <w:p w14:paraId="1310AA76" w14:textId="77777777" w:rsidR="00C23A4B" w:rsidRPr="00785F18" w:rsidRDefault="00C23A4B" w:rsidP="003B518B">
    <w:pPr>
      <w:spacing w:line="240" w:lineRule="auto"/>
      <w:rPr>
        <w:sz w:val="2"/>
        <w:szCs w:val="2"/>
      </w:rPr>
    </w:pPr>
  </w:p>
  <w:p w14:paraId="01683F06" w14:textId="77777777" w:rsidR="00C23A4B" w:rsidRPr="00785F18" w:rsidRDefault="00C23A4B" w:rsidP="003B518B">
    <w:pP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C23A4B" w:rsidRPr="00785F18" w14:paraId="55C4B264" w14:textId="77777777" w:rsidTr="00B06D4B">
      <w:trPr>
        <w:trHeight w:hRule="exact" w:val="240"/>
      </w:trPr>
      <w:tc>
        <w:tcPr>
          <w:tcW w:w="6260" w:type="dxa"/>
          <w:shd w:val="clear" w:color="auto" w:fill="auto"/>
        </w:tcPr>
        <w:p w14:paraId="377E309A" w14:textId="77777777" w:rsidR="00C23A4B" w:rsidRPr="00785F18" w:rsidRDefault="00C23A4B" w:rsidP="00B06D4B">
          <w:pPr>
            <w:rPr>
              <w:rStyle w:val="Huisstijl-Rubricering"/>
            </w:rPr>
          </w:pPr>
        </w:p>
      </w:tc>
      <w:tc>
        <w:tcPr>
          <w:tcW w:w="1392" w:type="dxa"/>
        </w:tcPr>
        <w:p w14:paraId="7F1B4F78" w14:textId="77777777" w:rsidR="00C23A4B" w:rsidRPr="00785F18" w:rsidRDefault="00A35777" w:rsidP="00B06D4B">
          <w:pPr>
            <w:pStyle w:val="Huisstijl-Paginanummering"/>
            <w:jc w:val="right"/>
          </w:pPr>
          <w:fldSimple w:instr=" DOCPROPERTY  L_PAGE  \* MERGEFORMAT ">
            <w:r w:rsidR="00C23A4B">
              <w:t>Pagina</w:t>
            </w:r>
          </w:fldSimple>
          <w:r w:rsidR="00C23A4B" w:rsidRPr="00785F18">
            <w:t xml:space="preserve"> </w:t>
          </w:r>
          <w:r w:rsidR="00C23A4B" w:rsidRPr="00A908F9">
            <w:rPr>
              <w:rStyle w:val="PageNumber"/>
              <w:noProof w:val="0"/>
              <w:szCs w:val="13"/>
            </w:rPr>
            <w:fldChar w:fldCharType="begin"/>
          </w:r>
          <w:r w:rsidR="00C23A4B" w:rsidRPr="00A908F9">
            <w:rPr>
              <w:rStyle w:val="PageNumber"/>
              <w:noProof w:val="0"/>
              <w:szCs w:val="13"/>
            </w:rPr>
            <w:instrText xml:space="preserve"> PAGE </w:instrText>
          </w:r>
          <w:r w:rsidR="00C23A4B" w:rsidRPr="00A908F9">
            <w:rPr>
              <w:rStyle w:val="PageNumber"/>
              <w:noProof w:val="0"/>
              <w:szCs w:val="13"/>
            </w:rPr>
            <w:fldChar w:fldCharType="separate"/>
          </w:r>
          <w:r w:rsidR="00202908">
            <w:rPr>
              <w:rStyle w:val="PageNumber"/>
              <w:szCs w:val="13"/>
            </w:rPr>
            <w:t>1</w:t>
          </w:r>
          <w:r w:rsidR="00C23A4B" w:rsidRPr="00A908F9">
            <w:rPr>
              <w:rStyle w:val="PageNumber"/>
              <w:noProof w:val="0"/>
              <w:szCs w:val="13"/>
            </w:rPr>
            <w:fldChar w:fldCharType="end"/>
          </w:r>
          <w:r w:rsidR="00C23A4B" w:rsidRPr="00785F18">
            <w:t xml:space="preserve"> </w:t>
          </w:r>
          <w:fldSimple w:instr=" DOCPROPERTY  L_PAGEOF  \* MERGEFORMAT ">
            <w:r w:rsidR="00C23A4B">
              <w:t>van</w:t>
            </w:r>
          </w:fldSimple>
          <w:r w:rsidR="00C23A4B" w:rsidRPr="00785F18">
            <w:t xml:space="preserve"> </w:t>
          </w:r>
          <w:fldSimple w:instr=" NUMPAGES   \* MERGEFORMAT ">
            <w:r w:rsidR="00202908">
              <w:t>3</w:t>
            </w:r>
          </w:fldSimple>
        </w:p>
      </w:tc>
    </w:tr>
  </w:tbl>
  <w:p w14:paraId="75FC93A5" w14:textId="77777777" w:rsidR="00C23A4B" w:rsidRPr="00785F18" w:rsidRDefault="00C23A4B" w:rsidP="00101F98">
    <w:pPr>
      <w:spacing w:line="240" w:lineRule="auto"/>
      <w:rPr>
        <w:sz w:val="2"/>
        <w:szCs w:val="2"/>
      </w:rPr>
    </w:pPr>
  </w:p>
  <w:p w14:paraId="75B921AA" w14:textId="77777777" w:rsidR="00C23A4B" w:rsidRPr="00785F18" w:rsidRDefault="00C23A4B" w:rsidP="0039744C">
    <w:pPr>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AAEEA" w14:textId="77777777" w:rsidR="00C23A4B" w:rsidRPr="00B35331" w:rsidRDefault="00C23A4B" w:rsidP="00B35331">
      <w:pPr>
        <w:pStyle w:val="Footer"/>
      </w:pPr>
    </w:p>
  </w:footnote>
  <w:footnote w:type="continuationSeparator" w:id="0">
    <w:p w14:paraId="6FD6942D" w14:textId="77777777" w:rsidR="00C23A4B" w:rsidRDefault="00C23A4B">
      <w:r>
        <w:continuationSeparator/>
      </w:r>
    </w:p>
    <w:p w14:paraId="15FF730B" w14:textId="77777777" w:rsidR="00C23A4B" w:rsidRDefault="00C23A4B"/>
    <w:p w14:paraId="03ED27AB" w14:textId="77777777" w:rsidR="00C23A4B" w:rsidRDefault="00C23A4B"/>
  </w:footnote>
  <w:footnote w:id="1">
    <w:p w14:paraId="189C3E7E" w14:textId="77777777" w:rsidR="00A13274" w:rsidRDefault="00A13274" w:rsidP="00A13274">
      <w:pPr>
        <w:pStyle w:val="FootnoteText"/>
      </w:pPr>
      <w:r>
        <w:rPr>
          <w:rStyle w:val="FootnoteReference"/>
        </w:rPr>
        <w:footnoteRef/>
      </w:r>
      <w:r>
        <w:t xml:space="preserve"> </w:t>
      </w:r>
      <w:r>
        <w:tab/>
        <w:t xml:space="preserve">Binnen MOPAN evalueert Nederland samen met 18 gelijkgezinde landen het functioneren van VN organisaties en Internationale Financiële Instellingen. Vanaf 2015 worden, per keer, in een tweejaarlijkse cyclus, ongeveer 13 organisaties doorgelicht op organisatorisch functioneren en ontwikkelingseffectiviteit.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1D80F" w14:textId="77777777" w:rsidR="00C23A4B" w:rsidRPr="00785F18" w:rsidRDefault="00C23A4B">
    <w:pPr>
      <w:pStyle w:val="Header"/>
    </w:pPr>
  </w:p>
  <w:p w14:paraId="755A6E4B" w14:textId="77777777" w:rsidR="00C23A4B" w:rsidRPr="00785F18" w:rsidRDefault="00C23A4B"/>
  <w:p w14:paraId="294631F4" w14:textId="77777777" w:rsidR="00C23A4B" w:rsidRPr="00785F18" w:rsidRDefault="00C23A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E733A" w14:textId="77777777" w:rsidR="00C23A4B" w:rsidRPr="00785F18" w:rsidRDefault="00C23A4B"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C23A4B" w:rsidRPr="008517DE" w14:paraId="7FF31167" w14:textId="77777777" w:rsidTr="002E14E1">
      <w:trPr>
        <w:trHeight w:val="400"/>
      </w:trPr>
      <w:tc>
        <w:tcPr>
          <w:tcW w:w="7520" w:type="dxa"/>
          <w:shd w:val="clear" w:color="auto" w:fill="auto"/>
        </w:tcPr>
        <w:p w14:paraId="74D73AAE" w14:textId="77777777" w:rsidR="00C23A4B" w:rsidRPr="008517DE" w:rsidRDefault="00C23A4B" w:rsidP="002E14E1">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Pr="00FB1475">
            <w:rPr>
              <w:lang w:val="en-GB"/>
            </w:rPr>
            <w:t>Scorecard</w:t>
          </w:r>
          <w:r>
            <w:rPr>
              <w:rStyle w:val="Huisstijl-Koptekst"/>
            </w:rPr>
            <w:fldChar w:fldCharType="end"/>
          </w:r>
          <w:r w:rsidRPr="008517DE">
            <w:rPr>
              <w:rStyle w:val="Huisstijl-Koptekst"/>
              <w:lang w:val="en-GB"/>
            </w:rPr>
            <w:t xml:space="preserve"> | </w:t>
          </w:r>
          <w:r>
            <w:rPr>
              <w:rStyle w:val="Huisstijl-Koptekst"/>
            </w:rPr>
            <w:t>Organisatie</w:t>
          </w:r>
        </w:p>
      </w:tc>
    </w:tr>
  </w:tbl>
  <w:p w14:paraId="2AEFA7B6" w14:textId="77777777" w:rsidR="00C23A4B" w:rsidRPr="008517DE" w:rsidRDefault="00C23A4B" w:rsidP="000D7BB7">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14F0D" w14:textId="0268C1C9" w:rsidR="00C23A4B" w:rsidRPr="00785F18" w:rsidRDefault="00C23A4B" w:rsidP="006E263E">
    <w:r>
      <w:rPr>
        <w:noProof/>
      </w:rPr>
      <mc:AlternateContent>
        <mc:Choice Requires="wps">
          <w:drawing>
            <wp:anchor distT="0" distB="0" distL="114300" distR="114300" simplePos="0" relativeHeight="251657728" behindDoc="0" locked="0" layoutInCell="1" allowOverlap="1" wp14:anchorId="51EBDD6F" wp14:editId="660FACE5">
              <wp:simplePos x="0" y="0"/>
              <wp:positionH relativeFrom="column">
                <wp:posOffset>1386840</wp:posOffset>
              </wp:positionH>
              <wp:positionV relativeFrom="page">
                <wp:posOffset>-87630</wp:posOffset>
              </wp:positionV>
              <wp:extent cx="4025900" cy="1746250"/>
              <wp:effectExtent l="0" t="0" r="0" b="635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C23A4B" w14:paraId="2B89F6E6" w14:textId="77777777">
                            <w:trPr>
                              <w:trHeight w:val="2636"/>
                            </w:trPr>
                            <w:tc>
                              <w:tcPr>
                                <w:tcW w:w="737" w:type="dxa"/>
                                <w:shd w:val="clear" w:color="auto" w:fill="auto"/>
                              </w:tcPr>
                              <w:p w14:paraId="148B3C4A" w14:textId="77777777" w:rsidR="00C23A4B" w:rsidRDefault="00C23A4B" w:rsidP="006E263E">
                                <w:pPr>
                                  <w:spacing w:line="240" w:lineRule="auto"/>
                                </w:pPr>
                                <w:r>
                                  <w:rPr>
                                    <w:noProof/>
                                  </w:rPr>
                                  <w:drawing>
                                    <wp:inline distT="0" distB="0" distL="0" distR="0" wp14:anchorId="6EA92995" wp14:editId="6AAD39DA">
                                      <wp:extent cx="466090" cy="1587500"/>
                                      <wp:effectExtent l="19050" t="0" r="0" b="0"/>
                                      <wp:docPr id="1"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srcRect/>
                                              <a:stretch>
                                                <a:fillRect/>
                                              </a:stretch>
                                            </pic:blipFill>
                                            <pic:spPr bwMode="auto">
                                              <a:xfrm>
                                                <a:off x="0" y="0"/>
                                                <a:ext cx="466090" cy="1587500"/>
                                              </a:xfrm>
                                              <a:prstGeom prst="rect">
                                                <a:avLst/>
                                              </a:prstGeom>
                                              <a:noFill/>
                                              <a:ln w="9525">
                                                <a:noFill/>
                                                <a:miter lim="800000"/>
                                                <a:headEnd/>
                                                <a:tailEnd/>
                                              </a:ln>
                                            </pic:spPr>
                                          </pic:pic>
                                        </a:graphicData>
                                      </a:graphic>
                                    </wp:inline>
                                  </w:drawing>
                                </w:r>
                              </w:p>
                            </w:tc>
                            <w:tc>
                              <w:tcPr>
                                <w:tcW w:w="5383" w:type="dxa"/>
                                <w:shd w:val="clear" w:color="auto" w:fill="auto"/>
                              </w:tcPr>
                              <w:p w14:paraId="3C9497A2" w14:textId="77777777" w:rsidR="00C23A4B" w:rsidRDefault="00C23A4B" w:rsidP="006E263E">
                                <w:pPr>
                                  <w:spacing w:line="240" w:lineRule="auto"/>
                                </w:pPr>
                                <w:r>
                                  <w:rPr>
                                    <w:noProof/>
                                  </w:rPr>
                                  <w:drawing>
                                    <wp:inline distT="0" distB="0" distL="0" distR="0" wp14:anchorId="129162A6" wp14:editId="6E8236D8">
                                      <wp:extent cx="2441575" cy="1656080"/>
                                      <wp:effectExtent l="19050" t="0" r="0" b="0"/>
                                      <wp:docPr id="2"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srcRect/>
                                              <a:stretch>
                                                <a:fillRect/>
                                              </a:stretch>
                                            </pic:blipFill>
                                            <pic:spPr bwMode="auto">
                                              <a:xfrm>
                                                <a:off x="0" y="0"/>
                                                <a:ext cx="2441575" cy="1656080"/>
                                              </a:xfrm>
                                              <a:prstGeom prst="rect">
                                                <a:avLst/>
                                              </a:prstGeom>
                                              <a:noFill/>
                                              <a:ln w="9525">
                                                <a:noFill/>
                                                <a:miter lim="800000"/>
                                                <a:headEnd/>
                                                <a:tailEnd/>
                                              </a:ln>
                                            </pic:spPr>
                                          </pic:pic>
                                        </a:graphicData>
                                      </a:graphic>
                                    </wp:inline>
                                  </w:drawing>
                                </w:r>
                              </w:p>
                            </w:tc>
                          </w:tr>
                        </w:tbl>
                        <w:p w14:paraId="66D18F3F" w14:textId="77777777" w:rsidR="00C23A4B" w:rsidRDefault="00C23A4B"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M6BtgIAALo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yvAlRoJ20KIHNhp0K0cU2uoMvU7B6b4HNzPCNXTZMdX9nSy/aiTkqqFiy26UkkPDaAXZuZf+ydMJ&#10;R1uQzfBBVhCG7ox0QGOtOls6KAYCdOjS47EzNpUSLkkQxUkAphJs4ZzMotj1zqfp4XmvtHnHZIfs&#10;JsMKWu/g6f5OGyACrgcXG03Igreta38rzi7AcbqB4PDU2mwarps/kiBZL9YL4pFotvZIkOfeTbEi&#10;3qwI53F+ma9WefjTxg1J2vCqYsKGOSgrJH/WuSeNT5o4akvLllcWzqak1XazahXaU1B24T7bLkj+&#10;xM0/T8OZgcsLSmFEgtso8YrZYu6RgsReMg8WXhAmt8ksIAnJi3NKd1ywf6eEhgwncRRPavott8B9&#10;r7nRtOMGZkfLuwwvjk40tRpci8q11lDeTvuTUtj0n0sBFTs02inWinSSqxk3I6BYGW9k9QjaVRKU&#10;BSqEgQebRqrvGA0wPDKsv+2oYhi17wXoPwkJsdPGHUg8j+CgTi2bUwsVJUBl2GA0bVdmmlC7XvFt&#10;A5GmP07IG/hnau7U/JwVULEHGBCO1NMwsxPo9Oy8nkfu8hcAAAD//wMAUEsDBBQABgAIAAAAIQAa&#10;/3BB3wAAAAsBAAAPAAAAZHJzL2Rvd25yZXYueG1sTI/NTsMwEITvSH0Haytxa+2EtgohTlUVcQVR&#10;fiRubrxNIuJ1FLtNeHuWEz3uzKfZmWI7uU5ccAitJw3JUoFAqrxtqdbw/va0yECEaMiazhNq+MEA&#10;23J2U5jc+pFe8XKIteAQCrnR0MTY51KGqkFnwtL3SOyd/OBM5HOopR3MyOGuk6lSG+lMS/yhMT3u&#10;G6y+D2en4eP59PW5Ui/1o1v3o5+UJHcvtb6dT7sHEBGn+A/DX32uDiV3Ovoz2SA6DWmSrRjVsEju&#10;eAMT2Tpl5cjWJklBloW83lD+AgAA//8DAFBLAQItABQABgAIAAAAIQC2gziS/gAAAOEBAAATAAAA&#10;AAAAAAAAAAAAAAAAAABbQ29udGVudF9UeXBlc10ueG1sUEsBAi0AFAAGAAgAAAAhADj9If/WAAAA&#10;lAEAAAsAAAAAAAAAAAAAAAAALwEAAF9yZWxzLy5yZWxzUEsBAi0AFAAGAAgAAAAhAKrUzoG2AgAA&#10;ugUAAA4AAAAAAAAAAAAAAAAALgIAAGRycy9lMm9Eb2MueG1sUEsBAi0AFAAGAAgAAAAhABr/cEHf&#10;AAAACwEAAA8AAAAAAAAAAAAAAAAAEAUAAGRycy9kb3ducmV2LnhtbFBLBQYAAAAABAAEAPMAAAAc&#10;BgA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C23A4B" w14:paraId="2B89F6E6" w14:textId="77777777">
                      <w:trPr>
                        <w:trHeight w:val="2636"/>
                      </w:trPr>
                      <w:tc>
                        <w:tcPr>
                          <w:tcW w:w="737" w:type="dxa"/>
                          <w:shd w:val="clear" w:color="auto" w:fill="auto"/>
                        </w:tcPr>
                        <w:p w14:paraId="148B3C4A" w14:textId="77777777" w:rsidR="00C23A4B" w:rsidRDefault="00C23A4B" w:rsidP="006E263E">
                          <w:pPr>
                            <w:spacing w:line="240" w:lineRule="auto"/>
                          </w:pPr>
                          <w:r>
                            <w:rPr>
                              <w:noProof/>
                            </w:rPr>
                            <w:drawing>
                              <wp:inline distT="0" distB="0" distL="0" distR="0" wp14:anchorId="6EA92995" wp14:editId="6AAD39DA">
                                <wp:extent cx="466090" cy="1587500"/>
                                <wp:effectExtent l="19050" t="0" r="0" b="0"/>
                                <wp:docPr id="1"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srcRect/>
                                        <a:stretch>
                                          <a:fillRect/>
                                        </a:stretch>
                                      </pic:blipFill>
                                      <pic:spPr bwMode="auto">
                                        <a:xfrm>
                                          <a:off x="0" y="0"/>
                                          <a:ext cx="466090" cy="1587500"/>
                                        </a:xfrm>
                                        <a:prstGeom prst="rect">
                                          <a:avLst/>
                                        </a:prstGeom>
                                        <a:noFill/>
                                        <a:ln w="9525">
                                          <a:noFill/>
                                          <a:miter lim="800000"/>
                                          <a:headEnd/>
                                          <a:tailEnd/>
                                        </a:ln>
                                      </pic:spPr>
                                    </pic:pic>
                                  </a:graphicData>
                                </a:graphic>
                              </wp:inline>
                            </w:drawing>
                          </w:r>
                        </w:p>
                      </w:tc>
                      <w:tc>
                        <w:tcPr>
                          <w:tcW w:w="5383" w:type="dxa"/>
                          <w:shd w:val="clear" w:color="auto" w:fill="auto"/>
                        </w:tcPr>
                        <w:p w14:paraId="3C9497A2" w14:textId="77777777" w:rsidR="00C23A4B" w:rsidRDefault="00C23A4B" w:rsidP="006E263E">
                          <w:pPr>
                            <w:spacing w:line="240" w:lineRule="auto"/>
                          </w:pPr>
                          <w:r>
                            <w:rPr>
                              <w:noProof/>
                            </w:rPr>
                            <w:drawing>
                              <wp:inline distT="0" distB="0" distL="0" distR="0" wp14:anchorId="129162A6" wp14:editId="6E8236D8">
                                <wp:extent cx="2441575" cy="1656080"/>
                                <wp:effectExtent l="19050" t="0" r="0" b="0"/>
                                <wp:docPr id="2"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srcRect/>
                                        <a:stretch>
                                          <a:fillRect/>
                                        </a:stretch>
                                      </pic:blipFill>
                                      <pic:spPr bwMode="auto">
                                        <a:xfrm>
                                          <a:off x="0" y="0"/>
                                          <a:ext cx="2441575" cy="1656080"/>
                                        </a:xfrm>
                                        <a:prstGeom prst="rect">
                                          <a:avLst/>
                                        </a:prstGeom>
                                        <a:noFill/>
                                        <a:ln w="9525">
                                          <a:noFill/>
                                          <a:miter lim="800000"/>
                                          <a:headEnd/>
                                          <a:tailEnd/>
                                        </a:ln>
                                      </pic:spPr>
                                    </pic:pic>
                                  </a:graphicData>
                                </a:graphic>
                              </wp:inline>
                            </w:drawing>
                          </w:r>
                        </w:p>
                      </w:tc>
                    </w:tr>
                  </w:tbl>
                  <w:p w14:paraId="66D18F3F" w14:textId="77777777" w:rsidR="00C23A4B" w:rsidRDefault="00C23A4B"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C23A4B" w:rsidRPr="00785F18" w14:paraId="5D5E1E0E" w14:textId="77777777" w:rsidTr="000A01F6">
      <w:trPr>
        <w:cantSplit/>
        <w:trHeight w:hRule="exact" w:val="3340"/>
      </w:trPr>
      <w:tc>
        <w:tcPr>
          <w:tcW w:w="5640" w:type="dxa"/>
          <w:shd w:val="clear" w:color="auto" w:fill="auto"/>
        </w:tcPr>
        <w:p w14:paraId="64424501" w14:textId="77777777" w:rsidR="00C23A4B" w:rsidRPr="00785F18" w:rsidRDefault="00C23A4B" w:rsidP="00094B45">
          <w:pPr>
            <w:ind w:left="240" w:hanging="240"/>
          </w:pPr>
        </w:p>
      </w:tc>
    </w:tr>
    <w:tr w:rsidR="00C23A4B" w:rsidRPr="00C23A4B" w14:paraId="63F2C190" w14:textId="77777777" w:rsidTr="007B0280">
      <w:trPr>
        <w:cantSplit/>
        <w:trHeight w:hRule="exact" w:val="1440"/>
      </w:trPr>
      <w:tc>
        <w:tcPr>
          <w:tcW w:w="5640" w:type="dxa"/>
          <w:shd w:val="clear" w:color="auto" w:fill="auto"/>
        </w:tcPr>
        <w:p w14:paraId="7EB3DA58" w14:textId="77777777" w:rsidR="00C23A4B" w:rsidRPr="00785F18" w:rsidRDefault="00C23A4B" w:rsidP="000C0FB6">
          <w:pPr>
            <w:rPr>
              <w:rStyle w:val="Huisstijl-Rubricering"/>
              <w:smallCaps w:val="0"/>
            </w:rPr>
          </w:pPr>
        </w:p>
        <w:p w14:paraId="54CC6B50" w14:textId="77777777" w:rsidR="00C23A4B" w:rsidRPr="00785F18" w:rsidRDefault="00C23A4B" w:rsidP="000C0FB6">
          <w:pPr>
            <w:spacing w:line="180" w:lineRule="atLeast"/>
            <w:rPr>
              <w:rStyle w:val="Huisstijl-Rubricering"/>
              <w:smallCaps w:val="0"/>
            </w:rPr>
          </w:pPr>
        </w:p>
        <w:p w14:paraId="772D73F3" w14:textId="6923FCDB" w:rsidR="00C23A4B" w:rsidRPr="00FB1475" w:rsidRDefault="00C23A4B" w:rsidP="00C23A4B">
          <w:pPr>
            <w:pStyle w:val="Title"/>
            <w:rPr>
              <w:lang w:val="en-GB"/>
            </w:rPr>
          </w:pPr>
          <w:bookmarkStart w:id="5" w:name="titel"/>
          <w:r w:rsidRPr="00FB1475">
            <w:rPr>
              <w:lang w:val="en-GB"/>
            </w:rPr>
            <w:t>Scorecard</w:t>
          </w:r>
          <w:bookmarkEnd w:id="5"/>
          <w:r w:rsidRPr="00FB1475">
            <w:rPr>
              <w:lang w:val="en-GB"/>
            </w:rPr>
            <w:t xml:space="preserve">  </w:t>
          </w:r>
          <w:r>
            <w:rPr>
              <w:rStyle w:val="SubtitleChar"/>
              <w:lang w:val="en-GB"/>
            </w:rPr>
            <w:t xml:space="preserve"> EBRD</w:t>
          </w:r>
        </w:p>
        <w:p w14:paraId="25C62917" w14:textId="77777777" w:rsidR="00C23A4B" w:rsidRPr="00B36546" w:rsidRDefault="00C23A4B" w:rsidP="00B36546">
          <w:pPr>
            <w:rPr>
              <w:lang w:val="en-GB"/>
            </w:rPr>
          </w:pPr>
        </w:p>
        <w:p w14:paraId="3E231BEA" w14:textId="77777777" w:rsidR="00C23A4B" w:rsidRPr="00B36546" w:rsidRDefault="00C23A4B" w:rsidP="00B36546">
          <w:pPr>
            <w:tabs>
              <w:tab w:val="left" w:pos="3281"/>
            </w:tabs>
            <w:rPr>
              <w:lang w:val="en-GB"/>
            </w:rPr>
          </w:pPr>
          <w:r w:rsidRPr="00B36546">
            <w:rPr>
              <w:lang w:val="en-GB"/>
            </w:rPr>
            <w:tab/>
          </w:r>
        </w:p>
      </w:tc>
    </w:tr>
    <w:tr w:rsidR="00C23A4B" w:rsidRPr="00C23A4B" w14:paraId="46D947FE" w14:textId="77777777" w:rsidTr="000A01F6">
      <w:trPr>
        <w:cantSplit/>
        <w:trHeight w:hRule="exact" w:val="240"/>
      </w:trPr>
      <w:tc>
        <w:tcPr>
          <w:tcW w:w="5640" w:type="dxa"/>
          <w:shd w:val="clear" w:color="auto" w:fill="auto"/>
        </w:tcPr>
        <w:p w14:paraId="72F89E2E" w14:textId="77777777" w:rsidR="00C23A4B" w:rsidRPr="00B36546" w:rsidRDefault="00C23A4B" w:rsidP="00B60860">
          <w:pPr>
            <w:rPr>
              <w:lang w:val="en-GB"/>
            </w:rPr>
          </w:pPr>
        </w:p>
      </w:tc>
    </w:tr>
    <w:tr w:rsidR="00C23A4B" w:rsidRPr="00C23A4B" w14:paraId="0C9AFEDE" w14:textId="77777777" w:rsidTr="000A01F6">
      <w:trPr>
        <w:cantSplit/>
        <w:trHeight w:hRule="exact" w:val="480"/>
      </w:trPr>
      <w:tc>
        <w:tcPr>
          <w:tcW w:w="5640" w:type="dxa"/>
          <w:shd w:val="clear" w:color="auto" w:fill="auto"/>
        </w:tcPr>
        <w:p w14:paraId="18ABA9BA" w14:textId="77777777" w:rsidR="00C23A4B" w:rsidRPr="00B36546" w:rsidRDefault="00C23A4B" w:rsidP="00EF0ED5">
          <w:pPr>
            <w:rPr>
              <w:lang w:val="en-GB"/>
            </w:rPr>
          </w:pPr>
        </w:p>
      </w:tc>
    </w:tr>
  </w:tbl>
  <w:p w14:paraId="31304A44" w14:textId="54BBED3F" w:rsidR="00C23A4B" w:rsidRPr="00B36546" w:rsidRDefault="00C23A4B">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19 juni 2015</w:t>
    </w:r>
  </w:p>
  <w:p w14:paraId="249DCE59" w14:textId="77777777" w:rsidR="00C23A4B" w:rsidRPr="00B36546" w:rsidRDefault="00C23A4B">
    <w:pPr>
      <w:rPr>
        <w:lang w:val="en-GB"/>
      </w:rPr>
    </w:pPr>
  </w:p>
  <w:p w14:paraId="5501F649" w14:textId="77777777" w:rsidR="00C23A4B" w:rsidRPr="00785F18" w:rsidRDefault="00C23A4B" w:rsidP="000602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FC93B" w14:textId="77777777" w:rsidR="00C23A4B" w:rsidRPr="00785F18" w:rsidRDefault="00C23A4B"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C23A4B" w:rsidRPr="008517DE" w14:paraId="049A8E62" w14:textId="77777777" w:rsidTr="00B06D4B">
      <w:trPr>
        <w:trHeight w:val="400"/>
      </w:trPr>
      <w:tc>
        <w:tcPr>
          <w:tcW w:w="7520" w:type="dxa"/>
          <w:shd w:val="clear" w:color="auto" w:fill="auto"/>
        </w:tcPr>
        <w:p w14:paraId="6947DA9C" w14:textId="1F155679" w:rsidR="00C23A4B" w:rsidRPr="008517DE" w:rsidRDefault="00A35777" w:rsidP="00C23A4B">
          <w:pPr>
            <w:adjustRightInd w:val="0"/>
            <w:spacing w:line="180" w:lineRule="exact"/>
            <w:rPr>
              <w:sz w:val="13"/>
              <w:lang w:val="en-GB"/>
            </w:rPr>
          </w:pPr>
          <w:fldSimple w:instr=" REF  titel  \* MERGEFORMAT ">
            <w:r w:rsidR="00C23A4B" w:rsidRPr="000870B5">
              <w:rPr>
                <w:rStyle w:val="Huisstijl-Koptekst"/>
                <w:sz w:val="18"/>
                <w:szCs w:val="18"/>
              </w:rPr>
              <w:t>Scorecard</w:t>
            </w:r>
          </w:fldSimple>
          <w:r w:rsidR="00C23A4B" w:rsidRPr="007B163C">
            <w:rPr>
              <w:rStyle w:val="Huisstijl-Koptekst"/>
              <w:lang w:val="en-GB"/>
            </w:rPr>
            <w:t xml:space="preserve"> | </w:t>
          </w:r>
          <w:r w:rsidR="00C23A4B">
            <w:rPr>
              <w:rStyle w:val="Huisstijl-Koptekst"/>
              <w:lang w:val="en-GB"/>
            </w:rPr>
            <w:t>EBRD</w:t>
          </w:r>
          <w:r w:rsidR="00C23A4B" w:rsidRPr="008517DE">
            <w:rPr>
              <w:sz w:val="13"/>
              <w:lang w:val="en-GB"/>
            </w:rPr>
            <w:t xml:space="preserve"> </w:t>
          </w:r>
        </w:p>
      </w:tc>
    </w:tr>
  </w:tbl>
  <w:p w14:paraId="3854F4CF" w14:textId="77777777" w:rsidR="00C23A4B" w:rsidRPr="008517DE" w:rsidRDefault="00C23A4B" w:rsidP="00E51959">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nsid w:val="03BB5F57"/>
    <w:multiLevelType w:val="multilevel"/>
    <w:tmpl w:val="5AEEDE88"/>
    <w:numStyleLink w:val="StyleBulleted"/>
  </w:abstractNum>
  <w:abstractNum w:abstractNumId="2">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nsid w:val="0A1B53C2"/>
    <w:multiLevelType w:val="hybridMultilevel"/>
    <w:tmpl w:val="EED60BCC"/>
    <w:lvl w:ilvl="0" w:tplc="1F5C5044">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B527B57"/>
    <w:multiLevelType w:val="multilevel"/>
    <w:tmpl w:val="3946BE2E"/>
    <w:lvl w:ilvl="0">
      <w:start w:val="1"/>
      <w:numFmt w:val="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6">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7">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3AE244B"/>
    <w:multiLevelType w:val="hybridMultilevel"/>
    <w:tmpl w:val="FA4253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1623655D"/>
    <w:multiLevelType w:val="multilevel"/>
    <w:tmpl w:val="5AEEDE88"/>
    <w:numStyleLink w:val="StyleBulleted"/>
  </w:abstractNum>
  <w:abstractNum w:abstractNumId="1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1A5A20BC"/>
    <w:multiLevelType w:val="multilevel"/>
    <w:tmpl w:val="5AEEDE88"/>
    <w:numStyleLink w:val="StyleBulleted"/>
  </w:abstractNum>
  <w:abstractNum w:abstractNumId="12">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4">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22F82FF2"/>
    <w:multiLevelType w:val="multilevel"/>
    <w:tmpl w:val="5AEEDE88"/>
    <w:numStyleLink w:val="StyleBulleted"/>
  </w:abstractNum>
  <w:abstractNum w:abstractNumId="16">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A913ABA"/>
    <w:multiLevelType w:val="hybridMultilevel"/>
    <w:tmpl w:val="E9D66F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2E6178BF"/>
    <w:multiLevelType w:val="hybridMultilevel"/>
    <w:tmpl w:val="E398D89C"/>
    <w:lvl w:ilvl="0" w:tplc="04130003">
      <w:start w:val="1"/>
      <w:numFmt w:val="bullet"/>
      <w:lvlText w:val="o"/>
      <w:lvlJc w:val="left"/>
      <w:pPr>
        <w:ind w:left="693" w:hanging="360"/>
      </w:pPr>
      <w:rPr>
        <w:rFonts w:ascii="Courier New" w:hAnsi="Courier New" w:cs="Courier New" w:hint="default"/>
      </w:rPr>
    </w:lvl>
    <w:lvl w:ilvl="1" w:tplc="04130003" w:tentative="1">
      <w:start w:val="1"/>
      <w:numFmt w:val="bullet"/>
      <w:lvlText w:val="o"/>
      <w:lvlJc w:val="left"/>
      <w:pPr>
        <w:ind w:left="1413" w:hanging="360"/>
      </w:pPr>
      <w:rPr>
        <w:rFonts w:ascii="Courier New" w:hAnsi="Courier New" w:cs="Courier New" w:hint="default"/>
      </w:rPr>
    </w:lvl>
    <w:lvl w:ilvl="2" w:tplc="04130005" w:tentative="1">
      <w:start w:val="1"/>
      <w:numFmt w:val="bullet"/>
      <w:lvlText w:val=""/>
      <w:lvlJc w:val="left"/>
      <w:pPr>
        <w:ind w:left="2133" w:hanging="360"/>
      </w:pPr>
      <w:rPr>
        <w:rFonts w:ascii="Wingdings" w:hAnsi="Wingdings" w:hint="default"/>
      </w:rPr>
    </w:lvl>
    <w:lvl w:ilvl="3" w:tplc="04130001" w:tentative="1">
      <w:start w:val="1"/>
      <w:numFmt w:val="bullet"/>
      <w:lvlText w:val=""/>
      <w:lvlJc w:val="left"/>
      <w:pPr>
        <w:ind w:left="2853" w:hanging="360"/>
      </w:pPr>
      <w:rPr>
        <w:rFonts w:ascii="Symbol" w:hAnsi="Symbol" w:hint="default"/>
      </w:rPr>
    </w:lvl>
    <w:lvl w:ilvl="4" w:tplc="04130003" w:tentative="1">
      <w:start w:val="1"/>
      <w:numFmt w:val="bullet"/>
      <w:lvlText w:val="o"/>
      <w:lvlJc w:val="left"/>
      <w:pPr>
        <w:ind w:left="3573" w:hanging="360"/>
      </w:pPr>
      <w:rPr>
        <w:rFonts w:ascii="Courier New" w:hAnsi="Courier New" w:cs="Courier New" w:hint="default"/>
      </w:rPr>
    </w:lvl>
    <w:lvl w:ilvl="5" w:tplc="04130005" w:tentative="1">
      <w:start w:val="1"/>
      <w:numFmt w:val="bullet"/>
      <w:lvlText w:val=""/>
      <w:lvlJc w:val="left"/>
      <w:pPr>
        <w:ind w:left="4293" w:hanging="360"/>
      </w:pPr>
      <w:rPr>
        <w:rFonts w:ascii="Wingdings" w:hAnsi="Wingdings" w:hint="default"/>
      </w:rPr>
    </w:lvl>
    <w:lvl w:ilvl="6" w:tplc="04130001" w:tentative="1">
      <w:start w:val="1"/>
      <w:numFmt w:val="bullet"/>
      <w:lvlText w:val=""/>
      <w:lvlJc w:val="left"/>
      <w:pPr>
        <w:ind w:left="5013" w:hanging="360"/>
      </w:pPr>
      <w:rPr>
        <w:rFonts w:ascii="Symbol" w:hAnsi="Symbol" w:hint="default"/>
      </w:rPr>
    </w:lvl>
    <w:lvl w:ilvl="7" w:tplc="04130003" w:tentative="1">
      <w:start w:val="1"/>
      <w:numFmt w:val="bullet"/>
      <w:lvlText w:val="o"/>
      <w:lvlJc w:val="left"/>
      <w:pPr>
        <w:ind w:left="5733" w:hanging="360"/>
      </w:pPr>
      <w:rPr>
        <w:rFonts w:ascii="Courier New" w:hAnsi="Courier New" w:cs="Courier New" w:hint="default"/>
      </w:rPr>
    </w:lvl>
    <w:lvl w:ilvl="8" w:tplc="04130005" w:tentative="1">
      <w:start w:val="1"/>
      <w:numFmt w:val="bullet"/>
      <w:lvlText w:val=""/>
      <w:lvlJc w:val="left"/>
      <w:pPr>
        <w:ind w:left="6453" w:hanging="360"/>
      </w:pPr>
      <w:rPr>
        <w:rFonts w:ascii="Wingdings" w:hAnsi="Wingdings" w:hint="default"/>
      </w:rPr>
    </w:lvl>
  </w:abstractNum>
  <w:abstractNum w:abstractNumId="19">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0">
    <w:nsid w:val="333E201F"/>
    <w:multiLevelType w:val="hybridMultilevel"/>
    <w:tmpl w:val="DFE297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2">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4">
    <w:nsid w:val="408335F4"/>
    <w:multiLevelType w:val="multilevel"/>
    <w:tmpl w:val="5AEEDE88"/>
    <w:numStyleLink w:val="StyleBulleted"/>
  </w:abstractNum>
  <w:abstractNum w:abstractNumId="25">
    <w:nsid w:val="47A30009"/>
    <w:multiLevelType w:val="hybridMultilevel"/>
    <w:tmpl w:val="03E02A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4A846C04"/>
    <w:multiLevelType w:val="hybridMultilevel"/>
    <w:tmpl w:val="3C503276"/>
    <w:lvl w:ilvl="0" w:tplc="04130001">
      <w:start w:val="1"/>
      <w:numFmt w:val="bullet"/>
      <w:lvlText w:val=""/>
      <w:lvlJc w:val="left"/>
      <w:pPr>
        <w:ind w:left="814" w:hanging="360"/>
      </w:pPr>
      <w:rPr>
        <w:rFonts w:ascii="Symbol" w:hAnsi="Symbol" w:hint="default"/>
      </w:rPr>
    </w:lvl>
    <w:lvl w:ilvl="1" w:tplc="04130003" w:tentative="1">
      <w:start w:val="1"/>
      <w:numFmt w:val="bullet"/>
      <w:lvlText w:val="o"/>
      <w:lvlJc w:val="left"/>
      <w:pPr>
        <w:ind w:left="1534" w:hanging="360"/>
      </w:pPr>
      <w:rPr>
        <w:rFonts w:ascii="Courier New" w:hAnsi="Courier New" w:cs="Courier New" w:hint="default"/>
      </w:rPr>
    </w:lvl>
    <w:lvl w:ilvl="2" w:tplc="04130005" w:tentative="1">
      <w:start w:val="1"/>
      <w:numFmt w:val="bullet"/>
      <w:lvlText w:val=""/>
      <w:lvlJc w:val="left"/>
      <w:pPr>
        <w:ind w:left="2254" w:hanging="360"/>
      </w:pPr>
      <w:rPr>
        <w:rFonts w:ascii="Wingdings" w:hAnsi="Wingdings" w:hint="default"/>
      </w:rPr>
    </w:lvl>
    <w:lvl w:ilvl="3" w:tplc="04130001" w:tentative="1">
      <w:start w:val="1"/>
      <w:numFmt w:val="bullet"/>
      <w:lvlText w:val=""/>
      <w:lvlJc w:val="left"/>
      <w:pPr>
        <w:ind w:left="2974" w:hanging="360"/>
      </w:pPr>
      <w:rPr>
        <w:rFonts w:ascii="Symbol" w:hAnsi="Symbol" w:hint="default"/>
      </w:rPr>
    </w:lvl>
    <w:lvl w:ilvl="4" w:tplc="04130003" w:tentative="1">
      <w:start w:val="1"/>
      <w:numFmt w:val="bullet"/>
      <w:lvlText w:val="o"/>
      <w:lvlJc w:val="left"/>
      <w:pPr>
        <w:ind w:left="3694" w:hanging="360"/>
      </w:pPr>
      <w:rPr>
        <w:rFonts w:ascii="Courier New" w:hAnsi="Courier New" w:cs="Courier New" w:hint="default"/>
      </w:rPr>
    </w:lvl>
    <w:lvl w:ilvl="5" w:tplc="04130005" w:tentative="1">
      <w:start w:val="1"/>
      <w:numFmt w:val="bullet"/>
      <w:lvlText w:val=""/>
      <w:lvlJc w:val="left"/>
      <w:pPr>
        <w:ind w:left="4414" w:hanging="360"/>
      </w:pPr>
      <w:rPr>
        <w:rFonts w:ascii="Wingdings" w:hAnsi="Wingdings" w:hint="default"/>
      </w:rPr>
    </w:lvl>
    <w:lvl w:ilvl="6" w:tplc="04130001" w:tentative="1">
      <w:start w:val="1"/>
      <w:numFmt w:val="bullet"/>
      <w:lvlText w:val=""/>
      <w:lvlJc w:val="left"/>
      <w:pPr>
        <w:ind w:left="5134" w:hanging="360"/>
      </w:pPr>
      <w:rPr>
        <w:rFonts w:ascii="Symbol" w:hAnsi="Symbol" w:hint="default"/>
      </w:rPr>
    </w:lvl>
    <w:lvl w:ilvl="7" w:tplc="04130003" w:tentative="1">
      <w:start w:val="1"/>
      <w:numFmt w:val="bullet"/>
      <w:lvlText w:val="o"/>
      <w:lvlJc w:val="left"/>
      <w:pPr>
        <w:ind w:left="5854" w:hanging="360"/>
      </w:pPr>
      <w:rPr>
        <w:rFonts w:ascii="Courier New" w:hAnsi="Courier New" w:cs="Courier New" w:hint="default"/>
      </w:rPr>
    </w:lvl>
    <w:lvl w:ilvl="8" w:tplc="04130005" w:tentative="1">
      <w:start w:val="1"/>
      <w:numFmt w:val="bullet"/>
      <w:lvlText w:val=""/>
      <w:lvlJc w:val="left"/>
      <w:pPr>
        <w:ind w:left="6574" w:hanging="360"/>
      </w:pPr>
      <w:rPr>
        <w:rFonts w:ascii="Wingdings" w:hAnsi="Wingdings" w:hint="default"/>
      </w:rPr>
    </w:lvl>
  </w:abstractNum>
  <w:abstractNum w:abstractNumId="27">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8">
    <w:nsid w:val="4D67346E"/>
    <w:multiLevelType w:val="hybridMultilevel"/>
    <w:tmpl w:val="B1047E7A"/>
    <w:lvl w:ilvl="0" w:tplc="ED44F940">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582F424E"/>
    <w:multiLevelType w:val="hybridMultilevel"/>
    <w:tmpl w:val="5A784336"/>
    <w:lvl w:ilvl="0" w:tplc="6A4A1112">
      <w:start w:val="1"/>
      <w:numFmt w:val="decimal"/>
      <w:lvlText w:val="%1."/>
      <w:lvlJc w:val="left"/>
      <w:pPr>
        <w:ind w:left="587" w:hanging="360"/>
      </w:pPr>
      <w:rPr>
        <w:rFonts w:hint="default"/>
        <w:color w:val="auto"/>
        <w:u w:val="none"/>
      </w:rPr>
    </w:lvl>
    <w:lvl w:ilvl="1" w:tplc="04130019">
      <w:start w:val="1"/>
      <w:numFmt w:val="lowerLetter"/>
      <w:lvlText w:val="%2."/>
      <w:lvlJc w:val="left"/>
      <w:pPr>
        <w:ind w:left="1307" w:hanging="360"/>
      </w:pPr>
    </w:lvl>
    <w:lvl w:ilvl="2" w:tplc="0413001B" w:tentative="1">
      <w:start w:val="1"/>
      <w:numFmt w:val="lowerRoman"/>
      <w:lvlText w:val="%3."/>
      <w:lvlJc w:val="right"/>
      <w:pPr>
        <w:ind w:left="2027" w:hanging="180"/>
      </w:pPr>
    </w:lvl>
    <w:lvl w:ilvl="3" w:tplc="0413000F" w:tentative="1">
      <w:start w:val="1"/>
      <w:numFmt w:val="decimal"/>
      <w:lvlText w:val="%4."/>
      <w:lvlJc w:val="left"/>
      <w:pPr>
        <w:ind w:left="2747" w:hanging="360"/>
      </w:pPr>
    </w:lvl>
    <w:lvl w:ilvl="4" w:tplc="04130019" w:tentative="1">
      <w:start w:val="1"/>
      <w:numFmt w:val="lowerLetter"/>
      <w:lvlText w:val="%5."/>
      <w:lvlJc w:val="left"/>
      <w:pPr>
        <w:ind w:left="3467" w:hanging="360"/>
      </w:pPr>
    </w:lvl>
    <w:lvl w:ilvl="5" w:tplc="0413001B" w:tentative="1">
      <w:start w:val="1"/>
      <w:numFmt w:val="lowerRoman"/>
      <w:lvlText w:val="%6."/>
      <w:lvlJc w:val="right"/>
      <w:pPr>
        <w:ind w:left="4187" w:hanging="180"/>
      </w:pPr>
    </w:lvl>
    <w:lvl w:ilvl="6" w:tplc="0413000F" w:tentative="1">
      <w:start w:val="1"/>
      <w:numFmt w:val="decimal"/>
      <w:lvlText w:val="%7."/>
      <w:lvlJc w:val="left"/>
      <w:pPr>
        <w:ind w:left="4907" w:hanging="360"/>
      </w:pPr>
    </w:lvl>
    <w:lvl w:ilvl="7" w:tplc="04130019" w:tentative="1">
      <w:start w:val="1"/>
      <w:numFmt w:val="lowerLetter"/>
      <w:lvlText w:val="%8."/>
      <w:lvlJc w:val="left"/>
      <w:pPr>
        <w:ind w:left="5627" w:hanging="360"/>
      </w:pPr>
    </w:lvl>
    <w:lvl w:ilvl="8" w:tplc="0413001B" w:tentative="1">
      <w:start w:val="1"/>
      <w:numFmt w:val="lowerRoman"/>
      <w:lvlText w:val="%9."/>
      <w:lvlJc w:val="right"/>
      <w:pPr>
        <w:ind w:left="6347" w:hanging="180"/>
      </w:pPr>
    </w:lvl>
  </w:abstractNum>
  <w:abstractNum w:abstractNumId="30">
    <w:nsid w:val="5D750EE7"/>
    <w:multiLevelType w:val="multilevel"/>
    <w:tmpl w:val="5AEEDE88"/>
    <w:numStyleLink w:val="StyleBulleted"/>
  </w:abstractNum>
  <w:abstractNum w:abstractNumId="31">
    <w:nsid w:val="5E855890"/>
    <w:multiLevelType w:val="hybridMultilevel"/>
    <w:tmpl w:val="A22852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3">
    <w:nsid w:val="61A365A8"/>
    <w:multiLevelType w:val="hybridMultilevel"/>
    <w:tmpl w:val="43046710"/>
    <w:lvl w:ilvl="0" w:tplc="1F5C5044">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nsid w:val="63404D5D"/>
    <w:multiLevelType w:val="multilevel"/>
    <w:tmpl w:val="5AEEDE88"/>
    <w:numStyleLink w:val="StyleBulleted"/>
  </w:abstractNum>
  <w:abstractNum w:abstractNumId="35">
    <w:nsid w:val="63A20AA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6">
    <w:nsid w:val="63D93E35"/>
    <w:multiLevelType w:val="multilevel"/>
    <w:tmpl w:val="93ACBB62"/>
    <w:lvl w:ilvl="0">
      <w:start w:val="1"/>
      <w:numFmt w:val="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7">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38">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9">
    <w:nsid w:val="6D193965"/>
    <w:multiLevelType w:val="multilevel"/>
    <w:tmpl w:val="5AEEDE88"/>
    <w:numStyleLink w:val="StyleBulleted"/>
  </w:abstractNum>
  <w:abstractNum w:abstractNumId="40">
    <w:nsid w:val="6F1B2CBC"/>
    <w:multiLevelType w:val="multilevel"/>
    <w:tmpl w:val="5AEEDE88"/>
    <w:numStyleLink w:val="StyleBulleted"/>
  </w:abstractNum>
  <w:abstractNum w:abstractNumId="41">
    <w:nsid w:val="6FA56671"/>
    <w:multiLevelType w:val="hybridMultilevel"/>
    <w:tmpl w:val="FB9EA3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2">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3">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7AEE454B"/>
    <w:multiLevelType w:val="hybridMultilevel"/>
    <w:tmpl w:val="CD026756"/>
    <w:lvl w:ilvl="0" w:tplc="04130001">
      <w:start w:val="1"/>
      <w:numFmt w:val="bullet"/>
      <w:lvlText w:val=""/>
      <w:lvlJc w:val="left"/>
      <w:pPr>
        <w:ind w:left="587" w:hanging="360"/>
      </w:pPr>
      <w:rPr>
        <w:rFonts w:ascii="Symbol" w:hAnsi="Symbol" w:hint="default"/>
      </w:rPr>
    </w:lvl>
    <w:lvl w:ilvl="1" w:tplc="04130003">
      <w:start w:val="1"/>
      <w:numFmt w:val="bullet"/>
      <w:lvlText w:val="o"/>
      <w:lvlJc w:val="left"/>
      <w:pPr>
        <w:ind w:left="1307" w:hanging="360"/>
      </w:pPr>
      <w:rPr>
        <w:rFonts w:ascii="Courier New" w:hAnsi="Courier New" w:cs="Courier New" w:hint="default"/>
      </w:rPr>
    </w:lvl>
    <w:lvl w:ilvl="2" w:tplc="04130005" w:tentative="1">
      <w:start w:val="1"/>
      <w:numFmt w:val="bullet"/>
      <w:lvlText w:val=""/>
      <w:lvlJc w:val="left"/>
      <w:pPr>
        <w:ind w:left="2027" w:hanging="360"/>
      </w:pPr>
      <w:rPr>
        <w:rFonts w:ascii="Wingdings" w:hAnsi="Wingdings" w:hint="default"/>
      </w:rPr>
    </w:lvl>
    <w:lvl w:ilvl="3" w:tplc="04130001" w:tentative="1">
      <w:start w:val="1"/>
      <w:numFmt w:val="bullet"/>
      <w:lvlText w:val=""/>
      <w:lvlJc w:val="left"/>
      <w:pPr>
        <w:ind w:left="2747" w:hanging="360"/>
      </w:pPr>
      <w:rPr>
        <w:rFonts w:ascii="Symbol" w:hAnsi="Symbol" w:hint="default"/>
      </w:rPr>
    </w:lvl>
    <w:lvl w:ilvl="4" w:tplc="04130003" w:tentative="1">
      <w:start w:val="1"/>
      <w:numFmt w:val="bullet"/>
      <w:lvlText w:val="o"/>
      <w:lvlJc w:val="left"/>
      <w:pPr>
        <w:ind w:left="3467" w:hanging="360"/>
      </w:pPr>
      <w:rPr>
        <w:rFonts w:ascii="Courier New" w:hAnsi="Courier New" w:cs="Courier New" w:hint="default"/>
      </w:rPr>
    </w:lvl>
    <w:lvl w:ilvl="5" w:tplc="04130005" w:tentative="1">
      <w:start w:val="1"/>
      <w:numFmt w:val="bullet"/>
      <w:lvlText w:val=""/>
      <w:lvlJc w:val="left"/>
      <w:pPr>
        <w:ind w:left="4187" w:hanging="360"/>
      </w:pPr>
      <w:rPr>
        <w:rFonts w:ascii="Wingdings" w:hAnsi="Wingdings" w:hint="default"/>
      </w:rPr>
    </w:lvl>
    <w:lvl w:ilvl="6" w:tplc="04130001" w:tentative="1">
      <w:start w:val="1"/>
      <w:numFmt w:val="bullet"/>
      <w:lvlText w:val=""/>
      <w:lvlJc w:val="left"/>
      <w:pPr>
        <w:ind w:left="4907" w:hanging="360"/>
      </w:pPr>
      <w:rPr>
        <w:rFonts w:ascii="Symbol" w:hAnsi="Symbol" w:hint="default"/>
      </w:rPr>
    </w:lvl>
    <w:lvl w:ilvl="7" w:tplc="04130003" w:tentative="1">
      <w:start w:val="1"/>
      <w:numFmt w:val="bullet"/>
      <w:lvlText w:val="o"/>
      <w:lvlJc w:val="left"/>
      <w:pPr>
        <w:ind w:left="5627" w:hanging="360"/>
      </w:pPr>
      <w:rPr>
        <w:rFonts w:ascii="Courier New" w:hAnsi="Courier New" w:cs="Courier New" w:hint="default"/>
      </w:rPr>
    </w:lvl>
    <w:lvl w:ilvl="8" w:tplc="04130005" w:tentative="1">
      <w:start w:val="1"/>
      <w:numFmt w:val="bullet"/>
      <w:lvlText w:val=""/>
      <w:lvlJc w:val="left"/>
      <w:pPr>
        <w:ind w:left="6347" w:hanging="360"/>
      </w:pPr>
      <w:rPr>
        <w:rFonts w:ascii="Wingdings" w:hAnsi="Wingdings" w:hint="default"/>
      </w:rPr>
    </w:lvl>
  </w:abstractNum>
  <w:abstractNum w:abstractNumId="45">
    <w:nsid w:val="7EFF556D"/>
    <w:multiLevelType w:val="hybridMultilevel"/>
    <w:tmpl w:val="031E16E6"/>
    <w:lvl w:ilvl="0" w:tplc="1F5C5044">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2"/>
  </w:num>
  <w:num w:numId="2">
    <w:abstractNumId w:val="37"/>
  </w:num>
  <w:num w:numId="3">
    <w:abstractNumId w:val="23"/>
  </w:num>
  <w:num w:numId="4">
    <w:abstractNumId w:val="0"/>
  </w:num>
  <w:num w:numId="5">
    <w:abstractNumId w:val="38"/>
  </w:num>
  <w:num w:numId="6">
    <w:abstractNumId w:val="2"/>
  </w:num>
  <w:num w:numId="7">
    <w:abstractNumId w:val="14"/>
  </w:num>
  <w:num w:numId="8">
    <w:abstractNumId w:val="40"/>
  </w:num>
  <w:num w:numId="9">
    <w:abstractNumId w:val="35"/>
  </w:num>
  <w:num w:numId="10">
    <w:abstractNumId w:val="15"/>
  </w:num>
  <w:num w:numId="11">
    <w:abstractNumId w:val="9"/>
  </w:num>
  <w:num w:numId="12">
    <w:abstractNumId w:val="39"/>
  </w:num>
  <w:num w:numId="13">
    <w:abstractNumId w:val="21"/>
  </w:num>
  <w:num w:numId="14">
    <w:abstractNumId w:val="1"/>
  </w:num>
  <w:num w:numId="15">
    <w:abstractNumId w:val="11"/>
  </w:num>
  <w:num w:numId="16">
    <w:abstractNumId w:val="34"/>
  </w:num>
  <w:num w:numId="17">
    <w:abstractNumId w:val="24"/>
  </w:num>
  <w:num w:numId="18">
    <w:abstractNumId w:val="30"/>
  </w:num>
  <w:num w:numId="19">
    <w:abstractNumId w:val="19"/>
  </w:num>
  <w:num w:numId="20">
    <w:abstractNumId w:val="42"/>
  </w:num>
  <w:num w:numId="21">
    <w:abstractNumId w:val="6"/>
  </w:num>
  <w:num w:numId="22">
    <w:abstractNumId w:val="27"/>
  </w:num>
  <w:num w:numId="23">
    <w:abstractNumId w:val="43"/>
  </w:num>
  <w:num w:numId="24">
    <w:abstractNumId w:val="16"/>
  </w:num>
  <w:num w:numId="25">
    <w:abstractNumId w:val="16"/>
  </w:num>
  <w:num w:numId="26">
    <w:abstractNumId w:val="13"/>
  </w:num>
  <w:num w:numId="27">
    <w:abstractNumId w:val="12"/>
  </w:num>
  <w:num w:numId="28">
    <w:abstractNumId w:val="10"/>
  </w:num>
  <w:num w:numId="29">
    <w:abstractNumId w:val="7"/>
  </w:num>
  <w:num w:numId="30">
    <w:abstractNumId w:val="4"/>
  </w:num>
  <w:num w:numId="31">
    <w:abstractNumId w:val="22"/>
  </w:num>
  <w:num w:numId="32">
    <w:abstractNumId w:val="44"/>
  </w:num>
  <w:num w:numId="33">
    <w:abstractNumId w:val="18"/>
  </w:num>
  <w:num w:numId="34">
    <w:abstractNumId w:val="8"/>
  </w:num>
  <w:num w:numId="35">
    <w:abstractNumId w:val="31"/>
  </w:num>
  <w:num w:numId="36">
    <w:abstractNumId w:val="25"/>
  </w:num>
  <w:num w:numId="37">
    <w:abstractNumId w:val="26"/>
  </w:num>
  <w:num w:numId="38">
    <w:abstractNumId w:val="20"/>
  </w:num>
  <w:num w:numId="39">
    <w:abstractNumId w:val="28"/>
  </w:num>
  <w:num w:numId="40">
    <w:abstractNumId w:val="41"/>
  </w:num>
  <w:num w:numId="41">
    <w:abstractNumId w:val="17"/>
  </w:num>
  <w:num w:numId="42">
    <w:abstractNumId w:val="29"/>
  </w:num>
  <w:num w:numId="43">
    <w:abstractNumId w:val="45"/>
  </w:num>
  <w:num w:numId="44">
    <w:abstractNumId w:val="33"/>
  </w:num>
  <w:num w:numId="45">
    <w:abstractNumId w:val="36"/>
  </w:num>
  <w:num w:numId="46">
    <w:abstractNumId w:val="3"/>
  </w:num>
  <w:num w:numId="47">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2457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18"/>
    <w:rsid w:val="0000367D"/>
    <w:rsid w:val="0000392E"/>
    <w:rsid w:val="00003A32"/>
    <w:rsid w:val="00005884"/>
    <w:rsid w:val="00006047"/>
    <w:rsid w:val="00006E47"/>
    <w:rsid w:val="000072DE"/>
    <w:rsid w:val="0001095C"/>
    <w:rsid w:val="000114F8"/>
    <w:rsid w:val="00013196"/>
    <w:rsid w:val="00020189"/>
    <w:rsid w:val="00020EE4"/>
    <w:rsid w:val="000227EB"/>
    <w:rsid w:val="000234D6"/>
    <w:rsid w:val="00025FCB"/>
    <w:rsid w:val="0002628D"/>
    <w:rsid w:val="00026447"/>
    <w:rsid w:val="0002695C"/>
    <w:rsid w:val="000304C1"/>
    <w:rsid w:val="00031268"/>
    <w:rsid w:val="00032CE2"/>
    <w:rsid w:val="00033419"/>
    <w:rsid w:val="00033426"/>
    <w:rsid w:val="00033950"/>
    <w:rsid w:val="00033E8D"/>
    <w:rsid w:val="00034A84"/>
    <w:rsid w:val="00035E67"/>
    <w:rsid w:val="00037141"/>
    <w:rsid w:val="0004192F"/>
    <w:rsid w:val="000422E7"/>
    <w:rsid w:val="00042BE8"/>
    <w:rsid w:val="00044809"/>
    <w:rsid w:val="00045A4F"/>
    <w:rsid w:val="00045E12"/>
    <w:rsid w:val="00046866"/>
    <w:rsid w:val="000469D5"/>
    <w:rsid w:val="00047318"/>
    <w:rsid w:val="00047E35"/>
    <w:rsid w:val="0005061F"/>
    <w:rsid w:val="00050902"/>
    <w:rsid w:val="00050ABD"/>
    <w:rsid w:val="00050B6A"/>
    <w:rsid w:val="00051416"/>
    <w:rsid w:val="00053B84"/>
    <w:rsid w:val="000559DE"/>
    <w:rsid w:val="00057600"/>
    <w:rsid w:val="00057B03"/>
    <w:rsid w:val="0006027D"/>
    <w:rsid w:val="000605A3"/>
    <w:rsid w:val="00063E70"/>
    <w:rsid w:val="00066F2B"/>
    <w:rsid w:val="000705D1"/>
    <w:rsid w:val="000716BA"/>
    <w:rsid w:val="00071F28"/>
    <w:rsid w:val="00076FCC"/>
    <w:rsid w:val="00077900"/>
    <w:rsid w:val="00077D9E"/>
    <w:rsid w:val="00080AE8"/>
    <w:rsid w:val="00081825"/>
    <w:rsid w:val="0008255C"/>
    <w:rsid w:val="00082BB1"/>
    <w:rsid w:val="000842B5"/>
    <w:rsid w:val="000842F4"/>
    <w:rsid w:val="00085CA2"/>
    <w:rsid w:val="00085F22"/>
    <w:rsid w:val="0008640E"/>
    <w:rsid w:val="000870B5"/>
    <w:rsid w:val="0008784B"/>
    <w:rsid w:val="00087FA0"/>
    <w:rsid w:val="000903DE"/>
    <w:rsid w:val="00090808"/>
    <w:rsid w:val="0009114D"/>
    <w:rsid w:val="000912C6"/>
    <w:rsid w:val="0009208A"/>
    <w:rsid w:val="00093522"/>
    <w:rsid w:val="00093CA2"/>
    <w:rsid w:val="00094518"/>
    <w:rsid w:val="00094A14"/>
    <w:rsid w:val="00094B45"/>
    <w:rsid w:val="00096680"/>
    <w:rsid w:val="00097B3F"/>
    <w:rsid w:val="000A01F6"/>
    <w:rsid w:val="000A0BB1"/>
    <w:rsid w:val="000A1244"/>
    <w:rsid w:val="000A22CF"/>
    <w:rsid w:val="000A27FF"/>
    <w:rsid w:val="000A2DF7"/>
    <w:rsid w:val="000A381C"/>
    <w:rsid w:val="000A3AF6"/>
    <w:rsid w:val="000A6077"/>
    <w:rsid w:val="000B2A0F"/>
    <w:rsid w:val="000B3FB4"/>
    <w:rsid w:val="000B477F"/>
    <w:rsid w:val="000B64F8"/>
    <w:rsid w:val="000B7281"/>
    <w:rsid w:val="000B73BA"/>
    <w:rsid w:val="000C05BF"/>
    <w:rsid w:val="000C0757"/>
    <w:rsid w:val="000C07A1"/>
    <w:rsid w:val="000C082E"/>
    <w:rsid w:val="000C0FB6"/>
    <w:rsid w:val="000C3F40"/>
    <w:rsid w:val="000C41E3"/>
    <w:rsid w:val="000C43A2"/>
    <w:rsid w:val="000C4679"/>
    <w:rsid w:val="000C521E"/>
    <w:rsid w:val="000C575D"/>
    <w:rsid w:val="000C5CDD"/>
    <w:rsid w:val="000C5E4F"/>
    <w:rsid w:val="000C6EED"/>
    <w:rsid w:val="000D2C16"/>
    <w:rsid w:val="000D3986"/>
    <w:rsid w:val="000D7BB7"/>
    <w:rsid w:val="000E15AA"/>
    <w:rsid w:val="000E7C7F"/>
    <w:rsid w:val="000F03D7"/>
    <w:rsid w:val="000F1533"/>
    <w:rsid w:val="000F1A72"/>
    <w:rsid w:val="000F1F6B"/>
    <w:rsid w:val="000F2632"/>
    <w:rsid w:val="000F2D1E"/>
    <w:rsid w:val="000F362A"/>
    <w:rsid w:val="000F46A7"/>
    <w:rsid w:val="000F4B53"/>
    <w:rsid w:val="000F6168"/>
    <w:rsid w:val="000F7106"/>
    <w:rsid w:val="00101F98"/>
    <w:rsid w:val="0010245F"/>
    <w:rsid w:val="00102DFB"/>
    <w:rsid w:val="001031E7"/>
    <w:rsid w:val="001049E6"/>
    <w:rsid w:val="001069BA"/>
    <w:rsid w:val="0011058F"/>
    <w:rsid w:val="0011235D"/>
    <w:rsid w:val="00115B54"/>
    <w:rsid w:val="00116E2A"/>
    <w:rsid w:val="001210BF"/>
    <w:rsid w:val="00121AD6"/>
    <w:rsid w:val="00122BDB"/>
    <w:rsid w:val="00123082"/>
    <w:rsid w:val="00123223"/>
    <w:rsid w:val="00123704"/>
    <w:rsid w:val="00123C8C"/>
    <w:rsid w:val="00124B64"/>
    <w:rsid w:val="00125028"/>
    <w:rsid w:val="00125154"/>
    <w:rsid w:val="00125A07"/>
    <w:rsid w:val="001270C7"/>
    <w:rsid w:val="00130DA2"/>
    <w:rsid w:val="001319A0"/>
    <w:rsid w:val="00134AD7"/>
    <w:rsid w:val="00134D07"/>
    <w:rsid w:val="00135340"/>
    <w:rsid w:val="001358C1"/>
    <w:rsid w:val="00136130"/>
    <w:rsid w:val="00136D94"/>
    <w:rsid w:val="00140120"/>
    <w:rsid w:val="00142259"/>
    <w:rsid w:val="00142628"/>
    <w:rsid w:val="001429A1"/>
    <w:rsid w:val="00142BCD"/>
    <w:rsid w:val="00144379"/>
    <w:rsid w:val="0014786A"/>
    <w:rsid w:val="00151539"/>
    <w:rsid w:val="001516A4"/>
    <w:rsid w:val="00154AD8"/>
    <w:rsid w:val="00163F42"/>
    <w:rsid w:val="00163F5B"/>
    <w:rsid w:val="00163FA2"/>
    <w:rsid w:val="00164384"/>
    <w:rsid w:val="00164D75"/>
    <w:rsid w:val="0016579F"/>
    <w:rsid w:val="00165BCE"/>
    <w:rsid w:val="00166242"/>
    <w:rsid w:val="00167F79"/>
    <w:rsid w:val="00171AFC"/>
    <w:rsid w:val="001739A0"/>
    <w:rsid w:val="001763DC"/>
    <w:rsid w:val="001802CA"/>
    <w:rsid w:val="00180FB2"/>
    <w:rsid w:val="00181629"/>
    <w:rsid w:val="00181A35"/>
    <w:rsid w:val="00182C7C"/>
    <w:rsid w:val="00183CBA"/>
    <w:rsid w:val="00183FB1"/>
    <w:rsid w:val="00185576"/>
    <w:rsid w:val="00185951"/>
    <w:rsid w:val="00190C6D"/>
    <w:rsid w:val="00191587"/>
    <w:rsid w:val="0019164D"/>
    <w:rsid w:val="00192687"/>
    <w:rsid w:val="0019336F"/>
    <w:rsid w:val="00193994"/>
    <w:rsid w:val="00194809"/>
    <w:rsid w:val="001952F9"/>
    <w:rsid w:val="00195B13"/>
    <w:rsid w:val="001A2505"/>
    <w:rsid w:val="001A4CE3"/>
    <w:rsid w:val="001A5422"/>
    <w:rsid w:val="001B0189"/>
    <w:rsid w:val="001B01D9"/>
    <w:rsid w:val="001B5DC5"/>
    <w:rsid w:val="001B793F"/>
    <w:rsid w:val="001B7D7E"/>
    <w:rsid w:val="001C1AF8"/>
    <w:rsid w:val="001C3DBE"/>
    <w:rsid w:val="001C3DE6"/>
    <w:rsid w:val="001C47F8"/>
    <w:rsid w:val="001C6107"/>
    <w:rsid w:val="001C6550"/>
    <w:rsid w:val="001C793E"/>
    <w:rsid w:val="001D0371"/>
    <w:rsid w:val="001D0FB6"/>
    <w:rsid w:val="001D288C"/>
    <w:rsid w:val="001D5178"/>
    <w:rsid w:val="001D5F57"/>
    <w:rsid w:val="001D6051"/>
    <w:rsid w:val="001D6460"/>
    <w:rsid w:val="001D6693"/>
    <w:rsid w:val="001D7F60"/>
    <w:rsid w:val="001E1E35"/>
    <w:rsid w:val="001E34C6"/>
    <w:rsid w:val="001E5581"/>
    <w:rsid w:val="001E73BA"/>
    <w:rsid w:val="001F0250"/>
    <w:rsid w:val="001F0D75"/>
    <w:rsid w:val="001F20D9"/>
    <w:rsid w:val="001F2538"/>
    <w:rsid w:val="001F3AD3"/>
    <w:rsid w:val="001F4D72"/>
    <w:rsid w:val="001F553A"/>
    <w:rsid w:val="001F562C"/>
    <w:rsid w:val="001F583B"/>
    <w:rsid w:val="001F6340"/>
    <w:rsid w:val="00202908"/>
    <w:rsid w:val="002035DB"/>
    <w:rsid w:val="002047C6"/>
    <w:rsid w:val="00210629"/>
    <w:rsid w:val="00211122"/>
    <w:rsid w:val="00211441"/>
    <w:rsid w:val="002121BE"/>
    <w:rsid w:val="0021384A"/>
    <w:rsid w:val="00214E7C"/>
    <w:rsid w:val="00216302"/>
    <w:rsid w:val="002165AB"/>
    <w:rsid w:val="00216ADD"/>
    <w:rsid w:val="002212B1"/>
    <w:rsid w:val="00221806"/>
    <w:rsid w:val="002222A2"/>
    <w:rsid w:val="0022295F"/>
    <w:rsid w:val="00223E42"/>
    <w:rsid w:val="00224A7F"/>
    <w:rsid w:val="00225330"/>
    <w:rsid w:val="002261F9"/>
    <w:rsid w:val="00234DF4"/>
    <w:rsid w:val="00234F48"/>
    <w:rsid w:val="002361A0"/>
    <w:rsid w:val="0024163C"/>
    <w:rsid w:val="00242356"/>
    <w:rsid w:val="002428E3"/>
    <w:rsid w:val="00246B54"/>
    <w:rsid w:val="00247458"/>
    <w:rsid w:val="00250F9F"/>
    <w:rsid w:val="002538DF"/>
    <w:rsid w:val="00254103"/>
    <w:rsid w:val="0025790F"/>
    <w:rsid w:val="002579E2"/>
    <w:rsid w:val="0026088E"/>
    <w:rsid w:val="00260BAF"/>
    <w:rsid w:val="00262384"/>
    <w:rsid w:val="002633CA"/>
    <w:rsid w:val="002644F5"/>
    <w:rsid w:val="00264CB9"/>
    <w:rsid w:val="002650F7"/>
    <w:rsid w:val="00266018"/>
    <w:rsid w:val="00267BA5"/>
    <w:rsid w:val="0027051F"/>
    <w:rsid w:val="002731C3"/>
    <w:rsid w:val="002733CD"/>
    <w:rsid w:val="0027471C"/>
    <w:rsid w:val="00274C0D"/>
    <w:rsid w:val="0027580E"/>
    <w:rsid w:val="00275DD6"/>
    <w:rsid w:val="00275FB2"/>
    <w:rsid w:val="002803F3"/>
    <w:rsid w:val="00280CF7"/>
    <w:rsid w:val="00280F74"/>
    <w:rsid w:val="00281846"/>
    <w:rsid w:val="00286998"/>
    <w:rsid w:val="002874CC"/>
    <w:rsid w:val="00290320"/>
    <w:rsid w:val="00290657"/>
    <w:rsid w:val="002912E8"/>
    <w:rsid w:val="00292436"/>
    <w:rsid w:val="00293861"/>
    <w:rsid w:val="00294B14"/>
    <w:rsid w:val="002957DE"/>
    <w:rsid w:val="00296115"/>
    <w:rsid w:val="00297320"/>
    <w:rsid w:val="00297F06"/>
    <w:rsid w:val="002A0C32"/>
    <w:rsid w:val="002A149F"/>
    <w:rsid w:val="002A1CB5"/>
    <w:rsid w:val="002A5261"/>
    <w:rsid w:val="002A616E"/>
    <w:rsid w:val="002A6CCF"/>
    <w:rsid w:val="002B0F2F"/>
    <w:rsid w:val="002B153C"/>
    <w:rsid w:val="002B76D0"/>
    <w:rsid w:val="002C2320"/>
    <w:rsid w:val="002C2429"/>
    <w:rsid w:val="002C45B0"/>
    <w:rsid w:val="002C6064"/>
    <w:rsid w:val="002C6A05"/>
    <w:rsid w:val="002C7285"/>
    <w:rsid w:val="002C7362"/>
    <w:rsid w:val="002C75D9"/>
    <w:rsid w:val="002C77AF"/>
    <w:rsid w:val="002C7BBC"/>
    <w:rsid w:val="002D080C"/>
    <w:rsid w:val="002D1801"/>
    <w:rsid w:val="002D2248"/>
    <w:rsid w:val="002D3129"/>
    <w:rsid w:val="002D317B"/>
    <w:rsid w:val="002D4384"/>
    <w:rsid w:val="002D6BF5"/>
    <w:rsid w:val="002D70F3"/>
    <w:rsid w:val="002E05CA"/>
    <w:rsid w:val="002E0F69"/>
    <w:rsid w:val="002E13B1"/>
    <w:rsid w:val="002E14DF"/>
    <w:rsid w:val="002E14E1"/>
    <w:rsid w:val="002E184D"/>
    <w:rsid w:val="002E1FAD"/>
    <w:rsid w:val="002E33FB"/>
    <w:rsid w:val="002E3701"/>
    <w:rsid w:val="002E39DD"/>
    <w:rsid w:val="002E44D1"/>
    <w:rsid w:val="002E572E"/>
    <w:rsid w:val="002E7941"/>
    <w:rsid w:val="002F0421"/>
    <w:rsid w:val="002F1B23"/>
    <w:rsid w:val="002F1C6A"/>
    <w:rsid w:val="002F35DC"/>
    <w:rsid w:val="002F56DD"/>
    <w:rsid w:val="002F5E6C"/>
    <w:rsid w:val="002F6CE5"/>
    <w:rsid w:val="002F7070"/>
    <w:rsid w:val="0030018C"/>
    <w:rsid w:val="00300FF4"/>
    <w:rsid w:val="0030201A"/>
    <w:rsid w:val="00302C0A"/>
    <w:rsid w:val="00303724"/>
    <w:rsid w:val="003051CC"/>
    <w:rsid w:val="00306B7E"/>
    <w:rsid w:val="00307981"/>
    <w:rsid w:val="0031057B"/>
    <w:rsid w:val="00311D97"/>
    <w:rsid w:val="0031207B"/>
    <w:rsid w:val="00312597"/>
    <w:rsid w:val="003139A4"/>
    <w:rsid w:val="003141DF"/>
    <w:rsid w:val="00317035"/>
    <w:rsid w:val="0032339A"/>
    <w:rsid w:val="00323E4E"/>
    <w:rsid w:val="00326699"/>
    <w:rsid w:val="00330684"/>
    <w:rsid w:val="00330C72"/>
    <w:rsid w:val="0033173E"/>
    <w:rsid w:val="00331B8E"/>
    <w:rsid w:val="0033207E"/>
    <w:rsid w:val="00333036"/>
    <w:rsid w:val="003331DA"/>
    <w:rsid w:val="00334334"/>
    <w:rsid w:val="00335F89"/>
    <w:rsid w:val="003412ED"/>
    <w:rsid w:val="00341585"/>
    <w:rsid w:val="00342938"/>
    <w:rsid w:val="00343F24"/>
    <w:rsid w:val="00344624"/>
    <w:rsid w:val="003449E0"/>
    <w:rsid w:val="003477DF"/>
    <w:rsid w:val="00350DC8"/>
    <w:rsid w:val="0035244D"/>
    <w:rsid w:val="00353344"/>
    <w:rsid w:val="00353D56"/>
    <w:rsid w:val="00354400"/>
    <w:rsid w:val="003554B8"/>
    <w:rsid w:val="00355575"/>
    <w:rsid w:val="003555BF"/>
    <w:rsid w:val="003574E3"/>
    <w:rsid w:val="0036223B"/>
    <w:rsid w:val="0036252A"/>
    <w:rsid w:val="0036460D"/>
    <w:rsid w:val="003646BF"/>
    <w:rsid w:val="00364D9D"/>
    <w:rsid w:val="003668AB"/>
    <w:rsid w:val="00371603"/>
    <w:rsid w:val="00373544"/>
    <w:rsid w:val="003735B9"/>
    <w:rsid w:val="003737A8"/>
    <w:rsid w:val="0037461E"/>
    <w:rsid w:val="00374748"/>
    <w:rsid w:val="0037757A"/>
    <w:rsid w:val="00383906"/>
    <w:rsid w:val="00383DA1"/>
    <w:rsid w:val="00387E90"/>
    <w:rsid w:val="003912B4"/>
    <w:rsid w:val="0039160C"/>
    <w:rsid w:val="00392007"/>
    <w:rsid w:val="003932F7"/>
    <w:rsid w:val="00396300"/>
    <w:rsid w:val="0039660F"/>
    <w:rsid w:val="0039741E"/>
    <w:rsid w:val="0039744C"/>
    <w:rsid w:val="00397C46"/>
    <w:rsid w:val="003A06C8"/>
    <w:rsid w:val="003A0D7C"/>
    <w:rsid w:val="003A13BE"/>
    <w:rsid w:val="003A1E73"/>
    <w:rsid w:val="003A32D7"/>
    <w:rsid w:val="003A4BEE"/>
    <w:rsid w:val="003A65E8"/>
    <w:rsid w:val="003A6898"/>
    <w:rsid w:val="003A74F5"/>
    <w:rsid w:val="003A7CA6"/>
    <w:rsid w:val="003B3AD2"/>
    <w:rsid w:val="003B40BE"/>
    <w:rsid w:val="003B4CB4"/>
    <w:rsid w:val="003B518B"/>
    <w:rsid w:val="003B58E3"/>
    <w:rsid w:val="003B679B"/>
    <w:rsid w:val="003B7612"/>
    <w:rsid w:val="003B7EE7"/>
    <w:rsid w:val="003C18C0"/>
    <w:rsid w:val="003C2C44"/>
    <w:rsid w:val="003C5EB8"/>
    <w:rsid w:val="003C6ADC"/>
    <w:rsid w:val="003C7467"/>
    <w:rsid w:val="003D119C"/>
    <w:rsid w:val="003D1924"/>
    <w:rsid w:val="003D244F"/>
    <w:rsid w:val="003D39EC"/>
    <w:rsid w:val="003D3B5E"/>
    <w:rsid w:val="003D3E27"/>
    <w:rsid w:val="003D3FA8"/>
    <w:rsid w:val="003D5452"/>
    <w:rsid w:val="003D6943"/>
    <w:rsid w:val="003D78F6"/>
    <w:rsid w:val="003E0D8B"/>
    <w:rsid w:val="003E1D89"/>
    <w:rsid w:val="003E3DD5"/>
    <w:rsid w:val="003E55D6"/>
    <w:rsid w:val="003E6FCE"/>
    <w:rsid w:val="003E713E"/>
    <w:rsid w:val="003E7BF8"/>
    <w:rsid w:val="003E7ECF"/>
    <w:rsid w:val="003F0833"/>
    <w:rsid w:val="003F0B8C"/>
    <w:rsid w:val="003F1ECD"/>
    <w:rsid w:val="003F350F"/>
    <w:rsid w:val="003F443F"/>
    <w:rsid w:val="003F44B7"/>
    <w:rsid w:val="003F75A0"/>
    <w:rsid w:val="003F7A39"/>
    <w:rsid w:val="004001CB"/>
    <w:rsid w:val="00400F1C"/>
    <w:rsid w:val="00401883"/>
    <w:rsid w:val="00402536"/>
    <w:rsid w:val="0040255C"/>
    <w:rsid w:val="00402EA3"/>
    <w:rsid w:val="0040306E"/>
    <w:rsid w:val="00404392"/>
    <w:rsid w:val="00404B4E"/>
    <w:rsid w:val="00406AF7"/>
    <w:rsid w:val="004072E3"/>
    <w:rsid w:val="004075F2"/>
    <w:rsid w:val="00410DE8"/>
    <w:rsid w:val="00411100"/>
    <w:rsid w:val="004111DA"/>
    <w:rsid w:val="0041188F"/>
    <w:rsid w:val="00413D48"/>
    <w:rsid w:val="00415E25"/>
    <w:rsid w:val="0041662E"/>
    <w:rsid w:val="004167B6"/>
    <w:rsid w:val="004213B0"/>
    <w:rsid w:val="00422FEE"/>
    <w:rsid w:val="00427DA0"/>
    <w:rsid w:val="00430CBE"/>
    <w:rsid w:val="00431F8D"/>
    <w:rsid w:val="004331B4"/>
    <w:rsid w:val="00435809"/>
    <w:rsid w:val="004374FA"/>
    <w:rsid w:val="00441AC2"/>
    <w:rsid w:val="004425A0"/>
    <w:rsid w:val="00444592"/>
    <w:rsid w:val="00445FEE"/>
    <w:rsid w:val="0044678E"/>
    <w:rsid w:val="004469C1"/>
    <w:rsid w:val="00447E60"/>
    <w:rsid w:val="0045061E"/>
    <w:rsid w:val="004510AC"/>
    <w:rsid w:val="004520E4"/>
    <w:rsid w:val="004528F1"/>
    <w:rsid w:val="00452BCD"/>
    <w:rsid w:val="00453A1E"/>
    <w:rsid w:val="00454EC1"/>
    <w:rsid w:val="00456A79"/>
    <w:rsid w:val="00456B63"/>
    <w:rsid w:val="0046002C"/>
    <w:rsid w:val="00460E7F"/>
    <w:rsid w:val="00461ED9"/>
    <w:rsid w:val="0046218D"/>
    <w:rsid w:val="00462778"/>
    <w:rsid w:val="00463B4F"/>
    <w:rsid w:val="00463BE5"/>
    <w:rsid w:val="00463FDE"/>
    <w:rsid w:val="0046457D"/>
    <w:rsid w:val="004655AB"/>
    <w:rsid w:val="004659CD"/>
    <w:rsid w:val="00467D2E"/>
    <w:rsid w:val="00470830"/>
    <w:rsid w:val="004716B9"/>
    <w:rsid w:val="004726E9"/>
    <w:rsid w:val="00473B74"/>
    <w:rsid w:val="00473F9B"/>
    <w:rsid w:val="00476808"/>
    <w:rsid w:val="00476C91"/>
    <w:rsid w:val="00477376"/>
    <w:rsid w:val="004806D3"/>
    <w:rsid w:val="00480A2A"/>
    <w:rsid w:val="00480E1F"/>
    <w:rsid w:val="00480FEA"/>
    <w:rsid w:val="0048181B"/>
    <w:rsid w:val="00483F0B"/>
    <w:rsid w:val="0048490D"/>
    <w:rsid w:val="00484913"/>
    <w:rsid w:val="00486000"/>
    <w:rsid w:val="004867E2"/>
    <w:rsid w:val="00487527"/>
    <w:rsid w:val="00492A5E"/>
    <w:rsid w:val="004956ED"/>
    <w:rsid w:val="004A0E5F"/>
    <w:rsid w:val="004A2A68"/>
    <w:rsid w:val="004A5672"/>
    <w:rsid w:val="004A5F55"/>
    <w:rsid w:val="004A7BAF"/>
    <w:rsid w:val="004B02EC"/>
    <w:rsid w:val="004B1389"/>
    <w:rsid w:val="004B2163"/>
    <w:rsid w:val="004B30C6"/>
    <w:rsid w:val="004B5465"/>
    <w:rsid w:val="004B68F5"/>
    <w:rsid w:val="004B7004"/>
    <w:rsid w:val="004B7506"/>
    <w:rsid w:val="004C0CDF"/>
    <w:rsid w:val="004C1744"/>
    <w:rsid w:val="004C20CA"/>
    <w:rsid w:val="004C4242"/>
    <w:rsid w:val="004C5010"/>
    <w:rsid w:val="004C6647"/>
    <w:rsid w:val="004C7FE0"/>
    <w:rsid w:val="004D07B2"/>
    <w:rsid w:val="004D106D"/>
    <w:rsid w:val="004D1C3B"/>
    <w:rsid w:val="004D2E94"/>
    <w:rsid w:val="004D3333"/>
    <w:rsid w:val="004D372F"/>
    <w:rsid w:val="004D403F"/>
    <w:rsid w:val="004D4757"/>
    <w:rsid w:val="004D5643"/>
    <w:rsid w:val="004D58E9"/>
    <w:rsid w:val="004D6440"/>
    <w:rsid w:val="004E022E"/>
    <w:rsid w:val="004E13BE"/>
    <w:rsid w:val="004E2189"/>
    <w:rsid w:val="004E271E"/>
    <w:rsid w:val="004E32F0"/>
    <w:rsid w:val="004E4EE9"/>
    <w:rsid w:val="004E60C0"/>
    <w:rsid w:val="004E7715"/>
    <w:rsid w:val="004F252B"/>
    <w:rsid w:val="004F391C"/>
    <w:rsid w:val="004F4285"/>
    <w:rsid w:val="004F5098"/>
    <w:rsid w:val="004F680B"/>
    <w:rsid w:val="004F6950"/>
    <w:rsid w:val="004F6F8E"/>
    <w:rsid w:val="00502AF4"/>
    <w:rsid w:val="00504EC6"/>
    <w:rsid w:val="005059B4"/>
    <w:rsid w:val="00505E80"/>
    <w:rsid w:val="00506461"/>
    <w:rsid w:val="00507B8D"/>
    <w:rsid w:val="00510633"/>
    <w:rsid w:val="00510AAB"/>
    <w:rsid w:val="00512A53"/>
    <w:rsid w:val="00512BEA"/>
    <w:rsid w:val="00513024"/>
    <w:rsid w:val="00514729"/>
    <w:rsid w:val="00514F3B"/>
    <w:rsid w:val="005150FC"/>
    <w:rsid w:val="00516022"/>
    <w:rsid w:val="005166D1"/>
    <w:rsid w:val="00521CEE"/>
    <w:rsid w:val="00523F8B"/>
    <w:rsid w:val="005240B7"/>
    <w:rsid w:val="00524D65"/>
    <w:rsid w:val="00526E66"/>
    <w:rsid w:val="00526EC4"/>
    <w:rsid w:val="00530233"/>
    <w:rsid w:val="005306CC"/>
    <w:rsid w:val="00532172"/>
    <w:rsid w:val="00532596"/>
    <w:rsid w:val="00534880"/>
    <w:rsid w:val="0053653A"/>
    <w:rsid w:val="0053789D"/>
    <w:rsid w:val="005415F2"/>
    <w:rsid w:val="005452CC"/>
    <w:rsid w:val="005466EF"/>
    <w:rsid w:val="005469CE"/>
    <w:rsid w:val="00547488"/>
    <w:rsid w:val="005477C5"/>
    <w:rsid w:val="00547CB3"/>
    <w:rsid w:val="005505A1"/>
    <w:rsid w:val="005506A2"/>
    <w:rsid w:val="00551FD5"/>
    <w:rsid w:val="005530A7"/>
    <w:rsid w:val="005546E2"/>
    <w:rsid w:val="00554727"/>
    <w:rsid w:val="005553AD"/>
    <w:rsid w:val="005557A8"/>
    <w:rsid w:val="00556D2C"/>
    <w:rsid w:val="0055776D"/>
    <w:rsid w:val="005624A7"/>
    <w:rsid w:val="0056454C"/>
    <w:rsid w:val="005652E2"/>
    <w:rsid w:val="00565639"/>
    <w:rsid w:val="00567C9C"/>
    <w:rsid w:val="00573041"/>
    <w:rsid w:val="0057402A"/>
    <w:rsid w:val="005749A5"/>
    <w:rsid w:val="005762A1"/>
    <w:rsid w:val="00584568"/>
    <w:rsid w:val="00584F72"/>
    <w:rsid w:val="0058602F"/>
    <w:rsid w:val="00587701"/>
    <w:rsid w:val="005903FB"/>
    <w:rsid w:val="00593255"/>
    <w:rsid w:val="005936CB"/>
    <w:rsid w:val="00593B69"/>
    <w:rsid w:val="005943F9"/>
    <w:rsid w:val="0059530B"/>
    <w:rsid w:val="0059680A"/>
    <w:rsid w:val="00596F20"/>
    <w:rsid w:val="00597477"/>
    <w:rsid w:val="005A03A3"/>
    <w:rsid w:val="005A0BB6"/>
    <w:rsid w:val="005A1D89"/>
    <w:rsid w:val="005A463A"/>
    <w:rsid w:val="005A6ADB"/>
    <w:rsid w:val="005A6F8E"/>
    <w:rsid w:val="005A79E3"/>
    <w:rsid w:val="005B0ADD"/>
    <w:rsid w:val="005B1E58"/>
    <w:rsid w:val="005B36E0"/>
    <w:rsid w:val="005B4084"/>
    <w:rsid w:val="005B4F97"/>
    <w:rsid w:val="005B6A16"/>
    <w:rsid w:val="005B77E3"/>
    <w:rsid w:val="005B7842"/>
    <w:rsid w:val="005C164B"/>
    <w:rsid w:val="005C1A3A"/>
    <w:rsid w:val="005C22DD"/>
    <w:rsid w:val="005C392E"/>
    <w:rsid w:val="005C3FE0"/>
    <w:rsid w:val="005C400C"/>
    <w:rsid w:val="005C4126"/>
    <w:rsid w:val="005C4A83"/>
    <w:rsid w:val="005C7308"/>
    <w:rsid w:val="005C740C"/>
    <w:rsid w:val="005C79BA"/>
    <w:rsid w:val="005C7F36"/>
    <w:rsid w:val="005D0300"/>
    <w:rsid w:val="005D2F5B"/>
    <w:rsid w:val="005D3322"/>
    <w:rsid w:val="005D416C"/>
    <w:rsid w:val="005D5BC1"/>
    <w:rsid w:val="005D6886"/>
    <w:rsid w:val="005E18EE"/>
    <w:rsid w:val="005E2393"/>
    <w:rsid w:val="005E25D4"/>
    <w:rsid w:val="005E61FD"/>
    <w:rsid w:val="005E6236"/>
    <w:rsid w:val="005F0E31"/>
    <w:rsid w:val="005F23DB"/>
    <w:rsid w:val="005F2F08"/>
    <w:rsid w:val="005F3C85"/>
    <w:rsid w:val="005F431D"/>
    <w:rsid w:val="005F4FE7"/>
    <w:rsid w:val="005F55C9"/>
    <w:rsid w:val="00600777"/>
    <w:rsid w:val="00602145"/>
    <w:rsid w:val="00604859"/>
    <w:rsid w:val="006048F4"/>
    <w:rsid w:val="00604F46"/>
    <w:rsid w:val="006064E1"/>
    <w:rsid w:val="0060660A"/>
    <w:rsid w:val="00610AAA"/>
    <w:rsid w:val="00611174"/>
    <w:rsid w:val="00611CB0"/>
    <w:rsid w:val="00612294"/>
    <w:rsid w:val="006123B1"/>
    <w:rsid w:val="00613D07"/>
    <w:rsid w:val="006144B7"/>
    <w:rsid w:val="0061509D"/>
    <w:rsid w:val="006154C6"/>
    <w:rsid w:val="00615508"/>
    <w:rsid w:val="00615DAA"/>
    <w:rsid w:val="00617313"/>
    <w:rsid w:val="00617A44"/>
    <w:rsid w:val="00625CD0"/>
    <w:rsid w:val="00625EB1"/>
    <w:rsid w:val="006271BD"/>
    <w:rsid w:val="006316B8"/>
    <w:rsid w:val="00631889"/>
    <w:rsid w:val="00632896"/>
    <w:rsid w:val="006329A1"/>
    <w:rsid w:val="00633D2B"/>
    <w:rsid w:val="00633F16"/>
    <w:rsid w:val="00634A3C"/>
    <w:rsid w:val="00635DE3"/>
    <w:rsid w:val="0063607A"/>
    <w:rsid w:val="00636AFD"/>
    <w:rsid w:val="0064290A"/>
    <w:rsid w:val="00645EC4"/>
    <w:rsid w:val="00646274"/>
    <w:rsid w:val="006469F6"/>
    <w:rsid w:val="00646E47"/>
    <w:rsid w:val="00647397"/>
    <w:rsid w:val="00651441"/>
    <w:rsid w:val="006522A0"/>
    <w:rsid w:val="0065281C"/>
    <w:rsid w:val="00653258"/>
    <w:rsid w:val="00654A4D"/>
    <w:rsid w:val="006565D2"/>
    <w:rsid w:val="006569DB"/>
    <w:rsid w:val="00656C96"/>
    <w:rsid w:val="00657247"/>
    <w:rsid w:val="006614C4"/>
    <w:rsid w:val="00661591"/>
    <w:rsid w:val="00661F31"/>
    <w:rsid w:val="00662125"/>
    <w:rsid w:val="00663E9A"/>
    <w:rsid w:val="006651D1"/>
    <w:rsid w:val="0066632F"/>
    <w:rsid w:val="006665E1"/>
    <w:rsid w:val="00667BAB"/>
    <w:rsid w:val="0067057E"/>
    <w:rsid w:val="00670DD3"/>
    <w:rsid w:val="006711DA"/>
    <w:rsid w:val="00672E33"/>
    <w:rsid w:val="0067329B"/>
    <w:rsid w:val="00681817"/>
    <w:rsid w:val="0068182A"/>
    <w:rsid w:val="00681B2D"/>
    <w:rsid w:val="00683DCB"/>
    <w:rsid w:val="006844D7"/>
    <w:rsid w:val="00685D3E"/>
    <w:rsid w:val="0069047B"/>
    <w:rsid w:val="00690DCA"/>
    <w:rsid w:val="00691046"/>
    <w:rsid w:val="00692E7B"/>
    <w:rsid w:val="0069317D"/>
    <w:rsid w:val="006941DB"/>
    <w:rsid w:val="006956A1"/>
    <w:rsid w:val="0069702B"/>
    <w:rsid w:val="006A4DB5"/>
    <w:rsid w:val="006A52D6"/>
    <w:rsid w:val="006A6FA2"/>
    <w:rsid w:val="006A73B3"/>
    <w:rsid w:val="006A78DD"/>
    <w:rsid w:val="006B021E"/>
    <w:rsid w:val="006B03AF"/>
    <w:rsid w:val="006B0D67"/>
    <w:rsid w:val="006B2292"/>
    <w:rsid w:val="006B329D"/>
    <w:rsid w:val="006B3A5E"/>
    <w:rsid w:val="006B4677"/>
    <w:rsid w:val="006C1EB0"/>
    <w:rsid w:val="006C2535"/>
    <w:rsid w:val="006C3A41"/>
    <w:rsid w:val="006C5413"/>
    <w:rsid w:val="006C65A1"/>
    <w:rsid w:val="006C6C62"/>
    <w:rsid w:val="006D3256"/>
    <w:rsid w:val="006D4B0D"/>
    <w:rsid w:val="006D5DC2"/>
    <w:rsid w:val="006D60B4"/>
    <w:rsid w:val="006D75E1"/>
    <w:rsid w:val="006E263E"/>
    <w:rsid w:val="006E3546"/>
    <w:rsid w:val="006E38C3"/>
    <w:rsid w:val="006E4D97"/>
    <w:rsid w:val="006E5C14"/>
    <w:rsid w:val="006E7216"/>
    <w:rsid w:val="006F0F93"/>
    <w:rsid w:val="006F17B6"/>
    <w:rsid w:val="006F35FA"/>
    <w:rsid w:val="0070059C"/>
    <w:rsid w:val="00703AEF"/>
    <w:rsid w:val="00704CCA"/>
    <w:rsid w:val="0070543F"/>
    <w:rsid w:val="00705BC0"/>
    <w:rsid w:val="00705C87"/>
    <w:rsid w:val="00707E10"/>
    <w:rsid w:val="00707EA6"/>
    <w:rsid w:val="00710978"/>
    <w:rsid w:val="00713044"/>
    <w:rsid w:val="00713322"/>
    <w:rsid w:val="00713F74"/>
    <w:rsid w:val="007146F0"/>
    <w:rsid w:val="00715237"/>
    <w:rsid w:val="00715F39"/>
    <w:rsid w:val="00716F76"/>
    <w:rsid w:val="00717A3E"/>
    <w:rsid w:val="00720573"/>
    <w:rsid w:val="0072120E"/>
    <w:rsid w:val="007218DF"/>
    <w:rsid w:val="00721ABE"/>
    <w:rsid w:val="00722E7C"/>
    <w:rsid w:val="00722F4B"/>
    <w:rsid w:val="007230FA"/>
    <w:rsid w:val="007237B3"/>
    <w:rsid w:val="00724101"/>
    <w:rsid w:val="007254A5"/>
    <w:rsid w:val="00725748"/>
    <w:rsid w:val="00730D14"/>
    <w:rsid w:val="00733585"/>
    <w:rsid w:val="00734374"/>
    <w:rsid w:val="00734A5A"/>
    <w:rsid w:val="00735496"/>
    <w:rsid w:val="00736D0D"/>
    <w:rsid w:val="00737095"/>
    <w:rsid w:val="0073720D"/>
    <w:rsid w:val="007402E0"/>
    <w:rsid w:val="007418AE"/>
    <w:rsid w:val="00741C4B"/>
    <w:rsid w:val="00742AB9"/>
    <w:rsid w:val="00743337"/>
    <w:rsid w:val="00744822"/>
    <w:rsid w:val="00746658"/>
    <w:rsid w:val="00750A91"/>
    <w:rsid w:val="00751CF9"/>
    <w:rsid w:val="0075204C"/>
    <w:rsid w:val="0075240B"/>
    <w:rsid w:val="0075368B"/>
    <w:rsid w:val="00754176"/>
    <w:rsid w:val="00754666"/>
    <w:rsid w:val="00754FBF"/>
    <w:rsid w:val="00756754"/>
    <w:rsid w:val="00757005"/>
    <w:rsid w:val="0076016D"/>
    <w:rsid w:val="007606CE"/>
    <w:rsid w:val="0076252A"/>
    <w:rsid w:val="00764112"/>
    <w:rsid w:val="0077029E"/>
    <w:rsid w:val="0077048E"/>
    <w:rsid w:val="00770864"/>
    <w:rsid w:val="007724AB"/>
    <w:rsid w:val="00774B22"/>
    <w:rsid w:val="00775344"/>
    <w:rsid w:val="00775D8A"/>
    <w:rsid w:val="007777DF"/>
    <w:rsid w:val="007804B1"/>
    <w:rsid w:val="00781CED"/>
    <w:rsid w:val="007831C7"/>
    <w:rsid w:val="00783559"/>
    <w:rsid w:val="00783B2B"/>
    <w:rsid w:val="007845DD"/>
    <w:rsid w:val="0078554C"/>
    <w:rsid w:val="00785F18"/>
    <w:rsid w:val="00786645"/>
    <w:rsid w:val="00786698"/>
    <w:rsid w:val="0079029D"/>
    <w:rsid w:val="00791F13"/>
    <w:rsid w:val="00797E30"/>
    <w:rsid w:val="007A300F"/>
    <w:rsid w:val="007A303D"/>
    <w:rsid w:val="007A3BEE"/>
    <w:rsid w:val="007A4105"/>
    <w:rsid w:val="007A474C"/>
    <w:rsid w:val="007A6E58"/>
    <w:rsid w:val="007B0280"/>
    <w:rsid w:val="007B1255"/>
    <w:rsid w:val="007B163C"/>
    <w:rsid w:val="007B2B84"/>
    <w:rsid w:val="007B2BC2"/>
    <w:rsid w:val="007B5451"/>
    <w:rsid w:val="007B54BC"/>
    <w:rsid w:val="007B6899"/>
    <w:rsid w:val="007B6E9D"/>
    <w:rsid w:val="007C0CE8"/>
    <w:rsid w:val="007C2535"/>
    <w:rsid w:val="007C360D"/>
    <w:rsid w:val="007C3D23"/>
    <w:rsid w:val="007C406E"/>
    <w:rsid w:val="007C5A90"/>
    <w:rsid w:val="007C66A9"/>
    <w:rsid w:val="007C7F09"/>
    <w:rsid w:val="007D08AB"/>
    <w:rsid w:val="007D0D7C"/>
    <w:rsid w:val="007D25B4"/>
    <w:rsid w:val="007D2C22"/>
    <w:rsid w:val="007D2EA6"/>
    <w:rsid w:val="007D468A"/>
    <w:rsid w:val="007D4DA0"/>
    <w:rsid w:val="007D5658"/>
    <w:rsid w:val="007D568A"/>
    <w:rsid w:val="007D6565"/>
    <w:rsid w:val="007E1149"/>
    <w:rsid w:val="007E2C0D"/>
    <w:rsid w:val="007E33F7"/>
    <w:rsid w:val="007E435C"/>
    <w:rsid w:val="007E6BE6"/>
    <w:rsid w:val="007F100C"/>
    <w:rsid w:val="007F428E"/>
    <w:rsid w:val="007F74ED"/>
    <w:rsid w:val="0080096E"/>
    <w:rsid w:val="008050E6"/>
    <w:rsid w:val="00807805"/>
    <w:rsid w:val="008103B8"/>
    <w:rsid w:val="00810CFA"/>
    <w:rsid w:val="00811392"/>
    <w:rsid w:val="00812028"/>
    <w:rsid w:val="00812D17"/>
    <w:rsid w:val="0081334B"/>
    <w:rsid w:val="00813903"/>
    <w:rsid w:val="00814D03"/>
    <w:rsid w:val="0081537D"/>
    <w:rsid w:val="00816074"/>
    <w:rsid w:val="00820F4D"/>
    <w:rsid w:val="008237F6"/>
    <w:rsid w:val="00824629"/>
    <w:rsid w:val="008269C6"/>
    <w:rsid w:val="0083178B"/>
    <w:rsid w:val="008322C4"/>
    <w:rsid w:val="00832B2A"/>
    <w:rsid w:val="00833695"/>
    <w:rsid w:val="00834F99"/>
    <w:rsid w:val="008364EF"/>
    <w:rsid w:val="0083665E"/>
    <w:rsid w:val="0083788B"/>
    <w:rsid w:val="00837C66"/>
    <w:rsid w:val="008407B5"/>
    <w:rsid w:val="00842A21"/>
    <w:rsid w:val="00842CD8"/>
    <w:rsid w:val="008441C9"/>
    <w:rsid w:val="008517DE"/>
    <w:rsid w:val="00851BC3"/>
    <w:rsid w:val="008520D8"/>
    <w:rsid w:val="008525B2"/>
    <w:rsid w:val="008530B2"/>
    <w:rsid w:val="008544D0"/>
    <w:rsid w:val="008553C7"/>
    <w:rsid w:val="00857770"/>
    <w:rsid w:val="008577CA"/>
    <w:rsid w:val="00857FEB"/>
    <w:rsid w:val="00860B95"/>
    <w:rsid w:val="008616E0"/>
    <w:rsid w:val="00862050"/>
    <w:rsid w:val="008624AD"/>
    <w:rsid w:val="008624F0"/>
    <w:rsid w:val="00864082"/>
    <w:rsid w:val="008646B0"/>
    <w:rsid w:val="00864A77"/>
    <w:rsid w:val="00864B45"/>
    <w:rsid w:val="0086510F"/>
    <w:rsid w:val="00865648"/>
    <w:rsid w:val="008666D2"/>
    <w:rsid w:val="00866E1C"/>
    <w:rsid w:val="00870706"/>
    <w:rsid w:val="00871B05"/>
    <w:rsid w:val="008720EB"/>
    <w:rsid w:val="008735BA"/>
    <w:rsid w:val="00873E5C"/>
    <w:rsid w:val="008753FC"/>
    <w:rsid w:val="008777AA"/>
    <w:rsid w:val="008802A6"/>
    <w:rsid w:val="00880A18"/>
    <w:rsid w:val="008812FB"/>
    <w:rsid w:val="00882814"/>
    <w:rsid w:val="00884C2C"/>
    <w:rsid w:val="00886E97"/>
    <w:rsid w:val="0089001B"/>
    <w:rsid w:val="00891692"/>
    <w:rsid w:val="00892002"/>
    <w:rsid w:val="008934AE"/>
    <w:rsid w:val="008934E6"/>
    <w:rsid w:val="008946B4"/>
    <w:rsid w:val="00896A2E"/>
    <w:rsid w:val="008A46A9"/>
    <w:rsid w:val="008A5003"/>
    <w:rsid w:val="008A5A3F"/>
    <w:rsid w:val="008A702B"/>
    <w:rsid w:val="008A7174"/>
    <w:rsid w:val="008A7F1E"/>
    <w:rsid w:val="008B1BE5"/>
    <w:rsid w:val="008B378C"/>
    <w:rsid w:val="008B3929"/>
    <w:rsid w:val="008B3C2F"/>
    <w:rsid w:val="008B4118"/>
    <w:rsid w:val="008B4208"/>
    <w:rsid w:val="008B45D6"/>
    <w:rsid w:val="008B4CB3"/>
    <w:rsid w:val="008B54B2"/>
    <w:rsid w:val="008B731A"/>
    <w:rsid w:val="008C13F5"/>
    <w:rsid w:val="008C2425"/>
    <w:rsid w:val="008C2444"/>
    <w:rsid w:val="008C3F57"/>
    <w:rsid w:val="008C46FD"/>
    <w:rsid w:val="008C5B1C"/>
    <w:rsid w:val="008C67AF"/>
    <w:rsid w:val="008C78FD"/>
    <w:rsid w:val="008D0EBE"/>
    <w:rsid w:val="008D159B"/>
    <w:rsid w:val="008D2355"/>
    <w:rsid w:val="008D39CE"/>
    <w:rsid w:val="008D3AC4"/>
    <w:rsid w:val="008D3CEA"/>
    <w:rsid w:val="008D5B01"/>
    <w:rsid w:val="008E22BC"/>
    <w:rsid w:val="008E35E2"/>
    <w:rsid w:val="008E3DA4"/>
    <w:rsid w:val="008E4711"/>
    <w:rsid w:val="008E5F59"/>
    <w:rsid w:val="008E7AC3"/>
    <w:rsid w:val="008F0C84"/>
    <w:rsid w:val="008F0FB1"/>
    <w:rsid w:val="008F1B70"/>
    <w:rsid w:val="008F2143"/>
    <w:rsid w:val="008F4A8D"/>
    <w:rsid w:val="00901121"/>
    <w:rsid w:val="00901DEF"/>
    <w:rsid w:val="00902FF2"/>
    <w:rsid w:val="00905B6D"/>
    <w:rsid w:val="0090647C"/>
    <w:rsid w:val="0090651A"/>
    <w:rsid w:val="00910642"/>
    <w:rsid w:val="00910DD8"/>
    <w:rsid w:val="00910E6D"/>
    <w:rsid w:val="00914ACC"/>
    <w:rsid w:val="009160BB"/>
    <w:rsid w:val="00916665"/>
    <w:rsid w:val="009166AD"/>
    <w:rsid w:val="00916806"/>
    <w:rsid w:val="00917821"/>
    <w:rsid w:val="00917BAC"/>
    <w:rsid w:val="00921A22"/>
    <w:rsid w:val="009311C8"/>
    <w:rsid w:val="00931302"/>
    <w:rsid w:val="00933376"/>
    <w:rsid w:val="009336FC"/>
    <w:rsid w:val="00934881"/>
    <w:rsid w:val="00936F95"/>
    <w:rsid w:val="00937CE6"/>
    <w:rsid w:val="00940C5F"/>
    <w:rsid w:val="0094218D"/>
    <w:rsid w:val="00942355"/>
    <w:rsid w:val="00943776"/>
    <w:rsid w:val="00943F25"/>
    <w:rsid w:val="00944F01"/>
    <w:rsid w:val="00946D29"/>
    <w:rsid w:val="0095050D"/>
    <w:rsid w:val="009505AC"/>
    <w:rsid w:val="009513C2"/>
    <w:rsid w:val="0095259F"/>
    <w:rsid w:val="009534EF"/>
    <w:rsid w:val="0095352B"/>
    <w:rsid w:val="00955A7F"/>
    <w:rsid w:val="00955C16"/>
    <w:rsid w:val="00956623"/>
    <w:rsid w:val="0095748C"/>
    <w:rsid w:val="00957F7E"/>
    <w:rsid w:val="0096143B"/>
    <w:rsid w:val="00961C28"/>
    <w:rsid w:val="00961FA7"/>
    <w:rsid w:val="009627A5"/>
    <w:rsid w:val="00962C56"/>
    <w:rsid w:val="00964979"/>
    <w:rsid w:val="00964BBF"/>
    <w:rsid w:val="00964F30"/>
    <w:rsid w:val="00965779"/>
    <w:rsid w:val="009668DE"/>
    <w:rsid w:val="00967346"/>
    <w:rsid w:val="009711D9"/>
    <w:rsid w:val="0097132B"/>
    <w:rsid w:val="009718F9"/>
    <w:rsid w:val="0097252A"/>
    <w:rsid w:val="00972D20"/>
    <w:rsid w:val="00975112"/>
    <w:rsid w:val="00975202"/>
    <w:rsid w:val="009753D7"/>
    <w:rsid w:val="00975DAB"/>
    <w:rsid w:val="00977002"/>
    <w:rsid w:val="009774C4"/>
    <w:rsid w:val="009811DF"/>
    <w:rsid w:val="00982B90"/>
    <w:rsid w:val="00982E82"/>
    <w:rsid w:val="00983333"/>
    <w:rsid w:val="00983A7C"/>
    <w:rsid w:val="00984BC2"/>
    <w:rsid w:val="00984D7B"/>
    <w:rsid w:val="00987D7A"/>
    <w:rsid w:val="009918B8"/>
    <w:rsid w:val="00991B5F"/>
    <w:rsid w:val="00991B92"/>
    <w:rsid w:val="00991C2E"/>
    <w:rsid w:val="0099410E"/>
    <w:rsid w:val="00994478"/>
    <w:rsid w:val="009970A2"/>
    <w:rsid w:val="00997999"/>
    <w:rsid w:val="009A0FF6"/>
    <w:rsid w:val="009A15FA"/>
    <w:rsid w:val="009A342B"/>
    <w:rsid w:val="009A3B71"/>
    <w:rsid w:val="009A3CA0"/>
    <w:rsid w:val="009A542C"/>
    <w:rsid w:val="009A5E25"/>
    <w:rsid w:val="009A61BC"/>
    <w:rsid w:val="009A6527"/>
    <w:rsid w:val="009A6608"/>
    <w:rsid w:val="009A676D"/>
    <w:rsid w:val="009A727A"/>
    <w:rsid w:val="009B1466"/>
    <w:rsid w:val="009B24B7"/>
    <w:rsid w:val="009B41E7"/>
    <w:rsid w:val="009B424D"/>
    <w:rsid w:val="009B57FB"/>
    <w:rsid w:val="009B7709"/>
    <w:rsid w:val="009C1AC6"/>
    <w:rsid w:val="009C1C75"/>
    <w:rsid w:val="009C37AE"/>
    <w:rsid w:val="009C388D"/>
    <w:rsid w:val="009C42BC"/>
    <w:rsid w:val="009C4AAC"/>
    <w:rsid w:val="009C4F04"/>
    <w:rsid w:val="009C692B"/>
    <w:rsid w:val="009D1346"/>
    <w:rsid w:val="009D277F"/>
    <w:rsid w:val="009D5C2E"/>
    <w:rsid w:val="009D7120"/>
    <w:rsid w:val="009D7DFA"/>
    <w:rsid w:val="009E042D"/>
    <w:rsid w:val="009E1B8B"/>
    <w:rsid w:val="009E322C"/>
    <w:rsid w:val="009E37E6"/>
    <w:rsid w:val="009E584D"/>
    <w:rsid w:val="009E6427"/>
    <w:rsid w:val="009E71C1"/>
    <w:rsid w:val="009F3508"/>
    <w:rsid w:val="009F3851"/>
    <w:rsid w:val="00A00EE3"/>
    <w:rsid w:val="00A01077"/>
    <w:rsid w:val="00A02980"/>
    <w:rsid w:val="00A043B4"/>
    <w:rsid w:val="00A05CA0"/>
    <w:rsid w:val="00A061CD"/>
    <w:rsid w:val="00A06827"/>
    <w:rsid w:val="00A07737"/>
    <w:rsid w:val="00A07D00"/>
    <w:rsid w:val="00A10614"/>
    <w:rsid w:val="00A106DF"/>
    <w:rsid w:val="00A10E98"/>
    <w:rsid w:val="00A12458"/>
    <w:rsid w:val="00A12FD6"/>
    <w:rsid w:val="00A13274"/>
    <w:rsid w:val="00A135CF"/>
    <w:rsid w:val="00A140C1"/>
    <w:rsid w:val="00A140D0"/>
    <w:rsid w:val="00A149C1"/>
    <w:rsid w:val="00A14A93"/>
    <w:rsid w:val="00A152DA"/>
    <w:rsid w:val="00A167EA"/>
    <w:rsid w:val="00A16AE6"/>
    <w:rsid w:val="00A173AC"/>
    <w:rsid w:val="00A2172A"/>
    <w:rsid w:val="00A21B3B"/>
    <w:rsid w:val="00A2455B"/>
    <w:rsid w:val="00A245B7"/>
    <w:rsid w:val="00A25B4A"/>
    <w:rsid w:val="00A26207"/>
    <w:rsid w:val="00A27328"/>
    <w:rsid w:val="00A277F9"/>
    <w:rsid w:val="00A30E68"/>
    <w:rsid w:val="00A31885"/>
    <w:rsid w:val="00A33BBB"/>
    <w:rsid w:val="00A34AA0"/>
    <w:rsid w:val="00A34D64"/>
    <w:rsid w:val="00A35777"/>
    <w:rsid w:val="00A35AE0"/>
    <w:rsid w:val="00A35B30"/>
    <w:rsid w:val="00A373C4"/>
    <w:rsid w:val="00A37B8E"/>
    <w:rsid w:val="00A37C4F"/>
    <w:rsid w:val="00A41EFC"/>
    <w:rsid w:val="00A42D78"/>
    <w:rsid w:val="00A4371E"/>
    <w:rsid w:val="00A462E4"/>
    <w:rsid w:val="00A47733"/>
    <w:rsid w:val="00A511CD"/>
    <w:rsid w:val="00A54DEE"/>
    <w:rsid w:val="00A56946"/>
    <w:rsid w:val="00A578D8"/>
    <w:rsid w:val="00A61759"/>
    <w:rsid w:val="00A6217B"/>
    <w:rsid w:val="00A64A23"/>
    <w:rsid w:val="00A65A0D"/>
    <w:rsid w:val="00A65FF9"/>
    <w:rsid w:val="00A70E93"/>
    <w:rsid w:val="00A73B5A"/>
    <w:rsid w:val="00A74DEC"/>
    <w:rsid w:val="00A76D10"/>
    <w:rsid w:val="00A76DC7"/>
    <w:rsid w:val="00A77D7A"/>
    <w:rsid w:val="00A84B60"/>
    <w:rsid w:val="00A84E68"/>
    <w:rsid w:val="00A84F62"/>
    <w:rsid w:val="00A8630D"/>
    <w:rsid w:val="00A87B6C"/>
    <w:rsid w:val="00A908F9"/>
    <w:rsid w:val="00A91B1B"/>
    <w:rsid w:val="00A91F56"/>
    <w:rsid w:val="00A9351D"/>
    <w:rsid w:val="00A939A2"/>
    <w:rsid w:val="00A94A09"/>
    <w:rsid w:val="00A967EE"/>
    <w:rsid w:val="00AA17AD"/>
    <w:rsid w:val="00AA4277"/>
    <w:rsid w:val="00AA4D58"/>
    <w:rsid w:val="00AA5B94"/>
    <w:rsid w:val="00AA6265"/>
    <w:rsid w:val="00AA6CB7"/>
    <w:rsid w:val="00AB3208"/>
    <w:rsid w:val="00AB4880"/>
    <w:rsid w:val="00AB5963"/>
    <w:rsid w:val="00AB762B"/>
    <w:rsid w:val="00AB78E0"/>
    <w:rsid w:val="00AC0810"/>
    <w:rsid w:val="00AC0B3D"/>
    <w:rsid w:val="00AC1ED1"/>
    <w:rsid w:val="00AC211D"/>
    <w:rsid w:val="00AC3701"/>
    <w:rsid w:val="00AC467F"/>
    <w:rsid w:val="00AC49D8"/>
    <w:rsid w:val="00AC523C"/>
    <w:rsid w:val="00AC567F"/>
    <w:rsid w:val="00AD0CCB"/>
    <w:rsid w:val="00AD24CE"/>
    <w:rsid w:val="00AD279E"/>
    <w:rsid w:val="00AD2B89"/>
    <w:rsid w:val="00AD3A3C"/>
    <w:rsid w:val="00AD4941"/>
    <w:rsid w:val="00AD4957"/>
    <w:rsid w:val="00AD5C2E"/>
    <w:rsid w:val="00AE0241"/>
    <w:rsid w:val="00AE11B7"/>
    <w:rsid w:val="00AE1D85"/>
    <w:rsid w:val="00AE2D92"/>
    <w:rsid w:val="00AE392E"/>
    <w:rsid w:val="00AE4E07"/>
    <w:rsid w:val="00AE5230"/>
    <w:rsid w:val="00AE5901"/>
    <w:rsid w:val="00AE66C0"/>
    <w:rsid w:val="00AE74DF"/>
    <w:rsid w:val="00AE77B6"/>
    <w:rsid w:val="00AF0342"/>
    <w:rsid w:val="00AF0612"/>
    <w:rsid w:val="00AF0888"/>
    <w:rsid w:val="00AF0C78"/>
    <w:rsid w:val="00AF0D16"/>
    <w:rsid w:val="00AF2170"/>
    <w:rsid w:val="00AF3655"/>
    <w:rsid w:val="00AF36B0"/>
    <w:rsid w:val="00AF612D"/>
    <w:rsid w:val="00AF7B1E"/>
    <w:rsid w:val="00AF7F47"/>
    <w:rsid w:val="00B00A55"/>
    <w:rsid w:val="00B00F22"/>
    <w:rsid w:val="00B04CEF"/>
    <w:rsid w:val="00B06444"/>
    <w:rsid w:val="00B0686B"/>
    <w:rsid w:val="00B06C4D"/>
    <w:rsid w:val="00B06D4B"/>
    <w:rsid w:val="00B201ED"/>
    <w:rsid w:val="00B214B2"/>
    <w:rsid w:val="00B23785"/>
    <w:rsid w:val="00B24584"/>
    <w:rsid w:val="00B24C4A"/>
    <w:rsid w:val="00B25CD9"/>
    <w:rsid w:val="00B26CCF"/>
    <w:rsid w:val="00B30004"/>
    <w:rsid w:val="00B30353"/>
    <w:rsid w:val="00B316B9"/>
    <w:rsid w:val="00B31D5F"/>
    <w:rsid w:val="00B34C1E"/>
    <w:rsid w:val="00B35331"/>
    <w:rsid w:val="00B36546"/>
    <w:rsid w:val="00B36F69"/>
    <w:rsid w:val="00B424BA"/>
    <w:rsid w:val="00B45111"/>
    <w:rsid w:val="00B464BB"/>
    <w:rsid w:val="00B47B9E"/>
    <w:rsid w:val="00B51231"/>
    <w:rsid w:val="00B51544"/>
    <w:rsid w:val="00B531DD"/>
    <w:rsid w:val="00B53507"/>
    <w:rsid w:val="00B54564"/>
    <w:rsid w:val="00B55390"/>
    <w:rsid w:val="00B5559B"/>
    <w:rsid w:val="00B56A07"/>
    <w:rsid w:val="00B56D45"/>
    <w:rsid w:val="00B572E8"/>
    <w:rsid w:val="00B579D6"/>
    <w:rsid w:val="00B603B4"/>
    <w:rsid w:val="00B60860"/>
    <w:rsid w:val="00B61C9B"/>
    <w:rsid w:val="00B6291B"/>
    <w:rsid w:val="00B645D2"/>
    <w:rsid w:val="00B65F52"/>
    <w:rsid w:val="00B67E6B"/>
    <w:rsid w:val="00B717B0"/>
    <w:rsid w:val="00B71DC2"/>
    <w:rsid w:val="00B73546"/>
    <w:rsid w:val="00B74DD5"/>
    <w:rsid w:val="00B74F88"/>
    <w:rsid w:val="00B76565"/>
    <w:rsid w:val="00B76A6E"/>
    <w:rsid w:val="00B83988"/>
    <w:rsid w:val="00B84A83"/>
    <w:rsid w:val="00B86B6D"/>
    <w:rsid w:val="00B879C7"/>
    <w:rsid w:val="00B90D3F"/>
    <w:rsid w:val="00B912E1"/>
    <w:rsid w:val="00B93893"/>
    <w:rsid w:val="00B95E58"/>
    <w:rsid w:val="00B95FC2"/>
    <w:rsid w:val="00B979F2"/>
    <w:rsid w:val="00B97DCD"/>
    <w:rsid w:val="00BA06AC"/>
    <w:rsid w:val="00BA1B1C"/>
    <w:rsid w:val="00BA1D5F"/>
    <w:rsid w:val="00BA2CB0"/>
    <w:rsid w:val="00BA537F"/>
    <w:rsid w:val="00BA5E9E"/>
    <w:rsid w:val="00BA627E"/>
    <w:rsid w:val="00BA7371"/>
    <w:rsid w:val="00BA770E"/>
    <w:rsid w:val="00BA7A60"/>
    <w:rsid w:val="00BA7EDA"/>
    <w:rsid w:val="00BB11E1"/>
    <w:rsid w:val="00BB1594"/>
    <w:rsid w:val="00BB1670"/>
    <w:rsid w:val="00BB2BC0"/>
    <w:rsid w:val="00BB6DA1"/>
    <w:rsid w:val="00BB7ABD"/>
    <w:rsid w:val="00BB7EB7"/>
    <w:rsid w:val="00BC02E9"/>
    <w:rsid w:val="00BC0A80"/>
    <w:rsid w:val="00BC12A3"/>
    <w:rsid w:val="00BC3B53"/>
    <w:rsid w:val="00BC4A98"/>
    <w:rsid w:val="00BC4D64"/>
    <w:rsid w:val="00BC56F5"/>
    <w:rsid w:val="00BC766B"/>
    <w:rsid w:val="00BC7D8C"/>
    <w:rsid w:val="00BD059D"/>
    <w:rsid w:val="00BD0F12"/>
    <w:rsid w:val="00BD0FB4"/>
    <w:rsid w:val="00BD4929"/>
    <w:rsid w:val="00BD7AE6"/>
    <w:rsid w:val="00BE0B32"/>
    <w:rsid w:val="00BE2497"/>
    <w:rsid w:val="00BE458E"/>
    <w:rsid w:val="00BE4ADD"/>
    <w:rsid w:val="00BE5564"/>
    <w:rsid w:val="00BF1365"/>
    <w:rsid w:val="00BF2B59"/>
    <w:rsid w:val="00BF2C4F"/>
    <w:rsid w:val="00BF37A3"/>
    <w:rsid w:val="00BF3D01"/>
    <w:rsid w:val="00BF5B51"/>
    <w:rsid w:val="00BF5F86"/>
    <w:rsid w:val="00BF7A15"/>
    <w:rsid w:val="00C00B67"/>
    <w:rsid w:val="00C01061"/>
    <w:rsid w:val="00C010DC"/>
    <w:rsid w:val="00C0242B"/>
    <w:rsid w:val="00C040E1"/>
    <w:rsid w:val="00C10869"/>
    <w:rsid w:val="00C10A75"/>
    <w:rsid w:val="00C117E2"/>
    <w:rsid w:val="00C12C00"/>
    <w:rsid w:val="00C12E90"/>
    <w:rsid w:val="00C1320B"/>
    <w:rsid w:val="00C14CC1"/>
    <w:rsid w:val="00C17284"/>
    <w:rsid w:val="00C176E8"/>
    <w:rsid w:val="00C206F1"/>
    <w:rsid w:val="00C22A73"/>
    <w:rsid w:val="00C23A4B"/>
    <w:rsid w:val="00C26035"/>
    <w:rsid w:val="00C26079"/>
    <w:rsid w:val="00C27206"/>
    <w:rsid w:val="00C30AC1"/>
    <w:rsid w:val="00C3189F"/>
    <w:rsid w:val="00C3256E"/>
    <w:rsid w:val="00C33340"/>
    <w:rsid w:val="00C35A91"/>
    <w:rsid w:val="00C371A6"/>
    <w:rsid w:val="00C378DE"/>
    <w:rsid w:val="00C40C60"/>
    <w:rsid w:val="00C4394B"/>
    <w:rsid w:val="00C43CAD"/>
    <w:rsid w:val="00C45366"/>
    <w:rsid w:val="00C458C9"/>
    <w:rsid w:val="00C46B84"/>
    <w:rsid w:val="00C503CC"/>
    <w:rsid w:val="00C50ECF"/>
    <w:rsid w:val="00C52281"/>
    <w:rsid w:val="00C52E42"/>
    <w:rsid w:val="00C53426"/>
    <w:rsid w:val="00C53724"/>
    <w:rsid w:val="00C54FEA"/>
    <w:rsid w:val="00C55E5A"/>
    <w:rsid w:val="00C56BE8"/>
    <w:rsid w:val="00C60E49"/>
    <w:rsid w:val="00C60FE6"/>
    <w:rsid w:val="00C62A0B"/>
    <w:rsid w:val="00C63108"/>
    <w:rsid w:val="00C6537C"/>
    <w:rsid w:val="00C666E4"/>
    <w:rsid w:val="00C722B7"/>
    <w:rsid w:val="00C75A83"/>
    <w:rsid w:val="00C75B28"/>
    <w:rsid w:val="00C76BAF"/>
    <w:rsid w:val="00C80F63"/>
    <w:rsid w:val="00C812F7"/>
    <w:rsid w:val="00C816B0"/>
    <w:rsid w:val="00C833B6"/>
    <w:rsid w:val="00C84A46"/>
    <w:rsid w:val="00C85838"/>
    <w:rsid w:val="00C85EDE"/>
    <w:rsid w:val="00C876B7"/>
    <w:rsid w:val="00C90846"/>
    <w:rsid w:val="00C91B2C"/>
    <w:rsid w:val="00C93B39"/>
    <w:rsid w:val="00C95961"/>
    <w:rsid w:val="00C96EFC"/>
    <w:rsid w:val="00CA0A69"/>
    <w:rsid w:val="00CA0E76"/>
    <w:rsid w:val="00CA25A4"/>
    <w:rsid w:val="00CA473C"/>
    <w:rsid w:val="00CA47D3"/>
    <w:rsid w:val="00CA52E3"/>
    <w:rsid w:val="00CA53DE"/>
    <w:rsid w:val="00CA58C3"/>
    <w:rsid w:val="00CA5BC9"/>
    <w:rsid w:val="00CA6A55"/>
    <w:rsid w:val="00CA6B84"/>
    <w:rsid w:val="00CA6DEF"/>
    <w:rsid w:val="00CB1BBD"/>
    <w:rsid w:val="00CB3777"/>
    <w:rsid w:val="00CB5A73"/>
    <w:rsid w:val="00CB6E0C"/>
    <w:rsid w:val="00CB751A"/>
    <w:rsid w:val="00CB7C1F"/>
    <w:rsid w:val="00CC03B3"/>
    <w:rsid w:val="00CC0412"/>
    <w:rsid w:val="00CC0BB4"/>
    <w:rsid w:val="00CC12DF"/>
    <w:rsid w:val="00CC4D8D"/>
    <w:rsid w:val="00CC4D96"/>
    <w:rsid w:val="00CC63E0"/>
    <w:rsid w:val="00CC6FDD"/>
    <w:rsid w:val="00CD02E0"/>
    <w:rsid w:val="00CD1689"/>
    <w:rsid w:val="00CD1BF5"/>
    <w:rsid w:val="00CD2492"/>
    <w:rsid w:val="00CD47BA"/>
    <w:rsid w:val="00CD5427"/>
    <w:rsid w:val="00CD604A"/>
    <w:rsid w:val="00CD6791"/>
    <w:rsid w:val="00CE15C4"/>
    <w:rsid w:val="00CE2E6A"/>
    <w:rsid w:val="00CE2EA9"/>
    <w:rsid w:val="00CE4398"/>
    <w:rsid w:val="00CE6D64"/>
    <w:rsid w:val="00CE74D9"/>
    <w:rsid w:val="00CF053F"/>
    <w:rsid w:val="00CF0A55"/>
    <w:rsid w:val="00CF0CBE"/>
    <w:rsid w:val="00CF301C"/>
    <w:rsid w:val="00CF7C8B"/>
    <w:rsid w:val="00CF7F10"/>
    <w:rsid w:val="00D00180"/>
    <w:rsid w:val="00D00491"/>
    <w:rsid w:val="00D00793"/>
    <w:rsid w:val="00D01D15"/>
    <w:rsid w:val="00D04083"/>
    <w:rsid w:val="00D06A08"/>
    <w:rsid w:val="00D078E1"/>
    <w:rsid w:val="00D102D2"/>
    <w:rsid w:val="00D10AEF"/>
    <w:rsid w:val="00D12A7F"/>
    <w:rsid w:val="00D131D6"/>
    <w:rsid w:val="00D13484"/>
    <w:rsid w:val="00D135BA"/>
    <w:rsid w:val="00D17A1D"/>
    <w:rsid w:val="00D20C77"/>
    <w:rsid w:val="00D218AC"/>
    <w:rsid w:val="00D221A6"/>
    <w:rsid w:val="00D22F5A"/>
    <w:rsid w:val="00D232A2"/>
    <w:rsid w:val="00D23522"/>
    <w:rsid w:val="00D25C90"/>
    <w:rsid w:val="00D25F5C"/>
    <w:rsid w:val="00D26196"/>
    <w:rsid w:val="00D279AE"/>
    <w:rsid w:val="00D30900"/>
    <w:rsid w:val="00D30F08"/>
    <w:rsid w:val="00D31C61"/>
    <w:rsid w:val="00D323BE"/>
    <w:rsid w:val="00D35B42"/>
    <w:rsid w:val="00D365C5"/>
    <w:rsid w:val="00D36C95"/>
    <w:rsid w:val="00D4040C"/>
    <w:rsid w:val="00D405AB"/>
    <w:rsid w:val="00D41280"/>
    <w:rsid w:val="00D43528"/>
    <w:rsid w:val="00D43E77"/>
    <w:rsid w:val="00D45EB0"/>
    <w:rsid w:val="00D5423B"/>
    <w:rsid w:val="00D54F4E"/>
    <w:rsid w:val="00D55865"/>
    <w:rsid w:val="00D56274"/>
    <w:rsid w:val="00D60BA4"/>
    <w:rsid w:val="00D61E03"/>
    <w:rsid w:val="00D62F23"/>
    <w:rsid w:val="00D645D1"/>
    <w:rsid w:val="00D6528F"/>
    <w:rsid w:val="00D711A5"/>
    <w:rsid w:val="00D72421"/>
    <w:rsid w:val="00D73F97"/>
    <w:rsid w:val="00D745A7"/>
    <w:rsid w:val="00D74D0A"/>
    <w:rsid w:val="00D750F0"/>
    <w:rsid w:val="00D758F5"/>
    <w:rsid w:val="00D767FA"/>
    <w:rsid w:val="00D80CCE"/>
    <w:rsid w:val="00D81D90"/>
    <w:rsid w:val="00D82202"/>
    <w:rsid w:val="00D83CD5"/>
    <w:rsid w:val="00D859D1"/>
    <w:rsid w:val="00D85A93"/>
    <w:rsid w:val="00D8646D"/>
    <w:rsid w:val="00D870A9"/>
    <w:rsid w:val="00D87FF1"/>
    <w:rsid w:val="00D92483"/>
    <w:rsid w:val="00D92633"/>
    <w:rsid w:val="00D92BAC"/>
    <w:rsid w:val="00D93CE9"/>
    <w:rsid w:val="00D9517C"/>
    <w:rsid w:val="00D951CB"/>
    <w:rsid w:val="00DA11ED"/>
    <w:rsid w:val="00DA2288"/>
    <w:rsid w:val="00DA243E"/>
    <w:rsid w:val="00DA298C"/>
    <w:rsid w:val="00DA6358"/>
    <w:rsid w:val="00DA757D"/>
    <w:rsid w:val="00DB030C"/>
    <w:rsid w:val="00DB2280"/>
    <w:rsid w:val="00DB403F"/>
    <w:rsid w:val="00DB4A3A"/>
    <w:rsid w:val="00DB7F9F"/>
    <w:rsid w:val="00DC2000"/>
    <w:rsid w:val="00DC6E11"/>
    <w:rsid w:val="00DD19CA"/>
    <w:rsid w:val="00DD1B91"/>
    <w:rsid w:val="00DD368B"/>
    <w:rsid w:val="00DD6E29"/>
    <w:rsid w:val="00DE0C40"/>
    <w:rsid w:val="00DE343C"/>
    <w:rsid w:val="00DE34F1"/>
    <w:rsid w:val="00DE4E53"/>
    <w:rsid w:val="00DE575C"/>
    <w:rsid w:val="00DE578A"/>
    <w:rsid w:val="00DE59EA"/>
    <w:rsid w:val="00DE5D8B"/>
    <w:rsid w:val="00DE6AC5"/>
    <w:rsid w:val="00DE6E7E"/>
    <w:rsid w:val="00DE79F8"/>
    <w:rsid w:val="00DE7DDA"/>
    <w:rsid w:val="00DF0DE8"/>
    <w:rsid w:val="00DF1D1E"/>
    <w:rsid w:val="00DF2583"/>
    <w:rsid w:val="00DF54D9"/>
    <w:rsid w:val="00DF6973"/>
    <w:rsid w:val="00DF798C"/>
    <w:rsid w:val="00DF79E9"/>
    <w:rsid w:val="00E00687"/>
    <w:rsid w:val="00E008CB"/>
    <w:rsid w:val="00E021C8"/>
    <w:rsid w:val="00E023F0"/>
    <w:rsid w:val="00E03D32"/>
    <w:rsid w:val="00E03E8B"/>
    <w:rsid w:val="00E04465"/>
    <w:rsid w:val="00E05A16"/>
    <w:rsid w:val="00E05FDB"/>
    <w:rsid w:val="00E10DC6"/>
    <w:rsid w:val="00E11F8E"/>
    <w:rsid w:val="00E12B7F"/>
    <w:rsid w:val="00E145EA"/>
    <w:rsid w:val="00E155CB"/>
    <w:rsid w:val="00E17944"/>
    <w:rsid w:val="00E17BC5"/>
    <w:rsid w:val="00E21EE0"/>
    <w:rsid w:val="00E224D6"/>
    <w:rsid w:val="00E22722"/>
    <w:rsid w:val="00E2347F"/>
    <w:rsid w:val="00E23D22"/>
    <w:rsid w:val="00E24905"/>
    <w:rsid w:val="00E257EF"/>
    <w:rsid w:val="00E26590"/>
    <w:rsid w:val="00E276B2"/>
    <w:rsid w:val="00E33FD4"/>
    <w:rsid w:val="00E34B05"/>
    <w:rsid w:val="00E34D02"/>
    <w:rsid w:val="00E3596E"/>
    <w:rsid w:val="00E364EF"/>
    <w:rsid w:val="00E426A4"/>
    <w:rsid w:val="00E42D22"/>
    <w:rsid w:val="00E4573C"/>
    <w:rsid w:val="00E458E2"/>
    <w:rsid w:val="00E466F2"/>
    <w:rsid w:val="00E50A17"/>
    <w:rsid w:val="00E51959"/>
    <w:rsid w:val="00E548CD"/>
    <w:rsid w:val="00E56899"/>
    <w:rsid w:val="00E56ADD"/>
    <w:rsid w:val="00E56C7E"/>
    <w:rsid w:val="00E575BA"/>
    <w:rsid w:val="00E5788D"/>
    <w:rsid w:val="00E6175A"/>
    <w:rsid w:val="00E62286"/>
    <w:rsid w:val="00E634B6"/>
    <w:rsid w:val="00E634E3"/>
    <w:rsid w:val="00E645B1"/>
    <w:rsid w:val="00E6586E"/>
    <w:rsid w:val="00E659A6"/>
    <w:rsid w:val="00E6739D"/>
    <w:rsid w:val="00E67A72"/>
    <w:rsid w:val="00E71E53"/>
    <w:rsid w:val="00E724F5"/>
    <w:rsid w:val="00E75C19"/>
    <w:rsid w:val="00E80F31"/>
    <w:rsid w:val="00E8168C"/>
    <w:rsid w:val="00E81C9A"/>
    <w:rsid w:val="00E81EF2"/>
    <w:rsid w:val="00E82965"/>
    <w:rsid w:val="00E82B77"/>
    <w:rsid w:val="00E85102"/>
    <w:rsid w:val="00E8592D"/>
    <w:rsid w:val="00E86633"/>
    <w:rsid w:val="00E86864"/>
    <w:rsid w:val="00E876A6"/>
    <w:rsid w:val="00E9497F"/>
    <w:rsid w:val="00E96D0E"/>
    <w:rsid w:val="00EA14C5"/>
    <w:rsid w:val="00EA1765"/>
    <w:rsid w:val="00EA26EF"/>
    <w:rsid w:val="00EA3241"/>
    <w:rsid w:val="00EA3B5F"/>
    <w:rsid w:val="00EA5786"/>
    <w:rsid w:val="00EA615D"/>
    <w:rsid w:val="00EA75C1"/>
    <w:rsid w:val="00EA7B10"/>
    <w:rsid w:val="00EB1173"/>
    <w:rsid w:val="00EB1320"/>
    <w:rsid w:val="00EB141A"/>
    <w:rsid w:val="00EB2DEB"/>
    <w:rsid w:val="00EB3898"/>
    <w:rsid w:val="00EB3ACD"/>
    <w:rsid w:val="00EB40BD"/>
    <w:rsid w:val="00EB4BE9"/>
    <w:rsid w:val="00EB585D"/>
    <w:rsid w:val="00EB5AD6"/>
    <w:rsid w:val="00EB6D1A"/>
    <w:rsid w:val="00EB7038"/>
    <w:rsid w:val="00EB7550"/>
    <w:rsid w:val="00EB7C2E"/>
    <w:rsid w:val="00EC0F04"/>
    <w:rsid w:val="00EC0F39"/>
    <w:rsid w:val="00EC1309"/>
    <w:rsid w:val="00EC237D"/>
    <w:rsid w:val="00EC3951"/>
    <w:rsid w:val="00EC3F87"/>
    <w:rsid w:val="00EC5F70"/>
    <w:rsid w:val="00EC6AAB"/>
    <w:rsid w:val="00EC6F2A"/>
    <w:rsid w:val="00ED08BE"/>
    <w:rsid w:val="00ED2E79"/>
    <w:rsid w:val="00ED2F32"/>
    <w:rsid w:val="00ED4248"/>
    <w:rsid w:val="00ED60CA"/>
    <w:rsid w:val="00ED64EF"/>
    <w:rsid w:val="00EE0EC3"/>
    <w:rsid w:val="00EE1819"/>
    <w:rsid w:val="00EE1A75"/>
    <w:rsid w:val="00EE1B9E"/>
    <w:rsid w:val="00EE1DC0"/>
    <w:rsid w:val="00EE48F1"/>
    <w:rsid w:val="00EE4A1F"/>
    <w:rsid w:val="00EE53EA"/>
    <w:rsid w:val="00EE5549"/>
    <w:rsid w:val="00EE69DD"/>
    <w:rsid w:val="00EE6F67"/>
    <w:rsid w:val="00EF009A"/>
    <w:rsid w:val="00EF0ED5"/>
    <w:rsid w:val="00EF1B5A"/>
    <w:rsid w:val="00EF2CCA"/>
    <w:rsid w:val="00EF61AC"/>
    <w:rsid w:val="00EF72AB"/>
    <w:rsid w:val="00EF791D"/>
    <w:rsid w:val="00F01325"/>
    <w:rsid w:val="00F017B1"/>
    <w:rsid w:val="00F01BA1"/>
    <w:rsid w:val="00F03E1B"/>
    <w:rsid w:val="00F04762"/>
    <w:rsid w:val="00F04D64"/>
    <w:rsid w:val="00F057E0"/>
    <w:rsid w:val="00F06766"/>
    <w:rsid w:val="00F06BC6"/>
    <w:rsid w:val="00F077E1"/>
    <w:rsid w:val="00F10ADF"/>
    <w:rsid w:val="00F13F47"/>
    <w:rsid w:val="00F16EBD"/>
    <w:rsid w:val="00F214D5"/>
    <w:rsid w:val="00F2249B"/>
    <w:rsid w:val="00F229EF"/>
    <w:rsid w:val="00F22C62"/>
    <w:rsid w:val="00F24A31"/>
    <w:rsid w:val="00F24E4E"/>
    <w:rsid w:val="00F26059"/>
    <w:rsid w:val="00F2608D"/>
    <w:rsid w:val="00F27EDA"/>
    <w:rsid w:val="00F30CED"/>
    <w:rsid w:val="00F3110B"/>
    <w:rsid w:val="00F3241F"/>
    <w:rsid w:val="00F32E25"/>
    <w:rsid w:val="00F33A06"/>
    <w:rsid w:val="00F343DA"/>
    <w:rsid w:val="00F359F8"/>
    <w:rsid w:val="00F3652C"/>
    <w:rsid w:val="00F36803"/>
    <w:rsid w:val="00F36A45"/>
    <w:rsid w:val="00F37B37"/>
    <w:rsid w:val="00F37F3C"/>
    <w:rsid w:val="00F41BAF"/>
    <w:rsid w:val="00F42A51"/>
    <w:rsid w:val="00F43D1A"/>
    <w:rsid w:val="00F43E8A"/>
    <w:rsid w:val="00F448DB"/>
    <w:rsid w:val="00F45026"/>
    <w:rsid w:val="00F46AA1"/>
    <w:rsid w:val="00F47235"/>
    <w:rsid w:val="00F47A9A"/>
    <w:rsid w:val="00F51771"/>
    <w:rsid w:val="00F52FE7"/>
    <w:rsid w:val="00F53F55"/>
    <w:rsid w:val="00F53F91"/>
    <w:rsid w:val="00F56255"/>
    <w:rsid w:val="00F57321"/>
    <w:rsid w:val="00F57CD4"/>
    <w:rsid w:val="00F613E9"/>
    <w:rsid w:val="00F6168C"/>
    <w:rsid w:val="00F61A72"/>
    <w:rsid w:val="00F62D1F"/>
    <w:rsid w:val="00F6371E"/>
    <w:rsid w:val="00F63E0E"/>
    <w:rsid w:val="00F63EBA"/>
    <w:rsid w:val="00F65DE4"/>
    <w:rsid w:val="00F66F13"/>
    <w:rsid w:val="00F74073"/>
    <w:rsid w:val="00F74D7D"/>
    <w:rsid w:val="00F7614E"/>
    <w:rsid w:val="00F77453"/>
    <w:rsid w:val="00F80F82"/>
    <w:rsid w:val="00F81325"/>
    <w:rsid w:val="00F81A04"/>
    <w:rsid w:val="00F84116"/>
    <w:rsid w:val="00F8524E"/>
    <w:rsid w:val="00F8761F"/>
    <w:rsid w:val="00F8778E"/>
    <w:rsid w:val="00F87D67"/>
    <w:rsid w:val="00F87D80"/>
    <w:rsid w:val="00F90E04"/>
    <w:rsid w:val="00F9189A"/>
    <w:rsid w:val="00F92015"/>
    <w:rsid w:val="00F928C5"/>
    <w:rsid w:val="00F94E09"/>
    <w:rsid w:val="00F96162"/>
    <w:rsid w:val="00F96404"/>
    <w:rsid w:val="00FA1759"/>
    <w:rsid w:val="00FA277B"/>
    <w:rsid w:val="00FA283C"/>
    <w:rsid w:val="00FA50DC"/>
    <w:rsid w:val="00FA56CD"/>
    <w:rsid w:val="00FA6361"/>
    <w:rsid w:val="00FB06ED"/>
    <w:rsid w:val="00FB1475"/>
    <w:rsid w:val="00FB2803"/>
    <w:rsid w:val="00FB2E62"/>
    <w:rsid w:val="00FB76DB"/>
    <w:rsid w:val="00FC084D"/>
    <w:rsid w:val="00FC36AB"/>
    <w:rsid w:val="00FC3F21"/>
    <w:rsid w:val="00FC4C5E"/>
    <w:rsid w:val="00FC6A56"/>
    <w:rsid w:val="00FC6AB4"/>
    <w:rsid w:val="00FC6EC6"/>
    <w:rsid w:val="00FD09E3"/>
    <w:rsid w:val="00FD1425"/>
    <w:rsid w:val="00FD1727"/>
    <w:rsid w:val="00FD2798"/>
    <w:rsid w:val="00FD2A72"/>
    <w:rsid w:val="00FD5819"/>
    <w:rsid w:val="00FD6275"/>
    <w:rsid w:val="00FE0B36"/>
    <w:rsid w:val="00FE15EB"/>
    <w:rsid w:val="00FE2FE4"/>
    <w:rsid w:val="00FE4F08"/>
    <w:rsid w:val="00FE5C0A"/>
    <w:rsid w:val="00FE64E4"/>
    <w:rsid w:val="00FE77B7"/>
    <w:rsid w:val="00FF0070"/>
    <w:rsid w:val="00FF0D35"/>
    <w:rsid w:val="00FF0DF2"/>
    <w:rsid w:val="00FF3239"/>
    <w:rsid w:val="00FF3A5A"/>
    <w:rsid w:val="00FF6EDD"/>
    <w:rsid w:val="4FB0FF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f" fillcolor="white" stroke="f">
      <v:fill color="white" on="f"/>
      <v:stroke on="f"/>
    </o:shapedefaults>
    <o:shapelayout v:ext="edit">
      <o:idmap v:ext="edit" data="1"/>
    </o:shapelayout>
  </w:shapeDefaults>
  <w:decimalSymbol w:val=","/>
  <w:listSeparator w:val=";"/>
  <w14:docId w14:val="65573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A98"/>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rFonts w:cs="Times New Roman"/>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5240B7"/>
    <w:rPr>
      <w:b/>
      <w:bCs/>
    </w:rPr>
  </w:style>
  <w:style w:type="character" w:customStyle="1" w:styleId="CommentTextChar">
    <w:name w:val="Comment Text Char"/>
    <w:link w:val="CommentText"/>
    <w:semiHidden/>
    <w:rsid w:val="005240B7"/>
    <w:rPr>
      <w:rFonts w:ascii="Verdana" w:hAnsi="Verdana"/>
    </w:rPr>
  </w:style>
  <w:style w:type="character" w:customStyle="1" w:styleId="CommentSubjectChar">
    <w:name w:val="Comment Subject Char"/>
    <w:link w:val="CommentSubject"/>
    <w:rsid w:val="005240B7"/>
    <w:rPr>
      <w:rFonts w:ascii="Verdana" w:hAnsi="Verdana"/>
      <w:b/>
      <w:bCs/>
    </w:rPr>
  </w:style>
  <w:style w:type="character" w:customStyle="1" w:styleId="BodyTextChar">
    <w:name w:val="Body Text Char"/>
    <w:link w:val="BodyText"/>
    <w:rsid w:val="007C2535"/>
    <w:rPr>
      <w:rFonts w:ascii="Verdana" w:hAnsi="Verdana"/>
      <w:sz w:val="18"/>
      <w:szCs w:val="24"/>
    </w:rPr>
  </w:style>
  <w:style w:type="paragraph" w:styleId="ListParagraph">
    <w:name w:val="List Paragraph"/>
    <w:basedOn w:val="Normal"/>
    <w:uiPriority w:val="34"/>
    <w:qFormat/>
    <w:rsid w:val="004072E3"/>
    <w:pPr>
      <w:ind w:left="720"/>
    </w:pPr>
  </w:style>
  <w:style w:type="character" w:styleId="FollowedHyperlink">
    <w:name w:val="FollowedHyperlink"/>
    <w:rsid w:val="005E239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A98"/>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rFonts w:cs="Times New Roman"/>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5240B7"/>
    <w:rPr>
      <w:b/>
      <w:bCs/>
    </w:rPr>
  </w:style>
  <w:style w:type="character" w:customStyle="1" w:styleId="CommentTextChar">
    <w:name w:val="Comment Text Char"/>
    <w:link w:val="CommentText"/>
    <w:semiHidden/>
    <w:rsid w:val="005240B7"/>
    <w:rPr>
      <w:rFonts w:ascii="Verdana" w:hAnsi="Verdana"/>
    </w:rPr>
  </w:style>
  <w:style w:type="character" w:customStyle="1" w:styleId="CommentSubjectChar">
    <w:name w:val="Comment Subject Char"/>
    <w:link w:val="CommentSubject"/>
    <w:rsid w:val="005240B7"/>
    <w:rPr>
      <w:rFonts w:ascii="Verdana" w:hAnsi="Verdana"/>
      <w:b/>
      <w:bCs/>
    </w:rPr>
  </w:style>
  <w:style w:type="character" w:customStyle="1" w:styleId="BodyTextChar">
    <w:name w:val="Body Text Char"/>
    <w:link w:val="BodyText"/>
    <w:rsid w:val="007C2535"/>
    <w:rPr>
      <w:rFonts w:ascii="Verdana" w:hAnsi="Verdana"/>
      <w:sz w:val="18"/>
      <w:szCs w:val="24"/>
    </w:rPr>
  </w:style>
  <w:style w:type="paragraph" w:styleId="ListParagraph">
    <w:name w:val="List Paragraph"/>
    <w:basedOn w:val="Normal"/>
    <w:uiPriority w:val="34"/>
    <w:qFormat/>
    <w:rsid w:val="004072E3"/>
    <w:pPr>
      <w:ind w:left="720"/>
    </w:pPr>
  </w:style>
  <w:style w:type="character" w:styleId="FollowedHyperlink">
    <w:name w:val="FollowedHyperlink"/>
    <w:rsid w:val="005E239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44856">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818351091">
      <w:bodyDiv w:val="1"/>
      <w:marLeft w:val="0"/>
      <w:marRight w:val="0"/>
      <w:marTop w:val="0"/>
      <w:marBottom w:val="0"/>
      <w:divBdr>
        <w:top w:val="none" w:sz="0" w:space="0" w:color="auto"/>
        <w:left w:val="none" w:sz="0" w:space="0" w:color="auto"/>
        <w:bottom w:val="none" w:sz="0" w:space="0" w:color="auto"/>
        <w:right w:val="none" w:sz="0" w:space="0" w:color="auto"/>
      </w:divBdr>
    </w:div>
    <w:div w:id="1153253340">
      <w:bodyDiv w:val="1"/>
      <w:marLeft w:val="0"/>
      <w:marRight w:val="0"/>
      <w:marTop w:val="0"/>
      <w:marBottom w:val="0"/>
      <w:divBdr>
        <w:top w:val="none" w:sz="0" w:space="0" w:color="auto"/>
        <w:left w:val="none" w:sz="0" w:space="0" w:color="auto"/>
        <w:bottom w:val="none" w:sz="0" w:space="0" w:color="auto"/>
        <w:right w:val="none" w:sz="0" w:space="0" w:color="auto"/>
      </w:divBdr>
      <w:divsChild>
        <w:div w:id="68575495">
          <w:marLeft w:val="0"/>
          <w:marRight w:val="0"/>
          <w:marTop w:val="0"/>
          <w:marBottom w:val="0"/>
          <w:divBdr>
            <w:top w:val="none" w:sz="0" w:space="0" w:color="auto"/>
            <w:left w:val="none" w:sz="0" w:space="0" w:color="auto"/>
            <w:bottom w:val="none" w:sz="0" w:space="0" w:color="auto"/>
            <w:right w:val="none" w:sz="0" w:space="0" w:color="auto"/>
          </w:divBdr>
        </w:div>
        <w:div w:id="527988634">
          <w:marLeft w:val="0"/>
          <w:marRight w:val="0"/>
          <w:marTop w:val="0"/>
          <w:marBottom w:val="0"/>
          <w:divBdr>
            <w:top w:val="none" w:sz="0" w:space="0" w:color="auto"/>
            <w:left w:val="none" w:sz="0" w:space="0" w:color="auto"/>
            <w:bottom w:val="none" w:sz="0" w:space="0" w:color="auto"/>
            <w:right w:val="none" w:sz="0" w:space="0" w:color="auto"/>
          </w:divBdr>
        </w:div>
        <w:div w:id="852837487">
          <w:marLeft w:val="0"/>
          <w:marRight w:val="0"/>
          <w:marTop w:val="0"/>
          <w:marBottom w:val="0"/>
          <w:divBdr>
            <w:top w:val="none" w:sz="0" w:space="0" w:color="auto"/>
            <w:left w:val="none" w:sz="0" w:space="0" w:color="auto"/>
            <w:bottom w:val="none" w:sz="0" w:space="0" w:color="auto"/>
            <w:right w:val="none" w:sz="0" w:space="0" w:color="auto"/>
          </w:divBdr>
        </w:div>
        <w:div w:id="1331788907">
          <w:marLeft w:val="0"/>
          <w:marRight w:val="0"/>
          <w:marTop w:val="0"/>
          <w:marBottom w:val="0"/>
          <w:divBdr>
            <w:top w:val="none" w:sz="0" w:space="0" w:color="auto"/>
            <w:left w:val="none" w:sz="0" w:space="0" w:color="auto"/>
            <w:bottom w:val="none" w:sz="0" w:space="0" w:color="auto"/>
            <w:right w:val="none" w:sz="0" w:space="0" w:color="auto"/>
          </w:divBdr>
        </w:div>
        <w:div w:id="1636912433">
          <w:marLeft w:val="0"/>
          <w:marRight w:val="0"/>
          <w:marTop w:val="0"/>
          <w:marBottom w:val="0"/>
          <w:divBdr>
            <w:top w:val="none" w:sz="0" w:space="0" w:color="auto"/>
            <w:left w:val="none" w:sz="0" w:space="0" w:color="auto"/>
            <w:bottom w:val="none" w:sz="0" w:space="0" w:color="auto"/>
            <w:right w:val="none" w:sz="0" w:space="0" w:color="auto"/>
          </w:divBdr>
        </w:div>
        <w:div w:id="1642467901">
          <w:marLeft w:val="0"/>
          <w:marRight w:val="0"/>
          <w:marTop w:val="0"/>
          <w:marBottom w:val="0"/>
          <w:divBdr>
            <w:top w:val="none" w:sz="0" w:space="0" w:color="auto"/>
            <w:left w:val="none" w:sz="0" w:space="0" w:color="auto"/>
            <w:bottom w:val="none" w:sz="0" w:space="0" w:color="auto"/>
            <w:right w:val="none" w:sz="0" w:space="0" w:color="auto"/>
          </w:divBdr>
        </w:div>
        <w:div w:id="1972779801">
          <w:marLeft w:val="0"/>
          <w:marRight w:val="0"/>
          <w:marTop w:val="0"/>
          <w:marBottom w:val="0"/>
          <w:divBdr>
            <w:top w:val="none" w:sz="0" w:space="0" w:color="auto"/>
            <w:left w:val="none" w:sz="0" w:space="0" w:color="auto"/>
            <w:bottom w:val="none" w:sz="0" w:space="0" w:color="auto"/>
            <w:right w:val="none" w:sz="0" w:space="0" w:color="auto"/>
          </w:divBdr>
        </w:div>
      </w:divsChild>
    </w:div>
    <w:div w:id="1200043758">
      <w:bodyDiv w:val="1"/>
      <w:marLeft w:val="0"/>
      <w:marRight w:val="0"/>
      <w:marTop w:val="0"/>
      <w:marBottom w:val="0"/>
      <w:divBdr>
        <w:top w:val="none" w:sz="0" w:space="0" w:color="auto"/>
        <w:left w:val="none" w:sz="0" w:space="0" w:color="auto"/>
        <w:bottom w:val="none" w:sz="0" w:space="0" w:color="auto"/>
        <w:right w:val="none" w:sz="0" w:space="0" w:color="auto"/>
      </w:divBdr>
    </w:div>
    <w:div w:id="1848710654">
      <w:bodyDiv w:val="1"/>
      <w:marLeft w:val="0"/>
      <w:marRight w:val="0"/>
      <w:marTop w:val="0"/>
      <w:marBottom w:val="0"/>
      <w:divBdr>
        <w:top w:val="none" w:sz="0" w:space="0" w:color="auto"/>
        <w:left w:val="none" w:sz="0" w:space="0" w:color="auto"/>
        <w:bottom w:val="none" w:sz="0" w:space="0" w:color="auto"/>
        <w:right w:val="none" w:sz="0" w:space="0" w:color="auto"/>
      </w:divBdr>
      <w:divsChild>
        <w:div w:id="1934631963">
          <w:marLeft w:val="0"/>
          <w:marRight w:val="0"/>
          <w:marTop w:val="0"/>
          <w:marBottom w:val="0"/>
          <w:divBdr>
            <w:top w:val="none" w:sz="0" w:space="0" w:color="auto"/>
            <w:left w:val="none" w:sz="0" w:space="0" w:color="auto"/>
            <w:bottom w:val="none" w:sz="0" w:space="0" w:color="auto"/>
            <w:right w:val="none" w:sz="0" w:space="0" w:color="auto"/>
          </w:divBdr>
        </w:div>
        <w:div w:id="1106193159">
          <w:marLeft w:val="0"/>
          <w:marRight w:val="0"/>
          <w:marTop w:val="0"/>
          <w:marBottom w:val="0"/>
          <w:divBdr>
            <w:top w:val="none" w:sz="0" w:space="0" w:color="auto"/>
            <w:left w:val="none" w:sz="0" w:space="0" w:color="auto"/>
            <w:bottom w:val="none" w:sz="0" w:space="0" w:color="auto"/>
            <w:right w:val="none" w:sz="0" w:space="0" w:color="auto"/>
          </w:divBdr>
        </w:div>
        <w:div w:id="894004913">
          <w:marLeft w:val="0"/>
          <w:marRight w:val="0"/>
          <w:marTop w:val="0"/>
          <w:marBottom w:val="0"/>
          <w:divBdr>
            <w:top w:val="none" w:sz="0" w:space="0" w:color="auto"/>
            <w:left w:val="none" w:sz="0" w:space="0" w:color="auto"/>
            <w:bottom w:val="none" w:sz="0" w:space="0" w:color="auto"/>
            <w:right w:val="none" w:sz="0" w:space="0" w:color="auto"/>
          </w:divBdr>
        </w:div>
        <w:div w:id="367919775">
          <w:marLeft w:val="0"/>
          <w:marRight w:val="0"/>
          <w:marTop w:val="0"/>
          <w:marBottom w:val="0"/>
          <w:divBdr>
            <w:top w:val="none" w:sz="0" w:space="0" w:color="auto"/>
            <w:left w:val="none" w:sz="0" w:space="0" w:color="auto"/>
            <w:bottom w:val="none" w:sz="0" w:space="0" w:color="auto"/>
            <w:right w:val="none" w:sz="0" w:space="0" w:color="auto"/>
          </w:divBdr>
        </w:div>
        <w:div w:id="273367882">
          <w:marLeft w:val="0"/>
          <w:marRight w:val="0"/>
          <w:marTop w:val="0"/>
          <w:marBottom w:val="0"/>
          <w:divBdr>
            <w:top w:val="none" w:sz="0" w:space="0" w:color="auto"/>
            <w:left w:val="none" w:sz="0" w:space="0" w:color="auto"/>
            <w:bottom w:val="none" w:sz="0" w:space="0" w:color="auto"/>
            <w:right w:val="none" w:sz="0" w:space="0" w:color="auto"/>
          </w:divBdr>
        </w:div>
        <w:div w:id="372579491">
          <w:marLeft w:val="0"/>
          <w:marRight w:val="0"/>
          <w:marTop w:val="0"/>
          <w:marBottom w:val="0"/>
          <w:divBdr>
            <w:top w:val="none" w:sz="0" w:space="0" w:color="auto"/>
            <w:left w:val="none" w:sz="0" w:space="0" w:color="auto"/>
            <w:bottom w:val="none" w:sz="0" w:space="0" w:color="auto"/>
            <w:right w:val="none" w:sz="0" w:space="0" w:color="auto"/>
          </w:divBdr>
        </w:div>
        <w:div w:id="945043442">
          <w:marLeft w:val="0"/>
          <w:marRight w:val="0"/>
          <w:marTop w:val="0"/>
          <w:marBottom w:val="0"/>
          <w:divBdr>
            <w:top w:val="none" w:sz="0" w:space="0" w:color="auto"/>
            <w:left w:val="none" w:sz="0" w:space="0" w:color="auto"/>
            <w:bottom w:val="none" w:sz="0" w:space="0" w:color="auto"/>
            <w:right w:val="none" w:sz="0" w:space="0" w:color="auto"/>
          </w:divBdr>
        </w:div>
        <w:div w:id="1181822157">
          <w:marLeft w:val="0"/>
          <w:marRight w:val="0"/>
          <w:marTop w:val="0"/>
          <w:marBottom w:val="0"/>
          <w:divBdr>
            <w:top w:val="none" w:sz="0" w:space="0" w:color="auto"/>
            <w:left w:val="none" w:sz="0" w:space="0" w:color="auto"/>
            <w:bottom w:val="none" w:sz="0" w:space="0" w:color="auto"/>
            <w:right w:val="none" w:sz="0" w:space="0" w:color="auto"/>
          </w:divBdr>
        </w:div>
        <w:div w:id="1022979574">
          <w:marLeft w:val="0"/>
          <w:marRight w:val="0"/>
          <w:marTop w:val="0"/>
          <w:marBottom w:val="0"/>
          <w:divBdr>
            <w:top w:val="none" w:sz="0" w:space="0" w:color="auto"/>
            <w:left w:val="none" w:sz="0" w:space="0" w:color="auto"/>
            <w:bottom w:val="none" w:sz="0" w:space="0" w:color="auto"/>
            <w:right w:val="none" w:sz="0" w:space="0" w:color="auto"/>
          </w:divBdr>
        </w:div>
        <w:div w:id="559096075">
          <w:marLeft w:val="0"/>
          <w:marRight w:val="0"/>
          <w:marTop w:val="0"/>
          <w:marBottom w:val="0"/>
          <w:divBdr>
            <w:top w:val="none" w:sz="0" w:space="0" w:color="auto"/>
            <w:left w:val="none" w:sz="0" w:space="0" w:color="auto"/>
            <w:bottom w:val="none" w:sz="0" w:space="0" w:color="auto"/>
            <w:right w:val="none" w:sz="0" w:space="0" w:color="auto"/>
          </w:divBdr>
        </w:div>
        <w:div w:id="714502110">
          <w:marLeft w:val="0"/>
          <w:marRight w:val="0"/>
          <w:marTop w:val="0"/>
          <w:marBottom w:val="0"/>
          <w:divBdr>
            <w:top w:val="none" w:sz="0" w:space="0" w:color="auto"/>
            <w:left w:val="none" w:sz="0" w:space="0" w:color="auto"/>
            <w:bottom w:val="none" w:sz="0" w:space="0" w:color="auto"/>
            <w:right w:val="none" w:sz="0" w:space="0" w:color="auto"/>
          </w:divBdr>
        </w:div>
        <w:div w:id="1366753779">
          <w:marLeft w:val="0"/>
          <w:marRight w:val="0"/>
          <w:marTop w:val="0"/>
          <w:marBottom w:val="0"/>
          <w:divBdr>
            <w:top w:val="none" w:sz="0" w:space="0" w:color="auto"/>
            <w:left w:val="none" w:sz="0" w:space="0" w:color="auto"/>
            <w:bottom w:val="none" w:sz="0" w:space="0" w:color="auto"/>
            <w:right w:val="none" w:sz="0" w:space="0" w:color="auto"/>
          </w:divBdr>
        </w:div>
        <w:div w:id="1101998040">
          <w:marLeft w:val="0"/>
          <w:marRight w:val="0"/>
          <w:marTop w:val="0"/>
          <w:marBottom w:val="0"/>
          <w:divBdr>
            <w:top w:val="none" w:sz="0" w:space="0" w:color="auto"/>
            <w:left w:val="none" w:sz="0" w:space="0" w:color="auto"/>
            <w:bottom w:val="none" w:sz="0" w:space="0" w:color="auto"/>
            <w:right w:val="none" w:sz="0" w:space="0" w:color="auto"/>
          </w:divBdr>
        </w:div>
        <w:div w:id="735856476">
          <w:marLeft w:val="0"/>
          <w:marRight w:val="0"/>
          <w:marTop w:val="0"/>
          <w:marBottom w:val="0"/>
          <w:divBdr>
            <w:top w:val="none" w:sz="0" w:space="0" w:color="auto"/>
            <w:left w:val="none" w:sz="0" w:space="0" w:color="auto"/>
            <w:bottom w:val="none" w:sz="0" w:space="0" w:color="auto"/>
            <w:right w:val="none" w:sz="0" w:space="0" w:color="auto"/>
          </w:divBdr>
        </w:div>
        <w:div w:id="639042829">
          <w:marLeft w:val="0"/>
          <w:marRight w:val="0"/>
          <w:marTop w:val="0"/>
          <w:marBottom w:val="0"/>
          <w:divBdr>
            <w:top w:val="none" w:sz="0" w:space="0" w:color="auto"/>
            <w:left w:val="none" w:sz="0" w:space="0" w:color="auto"/>
            <w:bottom w:val="none" w:sz="0" w:space="0" w:color="auto"/>
            <w:right w:val="none" w:sz="0" w:space="0" w:color="auto"/>
          </w:divBdr>
        </w:div>
        <w:div w:id="1319727018">
          <w:marLeft w:val="0"/>
          <w:marRight w:val="0"/>
          <w:marTop w:val="0"/>
          <w:marBottom w:val="0"/>
          <w:divBdr>
            <w:top w:val="none" w:sz="0" w:space="0" w:color="auto"/>
            <w:left w:val="none" w:sz="0" w:space="0" w:color="auto"/>
            <w:bottom w:val="none" w:sz="0" w:space="0" w:color="auto"/>
            <w:right w:val="none" w:sz="0" w:space="0" w:color="auto"/>
          </w:divBdr>
        </w:div>
        <w:div w:id="1837529934">
          <w:marLeft w:val="0"/>
          <w:marRight w:val="0"/>
          <w:marTop w:val="0"/>
          <w:marBottom w:val="0"/>
          <w:divBdr>
            <w:top w:val="none" w:sz="0" w:space="0" w:color="auto"/>
            <w:left w:val="none" w:sz="0" w:space="0" w:color="auto"/>
            <w:bottom w:val="none" w:sz="0" w:space="0" w:color="auto"/>
            <w:right w:val="none" w:sz="0" w:space="0" w:color="auto"/>
          </w:divBdr>
        </w:div>
        <w:div w:id="360520507">
          <w:marLeft w:val="0"/>
          <w:marRight w:val="0"/>
          <w:marTop w:val="0"/>
          <w:marBottom w:val="0"/>
          <w:divBdr>
            <w:top w:val="none" w:sz="0" w:space="0" w:color="auto"/>
            <w:left w:val="none" w:sz="0" w:space="0" w:color="auto"/>
            <w:bottom w:val="none" w:sz="0" w:space="0" w:color="auto"/>
            <w:right w:val="none" w:sz="0" w:space="0" w:color="auto"/>
          </w:divBdr>
        </w:div>
        <w:div w:id="808010068">
          <w:marLeft w:val="0"/>
          <w:marRight w:val="0"/>
          <w:marTop w:val="0"/>
          <w:marBottom w:val="0"/>
          <w:divBdr>
            <w:top w:val="none" w:sz="0" w:space="0" w:color="auto"/>
            <w:left w:val="none" w:sz="0" w:space="0" w:color="auto"/>
            <w:bottom w:val="none" w:sz="0" w:space="0" w:color="auto"/>
            <w:right w:val="none" w:sz="0" w:space="0" w:color="auto"/>
          </w:divBdr>
        </w:div>
        <w:div w:id="1475757002">
          <w:marLeft w:val="0"/>
          <w:marRight w:val="0"/>
          <w:marTop w:val="0"/>
          <w:marBottom w:val="0"/>
          <w:divBdr>
            <w:top w:val="none" w:sz="0" w:space="0" w:color="auto"/>
            <w:left w:val="none" w:sz="0" w:space="0" w:color="auto"/>
            <w:bottom w:val="none" w:sz="0" w:space="0" w:color="auto"/>
            <w:right w:val="none" w:sz="0" w:space="0" w:color="auto"/>
          </w:divBdr>
        </w:div>
        <w:div w:id="796752768">
          <w:marLeft w:val="0"/>
          <w:marRight w:val="0"/>
          <w:marTop w:val="0"/>
          <w:marBottom w:val="0"/>
          <w:divBdr>
            <w:top w:val="none" w:sz="0" w:space="0" w:color="auto"/>
            <w:left w:val="none" w:sz="0" w:space="0" w:color="auto"/>
            <w:bottom w:val="none" w:sz="0" w:space="0" w:color="auto"/>
            <w:right w:val="none" w:sz="0" w:space="0" w:color="auto"/>
          </w:divBdr>
        </w:div>
        <w:div w:id="261643306">
          <w:marLeft w:val="0"/>
          <w:marRight w:val="0"/>
          <w:marTop w:val="0"/>
          <w:marBottom w:val="0"/>
          <w:divBdr>
            <w:top w:val="none" w:sz="0" w:space="0" w:color="auto"/>
            <w:left w:val="none" w:sz="0" w:space="0" w:color="auto"/>
            <w:bottom w:val="none" w:sz="0" w:space="0" w:color="auto"/>
            <w:right w:val="none" w:sz="0" w:space="0" w:color="auto"/>
          </w:divBdr>
        </w:div>
        <w:div w:id="1722750220">
          <w:marLeft w:val="0"/>
          <w:marRight w:val="0"/>
          <w:marTop w:val="0"/>
          <w:marBottom w:val="0"/>
          <w:divBdr>
            <w:top w:val="none" w:sz="0" w:space="0" w:color="auto"/>
            <w:left w:val="none" w:sz="0" w:space="0" w:color="auto"/>
            <w:bottom w:val="none" w:sz="0" w:space="0" w:color="auto"/>
            <w:right w:val="none" w:sz="0" w:space="0" w:color="auto"/>
          </w:divBdr>
        </w:div>
        <w:div w:id="1759405668">
          <w:marLeft w:val="0"/>
          <w:marRight w:val="0"/>
          <w:marTop w:val="0"/>
          <w:marBottom w:val="0"/>
          <w:divBdr>
            <w:top w:val="none" w:sz="0" w:space="0" w:color="auto"/>
            <w:left w:val="none" w:sz="0" w:space="0" w:color="auto"/>
            <w:bottom w:val="none" w:sz="0" w:space="0" w:color="auto"/>
            <w:right w:val="none" w:sz="0" w:space="0" w:color="auto"/>
          </w:divBdr>
        </w:div>
        <w:div w:id="1000037354">
          <w:marLeft w:val="0"/>
          <w:marRight w:val="0"/>
          <w:marTop w:val="0"/>
          <w:marBottom w:val="0"/>
          <w:divBdr>
            <w:top w:val="none" w:sz="0" w:space="0" w:color="auto"/>
            <w:left w:val="none" w:sz="0" w:space="0" w:color="auto"/>
            <w:bottom w:val="none" w:sz="0" w:space="0" w:color="auto"/>
            <w:right w:val="none" w:sz="0" w:space="0" w:color="auto"/>
          </w:divBdr>
        </w:div>
        <w:div w:id="839463464">
          <w:marLeft w:val="0"/>
          <w:marRight w:val="0"/>
          <w:marTop w:val="0"/>
          <w:marBottom w:val="0"/>
          <w:divBdr>
            <w:top w:val="none" w:sz="0" w:space="0" w:color="auto"/>
            <w:left w:val="none" w:sz="0" w:space="0" w:color="auto"/>
            <w:bottom w:val="none" w:sz="0" w:space="0" w:color="auto"/>
            <w:right w:val="none" w:sz="0" w:space="0" w:color="auto"/>
          </w:divBdr>
        </w:div>
        <w:div w:id="905141808">
          <w:marLeft w:val="0"/>
          <w:marRight w:val="0"/>
          <w:marTop w:val="0"/>
          <w:marBottom w:val="0"/>
          <w:divBdr>
            <w:top w:val="none" w:sz="0" w:space="0" w:color="auto"/>
            <w:left w:val="none" w:sz="0" w:space="0" w:color="auto"/>
            <w:bottom w:val="none" w:sz="0" w:space="0" w:color="auto"/>
            <w:right w:val="none" w:sz="0" w:space="0" w:color="auto"/>
          </w:divBdr>
        </w:div>
      </w:divsChild>
    </w:div>
    <w:div w:id="2082436608">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office\Template\Buza-Common\Report.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6D4983D28D84FAF1C285E1CA84D71" ma:contentTypeVersion="0" ma:contentTypeDescription="Create a new document." ma:contentTypeScope="" ma:versionID="4bd9914d6a4265ebcb6fd51965d705b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72A77-C6F0-4408-8824-DE732144D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10AC86-B883-4080-89E2-8F6475D0BA79}">
  <ds:schemaRefs>
    <ds:schemaRef ds:uri="http://schemas.microsoft.com/sharepoint/v3/contenttype/forms"/>
  </ds:schemaRefs>
</ds:datastoreItem>
</file>

<file path=customXml/itemProps3.xml><?xml version="1.0" encoding="utf-8"?>
<ds:datastoreItem xmlns:ds="http://schemas.openxmlformats.org/officeDocument/2006/customXml" ds:itemID="{0E61BDC0-D971-41A6-985A-03F43DC4B387}">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81557DF-53FD-4DC5-9FE5-9760BBC8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TotalTime>
  <Pages>3</Pages>
  <Words>4650</Words>
  <Characters>25575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Algemene Aanwijzingen</vt:lpstr>
    </vt:vector>
  </TitlesOfParts>
  <Company>Ministerie van Buitenlandse Zaken</Company>
  <LinksUpToDate>false</LinksUpToDate>
  <CharactersWithSpaces>30165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Elmar Lasse Smid</cp:lastModifiedBy>
  <cp:revision>3</cp:revision>
  <cp:lastPrinted>2015-03-05T14:36:00Z</cp:lastPrinted>
  <dcterms:created xsi:type="dcterms:W3CDTF">2015-06-18T15:17:00Z</dcterms:created>
  <dcterms:modified xsi:type="dcterms:W3CDTF">2015-06-19T09:22:00Z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0x01010044A6D4983D28D84FAF1C285E1CA84D71</vt:lpwstr>
  </property>
</Properties>
</file>