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190D8" w14:textId="77777777" w:rsidR="009A0FF6" w:rsidRPr="00836F35" w:rsidRDefault="009A0FF6" w:rsidP="002F6CE5">
      <w:pPr>
        <w:ind w:left="2292" w:hanging="2292"/>
        <w:rPr>
          <w:color w:val="FF0000"/>
        </w:rPr>
      </w:pPr>
      <w:bookmarkStart w:id="0" w:name="_Toc209500354"/>
      <w:bookmarkStart w:id="1" w:name="_Toc219275270"/>
      <w:bookmarkStart w:id="2" w:name="_Toc219275340"/>
      <w:bookmarkStart w:id="3" w:name="_Toc219518985"/>
    </w:p>
    <w:p w14:paraId="250190D9" w14:textId="77777777" w:rsidR="008720EB" w:rsidRPr="00226FB3" w:rsidRDefault="008720EB" w:rsidP="002F6CE5">
      <w:pPr>
        <w:ind w:left="2292" w:hanging="2292"/>
        <w:rPr>
          <w:lang w:val="en-US"/>
        </w:rPr>
      </w:pPr>
      <w:r w:rsidRPr="00226FB3">
        <w:rPr>
          <w:lang w:val="en-US"/>
        </w:rPr>
        <w:t xml:space="preserve">SCORECARD </w:t>
      </w:r>
      <w:r w:rsidR="00226FB3">
        <w:rPr>
          <w:lang w:val="en-US"/>
        </w:rPr>
        <w:tab/>
      </w:r>
      <w:r w:rsidR="00FE1BB7">
        <w:rPr>
          <w:lang w:val="en-US"/>
        </w:rPr>
        <w:t>Food and</w:t>
      </w:r>
      <w:r w:rsidR="00EC306C">
        <w:rPr>
          <w:lang w:val="en-US"/>
        </w:rPr>
        <w:t xml:space="preserve"> Agricultur</w:t>
      </w:r>
      <w:r w:rsidR="00FE1BB7">
        <w:rPr>
          <w:lang w:val="en-US"/>
        </w:rPr>
        <w:t>e Organisation</w:t>
      </w:r>
      <w:r w:rsidR="00EC306C">
        <w:rPr>
          <w:lang w:val="en-US"/>
        </w:rPr>
        <w:t xml:space="preserve"> </w:t>
      </w:r>
      <w:r w:rsidR="00226FB3" w:rsidRPr="00226FB3">
        <w:rPr>
          <w:lang w:val="en-US"/>
        </w:rPr>
        <w:t>(</w:t>
      </w:r>
      <w:r w:rsidR="00836F35" w:rsidRPr="00226FB3">
        <w:rPr>
          <w:lang w:val="en-US"/>
        </w:rPr>
        <w:t>FA</w:t>
      </w:r>
      <w:r w:rsidR="00FE1BB7">
        <w:rPr>
          <w:lang w:val="en-US"/>
        </w:rPr>
        <w:t>O</w:t>
      </w:r>
      <w:r w:rsidR="00226FB3">
        <w:rPr>
          <w:lang w:val="en-US"/>
        </w:rPr>
        <w:t>)</w:t>
      </w:r>
    </w:p>
    <w:p w14:paraId="250190DA" w14:textId="77777777" w:rsidR="008720EB" w:rsidRPr="00226FB3" w:rsidRDefault="008720EB" w:rsidP="002F6CE5">
      <w:pPr>
        <w:ind w:left="2292" w:hanging="2292"/>
        <w:rPr>
          <w:lang w:val="en-US"/>
        </w:rPr>
      </w:pPr>
    </w:p>
    <w:p w14:paraId="250190DB" w14:textId="77777777" w:rsidR="009B57FB" w:rsidRPr="00836F35" w:rsidRDefault="0099091E" w:rsidP="002F6CE5">
      <w:pPr>
        <w:ind w:left="2292" w:hanging="2292"/>
      </w:pPr>
      <w:r>
        <w:fldChar w:fldCharType="begin"/>
      </w:r>
      <w:r>
        <w:instrText xml:space="preserve"> DOCPROPERTY  L_CONTACT  \* MERGEFORMAT </w:instrText>
      </w:r>
      <w:r>
        <w:fldChar w:fldCharType="separate"/>
      </w:r>
      <w:r w:rsidR="0051515E">
        <w:t>Opgesteld door</w:t>
      </w:r>
      <w:r>
        <w:fldChar w:fldCharType="end"/>
      </w:r>
      <w:r w:rsidR="002F6CE5" w:rsidRPr="00836F35">
        <w:tab/>
      </w:r>
      <w:r w:rsidR="003A65E8" w:rsidRPr="00836F35">
        <w:t xml:space="preserve">Directie </w:t>
      </w:r>
      <w:r w:rsidR="00460E7F" w:rsidRPr="00836F35">
        <w:t>Multilaterale Instellingen en Mensenrechten</w:t>
      </w:r>
    </w:p>
    <w:p w14:paraId="250190DC" w14:textId="6FEF9735" w:rsidR="00226FB3" w:rsidRPr="00012E53" w:rsidRDefault="00836F35" w:rsidP="00226FB3">
      <w:pPr>
        <w:ind w:left="2043" w:firstLine="227"/>
        <w:rPr>
          <w:noProof/>
          <w:szCs w:val="18"/>
        </w:rPr>
      </w:pPr>
      <w:r>
        <w:tab/>
      </w:r>
      <w:r w:rsidR="00226FB3" w:rsidRPr="00012E53">
        <w:rPr>
          <w:noProof/>
          <w:szCs w:val="18"/>
        </w:rPr>
        <w:t xml:space="preserve">Afdeling Sociale </w:t>
      </w:r>
      <w:r w:rsidR="000E3A1B">
        <w:rPr>
          <w:noProof/>
          <w:szCs w:val="18"/>
        </w:rPr>
        <w:t>en</w:t>
      </w:r>
      <w:r w:rsidR="00226FB3" w:rsidRPr="00012E53">
        <w:rPr>
          <w:noProof/>
          <w:szCs w:val="18"/>
        </w:rPr>
        <w:t xml:space="preserve"> Economische </w:t>
      </w:r>
      <w:r w:rsidR="000E3A1B">
        <w:rPr>
          <w:noProof/>
          <w:szCs w:val="18"/>
        </w:rPr>
        <w:t xml:space="preserve">VN </w:t>
      </w:r>
      <w:r w:rsidR="00226FB3" w:rsidRPr="00012E53">
        <w:rPr>
          <w:noProof/>
          <w:szCs w:val="18"/>
        </w:rPr>
        <w:t>Zaken</w:t>
      </w:r>
    </w:p>
    <w:p w14:paraId="250190DD" w14:textId="77777777" w:rsidR="002F6CE5" w:rsidRPr="00836F35" w:rsidRDefault="00226FB3" w:rsidP="00836F35">
      <w:pPr>
        <w:tabs>
          <w:tab w:val="center" w:pos="3863"/>
        </w:tabs>
        <w:ind w:left="2292" w:hanging="2292"/>
      </w:pPr>
      <w:r>
        <w:tab/>
      </w:r>
      <w:r w:rsidR="002F6CE5" w:rsidRPr="00836F35">
        <w:t>T- +31 (0)70 –</w:t>
      </w:r>
      <w:r w:rsidR="00836F35" w:rsidRPr="00836F35">
        <w:t xml:space="preserve"> 348 5375</w:t>
      </w:r>
    </w:p>
    <w:p w14:paraId="250190DE" w14:textId="77777777" w:rsidR="002F6CE5" w:rsidRPr="00836F35" w:rsidRDefault="002F6CE5" w:rsidP="002F6CE5">
      <w:pPr>
        <w:ind w:left="2292" w:hanging="2292"/>
      </w:pPr>
    </w:p>
    <w:p w14:paraId="250190E3" w14:textId="77777777" w:rsidR="00991C2E" w:rsidRPr="00836F35" w:rsidRDefault="00991C2E" w:rsidP="00991C2E">
      <w:pPr>
        <w:rPr>
          <w:color w:val="FF0000"/>
        </w:rPr>
      </w:pPr>
      <w:bookmarkStart w:id="4" w:name="_GoBack"/>
      <w:bookmarkEnd w:id="4"/>
    </w:p>
    <w:p w14:paraId="250190E4" w14:textId="77777777" w:rsidR="00991C2E" w:rsidRPr="00836F35" w:rsidRDefault="00991C2E" w:rsidP="00991C2E">
      <w:pPr>
        <w:rPr>
          <w:color w:val="FF0000"/>
        </w:rPr>
      </w:pPr>
    </w:p>
    <w:p w14:paraId="250190E5" w14:textId="77777777" w:rsidR="00991C2E" w:rsidRPr="00836F35" w:rsidRDefault="00991C2E" w:rsidP="00991C2E">
      <w:pPr>
        <w:rPr>
          <w:color w:val="FF0000"/>
        </w:rPr>
      </w:pPr>
    </w:p>
    <w:p w14:paraId="250190E6" w14:textId="77777777" w:rsidR="00326699" w:rsidRPr="00836F35" w:rsidRDefault="00326699" w:rsidP="008E1C34">
      <w:pPr>
        <w:spacing w:line="240" w:lineRule="auto"/>
        <w:ind w:left="720"/>
        <w:rPr>
          <w:color w:val="FF0000"/>
        </w:rPr>
      </w:pPr>
    </w:p>
    <w:p w14:paraId="250190E7" w14:textId="77777777" w:rsidR="00326699" w:rsidRPr="00836F35" w:rsidRDefault="00326699" w:rsidP="00326699">
      <w:pPr>
        <w:spacing w:line="240" w:lineRule="auto"/>
        <w:rPr>
          <w:color w:val="FF0000"/>
        </w:rPr>
      </w:pPr>
    </w:p>
    <w:p w14:paraId="250190E8" w14:textId="77777777" w:rsidR="00326699" w:rsidRPr="00836F35" w:rsidRDefault="00326699" w:rsidP="00326699">
      <w:pPr>
        <w:spacing w:line="240" w:lineRule="auto"/>
        <w:rPr>
          <w:color w:val="FF0000"/>
        </w:rPr>
      </w:pPr>
    </w:p>
    <w:p w14:paraId="250190E9" w14:textId="77777777" w:rsidR="00326699" w:rsidRPr="00836F35" w:rsidRDefault="00326699" w:rsidP="00326699">
      <w:pPr>
        <w:spacing w:line="240" w:lineRule="auto"/>
        <w:rPr>
          <w:color w:val="FF0000"/>
        </w:rPr>
        <w:sectPr w:rsidR="00326699" w:rsidRPr="00836F35" w:rsidSect="007D6565">
          <w:headerReference w:type="even" r:id="rId12"/>
          <w:headerReference w:type="default" r:id="rId13"/>
          <w:footerReference w:type="even" r:id="rId14"/>
          <w:footerReference w:type="default" r:id="rId15"/>
          <w:headerReference w:type="first" r:id="rId16"/>
          <w:footerReference w:type="first" r:id="rId17"/>
          <w:pgSz w:w="11906" w:h="16838" w:code="9"/>
          <w:pgMar w:top="2520" w:right="960" w:bottom="1080" w:left="3220" w:header="200" w:footer="660" w:gutter="0"/>
          <w:cols w:space="708"/>
          <w:titlePg/>
          <w:docGrid w:linePitch="360"/>
        </w:sectPr>
      </w:pPr>
    </w:p>
    <w:bookmarkEnd w:id="0"/>
    <w:bookmarkEnd w:id="1"/>
    <w:bookmarkEnd w:id="2"/>
    <w:bookmarkEnd w:id="3"/>
    <w:p w14:paraId="250190EA" w14:textId="77777777" w:rsidR="00A908F9" w:rsidRPr="00836F35" w:rsidRDefault="00A908F9" w:rsidP="00A908F9">
      <w:pPr>
        <w:pStyle w:val="Kop-Inhoudsopgave"/>
        <w:rPr>
          <w:color w:val="FF0000"/>
        </w:rPr>
      </w:pPr>
    </w:p>
    <w:p w14:paraId="250190EB" w14:textId="77777777" w:rsidR="00A908F9" w:rsidRPr="00836F35" w:rsidRDefault="00A908F9" w:rsidP="00A908F9">
      <w:pPr>
        <w:pStyle w:val="Kop-Inhoudsopgave"/>
        <w:rPr>
          <w:color w:val="FF0000"/>
        </w:rPr>
      </w:pPr>
    </w:p>
    <w:p w14:paraId="250190EC" w14:textId="77777777" w:rsidR="00A908F9" w:rsidRPr="00836F35" w:rsidRDefault="008720EB" w:rsidP="00A908F9">
      <w:pPr>
        <w:pStyle w:val="Kop-Inhoudsopgave"/>
        <w:rPr>
          <w:color w:val="FF0000"/>
        </w:rPr>
      </w:pPr>
      <w:r w:rsidRPr="00836F35">
        <w:rPr>
          <w:color w:val="FF0000"/>
        </w:rPr>
        <w:br w:type="page"/>
      </w:r>
    </w:p>
    <w:p w14:paraId="250190ED" w14:textId="77777777" w:rsidR="00A908F9" w:rsidRPr="00836F35" w:rsidRDefault="00A908F9" w:rsidP="00A908F9">
      <w:pPr>
        <w:pStyle w:val="Kop-Inhoudsopgave"/>
        <w:rPr>
          <w:color w:val="FF0000"/>
        </w:rPr>
      </w:pPr>
    </w:p>
    <w:p w14:paraId="250190EE" w14:textId="77777777" w:rsidR="00A908F9" w:rsidRPr="00836F35" w:rsidRDefault="00A908F9" w:rsidP="00A908F9">
      <w:pPr>
        <w:pStyle w:val="Kop-Inhoudsopgave"/>
        <w:rPr>
          <w:color w:val="FF0000"/>
        </w:rPr>
      </w:pPr>
    </w:p>
    <w:p w14:paraId="250190EF" w14:textId="77777777" w:rsidR="00A908F9" w:rsidRPr="00836F35" w:rsidRDefault="00A908F9" w:rsidP="00A908F9">
      <w:pPr>
        <w:pStyle w:val="Kop-Inhoudsopgave"/>
        <w:rPr>
          <w:color w:val="FF0000"/>
        </w:rPr>
      </w:pPr>
    </w:p>
    <w:p w14:paraId="250190F0" w14:textId="77777777" w:rsidR="00A908F9" w:rsidRPr="00836F35" w:rsidRDefault="00A908F9" w:rsidP="00A908F9">
      <w:pPr>
        <w:pStyle w:val="Kop-Inhoudsopgave"/>
        <w:rPr>
          <w:color w:val="FF0000"/>
        </w:rPr>
      </w:pPr>
    </w:p>
    <w:p w14:paraId="250190F1" w14:textId="77777777" w:rsidR="00A908F9" w:rsidRPr="00836F35" w:rsidRDefault="00A908F9" w:rsidP="00A908F9">
      <w:pPr>
        <w:pStyle w:val="Kop-Inhoudsopgave"/>
        <w:rPr>
          <w:color w:val="FF0000"/>
        </w:rPr>
      </w:pPr>
    </w:p>
    <w:p w14:paraId="250190F2" w14:textId="77777777" w:rsidR="00A908F9" w:rsidRPr="00836F35" w:rsidRDefault="00A908F9" w:rsidP="00A908F9">
      <w:pPr>
        <w:pStyle w:val="Kop-Inhoudsopgave"/>
        <w:rPr>
          <w:color w:val="FF0000"/>
        </w:rPr>
      </w:pPr>
    </w:p>
    <w:p w14:paraId="250190F3" w14:textId="77777777" w:rsidR="00A908F9" w:rsidRPr="00DC249A" w:rsidRDefault="0099091E" w:rsidP="00A908F9">
      <w:pPr>
        <w:pStyle w:val="Kop-Inhoudsopgave"/>
      </w:pPr>
      <w:r>
        <w:fldChar w:fldCharType="begin"/>
      </w:r>
      <w:r>
        <w:instrText xml:space="preserve"> DOCPROPERTY  L_TOC  \* MERGEFORMAT </w:instrText>
      </w:r>
      <w:r>
        <w:fldChar w:fldCharType="separate"/>
      </w:r>
      <w:bookmarkStart w:id="6" w:name="_Toc287446465"/>
      <w:bookmarkStart w:id="7" w:name="_Toc287454445"/>
      <w:bookmarkStart w:id="8" w:name="_Toc410397621"/>
      <w:r w:rsidR="0051515E">
        <w:t>Inhoudsopgave</w:t>
      </w:r>
      <w:bookmarkEnd w:id="6"/>
      <w:bookmarkEnd w:id="7"/>
      <w:bookmarkEnd w:id="8"/>
      <w:r>
        <w:fldChar w:fldCharType="end"/>
      </w:r>
    </w:p>
    <w:p w14:paraId="250190F4" w14:textId="77777777" w:rsidR="008C3F57" w:rsidRPr="00DC249A" w:rsidRDefault="001E5B8E">
      <w:pPr>
        <w:pStyle w:val="TOC1"/>
        <w:tabs>
          <w:tab w:val="right" w:leader="dot" w:pos="7716"/>
        </w:tabs>
        <w:rPr>
          <w:rFonts w:ascii="Calibri" w:hAnsi="Calibri"/>
          <w:noProof/>
          <w:sz w:val="22"/>
          <w:szCs w:val="22"/>
        </w:rPr>
      </w:pPr>
      <w:r w:rsidRPr="00DC249A">
        <w:fldChar w:fldCharType="begin"/>
      </w:r>
      <w:r w:rsidR="006B2292" w:rsidRPr="00DC249A">
        <w:instrText xml:space="preserve"> TOC \t "Heading 1;2;Heading 2;3;Heading 3;4;Kop-Inhoudsopgave;1;Kop zonder nummering;1;Subtitle;2;Title;1" </w:instrText>
      </w:r>
      <w:r w:rsidRPr="00DC249A">
        <w:fldChar w:fldCharType="separate"/>
      </w:r>
      <w:r w:rsidR="008C3F57" w:rsidRPr="00DC249A">
        <w:rPr>
          <w:noProof/>
        </w:rPr>
        <w:t>Inhoudsopgave</w:t>
      </w:r>
      <w:r w:rsidR="008C3F57" w:rsidRPr="00DC249A">
        <w:rPr>
          <w:noProof/>
        </w:rPr>
        <w:tab/>
      </w:r>
      <w:r w:rsidRPr="00DC249A">
        <w:rPr>
          <w:noProof/>
        </w:rPr>
        <w:fldChar w:fldCharType="begin"/>
      </w:r>
      <w:r w:rsidR="008C3F57" w:rsidRPr="00DC249A">
        <w:rPr>
          <w:noProof/>
        </w:rPr>
        <w:instrText xml:space="preserve"> PAGEREF _Toc410397621 \h </w:instrText>
      </w:r>
      <w:r w:rsidRPr="00DC249A">
        <w:rPr>
          <w:noProof/>
        </w:rPr>
      </w:r>
      <w:r w:rsidRPr="00DC249A">
        <w:rPr>
          <w:noProof/>
        </w:rPr>
        <w:fldChar w:fldCharType="separate"/>
      </w:r>
      <w:r w:rsidR="0051515E">
        <w:rPr>
          <w:noProof/>
        </w:rPr>
        <w:t>2</w:t>
      </w:r>
      <w:r w:rsidRPr="00DC249A">
        <w:rPr>
          <w:noProof/>
        </w:rPr>
        <w:fldChar w:fldCharType="end"/>
      </w:r>
    </w:p>
    <w:p w14:paraId="250190F5" w14:textId="77777777" w:rsidR="008C3F57" w:rsidRPr="00DC249A" w:rsidRDefault="008C3F57" w:rsidP="000842B5">
      <w:pPr>
        <w:pStyle w:val="TOC2"/>
        <w:rPr>
          <w:rFonts w:ascii="Calibri" w:hAnsi="Calibri"/>
          <w:sz w:val="22"/>
          <w:szCs w:val="22"/>
        </w:rPr>
      </w:pPr>
      <w:r w:rsidRPr="00DC249A">
        <w:t xml:space="preserve">1 </w:t>
      </w:r>
      <w:r w:rsidRPr="00DC249A">
        <w:rPr>
          <w:rFonts w:ascii="Calibri" w:hAnsi="Calibri"/>
          <w:sz w:val="22"/>
          <w:szCs w:val="22"/>
        </w:rPr>
        <w:tab/>
      </w:r>
      <w:r w:rsidRPr="00DC249A">
        <w:t>Inleiding</w:t>
      </w:r>
      <w:r w:rsidRPr="00DC249A">
        <w:tab/>
      </w:r>
      <w:r w:rsidR="001E5B8E" w:rsidRPr="00DC249A">
        <w:fldChar w:fldCharType="begin"/>
      </w:r>
      <w:r w:rsidRPr="00DC249A">
        <w:instrText xml:space="preserve"> PAGEREF _Toc410397622 \h </w:instrText>
      </w:r>
      <w:r w:rsidR="001E5B8E" w:rsidRPr="00DC249A">
        <w:fldChar w:fldCharType="separate"/>
      </w:r>
      <w:r w:rsidR="0051515E">
        <w:t>3</w:t>
      </w:r>
      <w:r w:rsidR="001E5B8E" w:rsidRPr="00DC249A">
        <w:fldChar w:fldCharType="end"/>
      </w:r>
    </w:p>
    <w:p w14:paraId="250190F6" w14:textId="77777777" w:rsidR="008C3F57" w:rsidRPr="00DC249A" w:rsidRDefault="008C3F57" w:rsidP="000842B5">
      <w:pPr>
        <w:pStyle w:val="TOC2"/>
        <w:rPr>
          <w:rFonts w:ascii="Calibri" w:hAnsi="Calibri"/>
          <w:sz w:val="22"/>
          <w:szCs w:val="22"/>
        </w:rPr>
      </w:pPr>
      <w:r w:rsidRPr="00DC249A">
        <w:t xml:space="preserve">2 </w:t>
      </w:r>
      <w:r w:rsidRPr="00DC249A">
        <w:rPr>
          <w:rFonts w:ascii="Calibri" w:hAnsi="Calibri"/>
          <w:sz w:val="22"/>
          <w:szCs w:val="22"/>
        </w:rPr>
        <w:tab/>
      </w:r>
      <w:r w:rsidRPr="00DC249A">
        <w:t>Algemene achtergrond</w:t>
      </w:r>
      <w:r w:rsidRPr="00DC249A">
        <w:tab/>
      </w:r>
      <w:r w:rsidR="001E5B8E" w:rsidRPr="00DC249A">
        <w:fldChar w:fldCharType="begin"/>
      </w:r>
      <w:r w:rsidRPr="00DC249A">
        <w:instrText xml:space="preserve"> PAGEREF _Toc410397623 \h </w:instrText>
      </w:r>
      <w:r w:rsidR="001E5B8E" w:rsidRPr="00DC249A">
        <w:fldChar w:fldCharType="separate"/>
      </w:r>
      <w:r w:rsidR="0051515E">
        <w:t>4</w:t>
      </w:r>
      <w:r w:rsidR="001E5B8E" w:rsidRPr="00DC249A">
        <w:fldChar w:fldCharType="end"/>
      </w:r>
    </w:p>
    <w:p w14:paraId="250190F7" w14:textId="77777777" w:rsidR="008C3F57" w:rsidRPr="00DC249A" w:rsidRDefault="008C3F57" w:rsidP="000842B5">
      <w:pPr>
        <w:pStyle w:val="TOC3"/>
        <w:rPr>
          <w:rFonts w:ascii="Calibri" w:hAnsi="Calibri"/>
          <w:sz w:val="22"/>
          <w:szCs w:val="22"/>
        </w:rPr>
      </w:pPr>
      <w:r w:rsidRPr="00DC249A">
        <w:t>2.1</w:t>
      </w:r>
      <w:r w:rsidRPr="00DC249A">
        <w:rPr>
          <w:rFonts w:ascii="Calibri" w:hAnsi="Calibri"/>
          <w:sz w:val="22"/>
          <w:szCs w:val="22"/>
        </w:rPr>
        <w:tab/>
      </w:r>
      <w:r w:rsidRPr="00DC249A">
        <w:t>Doelstelling en toegevoegde waarde</w:t>
      </w:r>
      <w:r w:rsidRPr="00DC249A">
        <w:tab/>
      </w:r>
      <w:r w:rsidR="001E5B8E" w:rsidRPr="00DC249A">
        <w:fldChar w:fldCharType="begin"/>
      </w:r>
      <w:r w:rsidRPr="00DC249A">
        <w:instrText xml:space="preserve"> PAGEREF _Toc410397624 \h </w:instrText>
      </w:r>
      <w:r w:rsidR="001E5B8E" w:rsidRPr="00DC249A">
        <w:fldChar w:fldCharType="separate"/>
      </w:r>
      <w:r w:rsidR="0051515E">
        <w:t>4</w:t>
      </w:r>
      <w:r w:rsidR="001E5B8E" w:rsidRPr="00DC249A">
        <w:fldChar w:fldCharType="end"/>
      </w:r>
    </w:p>
    <w:p w14:paraId="250190F8" w14:textId="77777777" w:rsidR="008C3F57" w:rsidRPr="00DC249A" w:rsidRDefault="008C3F57" w:rsidP="000842B5">
      <w:pPr>
        <w:pStyle w:val="TOC3"/>
        <w:rPr>
          <w:rFonts w:ascii="Calibri" w:hAnsi="Calibri"/>
          <w:sz w:val="22"/>
          <w:szCs w:val="22"/>
        </w:rPr>
      </w:pPr>
      <w:r w:rsidRPr="00DC249A">
        <w:t xml:space="preserve">2.2 </w:t>
      </w:r>
      <w:r w:rsidRPr="00DC249A">
        <w:rPr>
          <w:rFonts w:ascii="Calibri" w:hAnsi="Calibri"/>
          <w:sz w:val="22"/>
          <w:szCs w:val="22"/>
        </w:rPr>
        <w:tab/>
      </w:r>
      <w:r w:rsidRPr="00DC249A">
        <w:t>Organisatie, werkwijze en activiteiten</w:t>
      </w:r>
      <w:r w:rsidRPr="00DC249A">
        <w:tab/>
      </w:r>
      <w:r w:rsidR="001E5B8E" w:rsidRPr="00DC249A">
        <w:fldChar w:fldCharType="begin"/>
      </w:r>
      <w:r w:rsidRPr="00DC249A">
        <w:instrText xml:space="preserve"> PAGEREF _Toc410397625 \h </w:instrText>
      </w:r>
      <w:r w:rsidR="001E5B8E" w:rsidRPr="00DC249A">
        <w:fldChar w:fldCharType="separate"/>
      </w:r>
      <w:r w:rsidR="0051515E">
        <w:t>4</w:t>
      </w:r>
      <w:r w:rsidR="001E5B8E" w:rsidRPr="00DC249A">
        <w:fldChar w:fldCharType="end"/>
      </w:r>
    </w:p>
    <w:p w14:paraId="250190F9" w14:textId="77777777" w:rsidR="008C3F57" w:rsidRPr="00DC249A" w:rsidRDefault="008C3F57" w:rsidP="000842B5">
      <w:pPr>
        <w:pStyle w:val="TOC3"/>
        <w:rPr>
          <w:rFonts w:ascii="Calibri" w:hAnsi="Calibri"/>
          <w:sz w:val="22"/>
          <w:szCs w:val="22"/>
        </w:rPr>
      </w:pPr>
      <w:r w:rsidRPr="00DC249A">
        <w:t xml:space="preserve">2.3 </w:t>
      </w:r>
      <w:r w:rsidRPr="00DC249A">
        <w:rPr>
          <w:rFonts w:ascii="Calibri" w:hAnsi="Calibri"/>
          <w:sz w:val="22"/>
          <w:szCs w:val="22"/>
        </w:rPr>
        <w:tab/>
      </w:r>
      <w:r w:rsidRPr="00DC249A">
        <w:t>Nederlandse rol en invloed</w:t>
      </w:r>
      <w:r w:rsidRPr="00DC249A">
        <w:tab/>
      </w:r>
      <w:r w:rsidR="001E5B8E" w:rsidRPr="00DC249A">
        <w:fldChar w:fldCharType="begin"/>
      </w:r>
      <w:r w:rsidRPr="00DC249A">
        <w:instrText xml:space="preserve"> PAGEREF _Toc410397626 \h </w:instrText>
      </w:r>
      <w:r w:rsidR="001E5B8E" w:rsidRPr="00DC249A">
        <w:fldChar w:fldCharType="separate"/>
      </w:r>
      <w:r w:rsidR="0051515E">
        <w:t>5</w:t>
      </w:r>
      <w:r w:rsidR="001E5B8E" w:rsidRPr="00DC249A">
        <w:fldChar w:fldCharType="end"/>
      </w:r>
    </w:p>
    <w:p w14:paraId="250190FA" w14:textId="77777777" w:rsidR="008C3F57" w:rsidRPr="00DC249A" w:rsidRDefault="008C3F57" w:rsidP="000842B5">
      <w:pPr>
        <w:pStyle w:val="TOC3"/>
        <w:rPr>
          <w:rFonts w:ascii="Calibri" w:hAnsi="Calibri"/>
          <w:sz w:val="22"/>
          <w:szCs w:val="22"/>
        </w:rPr>
      </w:pPr>
      <w:r w:rsidRPr="00DC249A">
        <w:t>2.4</w:t>
      </w:r>
      <w:r w:rsidRPr="00DC249A">
        <w:rPr>
          <w:rFonts w:ascii="Calibri" w:hAnsi="Calibri"/>
          <w:sz w:val="22"/>
          <w:szCs w:val="22"/>
        </w:rPr>
        <w:tab/>
      </w:r>
      <w:r w:rsidRPr="00DC249A">
        <w:t>Financiële omvang en bijdragen</w:t>
      </w:r>
      <w:r w:rsidRPr="00DC249A">
        <w:tab/>
      </w:r>
      <w:r w:rsidR="001E5B8E" w:rsidRPr="00DC249A">
        <w:fldChar w:fldCharType="begin"/>
      </w:r>
      <w:r w:rsidRPr="00DC249A">
        <w:instrText xml:space="preserve"> PAGEREF _Toc410397627 \h </w:instrText>
      </w:r>
      <w:r w:rsidR="001E5B8E" w:rsidRPr="00DC249A">
        <w:fldChar w:fldCharType="separate"/>
      </w:r>
      <w:r w:rsidR="0051515E">
        <w:t>5</w:t>
      </w:r>
      <w:r w:rsidR="001E5B8E" w:rsidRPr="00DC249A">
        <w:fldChar w:fldCharType="end"/>
      </w:r>
    </w:p>
    <w:p w14:paraId="250190FB" w14:textId="77777777" w:rsidR="008C3F57" w:rsidRPr="00DC249A" w:rsidRDefault="008C3F57" w:rsidP="000842B5">
      <w:pPr>
        <w:pStyle w:val="TOC2"/>
        <w:rPr>
          <w:rFonts w:ascii="Calibri" w:hAnsi="Calibri"/>
          <w:sz w:val="22"/>
          <w:szCs w:val="22"/>
        </w:rPr>
      </w:pPr>
      <w:r w:rsidRPr="00DC249A">
        <w:t xml:space="preserve">3 </w:t>
      </w:r>
      <w:r w:rsidRPr="00DC249A">
        <w:rPr>
          <w:rFonts w:ascii="Calibri" w:hAnsi="Calibri"/>
          <w:sz w:val="22"/>
          <w:szCs w:val="22"/>
        </w:rPr>
        <w:tab/>
      </w:r>
      <w:r w:rsidRPr="00DC249A">
        <w:t>Institutionele aspecten en functioneren van de organisatie</w:t>
      </w:r>
      <w:r w:rsidRPr="00DC249A">
        <w:tab/>
      </w:r>
      <w:r w:rsidR="001E5B8E" w:rsidRPr="00DC249A">
        <w:fldChar w:fldCharType="begin"/>
      </w:r>
      <w:r w:rsidRPr="00DC249A">
        <w:instrText xml:space="preserve"> PAGEREF _Toc410397628 \h </w:instrText>
      </w:r>
      <w:r w:rsidR="001E5B8E" w:rsidRPr="00DC249A">
        <w:fldChar w:fldCharType="separate"/>
      </w:r>
      <w:r w:rsidR="0051515E">
        <w:t>8</w:t>
      </w:r>
      <w:r w:rsidR="001E5B8E" w:rsidRPr="00DC249A">
        <w:fldChar w:fldCharType="end"/>
      </w:r>
    </w:p>
    <w:p w14:paraId="250190FC" w14:textId="77777777" w:rsidR="008C3F57" w:rsidRPr="00DC249A" w:rsidRDefault="008C3F57" w:rsidP="000842B5">
      <w:pPr>
        <w:pStyle w:val="TOC3"/>
        <w:rPr>
          <w:rFonts w:ascii="Calibri" w:hAnsi="Calibri"/>
          <w:sz w:val="22"/>
          <w:szCs w:val="22"/>
        </w:rPr>
      </w:pPr>
      <w:r w:rsidRPr="00DC249A">
        <w:t>3.1</w:t>
      </w:r>
      <w:r w:rsidRPr="00DC249A">
        <w:rPr>
          <w:rFonts w:ascii="Calibri" w:hAnsi="Calibri"/>
          <w:sz w:val="22"/>
          <w:szCs w:val="22"/>
        </w:rPr>
        <w:tab/>
      </w:r>
      <w:r w:rsidRPr="00DC249A">
        <w:t>Strategie en focus</w:t>
      </w:r>
      <w:r w:rsidRPr="00DC249A">
        <w:tab/>
      </w:r>
      <w:r w:rsidR="001E5B8E" w:rsidRPr="00DC249A">
        <w:fldChar w:fldCharType="begin"/>
      </w:r>
      <w:r w:rsidRPr="00DC249A">
        <w:instrText xml:space="preserve"> PAGEREF _Toc410397629 \h </w:instrText>
      </w:r>
      <w:r w:rsidR="001E5B8E" w:rsidRPr="00DC249A">
        <w:fldChar w:fldCharType="separate"/>
      </w:r>
      <w:r w:rsidR="0051515E">
        <w:t>8</w:t>
      </w:r>
      <w:r w:rsidR="001E5B8E" w:rsidRPr="00DC249A">
        <w:fldChar w:fldCharType="end"/>
      </w:r>
    </w:p>
    <w:p w14:paraId="250190FD" w14:textId="1C969EF4" w:rsidR="00EF61AC" w:rsidRPr="002634F9" w:rsidRDefault="008C3F57" w:rsidP="000842B5">
      <w:pPr>
        <w:pStyle w:val="TOC3"/>
      </w:pPr>
      <w:r w:rsidRPr="002634F9">
        <w:t>3.2</w:t>
      </w:r>
      <w:r w:rsidRPr="002634F9">
        <w:rPr>
          <w:rFonts w:ascii="Calibri" w:hAnsi="Calibri"/>
          <w:sz w:val="22"/>
          <w:szCs w:val="22"/>
        </w:rPr>
        <w:tab/>
      </w:r>
      <w:r w:rsidRPr="002634F9">
        <w:t>Result</w:t>
      </w:r>
      <w:r w:rsidR="002634F9" w:rsidRPr="002634F9">
        <w:t>a</w:t>
      </w:r>
      <w:r w:rsidR="002634F9">
        <w:t>at</w:t>
      </w:r>
      <w:r w:rsidR="0020719A" w:rsidRPr="002634F9">
        <w:t>sturing</w:t>
      </w:r>
      <w:r w:rsidR="0020719A" w:rsidRPr="002634F9">
        <w:tab/>
        <w:t>8</w:t>
      </w:r>
    </w:p>
    <w:p w14:paraId="250190FE" w14:textId="05D1EA37" w:rsidR="008C3F57" w:rsidRPr="00DC249A" w:rsidRDefault="00EF61AC" w:rsidP="000842B5">
      <w:pPr>
        <w:pStyle w:val="TOC3"/>
        <w:rPr>
          <w:rFonts w:ascii="Calibri" w:hAnsi="Calibri"/>
          <w:sz w:val="22"/>
          <w:szCs w:val="22"/>
        </w:rPr>
      </w:pPr>
      <w:r w:rsidRPr="00DC249A">
        <w:t>3.3</w:t>
      </w:r>
      <w:r w:rsidRPr="00DC249A">
        <w:tab/>
        <w:t>Partnerschappen</w:t>
      </w:r>
      <w:r w:rsidR="008C3F57" w:rsidRPr="00DC249A">
        <w:tab/>
      </w:r>
      <w:r w:rsidR="00AF19A2">
        <w:t>9</w:t>
      </w:r>
    </w:p>
    <w:p w14:paraId="250190FF" w14:textId="77777777" w:rsidR="008C3F57" w:rsidRPr="00DC249A" w:rsidRDefault="008C3F57" w:rsidP="000842B5">
      <w:pPr>
        <w:pStyle w:val="TOC3"/>
        <w:rPr>
          <w:rFonts w:ascii="Calibri" w:hAnsi="Calibri"/>
          <w:sz w:val="22"/>
          <w:szCs w:val="22"/>
        </w:rPr>
      </w:pPr>
      <w:r w:rsidRPr="00DC249A">
        <w:t xml:space="preserve">3.4 </w:t>
      </w:r>
      <w:r w:rsidRPr="00DC249A">
        <w:rPr>
          <w:rFonts w:ascii="Calibri" w:hAnsi="Calibri"/>
          <w:sz w:val="22"/>
          <w:szCs w:val="22"/>
        </w:rPr>
        <w:tab/>
      </w:r>
      <w:r w:rsidRPr="00DC249A">
        <w:t>Effectiviteit bestuurs- en beheersorganen</w:t>
      </w:r>
      <w:r w:rsidRPr="00DC249A">
        <w:tab/>
      </w:r>
      <w:r w:rsidR="001E5B8E" w:rsidRPr="00DC249A">
        <w:fldChar w:fldCharType="begin"/>
      </w:r>
      <w:r w:rsidRPr="00DC249A">
        <w:instrText xml:space="preserve"> PAGEREF _Toc410397631 \h </w:instrText>
      </w:r>
      <w:r w:rsidR="001E5B8E" w:rsidRPr="00DC249A">
        <w:fldChar w:fldCharType="separate"/>
      </w:r>
      <w:r w:rsidR="0051515E">
        <w:t>9</w:t>
      </w:r>
      <w:r w:rsidR="001E5B8E" w:rsidRPr="00DC249A">
        <w:fldChar w:fldCharType="end"/>
      </w:r>
    </w:p>
    <w:p w14:paraId="25019100" w14:textId="77777777" w:rsidR="008C3F57" w:rsidRPr="00DC249A" w:rsidRDefault="008C3F57" w:rsidP="000842B5">
      <w:pPr>
        <w:pStyle w:val="TOC3"/>
        <w:rPr>
          <w:rFonts w:ascii="Calibri" w:hAnsi="Calibri"/>
          <w:sz w:val="22"/>
          <w:szCs w:val="22"/>
        </w:rPr>
      </w:pPr>
      <w:r w:rsidRPr="00DC249A">
        <w:t>3.5</w:t>
      </w:r>
      <w:r w:rsidRPr="00DC249A">
        <w:rPr>
          <w:rFonts w:ascii="Calibri" w:hAnsi="Calibri"/>
          <w:sz w:val="22"/>
          <w:szCs w:val="22"/>
        </w:rPr>
        <w:tab/>
      </w:r>
      <w:r w:rsidRPr="00DC249A">
        <w:t>Beleidsevaluatie</w:t>
      </w:r>
      <w:r w:rsidRPr="00DC249A">
        <w:tab/>
      </w:r>
      <w:r w:rsidR="001E5B8E" w:rsidRPr="00DC249A">
        <w:fldChar w:fldCharType="begin"/>
      </w:r>
      <w:r w:rsidRPr="00DC249A">
        <w:instrText xml:space="preserve"> PAGEREF _Toc410397632 \h </w:instrText>
      </w:r>
      <w:r w:rsidR="001E5B8E" w:rsidRPr="00DC249A">
        <w:fldChar w:fldCharType="separate"/>
      </w:r>
      <w:r w:rsidR="0051515E">
        <w:t>10</w:t>
      </w:r>
      <w:r w:rsidR="001E5B8E" w:rsidRPr="00DC249A">
        <w:fldChar w:fldCharType="end"/>
      </w:r>
    </w:p>
    <w:p w14:paraId="25019101" w14:textId="2C7F1E19" w:rsidR="008C3F57" w:rsidRPr="00DC249A" w:rsidRDefault="008C3F57" w:rsidP="000842B5">
      <w:pPr>
        <w:pStyle w:val="TOC3"/>
        <w:rPr>
          <w:rFonts w:ascii="Calibri" w:hAnsi="Calibri"/>
          <w:sz w:val="22"/>
          <w:szCs w:val="22"/>
        </w:rPr>
      </w:pPr>
      <w:r w:rsidRPr="00DC249A">
        <w:t>3.6</w:t>
      </w:r>
      <w:r w:rsidRPr="00DC249A">
        <w:rPr>
          <w:rFonts w:ascii="Calibri" w:hAnsi="Calibri"/>
          <w:sz w:val="22"/>
          <w:szCs w:val="22"/>
        </w:rPr>
        <w:tab/>
      </w:r>
      <w:r w:rsidR="0020719A">
        <w:t>Personeelsbeleid</w:t>
      </w:r>
      <w:r w:rsidRPr="00DC249A">
        <w:tab/>
      </w:r>
      <w:r w:rsidR="001E5B8E" w:rsidRPr="00DC249A">
        <w:fldChar w:fldCharType="begin"/>
      </w:r>
      <w:r w:rsidRPr="00DC249A">
        <w:instrText xml:space="preserve"> PAGEREF _Toc410397633 \h </w:instrText>
      </w:r>
      <w:r w:rsidR="001E5B8E" w:rsidRPr="00DC249A">
        <w:fldChar w:fldCharType="separate"/>
      </w:r>
      <w:r w:rsidR="0051515E">
        <w:t>11</w:t>
      </w:r>
      <w:r w:rsidR="001E5B8E" w:rsidRPr="00DC249A">
        <w:fldChar w:fldCharType="end"/>
      </w:r>
    </w:p>
    <w:p w14:paraId="25019102" w14:textId="115A39CE" w:rsidR="008C3F57" w:rsidRPr="00DC249A" w:rsidRDefault="008C3F57" w:rsidP="000842B5">
      <w:pPr>
        <w:pStyle w:val="TOC3"/>
        <w:rPr>
          <w:rFonts w:ascii="Calibri" w:hAnsi="Calibri"/>
          <w:sz w:val="22"/>
          <w:szCs w:val="22"/>
        </w:rPr>
      </w:pPr>
      <w:r w:rsidRPr="00DC249A">
        <w:t xml:space="preserve">3.7 </w:t>
      </w:r>
      <w:r w:rsidRPr="00DC249A">
        <w:rPr>
          <w:rFonts w:ascii="Calibri" w:hAnsi="Calibri"/>
          <w:sz w:val="22"/>
          <w:szCs w:val="22"/>
        </w:rPr>
        <w:tab/>
      </w:r>
      <w:r w:rsidR="0020719A">
        <w:t>Financieel beheer</w:t>
      </w:r>
      <w:r w:rsidRPr="00DC249A">
        <w:tab/>
      </w:r>
      <w:r w:rsidR="001E5B8E" w:rsidRPr="00DC249A">
        <w:fldChar w:fldCharType="begin"/>
      </w:r>
      <w:r w:rsidRPr="00DC249A">
        <w:instrText xml:space="preserve"> PAGEREF _Toc410397634 \h </w:instrText>
      </w:r>
      <w:r w:rsidR="001E5B8E" w:rsidRPr="00DC249A">
        <w:fldChar w:fldCharType="separate"/>
      </w:r>
      <w:r w:rsidR="0051515E">
        <w:t>11</w:t>
      </w:r>
      <w:r w:rsidR="001E5B8E" w:rsidRPr="00DC249A">
        <w:fldChar w:fldCharType="end"/>
      </w:r>
    </w:p>
    <w:p w14:paraId="25019103" w14:textId="77777777" w:rsidR="008C3F57" w:rsidRPr="00DC249A" w:rsidRDefault="008C3F57" w:rsidP="000842B5">
      <w:pPr>
        <w:pStyle w:val="TOC3"/>
        <w:rPr>
          <w:rFonts w:ascii="Calibri" w:hAnsi="Calibri"/>
          <w:sz w:val="22"/>
          <w:szCs w:val="22"/>
        </w:rPr>
      </w:pPr>
      <w:r w:rsidRPr="00DC249A">
        <w:t xml:space="preserve">3.8 </w:t>
      </w:r>
      <w:r w:rsidRPr="00DC249A">
        <w:rPr>
          <w:rFonts w:ascii="Calibri" w:hAnsi="Calibri"/>
          <w:sz w:val="22"/>
          <w:szCs w:val="22"/>
        </w:rPr>
        <w:tab/>
      </w:r>
      <w:r w:rsidRPr="00DC249A">
        <w:t>Corruptiebestrijding in de interne organisatie</w:t>
      </w:r>
      <w:r w:rsidRPr="00DC249A">
        <w:tab/>
      </w:r>
      <w:r w:rsidR="001E5B8E" w:rsidRPr="00DC249A">
        <w:fldChar w:fldCharType="begin"/>
      </w:r>
      <w:r w:rsidRPr="00DC249A">
        <w:instrText xml:space="preserve"> PAGEREF _Toc410397635 \h </w:instrText>
      </w:r>
      <w:r w:rsidR="001E5B8E" w:rsidRPr="00DC249A">
        <w:fldChar w:fldCharType="separate"/>
      </w:r>
      <w:r w:rsidR="0051515E">
        <w:t>12</w:t>
      </w:r>
      <w:r w:rsidR="001E5B8E" w:rsidRPr="00DC249A">
        <w:fldChar w:fldCharType="end"/>
      </w:r>
    </w:p>
    <w:p w14:paraId="25019104" w14:textId="5DCFC6F8" w:rsidR="008C3F57" w:rsidRPr="00DC249A" w:rsidRDefault="008C3F57" w:rsidP="000842B5">
      <w:pPr>
        <w:pStyle w:val="TOC2"/>
        <w:rPr>
          <w:rFonts w:ascii="Calibri" w:hAnsi="Calibri"/>
          <w:sz w:val="22"/>
          <w:szCs w:val="22"/>
        </w:rPr>
      </w:pPr>
      <w:r w:rsidRPr="00DC249A">
        <w:t xml:space="preserve">4 </w:t>
      </w:r>
      <w:r w:rsidRPr="00DC249A">
        <w:rPr>
          <w:rFonts w:ascii="Calibri" w:hAnsi="Calibri"/>
          <w:sz w:val="22"/>
          <w:szCs w:val="22"/>
        </w:rPr>
        <w:tab/>
      </w:r>
      <w:r w:rsidRPr="00DC249A">
        <w:t>Beleidsrelevantie en resultaten van de organisatie</w:t>
      </w:r>
      <w:r w:rsidRPr="00DC249A">
        <w:tab/>
      </w:r>
      <w:r w:rsidR="001E5B8E" w:rsidRPr="00DC249A">
        <w:fldChar w:fldCharType="begin"/>
      </w:r>
      <w:r w:rsidRPr="00DC249A">
        <w:instrText xml:space="preserve"> PAGEREF _Toc410397636 \h </w:instrText>
      </w:r>
      <w:r w:rsidR="001E5B8E" w:rsidRPr="00DC249A">
        <w:fldChar w:fldCharType="separate"/>
      </w:r>
      <w:r w:rsidR="0051515E">
        <w:t>1</w:t>
      </w:r>
      <w:r w:rsidR="00AF19A2">
        <w:t>3</w:t>
      </w:r>
      <w:r w:rsidR="001E5B8E" w:rsidRPr="00DC249A">
        <w:fldChar w:fldCharType="end"/>
      </w:r>
    </w:p>
    <w:p w14:paraId="25019105" w14:textId="2FE1D237" w:rsidR="008C3F57" w:rsidRPr="00DC249A" w:rsidRDefault="008C3F57" w:rsidP="000842B5">
      <w:pPr>
        <w:pStyle w:val="TOC3"/>
        <w:rPr>
          <w:rFonts w:ascii="Calibri" w:hAnsi="Calibri"/>
          <w:sz w:val="22"/>
          <w:szCs w:val="22"/>
        </w:rPr>
      </w:pPr>
      <w:r w:rsidRPr="00DC249A">
        <w:t xml:space="preserve">4.1 </w:t>
      </w:r>
      <w:r w:rsidRPr="00DC249A">
        <w:rPr>
          <w:rFonts w:ascii="Calibri" w:hAnsi="Calibri"/>
          <w:sz w:val="22"/>
          <w:szCs w:val="22"/>
        </w:rPr>
        <w:tab/>
      </w:r>
      <w:r w:rsidRPr="00DC249A">
        <w:t>Relevantie voor Nederlandse BHOS-prioriteiten</w:t>
      </w:r>
      <w:r w:rsidRPr="00DC249A">
        <w:tab/>
      </w:r>
      <w:r w:rsidR="001E5B8E" w:rsidRPr="00DC249A">
        <w:fldChar w:fldCharType="begin"/>
      </w:r>
      <w:r w:rsidRPr="00DC249A">
        <w:instrText xml:space="preserve"> PAGEREF _Toc410397637 \h </w:instrText>
      </w:r>
      <w:r w:rsidR="001E5B8E" w:rsidRPr="00DC249A">
        <w:fldChar w:fldCharType="separate"/>
      </w:r>
      <w:r w:rsidR="0051515E">
        <w:t>1</w:t>
      </w:r>
      <w:r w:rsidR="00AF19A2">
        <w:t>3</w:t>
      </w:r>
      <w:r w:rsidR="001E5B8E" w:rsidRPr="00DC249A">
        <w:fldChar w:fldCharType="end"/>
      </w:r>
    </w:p>
    <w:p w14:paraId="25019106" w14:textId="0D3F1903" w:rsidR="008C3F57" w:rsidRPr="00DC249A" w:rsidRDefault="008C3F57" w:rsidP="000842B5">
      <w:pPr>
        <w:pStyle w:val="TOC3"/>
        <w:rPr>
          <w:rFonts w:ascii="Calibri" w:hAnsi="Calibri"/>
          <w:sz w:val="22"/>
          <w:szCs w:val="22"/>
        </w:rPr>
      </w:pPr>
      <w:r w:rsidRPr="00DC249A">
        <w:t>4.2</w:t>
      </w:r>
      <w:r w:rsidRPr="00DC249A">
        <w:rPr>
          <w:rFonts w:ascii="Calibri" w:hAnsi="Calibri"/>
          <w:sz w:val="22"/>
          <w:szCs w:val="22"/>
        </w:rPr>
        <w:tab/>
      </w:r>
      <w:r w:rsidR="0020719A">
        <w:t>Extra</w:t>
      </w:r>
      <w:r w:rsidRPr="00DC249A">
        <w:t xml:space="preserve"> relevantie</w:t>
      </w:r>
      <w:r w:rsidRPr="00DC249A">
        <w:tab/>
      </w:r>
      <w:r w:rsidR="001E5B8E" w:rsidRPr="00DC249A">
        <w:fldChar w:fldCharType="begin"/>
      </w:r>
      <w:r w:rsidRPr="00DC249A">
        <w:instrText xml:space="preserve"> PAGEREF _Toc410397638 \h </w:instrText>
      </w:r>
      <w:r w:rsidR="001E5B8E" w:rsidRPr="00DC249A">
        <w:fldChar w:fldCharType="separate"/>
      </w:r>
      <w:r w:rsidR="0051515E">
        <w:t>1</w:t>
      </w:r>
      <w:r w:rsidR="00AF19A2">
        <w:t>4</w:t>
      </w:r>
      <w:r w:rsidR="001E5B8E" w:rsidRPr="00DC249A">
        <w:fldChar w:fldCharType="end"/>
      </w:r>
    </w:p>
    <w:p w14:paraId="25019107" w14:textId="08C5F63C" w:rsidR="00600DBE" w:rsidRPr="00DC249A" w:rsidRDefault="00242356" w:rsidP="00600DBE">
      <w:pPr>
        <w:pStyle w:val="TOC2"/>
        <w:rPr>
          <w:rFonts w:ascii="Calibri" w:hAnsi="Calibri"/>
          <w:sz w:val="22"/>
          <w:szCs w:val="22"/>
        </w:rPr>
      </w:pPr>
      <w:r w:rsidRPr="00DC249A">
        <w:t>5</w:t>
      </w:r>
      <w:r w:rsidR="00600DBE" w:rsidRPr="00DC249A">
        <w:t xml:space="preserve"> </w:t>
      </w:r>
      <w:r w:rsidR="00600DBE" w:rsidRPr="00DC249A">
        <w:rPr>
          <w:rFonts w:ascii="Calibri" w:hAnsi="Calibri"/>
          <w:sz w:val="22"/>
          <w:szCs w:val="22"/>
        </w:rPr>
        <w:tab/>
      </w:r>
      <w:r w:rsidR="00600DBE">
        <w:t>Conclus</w:t>
      </w:r>
      <w:r w:rsidR="00600DBE" w:rsidRPr="00DC249A">
        <w:t>ie</w:t>
      </w:r>
      <w:r w:rsidR="00600DBE" w:rsidRPr="00DC249A">
        <w:tab/>
      </w:r>
      <w:r w:rsidR="00600DBE" w:rsidRPr="00DC249A">
        <w:fldChar w:fldCharType="begin"/>
      </w:r>
      <w:r w:rsidR="00600DBE" w:rsidRPr="00DC249A">
        <w:instrText xml:space="preserve"> PAGEREF _Toc410397636 \h </w:instrText>
      </w:r>
      <w:r w:rsidR="00600DBE" w:rsidRPr="00DC249A">
        <w:fldChar w:fldCharType="separate"/>
      </w:r>
      <w:r w:rsidR="0051515E">
        <w:t>1</w:t>
      </w:r>
      <w:r w:rsidR="00AF19A2">
        <w:t>5</w:t>
      </w:r>
      <w:r w:rsidR="00600DBE" w:rsidRPr="00DC249A">
        <w:fldChar w:fldCharType="end"/>
      </w:r>
    </w:p>
    <w:p w14:paraId="25019108" w14:textId="4F879864" w:rsidR="00600DBE" w:rsidRPr="00DC249A" w:rsidRDefault="00600DBE" w:rsidP="00600DBE">
      <w:pPr>
        <w:pStyle w:val="TOC3"/>
        <w:rPr>
          <w:rFonts w:ascii="Calibri" w:hAnsi="Calibri"/>
          <w:sz w:val="22"/>
          <w:szCs w:val="22"/>
        </w:rPr>
      </w:pPr>
      <w:r>
        <w:t>5</w:t>
      </w:r>
      <w:r w:rsidRPr="00DC249A">
        <w:t xml:space="preserve">.1 </w:t>
      </w:r>
      <w:r w:rsidRPr="00DC249A">
        <w:rPr>
          <w:rFonts w:ascii="Calibri" w:hAnsi="Calibri"/>
          <w:sz w:val="22"/>
          <w:szCs w:val="22"/>
        </w:rPr>
        <w:tab/>
      </w:r>
      <w:r>
        <w:t>Institutionele aspecten en functioneren</w:t>
      </w:r>
      <w:r w:rsidRPr="00DC249A">
        <w:tab/>
      </w:r>
      <w:r w:rsidRPr="00DC249A">
        <w:fldChar w:fldCharType="begin"/>
      </w:r>
      <w:r w:rsidRPr="00DC249A">
        <w:instrText xml:space="preserve"> PAGEREF _Toc410397637 \h </w:instrText>
      </w:r>
      <w:r w:rsidRPr="00DC249A">
        <w:fldChar w:fldCharType="separate"/>
      </w:r>
      <w:r w:rsidR="0051515E">
        <w:t>1</w:t>
      </w:r>
      <w:r w:rsidR="00AF19A2">
        <w:t>5</w:t>
      </w:r>
      <w:r w:rsidRPr="00DC249A">
        <w:fldChar w:fldCharType="end"/>
      </w:r>
    </w:p>
    <w:p w14:paraId="25019109" w14:textId="6F71BEEB" w:rsidR="00600DBE" w:rsidRPr="00DC249A" w:rsidRDefault="00600DBE" w:rsidP="00600DBE">
      <w:pPr>
        <w:pStyle w:val="TOC3"/>
        <w:rPr>
          <w:rFonts w:ascii="Calibri" w:hAnsi="Calibri"/>
          <w:sz w:val="22"/>
          <w:szCs w:val="22"/>
        </w:rPr>
      </w:pPr>
      <w:r>
        <w:t>5</w:t>
      </w:r>
      <w:r w:rsidRPr="00DC249A">
        <w:t>.2</w:t>
      </w:r>
      <w:r w:rsidRPr="00DC249A">
        <w:rPr>
          <w:rFonts w:ascii="Calibri" w:hAnsi="Calibri"/>
          <w:sz w:val="22"/>
          <w:szCs w:val="22"/>
        </w:rPr>
        <w:tab/>
      </w:r>
      <w:r>
        <w:t>Beleids</w:t>
      </w:r>
      <w:r w:rsidRPr="00DC249A">
        <w:t>relevantie</w:t>
      </w:r>
      <w:r w:rsidRPr="00DC249A">
        <w:tab/>
      </w:r>
      <w:r w:rsidR="00AF19A2">
        <w:t>15</w:t>
      </w:r>
    </w:p>
    <w:p w14:paraId="2501910A" w14:textId="77777777" w:rsidR="00101F98" w:rsidRPr="00DC249A" w:rsidRDefault="001E5B8E" w:rsidP="00163FA2">
      <w:pPr>
        <w:tabs>
          <w:tab w:val="left" w:pos="0"/>
        </w:tabs>
      </w:pPr>
      <w:r w:rsidRPr="00DC249A">
        <w:fldChar w:fldCharType="end"/>
      </w:r>
    </w:p>
    <w:p w14:paraId="2501910B" w14:textId="77777777" w:rsidR="00A908F9" w:rsidRPr="00DC249A" w:rsidRDefault="00A908F9" w:rsidP="00101F98"/>
    <w:p w14:paraId="2501910C" w14:textId="77777777" w:rsidR="00A908F9" w:rsidRPr="00DC249A" w:rsidRDefault="00A908F9" w:rsidP="00A908F9"/>
    <w:p w14:paraId="2501910D" w14:textId="77777777" w:rsidR="00A908F9" w:rsidRPr="00DC249A" w:rsidRDefault="00A908F9" w:rsidP="00A908F9"/>
    <w:p w14:paraId="2501910E" w14:textId="77777777" w:rsidR="00A908F9" w:rsidRPr="00DC249A" w:rsidRDefault="00A908F9" w:rsidP="00A908F9">
      <w:pPr>
        <w:jc w:val="center"/>
      </w:pPr>
    </w:p>
    <w:p w14:paraId="2501910F" w14:textId="77777777" w:rsidR="00101F98" w:rsidRPr="00DC249A" w:rsidRDefault="00101F98" w:rsidP="00A908F9">
      <w:pPr>
        <w:sectPr w:rsidR="00101F98" w:rsidRPr="00DC249A" w:rsidSect="00EE1B9E">
          <w:headerReference w:type="first" r:id="rId18"/>
          <w:type w:val="continuous"/>
          <w:pgSz w:w="11906" w:h="16838" w:code="9"/>
          <w:pgMar w:top="2520" w:right="960" w:bottom="1080" w:left="3220" w:header="200" w:footer="660" w:gutter="0"/>
          <w:cols w:space="708"/>
          <w:titlePg/>
          <w:docGrid w:linePitch="360"/>
        </w:sectPr>
      </w:pPr>
    </w:p>
    <w:p w14:paraId="25019110" w14:textId="77777777" w:rsidR="00B95FC2" w:rsidRPr="00DC249A" w:rsidRDefault="00734374" w:rsidP="00734374">
      <w:pPr>
        <w:pStyle w:val="Heading1"/>
        <w:tabs>
          <w:tab w:val="num" w:pos="0"/>
        </w:tabs>
        <w:spacing w:after="240" w:line="240" w:lineRule="auto"/>
        <w:ind w:hanging="1162"/>
      </w:pPr>
      <w:bookmarkStart w:id="9" w:name="_Toc238533654"/>
      <w:bookmarkStart w:id="10" w:name="_Toc238537583"/>
      <w:bookmarkStart w:id="11" w:name="_Toc238538136"/>
      <w:bookmarkStart w:id="12" w:name="_Toc238538151"/>
      <w:bookmarkStart w:id="13" w:name="_Toc300822504"/>
      <w:bookmarkStart w:id="14" w:name="_Toc410397622"/>
      <w:bookmarkEnd w:id="9"/>
      <w:bookmarkEnd w:id="10"/>
      <w:bookmarkEnd w:id="11"/>
      <w:bookmarkEnd w:id="12"/>
      <w:r w:rsidRPr="00DC249A">
        <w:lastRenderedPageBreak/>
        <w:t xml:space="preserve">1 </w:t>
      </w:r>
      <w:r w:rsidRPr="00DC249A">
        <w:tab/>
      </w:r>
      <w:r w:rsidR="00AD0CCB" w:rsidRPr="00DC249A">
        <w:t>Inleiding</w:t>
      </w:r>
      <w:bookmarkEnd w:id="13"/>
      <w:bookmarkEnd w:id="14"/>
    </w:p>
    <w:p w14:paraId="25019111" w14:textId="77777777" w:rsidR="00B201ED" w:rsidRPr="00DC249A" w:rsidRDefault="00B201ED" w:rsidP="005150FC">
      <w:pPr>
        <w:shd w:val="clear" w:color="auto" w:fill="FFFFFF"/>
        <w:spacing w:before="100" w:beforeAutospacing="1" w:after="100" w:afterAutospacing="1" w:line="240" w:lineRule="auto"/>
        <w:rPr>
          <w:szCs w:val="18"/>
          <w:lang w:eastAsia="zh-CN"/>
        </w:rPr>
      </w:pPr>
    </w:p>
    <w:p w14:paraId="25019112" w14:textId="2C9B8AC7" w:rsidR="005D3322" w:rsidRPr="00DC249A" w:rsidRDefault="005150FC" w:rsidP="00A757AB">
      <w:pPr>
        <w:shd w:val="clear" w:color="auto" w:fill="FFFFFF"/>
        <w:spacing w:before="100" w:beforeAutospacing="1" w:after="100" w:afterAutospacing="1" w:line="240" w:lineRule="auto"/>
        <w:rPr>
          <w:szCs w:val="18"/>
          <w:lang w:eastAsia="zh-CN"/>
        </w:rPr>
      </w:pPr>
      <w:r w:rsidRPr="00DC249A">
        <w:rPr>
          <w:szCs w:val="18"/>
          <w:lang w:eastAsia="zh-CN"/>
        </w:rPr>
        <w:t xml:space="preserve">Scorecards worden opgesteld om het functioneren en de beleidsrelevantie van multilaterale organisaties in kaart te brengen. </w:t>
      </w:r>
      <w:r w:rsidR="00710978" w:rsidRPr="00DC249A">
        <w:rPr>
          <w:szCs w:val="18"/>
          <w:lang w:eastAsia="zh-CN"/>
        </w:rPr>
        <w:t>D</w:t>
      </w:r>
      <w:r w:rsidRPr="00DC249A">
        <w:rPr>
          <w:szCs w:val="18"/>
          <w:lang w:eastAsia="zh-CN"/>
        </w:rPr>
        <w:t>e Nederlandse inzet in multilaterale organisaties word</w:t>
      </w:r>
      <w:r w:rsidR="00710978" w:rsidRPr="00DC249A">
        <w:rPr>
          <w:szCs w:val="18"/>
          <w:lang w:eastAsia="zh-CN"/>
        </w:rPr>
        <w:t>t</w:t>
      </w:r>
      <w:r w:rsidRPr="00DC249A">
        <w:rPr>
          <w:szCs w:val="18"/>
          <w:lang w:eastAsia="zh-CN"/>
        </w:rPr>
        <w:t xml:space="preserve"> geconcentreerd op organ</w:t>
      </w:r>
      <w:r w:rsidR="007E1149" w:rsidRPr="00DC249A">
        <w:rPr>
          <w:szCs w:val="18"/>
          <w:lang w:eastAsia="zh-CN"/>
        </w:rPr>
        <w:t>isaties die relevant zijn voor</w:t>
      </w:r>
      <w:r w:rsidRPr="00DC249A">
        <w:rPr>
          <w:szCs w:val="18"/>
          <w:lang w:eastAsia="zh-CN"/>
        </w:rPr>
        <w:t xml:space="preserve"> het Nederlandse beleid en d</w:t>
      </w:r>
      <w:r w:rsidR="007E1149" w:rsidRPr="00DC249A">
        <w:rPr>
          <w:szCs w:val="18"/>
          <w:lang w:eastAsia="zh-CN"/>
        </w:rPr>
        <w:t>ie effectief zijn</w:t>
      </w:r>
      <w:r w:rsidR="000C082E" w:rsidRPr="00DC249A">
        <w:rPr>
          <w:szCs w:val="18"/>
          <w:lang w:eastAsia="zh-CN"/>
        </w:rPr>
        <w:t>, dan</w:t>
      </w:r>
      <w:r w:rsidR="00CD39D1">
        <w:rPr>
          <w:szCs w:val="18"/>
          <w:lang w:eastAsia="zh-CN"/>
        </w:rPr>
        <w:t xml:space="preserve"> </w:t>
      </w:r>
      <w:r w:rsidR="000C082E" w:rsidRPr="00DC249A">
        <w:rPr>
          <w:szCs w:val="18"/>
          <w:lang w:eastAsia="zh-CN"/>
        </w:rPr>
        <w:t xml:space="preserve">wel een sleutelrol vervullen binnen de multilaterale architectuur als </w:t>
      </w:r>
      <w:r w:rsidR="00125028" w:rsidRPr="00DC249A">
        <w:rPr>
          <w:szCs w:val="18"/>
          <w:lang w:eastAsia="zh-CN"/>
        </w:rPr>
        <w:t>“</w:t>
      </w:r>
      <w:r w:rsidR="000C082E" w:rsidRPr="00DC249A">
        <w:rPr>
          <w:szCs w:val="18"/>
          <w:lang w:eastAsia="zh-CN"/>
        </w:rPr>
        <w:t>systeemorganisatie</w:t>
      </w:r>
      <w:r w:rsidR="00125028" w:rsidRPr="00DC249A">
        <w:rPr>
          <w:szCs w:val="18"/>
          <w:lang w:eastAsia="zh-CN"/>
        </w:rPr>
        <w:t>”</w:t>
      </w:r>
      <w:r w:rsidR="000C082E" w:rsidRPr="00DC249A">
        <w:rPr>
          <w:szCs w:val="18"/>
          <w:lang w:eastAsia="zh-CN"/>
        </w:rPr>
        <w:t xml:space="preserve">. </w:t>
      </w:r>
      <w:r w:rsidR="00967346" w:rsidRPr="00DC249A">
        <w:rPr>
          <w:szCs w:val="18"/>
          <w:lang w:eastAsia="zh-CN"/>
        </w:rPr>
        <w:t>Dit vraagt om</w:t>
      </w:r>
      <w:r w:rsidRPr="00DC249A">
        <w:rPr>
          <w:szCs w:val="18"/>
          <w:lang w:eastAsia="zh-CN"/>
        </w:rPr>
        <w:t xml:space="preserve"> zorgvuldige en regelmatige toetsing. </w:t>
      </w:r>
      <w:r w:rsidR="005D3322" w:rsidRPr="00DC249A">
        <w:rPr>
          <w:szCs w:val="18"/>
          <w:lang w:eastAsia="zh-CN"/>
        </w:rPr>
        <w:t>Het streven is om scorecards</w:t>
      </w:r>
      <w:r w:rsidR="00DB2280" w:rsidRPr="00DC249A">
        <w:rPr>
          <w:szCs w:val="18"/>
          <w:lang w:eastAsia="zh-CN"/>
        </w:rPr>
        <w:t xml:space="preserve"> op te stellen voor de</w:t>
      </w:r>
      <w:r w:rsidR="005D3322" w:rsidRPr="00DC249A">
        <w:rPr>
          <w:szCs w:val="18"/>
          <w:lang w:eastAsia="zh-CN"/>
        </w:rPr>
        <w:t xml:space="preserve"> </w:t>
      </w:r>
      <w:r w:rsidR="00A2455B" w:rsidRPr="00DC249A">
        <w:rPr>
          <w:szCs w:val="18"/>
          <w:lang w:eastAsia="zh-CN"/>
        </w:rPr>
        <w:t xml:space="preserve">VN Fondsen en </w:t>
      </w:r>
      <w:r w:rsidR="00223E42" w:rsidRPr="00DC249A">
        <w:rPr>
          <w:szCs w:val="18"/>
          <w:lang w:eastAsia="zh-CN"/>
        </w:rPr>
        <w:t xml:space="preserve">Programma’s, </w:t>
      </w:r>
      <w:r w:rsidR="003B4CB4" w:rsidRPr="00DC249A">
        <w:rPr>
          <w:szCs w:val="18"/>
          <w:lang w:eastAsia="zh-CN"/>
        </w:rPr>
        <w:t xml:space="preserve">de Internationale </w:t>
      </w:r>
      <w:r w:rsidR="00F613E9" w:rsidRPr="00DC249A">
        <w:rPr>
          <w:szCs w:val="18"/>
          <w:lang w:eastAsia="zh-CN"/>
        </w:rPr>
        <w:t>Financiële</w:t>
      </w:r>
      <w:r w:rsidR="003B4CB4" w:rsidRPr="00DC249A">
        <w:rPr>
          <w:szCs w:val="18"/>
          <w:lang w:eastAsia="zh-CN"/>
        </w:rPr>
        <w:t xml:space="preserve"> Instellingen, </w:t>
      </w:r>
      <w:r w:rsidR="00223E42" w:rsidRPr="00DC249A">
        <w:rPr>
          <w:szCs w:val="18"/>
          <w:lang w:eastAsia="zh-CN"/>
        </w:rPr>
        <w:t>de voor Nederlands BHOS-beleid relevante gespecialiseerde VN-organisaties en kantoren, en de majeure wereldwijde fondsen</w:t>
      </w:r>
      <w:r w:rsidR="00A37B8E" w:rsidRPr="00DC249A">
        <w:rPr>
          <w:szCs w:val="18"/>
          <w:lang w:eastAsia="zh-CN"/>
        </w:rPr>
        <w:t>;</w:t>
      </w:r>
      <w:r w:rsidR="00223E42" w:rsidRPr="00DC249A">
        <w:rPr>
          <w:szCs w:val="18"/>
          <w:lang w:eastAsia="zh-CN"/>
        </w:rPr>
        <w:t xml:space="preserve"> </w:t>
      </w:r>
      <w:r w:rsidR="005D3322" w:rsidRPr="00DC249A">
        <w:rPr>
          <w:szCs w:val="18"/>
          <w:lang w:eastAsia="zh-CN"/>
        </w:rPr>
        <w:t xml:space="preserve">multilaterale organisaties waaraan Nederland een substantiële ODA-bijdrage levert. De relevantie wordt primair getoetst aan het Nederlandse beleid voor </w:t>
      </w:r>
      <w:r w:rsidR="00A07737" w:rsidRPr="00DC249A">
        <w:rPr>
          <w:szCs w:val="18"/>
          <w:lang w:eastAsia="zh-CN"/>
        </w:rPr>
        <w:t>B</w:t>
      </w:r>
      <w:r w:rsidR="00CF0A55" w:rsidRPr="00DC249A">
        <w:rPr>
          <w:szCs w:val="18"/>
          <w:lang w:eastAsia="zh-CN"/>
        </w:rPr>
        <w:t xml:space="preserve">uitenlandse </w:t>
      </w:r>
      <w:r w:rsidR="00A07737" w:rsidRPr="00DC249A">
        <w:rPr>
          <w:szCs w:val="18"/>
          <w:lang w:eastAsia="zh-CN"/>
        </w:rPr>
        <w:t>H</w:t>
      </w:r>
      <w:r w:rsidR="00CF0A55" w:rsidRPr="00DC249A">
        <w:rPr>
          <w:szCs w:val="18"/>
          <w:lang w:eastAsia="zh-CN"/>
        </w:rPr>
        <w:t xml:space="preserve">andel en </w:t>
      </w:r>
      <w:r w:rsidR="00A07737" w:rsidRPr="00DC249A">
        <w:rPr>
          <w:szCs w:val="18"/>
          <w:lang w:eastAsia="zh-CN"/>
        </w:rPr>
        <w:t>O</w:t>
      </w:r>
      <w:r w:rsidR="005D3322" w:rsidRPr="00DC249A">
        <w:rPr>
          <w:szCs w:val="18"/>
          <w:lang w:eastAsia="zh-CN"/>
        </w:rPr>
        <w:t>ntwikkelingssamenwerking</w:t>
      </w:r>
      <w:r w:rsidR="00CF0A55" w:rsidRPr="00DC249A">
        <w:rPr>
          <w:szCs w:val="18"/>
          <w:lang w:eastAsia="zh-CN"/>
        </w:rPr>
        <w:t>,</w:t>
      </w:r>
      <w:r w:rsidR="005D3322" w:rsidRPr="00DC249A">
        <w:rPr>
          <w:szCs w:val="18"/>
          <w:lang w:eastAsia="zh-CN"/>
        </w:rPr>
        <w:t xml:space="preserve"> maar de bredere betekenis van multilaterale instellingen voor andere aspecten van Nederlands beleid wordt </w:t>
      </w:r>
      <w:r w:rsidR="00A8630D" w:rsidRPr="00DC249A">
        <w:rPr>
          <w:szCs w:val="18"/>
          <w:lang w:eastAsia="zh-CN"/>
        </w:rPr>
        <w:t>waar relevant</w:t>
      </w:r>
      <w:r w:rsidR="005D3322" w:rsidRPr="00DC249A">
        <w:rPr>
          <w:szCs w:val="18"/>
          <w:lang w:eastAsia="zh-CN"/>
        </w:rPr>
        <w:t xml:space="preserve"> meegenomen.</w:t>
      </w:r>
    </w:p>
    <w:p w14:paraId="25019113" w14:textId="77777777" w:rsidR="005150FC" w:rsidRPr="00DC249A" w:rsidRDefault="005150FC" w:rsidP="00A757AB">
      <w:pPr>
        <w:shd w:val="clear" w:color="auto" w:fill="FFFFFF"/>
        <w:spacing w:before="100" w:beforeAutospacing="1" w:after="100" w:afterAutospacing="1" w:line="240" w:lineRule="auto"/>
        <w:rPr>
          <w:szCs w:val="18"/>
          <w:lang w:eastAsia="zh-CN"/>
        </w:rPr>
      </w:pPr>
      <w:r w:rsidRPr="00DC249A">
        <w:rPr>
          <w:szCs w:val="18"/>
          <w:lang w:eastAsia="zh-CN"/>
        </w:rPr>
        <w:t>Elke scorecard geeft een overzicht van de doelstellingen</w:t>
      </w:r>
      <w:r w:rsidR="00C1320B" w:rsidRPr="00DC249A">
        <w:rPr>
          <w:szCs w:val="18"/>
          <w:lang w:eastAsia="zh-CN"/>
        </w:rPr>
        <w:t>,</w:t>
      </w:r>
      <w:r w:rsidRPr="00DC249A">
        <w:rPr>
          <w:szCs w:val="18"/>
          <w:lang w:eastAsia="zh-CN"/>
        </w:rPr>
        <w:t xml:space="preserve"> het mandaat </w:t>
      </w:r>
      <w:r w:rsidR="00C1320B" w:rsidRPr="00DC249A">
        <w:rPr>
          <w:szCs w:val="18"/>
          <w:lang w:eastAsia="zh-CN"/>
        </w:rPr>
        <w:t xml:space="preserve">en de kernkwaliteiten </w:t>
      </w:r>
      <w:r w:rsidR="006569DB" w:rsidRPr="00DC249A">
        <w:rPr>
          <w:szCs w:val="18"/>
          <w:lang w:eastAsia="zh-CN"/>
        </w:rPr>
        <w:t xml:space="preserve">van de </w:t>
      </w:r>
      <w:proofErr w:type="gramStart"/>
      <w:r w:rsidRPr="00DC249A">
        <w:rPr>
          <w:szCs w:val="18"/>
          <w:lang w:eastAsia="zh-CN"/>
        </w:rPr>
        <w:t>betreffende</w:t>
      </w:r>
      <w:proofErr w:type="gramEnd"/>
      <w:r w:rsidRPr="00DC249A">
        <w:rPr>
          <w:szCs w:val="18"/>
          <w:lang w:eastAsia="zh-CN"/>
        </w:rPr>
        <w:t xml:space="preserve"> internationale instelling, van de wijze waarop de organisatie is ingericht en welke activiteiten ze uitvoert, van de financiële omvang en de Nederlandse bijdragen. Op basis van een analyse van de verschillende deelaspecten wordt een appreciatie gegeven van de </w:t>
      </w:r>
      <w:r w:rsidR="008735BA" w:rsidRPr="00DC249A">
        <w:rPr>
          <w:szCs w:val="18"/>
          <w:lang w:eastAsia="zh-CN"/>
        </w:rPr>
        <w:t xml:space="preserve">organisatorische </w:t>
      </w:r>
      <w:r w:rsidR="00AB5963" w:rsidRPr="00DC249A">
        <w:rPr>
          <w:szCs w:val="18"/>
          <w:lang w:eastAsia="zh-CN"/>
        </w:rPr>
        <w:t>effectiviteit</w:t>
      </w:r>
      <w:r w:rsidRPr="00DC249A">
        <w:rPr>
          <w:szCs w:val="18"/>
          <w:lang w:eastAsia="zh-CN"/>
        </w:rPr>
        <w:t xml:space="preserve"> en van de relevantie </w:t>
      </w:r>
      <w:r w:rsidR="00456A79" w:rsidRPr="00DC249A">
        <w:rPr>
          <w:szCs w:val="18"/>
          <w:lang w:eastAsia="zh-CN"/>
        </w:rPr>
        <w:t>voor en de impact op</w:t>
      </w:r>
      <w:r w:rsidRPr="00DC249A">
        <w:rPr>
          <w:szCs w:val="18"/>
          <w:lang w:eastAsia="zh-CN"/>
        </w:rPr>
        <w:t xml:space="preserve"> de Nederlandse beleidsdoelstellingen.</w:t>
      </w:r>
      <w:r w:rsidR="005D3322" w:rsidRPr="00DC249A">
        <w:rPr>
          <w:szCs w:val="18"/>
          <w:lang w:eastAsia="zh-CN"/>
        </w:rPr>
        <w:t xml:space="preserve"> </w:t>
      </w:r>
      <w:r w:rsidR="00F3652C" w:rsidRPr="00DC249A">
        <w:rPr>
          <w:szCs w:val="18"/>
          <w:lang w:eastAsia="zh-CN"/>
        </w:rPr>
        <w:t xml:space="preserve">Er </w:t>
      </w:r>
      <w:r w:rsidR="00BB7ABD" w:rsidRPr="00DC249A">
        <w:rPr>
          <w:szCs w:val="18"/>
          <w:lang w:eastAsia="zh-CN"/>
        </w:rPr>
        <w:t>wordt een appreciatie gegeven van de mate waarin organisaties voor het Nederlandse BHOS-beleid relevante resultaten behalen.</w:t>
      </w:r>
      <w:r w:rsidR="008E1C34">
        <w:rPr>
          <w:szCs w:val="18"/>
          <w:lang w:eastAsia="zh-CN"/>
        </w:rPr>
        <w:t xml:space="preserve"> </w:t>
      </w:r>
      <w:r w:rsidR="005D3322" w:rsidRPr="00DC249A">
        <w:rPr>
          <w:szCs w:val="18"/>
          <w:lang w:eastAsia="zh-CN"/>
        </w:rPr>
        <w:t xml:space="preserve">Deelaspecten van effectiviteit worden beoordeeld op basis van specifieke criteria en gescoord op een vierpuntsschaal van onvoldoende, matig, voldoende en goed. Daarnaast wordt een </w:t>
      </w:r>
      <w:r w:rsidR="003B4CB4" w:rsidRPr="00DC249A">
        <w:rPr>
          <w:szCs w:val="18"/>
          <w:lang w:eastAsia="zh-CN"/>
        </w:rPr>
        <w:t>“</w:t>
      </w:r>
      <w:r w:rsidR="005D3322" w:rsidRPr="00DC249A">
        <w:rPr>
          <w:szCs w:val="18"/>
          <w:lang w:eastAsia="zh-CN"/>
        </w:rPr>
        <w:t>verwachting v</w:t>
      </w:r>
      <w:r w:rsidR="003B4CB4" w:rsidRPr="00DC249A">
        <w:rPr>
          <w:szCs w:val="18"/>
          <w:lang w:eastAsia="zh-CN"/>
        </w:rPr>
        <w:t>oor</w:t>
      </w:r>
      <w:r w:rsidR="005D3322" w:rsidRPr="00DC249A">
        <w:rPr>
          <w:szCs w:val="18"/>
          <w:lang w:eastAsia="zh-CN"/>
        </w:rPr>
        <w:t xml:space="preserve"> po</w:t>
      </w:r>
      <w:r w:rsidR="00E724F5" w:rsidRPr="00DC249A">
        <w:rPr>
          <w:szCs w:val="18"/>
          <w:lang w:eastAsia="zh-CN"/>
        </w:rPr>
        <w:t xml:space="preserve">sitieve </w:t>
      </w:r>
      <w:r w:rsidR="005D3322" w:rsidRPr="00DC249A">
        <w:rPr>
          <w:szCs w:val="18"/>
          <w:lang w:eastAsia="zh-CN"/>
        </w:rPr>
        <w:t>verandering</w:t>
      </w:r>
      <w:r w:rsidR="003B4CB4" w:rsidRPr="00DC249A">
        <w:rPr>
          <w:szCs w:val="18"/>
          <w:lang w:eastAsia="zh-CN"/>
        </w:rPr>
        <w:t>”</w:t>
      </w:r>
      <w:r w:rsidR="005D3322" w:rsidRPr="00DC249A">
        <w:rPr>
          <w:szCs w:val="18"/>
          <w:lang w:eastAsia="zh-CN"/>
        </w:rPr>
        <w:t xml:space="preserve"> gegeven. </w:t>
      </w:r>
      <w:r w:rsidR="00EE1DC0" w:rsidRPr="00DC249A">
        <w:rPr>
          <w:szCs w:val="18"/>
          <w:lang w:eastAsia="zh-CN"/>
        </w:rPr>
        <w:t>Beleidsmatige r</w:t>
      </w:r>
      <w:r w:rsidR="005D3322" w:rsidRPr="00DC249A">
        <w:rPr>
          <w:szCs w:val="18"/>
          <w:lang w:eastAsia="zh-CN"/>
        </w:rPr>
        <w:t xml:space="preserve">elevantie </w:t>
      </w:r>
      <w:r w:rsidR="00EE1DC0" w:rsidRPr="00DC249A">
        <w:rPr>
          <w:szCs w:val="18"/>
          <w:lang w:eastAsia="zh-CN"/>
        </w:rPr>
        <w:t>en impact</w:t>
      </w:r>
      <w:r w:rsidR="00770864" w:rsidRPr="00DC249A">
        <w:rPr>
          <w:szCs w:val="18"/>
          <w:lang w:eastAsia="zh-CN"/>
        </w:rPr>
        <w:t xml:space="preserve"> (resultaten)</w:t>
      </w:r>
      <w:r w:rsidR="00EE1DC0" w:rsidRPr="00DC249A">
        <w:rPr>
          <w:szCs w:val="18"/>
          <w:lang w:eastAsia="zh-CN"/>
        </w:rPr>
        <w:t xml:space="preserve"> worden </w:t>
      </w:r>
      <w:r w:rsidR="005D3322" w:rsidRPr="00DC249A">
        <w:rPr>
          <w:szCs w:val="18"/>
          <w:lang w:eastAsia="zh-CN"/>
        </w:rPr>
        <w:t>aangeduid met de kwalificaties relevant, beperkt relevant en niet relevant. Een samenvatting van al deze scores is te vind</w:t>
      </w:r>
      <w:r w:rsidR="005A463A" w:rsidRPr="00DC249A">
        <w:rPr>
          <w:szCs w:val="18"/>
          <w:lang w:eastAsia="zh-CN"/>
        </w:rPr>
        <w:t>en in de tabellen in hoofdstuk 5</w:t>
      </w:r>
      <w:r w:rsidR="005D3322" w:rsidRPr="00DC249A">
        <w:rPr>
          <w:szCs w:val="18"/>
          <w:lang w:eastAsia="zh-CN"/>
        </w:rPr>
        <w:t>.</w:t>
      </w:r>
    </w:p>
    <w:p w14:paraId="25019114" w14:textId="77777777" w:rsidR="005150FC" w:rsidRPr="00DC249A" w:rsidRDefault="005150FC" w:rsidP="00A757AB">
      <w:pPr>
        <w:shd w:val="clear" w:color="auto" w:fill="FFFFFF"/>
        <w:spacing w:before="100" w:beforeAutospacing="1" w:after="100" w:afterAutospacing="1" w:line="240" w:lineRule="auto"/>
        <w:rPr>
          <w:szCs w:val="18"/>
          <w:lang w:eastAsia="zh-CN"/>
        </w:rPr>
      </w:pPr>
      <w:r w:rsidRPr="00DC249A">
        <w:rPr>
          <w:szCs w:val="18"/>
          <w:lang w:eastAsia="zh-CN"/>
        </w:rPr>
        <w:t xml:space="preserve">De scorecards zijn samengesteld op basis van rapportages van de organisatie zelf, van de </w:t>
      </w:r>
      <w:r w:rsidRPr="00DC249A">
        <w:rPr>
          <w:i/>
          <w:szCs w:val="18"/>
          <w:lang w:eastAsia="zh-CN"/>
        </w:rPr>
        <w:t>Board of Auditors</w:t>
      </w:r>
      <w:r w:rsidRPr="00DC249A">
        <w:rPr>
          <w:szCs w:val="18"/>
          <w:lang w:eastAsia="zh-CN"/>
        </w:rPr>
        <w:t>, interne en externe evaluaties</w:t>
      </w:r>
      <w:r w:rsidR="00AC567F" w:rsidRPr="00DC249A">
        <w:rPr>
          <w:szCs w:val="18"/>
          <w:lang w:eastAsia="zh-CN"/>
        </w:rPr>
        <w:t>,</w:t>
      </w:r>
      <w:r w:rsidRPr="00DC249A">
        <w:rPr>
          <w:szCs w:val="18"/>
          <w:lang w:eastAsia="zh-CN"/>
        </w:rPr>
        <w:t xml:space="preserve"> beoordelingen door andere donoren en van het </w:t>
      </w:r>
      <w:r w:rsidRPr="00DC249A">
        <w:rPr>
          <w:i/>
          <w:szCs w:val="18"/>
          <w:lang w:eastAsia="zh-CN"/>
        </w:rPr>
        <w:t>Multilateral Organisations Performance Assessment Network</w:t>
      </w:r>
      <w:r w:rsidRPr="00DC249A">
        <w:rPr>
          <w:szCs w:val="18"/>
          <w:lang w:eastAsia="zh-CN"/>
        </w:rPr>
        <w:t xml:space="preserve"> (MOPAN)</w:t>
      </w:r>
      <w:r w:rsidRPr="00DC249A">
        <w:rPr>
          <w:rStyle w:val="FootnoteReference"/>
          <w:szCs w:val="18"/>
          <w:lang w:eastAsia="zh-CN"/>
        </w:rPr>
        <w:footnoteReference w:id="1"/>
      </w:r>
      <w:r w:rsidRPr="00DC249A">
        <w:rPr>
          <w:szCs w:val="18"/>
          <w:lang w:eastAsia="zh-CN"/>
        </w:rPr>
        <w:t xml:space="preserve">. Daarnaast wordt om de input gevraagd van betrokken vakdepartementen, de Permanente Vertegenwoordigingen en Kiesgroepkantoren. Ook </w:t>
      </w:r>
      <w:r w:rsidR="004E60C0" w:rsidRPr="00DC249A">
        <w:rPr>
          <w:szCs w:val="18"/>
          <w:lang w:eastAsia="zh-CN"/>
        </w:rPr>
        <w:t xml:space="preserve">informatie </w:t>
      </w:r>
      <w:r w:rsidRPr="00DC249A">
        <w:rPr>
          <w:szCs w:val="18"/>
          <w:lang w:eastAsia="zh-CN"/>
        </w:rPr>
        <w:t xml:space="preserve">van ambassades over het functioneren van landenkantoren van multilaterale instellingen zijn in de scorecard </w:t>
      </w:r>
      <w:r w:rsidR="00710978" w:rsidRPr="00DC249A">
        <w:rPr>
          <w:szCs w:val="18"/>
          <w:lang w:eastAsia="zh-CN"/>
        </w:rPr>
        <w:t>verwerkt</w:t>
      </w:r>
      <w:r w:rsidRPr="00DC249A">
        <w:rPr>
          <w:szCs w:val="18"/>
          <w:lang w:eastAsia="zh-CN"/>
        </w:rPr>
        <w:t xml:space="preserve">. </w:t>
      </w:r>
      <w:proofErr w:type="gramStart"/>
      <w:r w:rsidR="00AC567F" w:rsidRPr="00DC249A">
        <w:rPr>
          <w:szCs w:val="18"/>
          <w:lang w:eastAsia="zh-CN"/>
        </w:rPr>
        <w:t>De</w:t>
      </w:r>
      <w:proofErr w:type="gramEnd"/>
      <w:r w:rsidR="00AC567F" w:rsidRPr="00DC249A">
        <w:rPr>
          <w:szCs w:val="18"/>
          <w:lang w:eastAsia="zh-CN"/>
        </w:rPr>
        <w:t xml:space="preserve"> s</w:t>
      </w:r>
      <w:r w:rsidRPr="00DC249A">
        <w:rPr>
          <w:szCs w:val="18"/>
          <w:lang w:eastAsia="zh-CN"/>
        </w:rPr>
        <w:t xml:space="preserve">corecards worden </w:t>
      </w:r>
      <w:r w:rsidR="002633CA" w:rsidRPr="00DC249A">
        <w:rPr>
          <w:szCs w:val="18"/>
          <w:lang w:eastAsia="zh-CN"/>
        </w:rPr>
        <w:t xml:space="preserve">iedere twee jaar </w:t>
      </w:r>
      <w:r w:rsidRPr="00DC249A">
        <w:rPr>
          <w:szCs w:val="18"/>
          <w:lang w:eastAsia="zh-CN"/>
        </w:rPr>
        <w:t>geactualiseerd</w:t>
      </w:r>
      <w:r w:rsidR="002C77AF" w:rsidRPr="00DC249A">
        <w:rPr>
          <w:szCs w:val="18"/>
          <w:lang w:eastAsia="zh-CN"/>
        </w:rPr>
        <w:t>.</w:t>
      </w:r>
      <w:r w:rsidRPr="00DC249A">
        <w:rPr>
          <w:szCs w:val="18"/>
          <w:lang w:eastAsia="zh-CN"/>
        </w:rPr>
        <w:t xml:space="preserve"> </w:t>
      </w:r>
    </w:p>
    <w:p w14:paraId="25019115" w14:textId="77777777" w:rsidR="00307981" w:rsidRPr="00DC249A" w:rsidRDefault="00307981" w:rsidP="00307981"/>
    <w:p w14:paraId="25019116" w14:textId="77777777" w:rsidR="00D745A7" w:rsidRPr="00DC249A" w:rsidRDefault="00F24A31" w:rsidP="00F24A31">
      <w:pPr>
        <w:pStyle w:val="Heading1"/>
        <w:tabs>
          <w:tab w:val="num" w:pos="0"/>
        </w:tabs>
        <w:spacing w:after="240" w:line="240" w:lineRule="auto"/>
        <w:ind w:hanging="1162"/>
      </w:pPr>
      <w:bookmarkStart w:id="15" w:name="_Toc410397623"/>
      <w:r w:rsidRPr="00DC249A">
        <w:t xml:space="preserve">2 </w:t>
      </w:r>
      <w:r w:rsidRPr="00DC249A">
        <w:tab/>
      </w:r>
      <w:r w:rsidR="00D745A7" w:rsidRPr="00DC249A">
        <w:t>Algemene achtergrond</w:t>
      </w:r>
      <w:bookmarkEnd w:id="15"/>
    </w:p>
    <w:p w14:paraId="25019117" w14:textId="77777777" w:rsidR="00F24A31" w:rsidRPr="00DC249A" w:rsidRDefault="00F24A31" w:rsidP="00F24A31"/>
    <w:p w14:paraId="25019118" w14:textId="77777777" w:rsidR="006C1EB0" w:rsidRPr="00DC249A" w:rsidRDefault="00A757AB" w:rsidP="00ED4248">
      <w:pPr>
        <w:pStyle w:val="Heading2"/>
        <w:numPr>
          <w:ilvl w:val="1"/>
          <w:numId w:val="21"/>
        </w:numPr>
        <w:tabs>
          <w:tab w:val="left" w:pos="-1162"/>
          <w:tab w:val="left" w:pos="0"/>
        </w:tabs>
        <w:spacing w:line="240" w:lineRule="auto"/>
      </w:pPr>
      <w:bookmarkStart w:id="16" w:name="_Toc410397624"/>
      <w:r>
        <w:tab/>
      </w:r>
      <w:r w:rsidR="0055776D" w:rsidRPr="00DC249A">
        <w:t>Doelstelling</w:t>
      </w:r>
      <w:r w:rsidR="00FC6EC6" w:rsidRPr="00DC249A">
        <w:t xml:space="preserve"> en toegevoegde waarde</w:t>
      </w:r>
      <w:bookmarkEnd w:id="16"/>
    </w:p>
    <w:p w14:paraId="25019119" w14:textId="77777777" w:rsidR="009C4AAC" w:rsidRPr="00DC249A" w:rsidRDefault="009C4AAC" w:rsidP="009C4AAC"/>
    <w:p w14:paraId="2501911A" w14:textId="6BF3A72C" w:rsidR="000D5B62" w:rsidRDefault="00FA3B7B" w:rsidP="00A757AB">
      <w:pPr>
        <w:spacing w:line="240" w:lineRule="auto"/>
        <w:rPr>
          <w:szCs w:val="22"/>
        </w:rPr>
      </w:pPr>
      <w:r w:rsidRPr="00012E53">
        <w:rPr>
          <w:szCs w:val="22"/>
        </w:rPr>
        <w:t>De Voedsel en Landbouworganisatie van de Verenigde Naties (</w:t>
      </w:r>
      <w:r w:rsidRPr="00012E53">
        <w:rPr>
          <w:i/>
          <w:szCs w:val="22"/>
        </w:rPr>
        <w:t xml:space="preserve">Food and Agriculture Organisation, </w:t>
      </w:r>
      <w:r>
        <w:rPr>
          <w:szCs w:val="22"/>
        </w:rPr>
        <w:t>FAO) is in 1945 opgericht.</w:t>
      </w:r>
      <w:r w:rsidRPr="00012E53">
        <w:rPr>
          <w:szCs w:val="22"/>
        </w:rPr>
        <w:t xml:space="preserve"> </w:t>
      </w:r>
      <w:r w:rsidR="000766B7">
        <w:rPr>
          <w:szCs w:val="22"/>
        </w:rPr>
        <w:t>Het is een ges</w:t>
      </w:r>
      <w:r w:rsidR="00E73754">
        <w:rPr>
          <w:szCs w:val="22"/>
        </w:rPr>
        <w:t xml:space="preserve">pecialiseerde organisatie, met </w:t>
      </w:r>
      <w:r w:rsidR="000766B7">
        <w:rPr>
          <w:szCs w:val="22"/>
        </w:rPr>
        <w:t xml:space="preserve">normerende </w:t>
      </w:r>
      <w:r w:rsidR="00F028DF">
        <w:rPr>
          <w:szCs w:val="22"/>
        </w:rPr>
        <w:t xml:space="preserve">taken </w:t>
      </w:r>
      <w:r w:rsidR="000766B7">
        <w:rPr>
          <w:szCs w:val="22"/>
        </w:rPr>
        <w:t xml:space="preserve">en </w:t>
      </w:r>
      <w:r w:rsidR="00F028DF">
        <w:rPr>
          <w:szCs w:val="22"/>
        </w:rPr>
        <w:t xml:space="preserve">een </w:t>
      </w:r>
      <w:r w:rsidR="000766B7">
        <w:rPr>
          <w:szCs w:val="22"/>
        </w:rPr>
        <w:t xml:space="preserve">kennisfunctie. Het is </w:t>
      </w:r>
      <w:r w:rsidR="00F028DF">
        <w:rPr>
          <w:szCs w:val="22"/>
        </w:rPr>
        <w:t xml:space="preserve">ook </w:t>
      </w:r>
      <w:r w:rsidR="000766B7">
        <w:rPr>
          <w:szCs w:val="22"/>
        </w:rPr>
        <w:t>een systeemorganisatie</w:t>
      </w:r>
      <w:r w:rsidR="000D5B62">
        <w:rPr>
          <w:szCs w:val="22"/>
        </w:rPr>
        <w:t xml:space="preserve">, met </w:t>
      </w:r>
      <w:r w:rsidR="000766B7">
        <w:rPr>
          <w:szCs w:val="22"/>
        </w:rPr>
        <w:t xml:space="preserve">uitvoerende taken die </w:t>
      </w:r>
      <w:r w:rsidR="000D5B62">
        <w:rPr>
          <w:szCs w:val="22"/>
        </w:rPr>
        <w:t>bij</w:t>
      </w:r>
      <w:r w:rsidR="000766B7">
        <w:rPr>
          <w:szCs w:val="22"/>
        </w:rPr>
        <w:t xml:space="preserve">dragen </w:t>
      </w:r>
      <w:r w:rsidR="000D5B62">
        <w:rPr>
          <w:szCs w:val="22"/>
        </w:rPr>
        <w:t xml:space="preserve">aan </w:t>
      </w:r>
      <w:r w:rsidR="000766B7">
        <w:rPr>
          <w:szCs w:val="22"/>
        </w:rPr>
        <w:t>verbetering van voedselzekerheid wereldwijd</w:t>
      </w:r>
      <w:r w:rsidR="00F028DF">
        <w:rPr>
          <w:szCs w:val="22"/>
        </w:rPr>
        <w:t>. Tegelijk draagt zij hiermee bij aan</w:t>
      </w:r>
      <w:r w:rsidR="000766B7">
        <w:rPr>
          <w:szCs w:val="22"/>
        </w:rPr>
        <w:t xml:space="preserve"> het vergaren en actueel houden van kennis van ontwikkelingen op het gebied van landbouw en voedsel. </w:t>
      </w:r>
      <w:r>
        <w:rPr>
          <w:szCs w:val="22"/>
        </w:rPr>
        <w:t>S</w:t>
      </w:r>
      <w:r w:rsidRPr="00012E53">
        <w:rPr>
          <w:szCs w:val="22"/>
        </w:rPr>
        <w:t xml:space="preserve">inds eind 2012 </w:t>
      </w:r>
      <w:r>
        <w:rPr>
          <w:szCs w:val="22"/>
        </w:rPr>
        <w:t>is het mandaat als volgt</w:t>
      </w:r>
      <w:r w:rsidRPr="00012E53">
        <w:rPr>
          <w:szCs w:val="18"/>
        </w:rPr>
        <w:t xml:space="preserve">: </w:t>
      </w:r>
      <w:r>
        <w:rPr>
          <w:szCs w:val="18"/>
        </w:rPr>
        <w:t xml:space="preserve">1. Uitroeien van honger, voedselonzekerheid en ondervoeding, bijdragend aan een wereld waarin mensen altijd genoeg veilig en voedzaam voedsel hebben; 2. Uitbanning van armoede en het bevorderen van economische en sociale vooruitgang, met toegenomen voedselproductie, versterkte </w:t>
      </w:r>
      <w:proofErr w:type="gramStart"/>
      <w:r>
        <w:rPr>
          <w:szCs w:val="18"/>
        </w:rPr>
        <w:t>rurale</w:t>
      </w:r>
      <w:proofErr w:type="gramEnd"/>
      <w:r>
        <w:rPr>
          <w:szCs w:val="18"/>
        </w:rPr>
        <w:t xml:space="preserve"> ontwikkeling en duurzaam levensonderhoud; 3. Duurzaam management en gebruik van natuurlijke hulpbronnen, inclusief land, water, lucht, klimaat en genetische bronnen, ten goede komend aan huidige en toekomstige generaties</w:t>
      </w:r>
      <w:r w:rsidRPr="00130443">
        <w:rPr>
          <w:i/>
          <w:iCs/>
          <w:szCs w:val="18"/>
        </w:rPr>
        <w:t>.</w:t>
      </w:r>
      <w:r w:rsidRPr="00130443">
        <w:rPr>
          <w:iCs/>
          <w:szCs w:val="18"/>
        </w:rPr>
        <w:t xml:space="preserve"> De FAO is </w:t>
      </w:r>
      <w:r>
        <w:rPr>
          <w:iCs/>
          <w:szCs w:val="18"/>
        </w:rPr>
        <w:t xml:space="preserve">daarmee </w:t>
      </w:r>
      <w:r w:rsidRPr="00130443">
        <w:rPr>
          <w:iCs/>
          <w:szCs w:val="18"/>
        </w:rPr>
        <w:t xml:space="preserve">mede verantwoordelijk voor het </w:t>
      </w:r>
      <w:r w:rsidRPr="00012E53">
        <w:rPr>
          <w:szCs w:val="22"/>
        </w:rPr>
        <w:t>verminderen van armoede en honger en het bevorder</w:t>
      </w:r>
      <w:r w:rsidR="000D5B62">
        <w:rPr>
          <w:szCs w:val="22"/>
        </w:rPr>
        <w:t>en van een duurzaam leefmilieu</w:t>
      </w:r>
      <w:r>
        <w:rPr>
          <w:szCs w:val="22"/>
        </w:rPr>
        <w:t>.</w:t>
      </w:r>
    </w:p>
    <w:p w14:paraId="2501911B" w14:textId="77777777" w:rsidR="00D745A7" w:rsidRPr="00DC249A" w:rsidRDefault="00A757AB" w:rsidP="009C4AAC">
      <w:pPr>
        <w:pStyle w:val="Heading2"/>
        <w:numPr>
          <w:ilvl w:val="1"/>
          <w:numId w:val="21"/>
        </w:numPr>
        <w:tabs>
          <w:tab w:val="left" w:pos="-1162"/>
          <w:tab w:val="left" w:pos="0"/>
        </w:tabs>
        <w:spacing w:line="240" w:lineRule="auto"/>
      </w:pPr>
      <w:bookmarkStart w:id="17" w:name="_Toc410397625"/>
      <w:r>
        <w:tab/>
      </w:r>
      <w:r w:rsidR="00D745A7" w:rsidRPr="00DC249A">
        <w:t>Organisatie, werkwijze en activiteiten</w:t>
      </w:r>
      <w:bookmarkEnd w:id="17"/>
    </w:p>
    <w:p w14:paraId="2501911C" w14:textId="77777777" w:rsidR="00FA3B7B" w:rsidRDefault="00FA3B7B" w:rsidP="00FA3B7B">
      <w:pPr>
        <w:spacing w:line="240" w:lineRule="auto"/>
        <w:jc w:val="both"/>
        <w:rPr>
          <w:szCs w:val="22"/>
        </w:rPr>
      </w:pPr>
    </w:p>
    <w:p w14:paraId="2501911D" w14:textId="4A103FC3" w:rsidR="00FA3B7B" w:rsidRDefault="00FA3B7B" w:rsidP="00A757AB">
      <w:pPr>
        <w:spacing w:line="240" w:lineRule="auto"/>
        <w:rPr>
          <w:szCs w:val="22"/>
        </w:rPr>
      </w:pPr>
      <w:r w:rsidRPr="00012E53">
        <w:rPr>
          <w:szCs w:val="22"/>
        </w:rPr>
        <w:t>FAO maakt als gespecialiseerde organisatie deel uit van het VN-systeem en telt 19</w:t>
      </w:r>
      <w:r w:rsidR="002551EC">
        <w:rPr>
          <w:szCs w:val="22"/>
        </w:rPr>
        <w:t>4</w:t>
      </w:r>
      <w:r w:rsidRPr="00012E53">
        <w:rPr>
          <w:szCs w:val="22"/>
        </w:rPr>
        <w:t xml:space="preserve"> </w:t>
      </w:r>
      <w:r w:rsidR="00DB02B1">
        <w:rPr>
          <w:szCs w:val="22"/>
        </w:rPr>
        <w:t>lidstaat</w:t>
      </w:r>
      <w:r w:rsidR="002551EC">
        <w:rPr>
          <w:szCs w:val="22"/>
        </w:rPr>
        <w:t xml:space="preserve">landen, twee associatielanden en </w:t>
      </w:r>
      <w:r w:rsidRPr="00012E53">
        <w:rPr>
          <w:szCs w:val="22"/>
        </w:rPr>
        <w:t>de Europese Unie</w:t>
      </w:r>
      <w:r w:rsidR="00F028DF">
        <w:rPr>
          <w:szCs w:val="22"/>
        </w:rPr>
        <w:t>.</w:t>
      </w:r>
      <w:r w:rsidRPr="00012E53">
        <w:rPr>
          <w:szCs w:val="22"/>
        </w:rPr>
        <w:t xml:space="preserve"> </w:t>
      </w:r>
      <w:r w:rsidR="00F028DF">
        <w:rPr>
          <w:szCs w:val="22"/>
        </w:rPr>
        <w:t>H</w:t>
      </w:r>
      <w:r w:rsidRPr="00012E53">
        <w:rPr>
          <w:szCs w:val="22"/>
        </w:rPr>
        <w:t>et hoofdkantoor is gevestigd in Rome. FAO is op landenniveau vertegenwoordigd met 5 regionale, 1</w:t>
      </w:r>
      <w:r>
        <w:rPr>
          <w:szCs w:val="22"/>
        </w:rPr>
        <w:t>0</w:t>
      </w:r>
      <w:r w:rsidRPr="00012E53">
        <w:rPr>
          <w:szCs w:val="22"/>
        </w:rPr>
        <w:t xml:space="preserve"> sub-regionale, </w:t>
      </w:r>
      <w:r>
        <w:rPr>
          <w:szCs w:val="22"/>
        </w:rPr>
        <w:t>5</w:t>
      </w:r>
      <w:r w:rsidRPr="00012E53">
        <w:rPr>
          <w:szCs w:val="22"/>
        </w:rPr>
        <w:t xml:space="preserve"> liaison- en 73 landenkantoren</w:t>
      </w:r>
      <w:r>
        <w:rPr>
          <w:szCs w:val="22"/>
        </w:rPr>
        <w:t xml:space="preserve">, </w:t>
      </w:r>
      <w:r w:rsidR="00F028DF">
        <w:rPr>
          <w:szCs w:val="22"/>
        </w:rPr>
        <w:t>naast</w:t>
      </w:r>
      <w:r>
        <w:rPr>
          <w:szCs w:val="22"/>
        </w:rPr>
        <w:t xml:space="preserve"> 8 kantoren met technisch personeel</w:t>
      </w:r>
      <w:r w:rsidRPr="00012E53">
        <w:rPr>
          <w:szCs w:val="22"/>
        </w:rPr>
        <w:t>.</w:t>
      </w:r>
      <w:r>
        <w:rPr>
          <w:szCs w:val="22"/>
        </w:rPr>
        <w:t xml:space="preserve"> Via mede-accreditatie is FAO in nog</w:t>
      </w:r>
      <w:r w:rsidR="003A38B2">
        <w:rPr>
          <w:szCs w:val="22"/>
        </w:rPr>
        <w:t xml:space="preserve"> eens</w:t>
      </w:r>
      <w:r>
        <w:rPr>
          <w:szCs w:val="22"/>
        </w:rPr>
        <w:t xml:space="preserve"> 36 landen actief.</w:t>
      </w:r>
      <w:r w:rsidRPr="00012E53">
        <w:rPr>
          <w:szCs w:val="22"/>
        </w:rPr>
        <w:t xml:space="preserve"> De organisatie </w:t>
      </w:r>
      <w:r w:rsidR="003A38B2">
        <w:rPr>
          <w:szCs w:val="22"/>
        </w:rPr>
        <w:t>voert activiteiten uit</w:t>
      </w:r>
      <w:r w:rsidRPr="00012E53">
        <w:rPr>
          <w:szCs w:val="22"/>
        </w:rPr>
        <w:t xml:space="preserve"> op het terrein van voedse</w:t>
      </w:r>
      <w:r>
        <w:rPr>
          <w:szCs w:val="22"/>
        </w:rPr>
        <w:t>lproductie</w:t>
      </w:r>
      <w:r w:rsidRPr="00012E53">
        <w:rPr>
          <w:szCs w:val="22"/>
        </w:rPr>
        <w:t>, visserij, bosbouw, voedselveiligheid en dierziektebestrijding. FAO dient als overlegforum voor de beleidsontwikkeling en levert technische ondersteuning en beleidsadvisering op nationaal niveau. Als normatieve kennis- en netwerkorganisatie houdt FAO zich bezig met technische informatie en het ontwikkelen van internationale standaarden en richtlijnen, bijvoorbeeld op het gebied van plantenziekten of voedselveiligheid. Op landenniveau voert FAO projecten uit</w:t>
      </w:r>
      <w:r w:rsidR="003A38B2">
        <w:rPr>
          <w:szCs w:val="22"/>
        </w:rPr>
        <w:t>.</w:t>
      </w:r>
      <w:r w:rsidRPr="00012E53">
        <w:rPr>
          <w:szCs w:val="22"/>
        </w:rPr>
        <w:t xml:space="preserve"> </w:t>
      </w:r>
      <w:r w:rsidR="003A38B2">
        <w:rPr>
          <w:szCs w:val="22"/>
        </w:rPr>
        <w:t>T</w:t>
      </w:r>
      <w:r w:rsidRPr="00012E53">
        <w:rPr>
          <w:szCs w:val="22"/>
        </w:rPr>
        <w:t xml:space="preserve">evens vervult FAO </w:t>
      </w:r>
      <w:r>
        <w:rPr>
          <w:szCs w:val="22"/>
        </w:rPr>
        <w:t xml:space="preserve">daar </w:t>
      </w:r>
      <w:r w:rsidRPr="00012E53">
        <w:rPr>
          <w:szCs w:val="22"/>
        </w:rPr>
        <w:t>een r</w:t>
      </w:r>
      <w:r>
        <w:rPr>
          <w:szCs w:val="22"/>
        </w:rPr>
        <w:t>ol op het terrein van noodhulp.</w:t>
      </w:r>
    </w:p>
    <w:p w14:paraId="2501911E" w14:textId="77777777" w:rsidR="00FA3B7B" w:rsidRPr="00012E53" w:rsidRDefault="00FA3B7B" w:rsidP="00A757AB">
      <w:pPr>
        <w:spacing w:line="240" w:lineRule="auto"/>
        <w:rPr>
          <w:szCs w:val="22"/>
        </w:rPr>
      </w:pPr>
    </w:p>
    <w:p w14:paraId="2501911F" w14:textId="77777777" w:rsidR="00FA3B7B" w:rsidRDefault="00FA3B7B" w:rsidP="00A757AB">
      <w:pPr>
        <w:spacing w:line="240" w:lineRule="auto"/>
        <w:rPr>
          <w:szCs w:val="22"/>
        </w:rPr>
      </w:pPr>
      <w:r w:rsidRPr="00012E53">
        <w:rPr>
          <w:szCs w:val="22"/>
        </w:rPr>
        <w:t xml:space="preserve">De bestuursstructuur van de FAO bestaat uit de Conferentie van de lidstaten en de Uitvoerende Raad, drie </w:t>
      </w:r>
      <w:r w:rsidR="008E1C34" w:rsidRPr="00012E53">
        <w:rPr>
          <w:szCs w:val="22"/>
        </w:rPr>
        <w:t>comit</w:t>
      </w:r>
      <w:r w:rsidR="008E1C34">
        <w:rPr>
          <w:szCs w:val="22"/>
        </w:rPr>
        <w:t>és</w:t>
      </w:r>
      <w:r w:rsidRPr="00012E53">
        <w:rPr>
          <w:szCs w:val="22"/>
        </w:rPr>
        <w:t xml:space="preserve"> die zich bezighouden met algemeen beleid en beheer (programma, financieel en juridisch)</w:t>
      </w:r>
      <w:r w:rsidR="003A38B2">
        <w:rPr>
          <w:szCs w:val="22"/>
        </w:rPr>
        <w:t xml:space="preserve"> en</w:t>
      </w:r>
      <w:r w:rsidRPr="00012E53">
        <w:rPr>
          <w:szCs w:val="22"/>
        </w:rPr>
        <w:t xml:space="preserve"> v</w:t>
      </w:r>
      <w:r w:rsidR="002551EC">
        <w:rPr>
          <w:szCs w:val="22"/>
        </w:rPr>
        <w:t>ier</w:t>
      </w:r>
      <w:r w:rsidRPr="00012E53">
        <w:rPr>
          <w:szCs w:val="22"/>
        </w:rPr>
        <w:t xml:space="preserve"> technische </w:t>
      </w:r>
      <w:r w:rsidR="008E1C34" w:rsidRPr="00012E53">
        <w:rPr>
          <w:szCs w:val="22"/>
        </w:rPr>
        <w:t>comit</w:t>
      </w:r>
      <w:r w:rsidR="008E1C34">
        <w:rPr>
          <w:szCs w:val="22"/>
        </w:rPr>
        <w:t>és</w:t>
      </w:r>
      <w:r w:rsidRPr="00012E53">
        <w:rPr>
          <w:szCs w:val="22"/>
        </w:rPr>
        <w:t xml:space="preserve"> (bosbouw, visserij, landbouw, grondstoffenproblemen</w:t>
      </w:r>
      <w:r w:rsidR="002551EC">
        <w:rPr>
          <w:szCs w:val="22"/>
        </w:rPr>
        <w:t>). Het</w:t>
      </w:r>
      <w:r w:rsidRPr="00012E53">
        <w:rPr>
          <w:szCs w:val="22"/>
        </w:rPr>
        <w:t xml:space="preserve"> </w:t>
      </w:r>
      <w:r w:rsidR="00F71D4E" w:rsidRPr="00012E53">
        <w:rPr>
          <w:szCs w:val="22"/>
        </w:rPr>
        <w:t>intergouvernementele</w:t>
      </w:r>
      <w:r w:rsidRPr="00012E53">
        <w:rPr>
          <w:szCs w:val="22"/>
        </w:rPr>
        <w:t xml:space="preserve"> </w:t>
      </w:r>
      <w:r>
        <w:rPr>
          <w:i/>
          <w:szCs w:val="22"/>
        </w:rPr>
        <w:t>Committee on World F</w:t>
      </w:r>
      <w:r w:rsidRPr="00012E53">
        <w:rPr>
          <w:i/>
          <w:szCs w:val="22"/>
        </w:rPr>
        <w:t>ood Security</w:t>
      </w:r>
      <w:r w:rsidR="002551EC">
        <w:rPr>
          <w:i/>
          <w:szCs w:val="22"/>
        </w:rPr>
        <w:t xml:space="preserve"> </w:t>
      </w:r>
      <w:r w:rsidR="002551EC" w:rsidRPr="002551EC">
        <w:rPr>
          <w:szCs w:val="22"/>
        </w:rPr>
        <w:t>(CFS)</w:t>
      </w:r>
      <w:r w:rsidR="00B00D45">
        <w:rPr>
          <w:szCs w:val="22"/>
        </w:rPr>
        <w:t>,</w:t>
      </w:r>
      <w:r w:rsidR="00B00D45" w:rsidRPr="00B00D45">
        <w:rPr>
          <w:szCs w:val="22"/>
        </w:rPr>
        <w:t xml:space="preserve"> </w:t>
      </w:r>
      <w:r w:rsidR="00B00D45">
        <w:rPr>
          <w:szCs w:val="22"/>
        </w:rPr>
        <w:t xml:space="preserve">waarin ook het maatschappelijk middenveld en de private sector vertegenwoordigd </w:t>
      </w:r>
      <w:proofErr w:type="gramStart"/>
      <w:r w:rsidR="00B00D45">
        <w:rPr>
          <w:szCs w:val="22"/>
        </w:rPr>
        <w:t>zijn ,</w:t>
      </w:r>
      <w:proofErr w:type="gramEnd"/>
      <w:r w:rsidR="00B00D45">
        <w:rPr>
          <w:szCs w:val="22"/>
        </w:rPr>
        <w:t xml:space="preserve"> heeft een bijzonder karakter omdat door CFS op gelijkwaardige basis met zowel FAO, WFP als IFAD wordt samengewerkt</w:t>
      </w:r>
      <w:r w:rsidR="000D5B62">
        <w:rPr>
          <w:szCs w:val="22"/>
        </w:rPr>
        <w:t xml:space="preserve">. </w:t>
      </w:r>
      <w:r w:rsidRPr="00012E53">
        <w:rPr>
          <w:szCs w:val="22"/>
        </w:rPr>
        <w:t xml:space="preserve">Aan de Conferentie </w:t>
      </w:r>
      <w:r>
        <w:rPr>
          <w:szCs w:val="22"/>
        </w:rPr>
        <w:t xml:space="preserve">en FAO Raad </w:t>
      </w:r>
      <w:r w:rsidRPr="00012E53">
        <w:rPr>
          <w:szCs w:val="22"/>
        </w:rPr>
        <w:t xml:space="preserve">nemen alle lidstaten en de Europese Commissie deel. De Conferentie komt één keer per twee jaar bijeen en neemt dan besluiten over hoofdlijnen van organisatie, programma en budget. De Raad (49 leden) opereert onder het mandaat van de Conferentie en komt tussen de Conferenties minstens drie keer </w:t>
      </w:r>
      <w:r>
        <w:rPr>
          <w:szCs w:val="22"/>
        </w:rPr>
        <w:t xml:space="preserve">per jaar </w:t>
      </w:r>
      <w:r w:rsidRPr="00012E53">
        <w:rPr>
          <w:szCs w:val="22"/>
        </w:rPr>
        <w:t xml:space="preserve">bijeen om de dagelijkse operationele zaken te bespreken. </w:t>
      </w:r>
      <w:r>
        <w:rPr>
          <w:szCs w:val="22"/>
        </w:rPr>
        <w:t xml:space="preserve">Daarnaast is er in toenemende mate een gedecentraliseerde rol weggelegd voor FAO’s vijf regionale conferenties. Op 1 januari 2012 </w:t>
      </w:r>
      <w:r w:rsidRPr="00012E53">
        <w:rPr>
          <w:szCs w:val="22"/>
        </w:rPr>
        <w:t xml:space="preserve">is de Braziliaan </w:t>
      </w:r>
      <w:r w:rsidRPr="00012E53">
        <w:rPr>
          <w:rStyle w:val="st"/>
        </w:rPr>
        <w:t>José Graziano da Silva</w:t>
      </w:r>
      <w:r w:rsidRPr="00012E53">
        <w:rPr>
          <w:szCs w:val="22"/>
        </w:rPr>
        <w:t xml:space="preserve"> </w:t>
      </w:r>
      <w:r>
        <w:rPr>
          <w:szCs w:val="22"/>
        </w:rPr>
        <w:t>begonnen als</w:t>
      </w:r>
      <w:r w:rsidRPr="00012E53">
        <w:rPr>
          <w:szCs w:val="22"/>
        </w:rPr>
        <w:t xml:space="preserve"> Directeur Generaal. Zijn aanstelling is tot 31 juli 2015</w:t>
      </w:r>
      <w:r w:rsidR="000D5B62">
        <w:rPr>
          <w:szCs w:val="22"/>
        </w:rPr>
        <w:t>, de verwachting is dat hij wordt herverkozen voor een periode van 4 jaar</w:t>
      </w:r>
      <w:r w:rsidRPr="00012E53">
        <w:rPr>
          <w:szCs w:val="22"/>
        </w:rPr>
        <w:t>.</w:t>
      </w:r>
    </w:p>
    <w:p w14:paraId="25019120" w14:textId="77777777" w:rsidR="00F96A69" w:rsidRDefault="00F96A69" w:rsidP="00A757AB">
      <w:pPr>
        <w:spacing w:line="240" w:lineRule="auto"/>
        <w:rPr>
          <w:szCs w:val="22"/>
        </w:rPr>
      </w:pPr>
    </w:p>
    <w:p w14:paraId="25019121" w14:textId="5E5F4D6D" w:rsidR="00F96A69" w:rsidRDefault="00F96A69" w:rsidP="00A757AB">
      <w:pPr>
        <w:spacing w:line="240" w:lineRule="auto"/>
        <w:rPr>
          <w:szCs w:val="22"/>
        </w:rPr>
      </w:pPr>
      <w:r>
        <w:rPr>
          <w:szCs w:val="22"/>
        </w:rPr>
        <w:t>Het budget van de FAO wordt elke 2 jaar vastgesteld door de Conferen</w:t>
      </w:r>
      <w:r w:rsidR="002551EC">
        <w:rPr>
          <w:szCs w:val="22"/>
        </w:rPr>
        <w:t>tie</w:t>
      </w:r>
      <w:r>
        <w:rPr>
          <w:szCs w:val="22"/>
        </w:rPr>
        <w:t xml:space="preserve">. Als het budget is vastgesteld, worden de lidstaten aangeslagen voor hun pro-rata contributie per jaar, volgens de gangbare VN-verdeelsleutel per land. Daarnaast krijgt de FAO </w:t>
      </w:r>
      <w:r w:rsidR="002551EC">
        <w:rPr>
          <w:szCs w:val="22"/>
        </w:rPr>
        <w:t xml:space="preserve">al dan niet </w:t>
      </w:r>
      <w:r>
        <w:rPr>
          <w:szCs w:val="22"/>
        </w:rPr>
        <w:t xml:space="preserve">geoormerkte vrijwillige bijdragen, gericht op </w:t>
      </w:r>
      <w:proofErr w:type="gramStart"/>
      <w:r>
        <w:rPr>
          <w:szCs w:val="22"/>
        </w:rPr>
        <w:t>specifieke</w:t>
      </w:r>
      <w:proofErr w:type="gramEnd"/>
      <w:r>
        <w:rPr>
          <w:szCs w:val="22"/>
        </w:rPr>
        <w:t xml:space="preserve"> project of onderzoeksactiviteiten. D</w:t>
      </w:r>
      <w:r w:rsidR="001B4BBA">
        <w:rPr>
          <w:szCs w:val="22"/>
        </w:rPr>
        <w:t xml:space="preserve">e verhouding </w:t>
      </w:r>
      <w:r w:rsidR="00E73754">
        <w:rPr>
          <w:szCs w:val="22"/>
        </w:rPr>
        <w:t xml:space="preserve">tussen </w:t>
      </w:r>
      <w:r w:rsidR="001B4BBA">
        <w:rPr>
          <w:szCs w:val="22"/>
        </w:rPr>
        <w:t xml:space="preserve">core </w:t>
      </w:r>
      <w:r w:rsidR="00E73754">
        <w:rPr>
          <w:szCs w:val="22"/>
        </w:rPr>
        <w:t>en</w:t>
      </w:r>
      <w:r w:rsidR="001B4BBA">
        <w:rPr>
          <w:szCs w:val="22"/>
        </w:rPr>
        <w:t xml:space="preserve"> non-core is ongeveer </w:t>
      </w:r>
      <w:r w:rsidR="002551EC">
        <w:rPr>
          <w:szCs w:val="22"/>
        </w:rPr>
        <w:t>4</w:t>
      </w:r>
      <w:r w:rsidR="001B4BBA">
        <w:rPr>
          <w:szCs w:val="22"/>
        </w:rPr>
        <w:t>0-</w:t>
      </w:r>
      <w:r w:rsidR="002551EC">
        <w:rPr>
          <w:szCs w:val="22"/>
        </w:rPr>
        <w:t>6</w:t>
      </w:r>
      <w:r w:rsidR="001B4BBA">
        <w:rPr>
          <w:szCs w:val="22"/>
        </w:rPr>
        <w:t>0</w:t>
      </w:r>
      <w:r>
        <w:rPr>
          <w:szCs w:val="22"/>
        </w:rPr>
        <w:t>.</w:t>
      </w:r>
    </w:p>
    <w:p w14:paraId="25019122" w14:textId="77777777" w:rsidR="00C855A8" w:rsidRDefault="00C855A8" w:rsidP="00A757AB">
      <w:pPr>
        <w:spacing w:line="240" w:lineRule="auto"/>
        <w:rPr>
          <w:szCs w:val="22"/>
        </w:rPr>
      </w:pPr>
    </w:p>
    <w:p w14:paraId="25019123" w14:textId="4678A2F0" w:rsidR="00C855A8" w:rsidRPr="00836F35" w:rsidRDefault="00C855A8" w:rsidP="00A757AB">
      <w:pPr>
        <w:spacing w:line="240" w:lineRule="auto"/>
        <w:rPr>
          <w:color w:val="FF0000"/>
        </w:rPr>
      </w:pPr>
      <w:r w:rsidRPr="00F258E6">
        <w:rPr>
          <w:color w:val="000000"/>
          <w:szCs w:val="18"/>
        </w:rPr>
        <w:t xml:space="preserve">De FAO draagt actief bij aan uitwerking en uitvoering van de QCPR resolutie. </w:t>
      </w:r>
      <w:r w:rsidRPr="00F258E6">
        <w:rPr>
          <w:color w:val="000000"/>
          <w:szCs w:val="18"/>
          <w:lang w:val="en-US"/>
        </w:rPr>
        <w:t xml:space="preserve">Volgens het MOPAN rapport van februari 2015: </w:t>
      </w:r>
      <w:r w:rsidRPr="00F258E6">
        <w:rPr>
          <w:i/>
          <w:color w:val="000000"/>
          <w:szCs w:val="18"/>
          <w:lang w:val="en-US"/>
        </w:rPr>
        <w:t>“</w:t>
      </w:r>
      <w:r w:rsidRPr="00F258E6">
        <w:rPr>
          <w:i/>
          <w:lang w:val="en-US"/>
        </w:rPr>
        <w:t>FAO is the only specialised UN agency that has acted both to align its planning cycle with the QCPR and report on QPCR to its governing bodies</w:t>
      </w:r>
      <w:r w:rsidRPr="00F258E6">
        <w:rPr>
          <w:lang w:val="en-US"/>
        </w:rPr>
        <w:t xml:space="preserve">”. </w:t>
      </w:r>
      <w:r w:rsidRPr="00F258E6">
        <w:t>Daarnaast werkt de FAO actief aan</w:t>
      </w:r>
      <w:r w:rsidRPr="00F258E6">
        <w:rPr>
          <w:color w:val="000000"/>
          <w:szCs w:val="18"/>
        </w:rPr>
        <w:t xml:space="preserve"> een versterkte </w:t>
      </w:r>
      <w:r w:rsidRPr="00F258E6">
        <w:rPr>
          <w:i/>
          <w:color w:val="000000"/>
          <w:szCs w:val="18"/>
        </w:rPr>
        <w:t>System Wide Coherence</w:t>
      </w:r>
      <w:r w:rsidRPr="00F258E6">
        <w:rPr>
          <w:color w:val="000000"/>
          <w:szCs w:val="18"/>
        </w:rPr>
        <w:t xml:space="preserve"> binnen de VN op hoofdkantoor- en landenniveau. De coherentie van beleid en de samenwerking op landenniveau tussen VN organisaties wordt daarmee versterkt, o</w:t>
      </w:r>
      <w:r w:rsidR="00E73754">
        <w:rPr>
          <w:color w:val="000000"/>
          <w:szCs w:val="18"/>
        </w:rPr>
        <w:t>nder andere</w:t>
      </w:r>
      <w:r w:rsidRPr="00F258E6">
        <w:rPr>
          <w:color w:val="000000"/>
          <w:szCs w:val="18"/>
        </w:rPr>
        <w:t xml:space="preserve"> door </w:t>
      </w:r>
      <w:proofErr w:type="gramStart"/>
      <w:r w:rsidRPr="00F258E6">
        <w:rPr>
          <w:color w:val="000000"/>
          <w:szCs w:val="18"/>
        </w:rPr>
        <w:t>implementatie</w:t>
      </w:r>
      <w:proofErr w:type="gramEnd"/>
      <w:r w:rsidRPr="00F258E6">
        <w:rPr>
          <w:color w:val="000000"/>
          <w:szCs w:val="18"/>
        </w:rPr>
        <w:t xml:space="preserve"> van de IASC-Transformatieve Agenda en in relatie tot nationale ontwikkelingsprogramma’s. Partnerschappen zijn functioneel, gebaseerd op meerwaarde en maken gebruik van elkaars technische expertise.</w:t>
      </w:r>
    </w:p>
    <w:p w14:paraId="25019124" w14:textId="77777777" w:rsidR="00D745A7" w:rsidRPr="00412635" w:rsidRDefault="00F24A31" w:rsidP="00F24A31">
      <w:pPr>
        <w:pStyle w:val="Heading2"/>
        <w:tabs>
          <w:tab w:val="left" w:pos="-1162"/>
          <w:tab w:val="left" w:pos="0"/>
          <w:tab w:val="num" w:pos="1160"/>
        </w:tabs>
        <w:spacing w:line="240" w:lineRule="auto"/>
        <w:ind w:hanging="1162"/>
      </w:pPr>
      <w:bookmarkStart w:id="18" w:name="_Toc410397626"/>
      <w:r w:rsidRPr="00412635">
        <w:t xml:space="preserve">2.3 </w:t>
      </w:r>
      <w:r w:rsidRPr="00412635">
        <w:tab/>
      </w:r>
      <w:r w:rsidR="00D745A7" w:rsidRPr="00412635">
        <w:t xml:space="preserve">Nederlandse </w:t>
      </w:r>
      <w:r w:rsidR="000304C1" w:rsidRPr="00412635">
        <w:t>rol en invloed</w:t>
      </w:r>
      <w:bookmarkEnd w:id="18"/>
    </w:p>
    <w:p w14:paraId="25019125" w14:textId="77777777" w:rsidR="00A908F9" w:rsidRPr="00412635" w:rsidRDefault="00A908F9" w:rsidP="00A908F9"/>
    <w:p w14:paraId="25019126" w14:textId="47FF597D" w:rsidR="00FA3B7B" w:rsidRPr="00412635" w:rsidRDefault="00FA3B7B" w:rsidP="00A757AB">
      <w:pPr>
        <w:spacing w:line="240" w:lineRule="auto"/>
      </w:pPr>
      <w:r w:rsidRPr="00012E53">
        <w:rPr>
          <w:szCs w:val="18"/>
        </w:rPr>
        <w:t xml:space="preserve">De Permanente Vertegenwoordiging in Rome vertegenwoordigt Nederland bij de FAO. </w:t>
      </w:r>
      <w:r w:rsidRPr="00012E53">
        <w:rPr>
          <w:szCs w:val="22"/>
        </w:rPr>
        <w:t xml:space="preserve">Nederland heeft op rotatiebasis zitting in de Raad (de laatste keer was </w:t>
      </w:r>
      <w:r w:rsidR="00F96A69">
        <w:rPr>
          <w:szCs w:val="22"/>
        </w:rPr>
        <w:t>in 2005-2007). Nederland was tevens</w:t>
      </w:r>
      <w:r w:rsidRPr="00012E53">
        <w:rPr>
          <w:szCs w:val="18"/>
        </w:rPr>
        <w:t xml:space="preserve"> (verkozen) lid van he</w:t>
      </w:r>
      <w:r w:rsidR="00F96A69">
        <w:rPr>
          <w:szCs w:val="18"/>
        </w:rPr>
        <w:t>t Financiële Comité van de FAO in de periode 2009-2013</w:t>
      </w:r>
      <w:r w:rsidRPr="00012E53">
        <w:rPr>
          <w:szCs w:val="18"/>
        </w:rPr>
        <w:t>.</w:t>
      </w:r>
      <w:r w:rsidRPr="00012E53">
        <w:rPr>
          <w:szCs w:val="22"/>
        </w:rPr>
        <w:t xml:space="preserve"> </w:t>
      </w:r>
      <w:r w:rsidR="00F96A69">
        <w:rPr>
          <w:szCs w:val="22"/>
        </w:rPr>
        <w:t xml:space="preserve">De PV/Rome, Gerda Verburg, is voor de periode 2013-15 voorzitter van het Committee on World Food Security, </w:t>
      </w:r>
      <w:r w:rsidR="00B00D45">
        <w:rPr>
          <w:szCs w:val="22"/>
        </w:rPr>
        <w:t xml:space="preserve">waar </w:t>
      </w:r>
      <w:r w:rsidR="00F96A69">
        <w:rPr>
          <w:szCs w:val="22"/>
        </w:rPr>
        <w:t xml:space="preserve">Nederland veel </w:t>
      </w:r>
      <w:r w:rsidR="001B4BBA">
        <w:rPr>
          <w:szCs w:val="22"/>
        </w:rPr>
        <w:t xml:space="preserve">prestigieuze </w:t>
      </w:r>
      <w:r w:rsidR="00F96A69">
        <w:rPr>
          <w:szCs w:val="22"/>
        </w:rPr>
        <w:t>invloed mee uit</w:t>
      </w:r>
      <w:r w:rsidR="00B00D45">
        <w:rPr>
          <w:szCs w:val="22"/>
        </w:rPr>
        <w:t>oefent</w:t>
      </w:r>
      <w:r w:rsidR="00F96A69">
        <w:rPr>
          <w:szCs w:val="22"/>
        </w:rPr>
        <w:t xml:space="preserve">. </w:t>
      </w:r>
      <w:r w:rsidRPr="00012E53">
        <w:rPr>
          <w:szCs w:val="22"/>
        </w:rPr>
        <w:t xml:space="preserve">Nederland is via </w:t>
      </w:r>
      <w:r>
        <w:rPr>
          <w:szCs w:val="22"/>
        </w:rPr>
        <w:t xml:space="preserve">het </w:t>
      </w:r>
      <w:r w:rsidRPr="00012E53">
        <w:rPr>
          <w:szCs w:val="22"/>
        </w:rPr>
        <w:t>Min</w:t>
      </w:r>
      <w:r>
        <w:rPr>
          <w:szCs w:val="22"/>
        </w:rPr>
        <w:t xml:space="preserve">isterie van </w:t>
      </w:r>
      <w:r w:rsidRPr="00012E53">
        <w:rPr>
          <w:szCs w:val="18"/>
        </w:rPr>
        <w:t>E</w:t>
      </w:r>
      <w:r>
        <w:rPr>
          <w:szCs w:val="18"/>
        </w:rPr>
        <w:t xml:space="preserve">conomische </w:t>
      </w:r>
      <w:r w:rsidRPr="00012E53">
        <w:rPr>
          <w:szCs w:val="18"/>
        </w:rPr>
        <w:t>Z</w:t>
      </w:r>
      <w:r>
        <w:rPr>
          <w:szCs w:val="18"/>
        </w:rPr>
        <w:t>aken</w:t>
      </w:r>
      <w:r w:rsidRPr="00012E53">
        <w:rPr>
          <w:szCs w:val="22"/>
        </w:rPr>
        <w:t xml:space="preserve"> betrokken bij diverse comités en organiseert met een zekere regelmaat conferenties over FAO-gerelateerde onderwerpen. De PV/Rome wordt </w:t>
      </w:r>
      <w:r>
        <w:rPr>
          <w:szCs w:val="22"/>
        </w:rPr>
        <w:t xml:space="preserve">primair </w:t>
      </w:r>
      <w:r w:rsidRPr="00012E53">
        <w:rPr>
          <w:szCs w:val="22"/>
        </w:rPr>
        <w:t>aangestuurd door het Min</w:t>
      </w:r>
      <w:r>
        <w:rPr>
          <w:szCs w:val="22"/>
        </w:rPr>
        <w:t xml:space="preserve">isterie van </w:t>
      </w:r>
      <w:r w:rsidRPr="00012E53">
        <w:rPr>
          <w:szCs w:val="22"/>
        </w:rPr>
        <w:t>E</w:t>
      </w:r>
      <w:r>
        <w:rPr>
          <w:szCs w:val="22"/>
        </w:rPr>
        <w:t xml:space="preserve">conomische </w:t>
      </w:r>
      <w:r w:rsidRPr="00012E53">
        <w:rPr>
          <w:szCs w:val="22"/>
        </w:rPr>
        <w:t>Z</w:t>
      </w:r>
      <w:r>
        <w:rPr>
          <w:szCs w:val="22"/>
        </w:rPr>
        <w:t>aken</w:t>
      </w:r>
      <w:r w:rsidRPr="00012E53">
        <w:rPr>
          <w:szCs w:val="22"/>
        </w:rPr>
        <w:t xml:space="preserve">. </w:t>
      </w:r>
      <w:r>
        <w:rPr>
          <w:szCs w:val="22"/>
        </w:rPr>
        <w:t xml:space="preserve">Het </w:t>
      </w:r>
      <w:r w:rsidRPr="00012E53">
        <w:rPr>
          <w:szCs w:val="22"/>
        </w:rPr>
        <w:t>Min</w:t>
      </w:r>
      <w:r>
        <w:rPr>
          <w:szCs w:val="22"/>
        </w:rPr>
        <w:t xml:space="preserve">isterie van </w:t>
      </w:r>
      <w:r w:rsidRPr="00012E53">
        <w:rPr>
          <w:szCs w:val="22"/>
        </w:rPr>
        <w:t>B</w:t>
      </w:r>
      <w:r>
        <w:rPr>
          <w:szCs w:val="22"/>
        </w:rPr>
        <w:t xml:space="preserve">uitenlandse </w:t>
      </w:r>
      <w:r w:rsidRPr="00012E53">
        <w:rPr>
          <w:szCs w:val="22"/>
        </w:rPr>
        <w:t>Z</w:t>
      </w:r>
      <w:r>
        <w:rPr>
          <w:szCs w:val="22"/>
        </w:rPr>
        <w:t>aken</w:t>
      </w:r>
      <w:r w:rsidRPr="00012E53">
        <w:rPr>
          <w:szCs w:val="22"/>
        </w:rPr>
        <w:t xml:space="preserve"> heeft een belangrijke rol </w:t>
      </w:r>
      <w:r>
        <w:rPr>
          <w:szCs w:val="22"/>
        </w:rPr>
        <w:t>t</w:t>
      </w:r>
      <w:r w:rsidR="00E73754">
        <w:rPr>
          <w:szCs w:val="22"/>
        </w:rPr>
        <w:t>en aanzien van</w:t>
      </w:r>
      <w:r>
        <w:rPr>
          <w:szCs w:val="22"/>
        </w:rPr>
        <w:t xml:space="preserve"> </w:t>
      </w:r>
      <w:r w:rsidRPr="00012E53">
        <w:rPr>
          <w:szCs w:val="22"/>
        </w:rPr>
        <w:t>de institutionele kant van de organisatie.</w:t>
      </w:r>
    </w:p>
    <w:p w14:paraId="25019127" w14:textId="77777777" w:rsidR="00D745A7" w:rsidRPr="00DC249A" w:rsidRDefault="00F24A31" w:rsidP="00F24A31">
      <w:pPr>
        <w:pStyle w:val="Heading2"/>
        <w:tabs>
          <w:tab w:val="left" w:pos="-1162"/>
          <w:tab w:val="left" w:pos="0"/>
          <w:tab w:val="num" w:pos="1160"/>
        </w:tabs>
        <w:spacing w:line="240" w:lineRule="auto"/>
        <w:ind w:hanging="1162"/>
      </w:pPr>
      <w:bookmarkStart w:id="19" w:name="_Toc410397627"/>
      <w:r w:rsidRPr="00412635">
        <w:t>2.4</w:t>
      </w:r>
      <w:r w:rsidRPr="00412635">
        <w:tab/>
      </w:r>
      <w:r w:rsidR="00D745A7" w:rsidRPr="00412635">
        <w:t>Financiële omvang en bijd</w:t>
      </w:r>
      <w:r w:rsidR="00D745A7" w:rsidRPr="00DC249A">
        <w:t>ragen</w:t>
      </w:r>
      <w:bookmarkEnd w:id="19"/>
    </w:p>
    <w:p w14:paraId="25019128" w14:textId="77777777" w:rsidR="00B23249" w:rsidRPr="00836F35" w:rsidRDefault="00B23249" w:rsidP="00B95FC2">
      <w:pPr>
        <w:rPr>
          <w:color w:val="FF0000"/>
        </w:rPr>
      </w:pPr>
    </w:p>
    <w:p w14:paraId="25019129" w14:textId="77777777" w:rsidR="005150FC" w:rsidRDefault="00BE458E" w:rsidP="005150FC">
      <w:r w:rsidRPr="00DC249A">
        <w:t xml:space="preserve">Financieel Overzicht </w:t>
      </w:r>
      <w:r w:rsidR="005150FC" w:rsidRPr="00DC249A">
        <w:t>(bedragen in USD miljoen</w:t>
      </w:r>
      <w:r w:rsidR="0065433A">
        <w:t>, per 2 jaar</w:t>
      </w:r>
      <w:r w:rsidR="005150FC" w:rsidRPr="00DC249A">
        <w:t>)</w:t>
      </w:r>
    </w:p>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1253"/>
        <w:gridCol w:w="1109"/>
        <w:gridCol w:w="1951"/>
        <w:gridCol w:w="1083"/>
        <w:gridCol w:w="1257"/>
      </w:tblGrid>
      <w:tr w:rsidR="005150FC" w:rsidRPr="00DC249A" w14:paraId="2501912D" w14:textId="77777777" w:rsidTr="002F55F2">
        <w:tc>
          <w:tcPr>
            <w:tcW w:w="812" w:type="pct"/>
            <w:tcBorders>
              <w:top w:val="single" w:sz="4" w:space="0" w:color="auto"/>
              <w:left w:val="single" w:sz="4" w:space="0" w:color="auto"/>
              <w:bottom w:val="single" w:sz="4" w:space="0" w:color="auto"/>
              <w:right w:val="single" w:sz="4" w:space="0" w:color="auto"/>
            </w:tcBorders>
          </w:tcPr>
          <w:p w14:paraId="2501912A" w14:textId="77777777" w:rsidR="005150FC" w:rsidRPr="00DC249A" w:rsidRDefault="005150FC" w:rsidP="005150FC"/>
        </w:tc>
        <w:tc>
          <w:tcPr>
            <w:tcW w:w="3397" w:type="pct"/>
            <w:gridSpan w:val="4"/>
            <w:tcBorders>
              <w:top w:val="single" w:sz="4" w:space="0" w:color="auto"/>
              <w:left w:val="single" w:sz="4" w:space="0" w:color="auto"/>
              <w:bottom w:val="single" w:sz="4" w:space="0" w:color="auto"/>
              <w:right w:val="single" w:sz="4" w:space="0" w:color="auto"/>
            </w:tcBorders>
            <w:hideMark/>
          </w:tcPr>
          <w:p w14:paraId="2501912B" w14:textId="77777777" w:rsidR="005150FC" w:rsidRPr="00DC249A" w:rsidRDefault="005150FC" w:rsidP="005150FC">
            <w:pPr>
              <w:jc w:val="center"/>
              <w:rPr>
                <w:b/>
              </w:rPr>
            </w:pPr>
            <w:r w:rsidRPr="00DC249A">
              <w:rPr>
                <w:b/>
              </w:rPr>
              <w:t>Inkomsten</w:t>
            </w:r>
          </w:p>
        </w:tc>
        <w:tc>
          <w:tcPr>
            <w:tcW w:w="791" w:type="pct"/>
            <w:tcBorders>
              <w:top w:val="single" w:sz="4" w:space="0" w:color="auto"/>
              <w:left w:val="single" w:sz="4" w:space="0" w:color="auto"/>
              <w:bottom w:val="single" w:sz="4" w:space="0" w:color="auto"/>
              <w:right w:val="single" w:sz="4" w:space="0" w:color="auto"/>
            </w:tcBorders>
            <w:hideMark/>
          </w:tcPr>
          <w:p w14:paraId="2501912C" w14:textId="77777777" w:rsidR="005150FC" w:rsidRPr="00DC249A" w:rsidRDefault="005150FC" w:rsidP="005150FC">
            <w:pPr>
              <w:jc w:val="right"/>
              <w:rPr>
                <w:b/>
              </w:rPr>
            </w:pPr>
            <w:r w:rsidRPr="00DC249A">
              <w:rPr>
                <w:b/>
              </w:rPr>
              <w:t>Uitgaven</w:t>
            </w:r>
          </w:p>
        </w:tc>
      </w:tr>
      <w:tr w:rsidR="005150FC" w:rsidRPr="00DC249A" w14:paraId="25019133" w14:textId="77777777" w:rsidTr="002F55F2">
        <w:tc>
          <w:tcPr>
            <w:tcW w:w="812" w:type="pct"/>
            <w:tcBorders>
              <w:top w:val="single" w:sz="4" w:space="0" w:color="auto"/>
              <w:left w:val="single" w:sz="4" w:space="0" w:color="auto"/>
              <w:bottom w:val="nil"/>
              <w:right w:val="single" w:sz="4" w:space="0" w:color="auto"/>
            </w:tcBorders>
            <w:hideMark/>
          </w:tcPr>
          <w:p w14:paraId="2501912E" w14:textId="77777777" w:rsidR="005150FC" w:rsidRPr="00DC249A" w:rsidRDefault="0059680A" w:rsidP="005150FC">
            <w:pPr>
              <w:rPr>
                <w:i/>
              </w:rPr>
            </w:pPr>
            <w:r w:rsidRPr="00DC249A">
              <w:rPr>
                <w:i/>
              </w:rPr>
              <w:t>Jaar</w:t>
            </w:r>
          </w:p>
        </w:tc>
        <w:tc>
          <w:tcPr>
            <w:tcW w:w="789" w:type="pct"/>
            <w:tcBorders>
              <w:top w:val="single" w:sz="4" w:space="0" w:color="auto"/>
              <w:left w:val="single" w:sz="4" w:space="0" w:color="auto"/>
              <w:bottom w:val="nil"/>
              <w:right w:val="single" w:sz="4" w:space="0" w:color="auto"/>
            </w:tcBorders>
            <w:hideMark/>
          </w:tcPr>
          <w:p w14:paraId="2501912F" w14:textId="77777777" w:rsidR="005150FC" w:rsidRPr="00DC249A" w:rsidRDefault="005150FC" w:rsidP="005150FC">
            <w:pPr>
              <w:rPr>
                <w:i/>
              </w:rPr>
            </w:pPr>
            <w:r w:rsidRPr="00DC249A">
              <w:rPr>
                <w:i/>
              </w:rPr>
              <w:t>Verplichte</w:t>
            </w:r>
          </w:p>
        </w:tc>
        <w:tc>
          <w:tcPr>
            <w:tcW w:w="1926" w:type="pct"/>
            <w:gridSpan w:val="2"/>
            <w:tcBorders>
              <w:top w:val="single" w:sz="4" w:space="0" w:color="auto"/>
              <w:left w:val="single" w:sz="4" w:space="0" w:color="auto"/>
              <w:bottom w:val="single" w:sz="4" w:space="0" w:color="auto"/>
              <w:right w:val="single" w:sz="4" w:space="0" w:color="auto"/>
            </w:tcBorders>
            <w:hideMark/>
          </w:tcPr>
          <w:p w14:paraId="25019130" w14:textId="77777777" w:rsidR="005150FC" w:rsidRPr="00DC249A" w:rsidRDefault="005150FC" w:rsidP="005150FC">
            <w:pPr>
              <w:jc w:val="center"/>
              <w:rPr>
                <w:i/>
              </w:rPr>
            </w:pPr>
            <w:r w:rsidRPr="00DC249A">
              <w:rPr>
                <w:i/>
              </w:rPr>
              <w:t>Vrijwillige bijdragen</w:t>
            </w:r>
          </w:p>
        </w:tc>
        <w:tc>
          <w:tcPr>
            <w:tcW w:w="682" w:type="pct"/>
            <w:tcBorders>
              <w:top w:val="single" w:sz="4" w:space="0" w:color="auto"/>
              <w:left w:val="single" w:sz="4" w:space="0" w:color="auto"/>
              <w:bottom w:val="nil"/>
              <w:right w:val="single" w:sz="4" w:space="0" w:color="auto"/>
            </w:tcBorders>
            <w:hideMark/>
          </w:tcPr>
          <w:p w14:paraId="25019131" w14:textId="77777777" w:rsidR="005150FC" w:rsidRPr="00DC249A" w:rsidRDefault="005150FC" w:rsidP="005150FC">
            <w:pPr>
              <w:jc w:val="right"/>
              <w:rPr>
                <w:i/>
              </w:rPr>
            </w:pPr>
            <w:r w:rsidRPr="00DC249A">
              <w:rPr>
                <w:i/>
              </w:rPr>
              <w:t>Totaal</w:t>
            </w:r>
          </w:p>
        </w:tc>
        <w:tc>
          <w:tcPr>
            <w:tcW w:w="791" w:type="pct"/>
            <w:tcBorders>
              <w:top w:val="single" w:sz="4" w:space="0" w:color="auto"/>
              <w:left w:val="single" w:sz="4" w:space="0" w:color="auto"/>
              <w:bottom w:val="nil"/>
              <w:right w:val="single" w:sz="4" w:space="0" w:color="auto"/>
            </w:tcBorders>
            <w:hideMark/>
          </w:tcPr>
          <w:p w14:paraId="25019132" w14:textId="77777777" w:rsidR="005150FC" w:rsidRPr="00DC249A" w:rsidRDefault="005150FC" w:rsidP="005150FC">
            <w:pPr>
              <w:jc w:val="right"/>
              <w:rPr>
                <w:i/>
              </w:rPr>
            </w:pPr>
            <w:r w:rsidRPr="00DC249A">
              <w:rPr>
                <w:i/>
              </w:rPr>
              <w:t>Totaal</w:t>
            </w:r>
          </w:p>
        </w:tc>
      </w:tr>
      <w:tr w:rsidR="005150FC" w:rsidRPr="00DC249A" w14:paraId="2501913A" w14:textId="77777777" w:rsidTr="00B23249">
        <w:tc>
          <w:tcPr>
            <w:tcW w:w="812" w:type="pct"/>
            <w:tcBorders>
              <w:top w:val="nil"/>
              <w:left w:val="single" w:sz="4" w:space="0" w:color="auto"/>
              <w:bottom w:val="single" w:sz="4" w:space="0" w:color="auto"/>
              <w:right w:val="single" w:sz="4" w:space="0" w:color="auto"/>
            </w:tcBorders>
            <w:hideMark/>
          </w:tcPr>
          <w:p w14:paraId="25019134" w14:textId="77777777" w:rsidR="005150FC" w:rsidRPr="00DC249A" w:rsidRDefault="005150FC" w:rsidP="005150FC">
            <w:pPr>
              <w:rPr>
                <w:i/>
              </w:rPr>
            </w:pPr>
          </w:p>
        </w:tc>
        <w:tc>
          <w:tcPr>
            <w:tcW w:w="789" w:type="pct"/>
            <w:tcBorders>
              <w:top w:val="nil"/>
              <w:left w:val="single" w:sz="4" w:space="0" w:color="auto"/>
              <w:bottom w:val="single" w:sz="4" w:space="0" w:color="auto"/>
              <w:right w:val="single" w:sz="4" w:space="0" w:color="auto"/>
            </w:tcBorders>
            <w:hideMark/>
          </w:tcPr>
          <w:p w14:paraId="25019135" w14:textId="77777777" w:rsidR="005150FC" w:rsidRPr="00DC249A" w:rsidRDefault="005150FC" w:rsidP="005150FC">
            <w:pPr>
              <w:rPr>
                <w:i/>
              </w:rPr>
            </w:pPr>
            <w:r w:rsidRPr="00DC249A">
              <w:rPr>
                <w:i/>
              </w:rPr>
              <w:t>bijdragen</w:t>
            </w:r>
          </w:p>
        </w:tc>
        <w:tc>
          <w:tcPr>
            <w:tcW w:w="698" w:type="pct"/>
            <w:tcBorders>
              <w:top w:val="single" w:sz="4" w:space="0" w:color="auto"/>
              <w:left w:val="single" w:sz="4" w:space="0" w:color="auto"/>
              <w:bottom w:val="single" w:sz="4" w:space="0" w:color="auto"/>
              <w:right w:val="single" w:sz="4" w:space="0" w:color="auto"/>
            </w:tcBorders>
            <w:hideMark/>
          </w:tcPr>
          <w:p w14:paraId="25019136" w14:textId="77777777" w:rsidR="005150FC" w:rsidRPr="00DC249A" w:rsidRDefault="00E36A2B" w:rsidP="005150FC">
            <w:pPr>
              <w:rPr>
                <w:i/>
              </w:rPr>
            </w:pPr>
            <w:r>
              <w:rPr>
                <w:i/>
              </w:rPr>
              <w:t>totaal</w:t>
            </w:r>
          </w:p>
        </w:tc>
        <w:tc>
          <w:tcPr>
            <w:tcW w:w="1228" w:type="pct"/>
            <w:tcBorders>
              <w:top w:val="single" w:sz="4" w:space="0" w:color="auto"/>
              <w:left w:val="single" w:sz="4" w:space="0" w:color="auto"/>
              <w:bottom w:val="single" w:sz="4" w:space="0" w:color="auto"/>
              <w:right w:val="single" w:sz="4" w:space="0" w:color="auto"/>
            </w:tcBorders>
            <w:hideMark/>
          </w:tcPr>
          <w:p w14:paraId="25019137" w14:textId="77777777" w:rsidR="005150FC" w:rsidRPr="00DC249A" w:rsidRDefault="002F55F2" w:rsidP="005150FC">
            <w:pPr>
              <w:rPr>
                <w:i/>
              </w:rPr>
            </w:pPr>
            <w:r>
              <w:rPr>
                <w:i/>
              </w:rPr>
              <w:t>overige inkomsten</w:t>
            </w:r>
          </w:p>
        </w:tc>
        <w:tc>
          <w:tcPr>
            <w:tcW w:w="682" w:type="pct"/>
            <w:tcBorders>
              <w:top w:val="nil"/>
              <w:left w:val="single" w:sz="4" w:space="0" w:color="auto"/>
              <w:bottom w:val="single" w:sz="4" w:space="0" w:color="auto"/>
              <w:right w:val="single" w:sz="4" w:space="0" w:color="auto"/>
            </w:tcBorders>
          </w:tcPr>
          <w:p w14:paraId="25019138" w14:textId="77777777" w:rsidR="005150FC" w:rsidRPr="00DC249A" w:rsidRDefault="005150FC" w:rsidP="005150FC">
            <w:pPr>
              <w:rPr>
                <w:i/>
              </w:rPr>
            </w:pPr>
          </w:p>
        </w:tc>
        <w:tc>
          <w:tcPr>
            <w:tcW w:w="791" w:type="pct"/>
            <w:tcBorders>
              <w:top w:val="nil"/>
              <w:left w:val="single" w:sz="4" w:space="0" w:color="auto"/>
              <w:bottom w:val="single" w:sz="4" w:space="0" w:color="auto"/>
              <w:right w:val="single" w:sz="4" w:space="0" w:color="auto"/>
            </w:tcBorders>
          </w:tcPr>
          <w:p w14:paraId="25019139" w14:textId="77777777" w:rsidR="005150FC" w:rsidRPr="00DC249A" w:rsidRDefault="005150FC" w:rsidP="005150FC">
            <w:pPr>
              <w:rPr>
                <w:i/>
              </w:rPr>
            </w:pPr>
          </w:p>
        </w:tc>
      </w:tr>
      <w:tr w:rsidR="005150FC" w:rsidRPr="00DC249A" w14:paraId="25019141" w14:textId="77777777" w:rsidTr="00B23249">
        <w:tc>
          <w:tcPr>
            <w:tcW w:w="812" w:type="pct"/>
            <w:tcBorders>
              <w:top w:val="single" w:sz="4" w:space="0" w:color="auto"/>
              <w:left w:val="single" w:sz="4" w:space="0" w:color="auto"/>
              <w:bottom w:val="single" w:sz="4" w:space="0" w:color="auto"/>
              <w:right w:val="single" w:sz="4" w:space="0" w:color="auto"/>
            </w:tcBorders>
            <w:hideMark/>
          </w:tcPr>
          <w:p w14:paraId="2501913B" w14:textId="18B58B81" w:rsidR="005150FC" w:rsidRPr="00DC249A" w:rsidRDefault="003A1E73" w:rsidP="00E73754">
            <w:r w:rsidRPr="00DC249A">
              <w:t>20</w:t>
            </w:r>
            <w:r w:rsidR="00E36A2B">
              <w:t>08/2009</w:t>
            </w:r>
          </w:p>
        </w:tc>
        <w:tc>
          <w:tcPr>
            <w:tcW w:w="789" w:type="pct"/>
            <w:tcBorders>
              <w:top w:val="single" w:sz="4" w:space="0" w:color="auto"/>
              <w:left w:val="single" w:sz="4" w:space="0" w:color="auto"/>
              <w:bottom w:val="single" w:sz="4" w:space="0" w:color="auto"/>
              <w:right w:val="single" w:sz="4" w:space="0" w:color="auto"/>
            </w:tcBorders>
          </w:tcPr>
          <w:p w14:paraId="2501913C" w14:textId="77777777" w:rsidR="005150FC" w:rsidRPr="00DC249A" w:rsidRDefault="00E36A2B" w:rsidP="005150FC">
            <w:pPr>
              <w:tabs>
                <w:tab w:val="decimal" w:pos="674"/>
              </w:tabs>
            </w:pPr>
            <w:r>
              <w:t>970</w:t>
            </w:r>
          </w:p>
        </w:tc>
        <w:tc>
          <w:tcPr>
            <w:tcW w:w="698" w:type="pct"/>
            <w:tcBorders>
              <w:top w:val="single" w:sz="4" w:space="0" w:color="auto"/>
              <w:left w:val="single" w:sz="4" w:space="0" w:color="auto"/>
              <w:bottom w:val="single" w:sz="4" w:space="0" w:color="auto"/>
              <w:right w:val="single" w:sz="4" w:space="0" w:color="auto"/>
            </w:tcBorders>
          </w:tcPr>
          <w:p w14:paraId="2501913D" w14:textId="77777777" w:rsidR="005150FC" w:rsidRPr="00DC249A" w:rsidRDefault="00E36A2B" w:rsidP="005150FC">
            <w:pPr>
              <w:tabs>
                <w:tab w:val="decimal" w:pos="780"/>
              </w:tabs>
            </w:pPr>
            <w:r>
              <w:t>1.200</w:t>
            </w:r>
          </w:p>
        </w:tc>
        <w:tc>
          <w:tcPr>
            <w:tcW w:w="1228" w:type="pct"/>
            <w:tcBorders>
              <w:top w:val="single" w:sz="4" w:space="0" w:color="auto"/>
              <w:left w:val="single" w:sz="4" w:space="0" w:color="auto"/>
              <w:bottom w:val="single" w:sz="4" w:space="0" w:color="auto"/>
              <w:right w:val="single" w:sz="4" w:space="0" w:color="auto"/>
            </w:tcBorders>
          </w:tcPr>
          <w:p w14:paraId="2501913E" w14:textId="77777777" w:rsidR="005150FC" w:rsidRPr="00DC249A" w:rsidRDefault="002F55F2" w:rsidP="005150FC">
            <w:pPr>
              <w:tabs>
                <w:tab w:val="decimal" w:pos="887"/>
              </w:tabs>
            </w:pPr>
            <w:r>
              <w:t>46</w:t>
            </w:r>
          </w:p>
        </w:tc>
        <w:tc>
          <w:tcPr>
            <w:tcW w:w="682" w:type="pct"/>
            <w:tcBorders>
              <w:top w:val="single" w:sz="4" w:space="0" w:color="auto"/>
              <w:left w:val="single" w:sz="4" w:space="0" w:color="auto"/>
              <w:bottom w:val="single" w:sz="4" w:space="0" w:color="auto"/>
              <w:right w:val="single" w:sz="4" w:space="0" w:color="auto"/>
            </w:tcBorders>
          </w:tcPr>
          <w:p w14:paraId="2501913F" w14:textId="77777777" w:rsidR="005150FC" w:rsidRPr="00DC249A" w:rsidRDefault="00E36A2B" w:rsidP="00E36A2B">
            <w:pPr>
              <w:tabs>
                <w:tab w:val="decimal" w:pos="743"/>
              </w:tabs>
            </w:pPr>
            <w:r>
              <w:t>2.216</w:t>
            </w:r>
          </w:p>
        </w:tc>
        <w:tc>
          <w:tcPr>
            <w:tcW w:w="791" w:type="pct"/>
            <w:tcBorders>
              <w:top w:val="single" w:sz="4" w:space="0" w:color="auto"/>
              <w:left w:val="single" w:sz="4" w:space="0" w:color="auto"/>
              <w:bottom w:val="single" w:sz="4" w:space="0" w:color="auto"/>
              <w:right w:val="single" w:sz="4" w:space="0" w:color="auto"/>
            </w:tcBorders>
          </w:tcPr>
          <w:p w14:paraId="25019140" w14:textId="77777777" w:rsidR="005150FC" w:rsidRPr="00DC249A" w:rsidRDefault="00E36A2B" w:rsidP="00E36A2B">
            <w:pPr>
              <w:tabs>
                <w:tab w:val="decimal" w:pos="885"/>
              </w:tabs>
            </w:pPr>
            <w:r>
              <w:t>2.189</w:t>
            </w:r>
          </w:p>
        </w:tc>
      </w:tr>
      <w:tr w:rsidR="005150FC" w:rsidRPr="00DC249A" w14:paraId="25019148" w14:textId="77777777" w:rsidTr="00B23249">
        <w:tc>
          <w:tcPr>
            <w:tcW w:w="812" w:type="pct"/>
            <w:tcBorders>
              <w:top w:val="single" w:sz="4" w:space="0" w:color="auto"/>
              <w:left w:val="single" w:sz="4" w:space="0" w:color="auto"/>
              <w:bottom w:val="single" w:sz="4" w:space="0" w:color="auto"/>
              <w:right w:val="single" w:sz="4" w:space="0" w:color="auto"/>
            </w:tcBorders>
            <w:hideMark/>
          </w:tcPr>
          <w:p w14:paraId="25019142" w14:textId="1C87ACD5" w:rsidR="005150FC" w:rsidRPr="00DC249A" w:rsidRDefault="003A1E73" w:rsidP="00E73754">
            <w:r w:rsidRPr="00DC249A">
              <w:t>20</w:t>
            </w:r>
            <w:r w:rsidR="00E36A2B">
              <w:t>10/2011</w:t>
            </w:r>
          </w:p>
        </w:tc>
        <w:tc>
          <w:tcPr>
            <w:tcW w:w="789" w:type="pct"/>
            <w:tcBorders>
              <w:top w:val="single" w:sz="4" w:space="0" w:color="auto"/>
              <w:left w:val="single" w:sz="4" w:space="0" w:color="auto"/>
              <w:bottom w:val="single" w:sz="4" w:space="0" w:color="auto"/>
              <w:right w:val="single" w:sz="4" w:space="0" w:color="auto"/>
            </w:tcBorders>
          </w:tcPr>
          <w:p w14:paraId="25019143" w14:textId="77777777" w:rsidR="005150FC" w:rsidRPr="00DC249A" w:rsidRDefault="00E36A2B" w:rsidP="005150FC">
            <w:pPr>
              <w:tabs>
                <w:tab w:val="decimal" w:pos="674"/>
              </w:tabs>
            </w:pPr>
            <w:r>
              <w:t>1.004</w:t>
            </w:r>
          </w:p>
        </w:tc>
        <w:tc>
          <w:tcPr>
            <w:tcW w:w="698" w:type="pct"/>
            <w:tcBorders>
              <w:top w:val="single" w:sz="4" w:space="0" w:color="auto"/>
              <w:left w:val="single" w:sz="4" w:space="0" w:color="auto"/>
              <w:bottom w:val="single" w:sz="4" w:space="0" w:color="auto"/>
              <w:right w:val="single" w:sz="4" w:space="0" w:color="auto"/>
            </w:tcBorders>
          </w:tcPr>
          <w:p w14:paraId="25019144" w14:textId="77777777" w:rsidR="005150FC" w:rsidRPr="00DC249A" w:rsidRDefault="00E36A2B" w:rsidP="005150FC">
            <w:pPr>
              <w:tabs>
                <w:tab w:val="decimal" w:pos="780"/>
              </w:tabs>
            </w:pPr>
            <w:r>
              <w:t>1.727</w:t>
            </w:r>
          </w:p>
        </w:tc>
        <w:tc>
          <w:tcPr>
            <w:tcW w:w="1228" w:type="pct"/>
            <w:tcBorders>
              <w:top w:val="single" w:sz="4" w:space="0" w:color="auto"/>
              <w:left w:val="single" w:sz="4" w:space="0" w:color="auto"/>
              <w:bottom w:val="single" w:sz="4" w:space="0" w:color="auto"/>
              <w:right w:val="single" w:sz="4" w:space="0" w:color="auto"/>
            </w:tcBorders>
          </w:tcPr>
          <w:p w14:paraId="25019145" w14:textId="77777777" w:rsidR="005150FC" w:rsidRPr="00DC249A" w:rsidRDefault="002F55F2" w:rsidP="005150FC">
            <w:pPr>
              <w:tabs>
                <w:tab w:val="decimal" w:pos="887"/>
              </w:tabs>
            </w:pPr>
            <w:r>
              <w:t>106</w:t>
            </w:r>
          </w:p>
        </w:tc>
        <w:tc>
          <w:tcPr>
            <w:tcW w:w="682" w:type="pct"/>
            <w:tcBorders>
              <w:top w:val="single" w:sz="4" w:space="0" w:color="auto"/>
              <w:left w:val="single" w:sz="4" w:space="0" w:color="auto"/>
              <w:bottom w:val="single" w:sz="4" w:space="0" w:color="auto"/>
              <w:right w:val="single" w:sz="4" w:space="0" w:color="auto"/>
            </w:tcBorders>
          </w:tcPr>
          <w:p w14:paraId="25019146" w14:textId="77777777" w:rsidR="005150FC" w:rsidRPr="00DC249A" w:rsidRDefault="00E36A2B" w:rsidP="00E36A2B">
            <w:pPr>
              <w:tabs>
                <w:tab w:val="decimal" w:pos="743"/>
              </w:tabs>
            </w:pPr>
            <w:r>
              <w:t>2.837</w:t>
            </w:r>
          </w:p>
        </w:tc>
        <w:tc>
          <w:tcPr>
            <w:tcW w:w="791" w:type="pct"/>
            <w:tcBorders>
              <w:top w:val="single" w:sz="4" w:space="0" w:color="auto"/>
              <w:left w:val="single" w:sz="4" w:space="0" w:color="auto"/>
              <w:bottom w:val="single" w:sz="4" w:space="0" w:color="auto"/>
              <w:right w:val="single" w:sz="4" w:space="0" w:color="auto"/>
            </w:tcBorders>
          </w:tcPr>
          <w:p w14:paraId="25019147" w14:textId="77777777" w:rsidR="005150FC" w:rsidRPr="00DC249A" w:rsidRDefault="00E36A2B" w:rsidP="00E36A2B">
            <w:pPr>
              <w:tabs>
                <w:tab w:val="decimal" w:pos="885"/>
              </w:tabs>
            </w:pPr>
            <w:r>
              <w:t>2.736</w:t>
            </w:r>
          </w:p>
        </w:tc>
      </w:tr>
      <w:tr w:rsidR="005150FC" w:rsidRPr="00DC249A" w14:paraId="2501914F" w14:textId="77777777" w:rsidTr="00B23249">
        <w:tc>
          <w:tcPr>
            <w:tcW w:w="812" w:type="pct"/>
            <w:tcBorders>
              <w:top w:val="single" w:sz="4" w:space="0" w:color="auto"/>
              <w:left w:val="single" w:sz="4" w:space="0" w:color="auto"/>
              <w:bottom w:val="single" w:sz="4" w:space="0" w:color="auto"/>
              <w:right w:val="single" w:sz="4" w:space="0" w:color="auto"/>
            </w:tcBorders>
          </w:tcPr>
          <w:p w14:paraId="25019149" w14:textId="5C2358C4" w:rsidR="005150FC" w:rsidRPr="00DC249A" w:rsidRDefault="003A1E73" w:rsidP="00E73754">
            <w:r w:rsidRPr="00DC249A">
              <w:t>20</w:t>
            </w:r>
            <w:r w:rsidR="00E36A2B">
              <w:t>12/20</w:t>
            </w:r>
            <w:r w:rsidRPr="00DC249A">
              <w:t>13</w:t>
            </w:r>
          </w:p>
        </w:tc>
        <w:tc>
          <w:tcPr>
            <w:tcW w:w="789" w:type="pct"/>
            <w:tcBorders>
              <w:top w:val="single" w:sz="4" w:space="0" w:color="auto"/>
              <w:left w:val="single" w:sz="4" w:space="0" w:color="auto"/>
              <w:bottom w:val="single" w:sz="4" w:space="0" w:color="auto"/>
              <w:right w:val="single" w:sz="4" w:space="0" w:color="auto"/>
            </w:tcBorders>
          </w:tcPr>
          <w:p w14:paraId="2501914A" w14:textId="77777777" w:rsidR="005150FC" w:rsidRPr="00DC249A" w:rsidRDefault="00E36A2B" w:rsidP="005150FC">
            <w:pPr>
              <w:tabs>
                <w:tab w:val="decimal" w:pos="674"/>
              </w:tabs>
            </w:pPr>
            <w:r>
              <w:t>995</w:t>
            </w:r>
          </w:p>
        </w:tc>
        <w:tc>
          <w:tcPr>
            <w:tcW w:w="698" w:type="pct"/>
            <w:tcBorders>
              <w:top w:val="single" w:sz="4" w:space="0" w:color="auto"/>
              <w:left w:val="single" w:sz="4" w:space="0" w:color="auto"/>
              <w:bottom w:val="single" w:sz="4" w:space="0" w:color="auto"/>
              <w:right w:val="single" w:sz="4" w:space="0" w:color="auto"/>
            </w:tcBorders>
          </w:tcPr>
          <w:p w14:paraId="2501914B" w14:textId="77777777" w:rsidR="005150FC" w:rsidRPr="00DC249A" w:rsidRDefault="00E36A2B" w:rsidP="005150FC">
            <w:pPr>
              <w:tabs>
                <w:tab w:val="decimal" w:pos="780"/>
              </w:tabs>
            </w:pPr>
            <w:r>
              <w:t>1.470</w:t>
            </w:r>
          </w:p>
        </w:tc>
        <w:tc>
          <w:tcPr>
            <w:tcW w:w="1228" w:type="pct"/>
            <w:tcBorders>
              <w:top w:val="single" w:sz="4" w:space="0" w:color="auto"/>
              <w:left w:val="single" w:sz="4" w:space="0" w:color="auto"/>
              <w:bottom w:val="single" w:sz="4" w:space="0" w:color="auto"/>
              <w:right w:val="single" w:sz="4" w:space="0" w:color="auto"/>
            </w:tcBorders>
          </w:tcPr>
          <w:p w14:paraId="2501914C" w14:textId="77777777" w:rsidR="005150FC" w:rsidRPr="00DC249A" w:rsidRDefault="002F55F2" w:rsidP="002F55F2">
            <w:r>
              <w:t xml:space="preserve">         126</w:t>
            </w:r>
          </w:p>
        </w:tc>
        <w:tc>
          <w:tcPr>
            <w:tcW w:w="682" w:type="pct"/>
            <w:tcBorders>
              <w:top w:val="single" w:sz="4" w:space="0" w:color="auto"/>
              <w:left w:val="single" w:sz="4" w:space="0" w:color="auto"/>
              <w:bottom w:val="single" w:sz="4" w:space="0" w:color="auto"/>
              <w:right w:val="single" w:sz="4" w:space="0" w:color="auto"/>
            </w:tcBorders>
          </w:tcPr>
          <w:p w14:paraId="2501914D" w14:textId="77777777" w:rsidR="005150FC" w:rsidRPr="00DC249A" w:rsidRDefault="00E36A2B" w:rsidP="00E36A2B">
            <w:pPr>
              <w:tabs>
                <w:tab w:val="decimal" w:pos="743"/>
              </w:tabs>
            </w:pPr>
            <w:r>
              <w:t>2.591</w:t>
            </w:r>
          </w:p>
        </w:tc>
        <w:tc>
          <w:tcPr>
            <w:tcW w:w="791" w:type="pct"/>
            <w:tcBorders>
              <w:top w:val="single" w:sz="4" w:space="0" w:color="auto"/>
              <w:left w:val="single" w:sz="4" w:space="0" w:color="auto"/>
              <w:bottom w:val="single" w:sz="4" w:space="0" w:color="auto"/>
              <w:right w:val="single" w:sz="4" w:space="0" w:color="auto"/>
            </w:tcBorders>
          </w:tcPr>
          <w:p w14:paraId="2501914E" w14:textId="77777777" w:rsidR="005150FC" w:rsidRPr="00DC249A" w:rsidRDefault="00E36A2B" w:rsidP="00E36A2B">
            <w:pPr>
              <w:tabs>
                <w:tab w:val="decimal" w:pos="885"/>
              </w:tabs>
            </w:pPr>
            <w:r>
              <w:t>2.485</w:t>
            </w:r>
          </w:p>
        </w:tc>
      </w:tr>
    </w:tbl>
    <w:p w14:paraId="25019150" w14:textId="77777777" w:rsidR="00DC249A" w:rsidRDefault="00DC249A" w:rsidP="00B95FC2">
      <w:pPr>
        <w:rPr>
          <w:color w:val="FF0000"/>
        </w:rPr>
      </w:pPr>
    </w:p>
    <w:p w14:paraId="25019151" w14:textId="77777777" w:rsidR="005150FC" w:rsidRPr="00DC249A" w:rsidRDefault="005150FC" w:rsidP="005150FC">
      <w:r w:rsidRPr="00DC249A">
        <w:t>Overzicht bijdragen en ranking grootste donoren</w:t>
      </w:r>
      <w:r w:rsidR="00B23249">
        <w:t xml:space="preserve"> </w:t>
      </w:r>
      <w:r w:rsidRPr="00DC249A">
        <w:t>(bedragen in USD miljoen)</w:t>
      </w:r>
      <w:r w:rsidR="00662278">
        <w:rPr>
          <w:rStyle w:val="FootnoteReference"/>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2045"/>
        <w:gridCol w:w="3082"/>
        <w:gridCol w:w="2140"/>
      </w:tblGrid>
      <w:tr w:rsidR="005150FC" w:rsidRPr="00DC249A" w14:paraId="25019156" w14:textId="77777777" w:rsidTr="00B23249">
        <w:tc>
          <w:tcPr>
            <w:tcW w:w="426" w:type="pct"/>
            <w:shd w:val="clear" w:color="auto" w:fill="auto"/>
            <w:hideMark/>
          </w:tcPr>
          <w:p w14:paraId="25019152" w14:textId="77777777" w:rsidR="005150FC" w:rsidRPr="0037209D" w:rsidRDefault="005150FC" w:rsidP="005150FC">
            <w:pPr>
              <w:rPr>
                <w:i/>
              </w:rPr>
            </w:pPr>
            <w:r w:rsidRPr="0037209D">
              <w:rPr>
                <w:i/>
              </w:rPr>
              <w:t>Jaar</w:t>
            </w:r>
          </w:p>
        </w:tc>
        <w:tc>
          <w:tcPr>
            <w:tcW w:w="1287" w:type="pct"/>
            <w:shd w:val="clear" w:color="auto" w:fill="auto"/>
            <w:hideMark/>
          </w:tcPr>
          <w:p w14:paraId="25019153" w14:textId="77777777" w:rsidR="005150FC" w:rsidRPr="0037209D" w:rsidRDefault="005150FC" w:rsidP="005150FC">
            <w:pPr>
              <w:rPr>
                <w:i/>
              </w:rPr>
            </w:pPr>
            <w:r w:rsidRPr="0037209D">
              <w:rPr>
                <w:i/>
              </w:rPr>
              <w:t>Bijdrage</w:t>
            </w:r>
          </w:p>
        </w:tc>
        <w:tc>
          <w:tcPr>
            <w:tcW w:w="1940" w:type="pct"/>
            <w:shd w:val="clear" w:color="auto" w:fill="auto"/>
            <w:hideMark/>
          </w:tcPr>
          <w:p w14:paraId="25019154" w14:textId="77777777" w:rsidR="005150FC" w:rsidRPr="0037209D" w:rsidRDefault="005150FC" w:rsidP="005150FC">
            <w:pPr>
              <w:rPr>
                <w:i/>
              </w:rPr>
            </w:pPr>
            <w:r w:rsidRPr="0037209D">
              <w:rPr>
                <w:i/>
              </w:rPr>
              <w:t>Ranking/donor</w:t>
            </w:r>
          </w:p>
        </w:tc>
        <w:tc>
          <w:tcPr>
            <w:tcW w:w="1347" w:type="pct"/>
            <w:shd w:val="clear" w:color="auto" w:fill="auto"/>
            <w:hideMark/>
          </w:tcPr>
          <w:p w14:paraId="25019155" w14:textId="77777777" w:rsidR="005150FC" w:rsidRPr="0037209D" w:rsidRDefault="005150FC" w:rsidP="0037209D">
            <w:pPr>
              <w:jc w:val="center"/>
              <w:rPr>
                <w:i/>
              </w:rPr>
            </w:pPr>
            <w:r w:rsidRPr="0037209D">
              <w:rPr>
                <w:i/>
              </w:rPr>
              <w:t>Bedrag</w:t>
            </w:r>
          </w:p>
        </w:tc>
      </w:tr>
      <w:tr w:rsidR="00676FCE" w:rsidRPr="00DC249A" w14:paraId="2501915B" w14:textId="77777777" w:rsidTr="00676FCE">
        <w:tc>
          <w:tcPr>
            <w:tcW w:w="426" w:type="pct"/>
            <w:shd w:val="clear" w:color="auto" w:fill="D9D9D9" w:themeFill="background1" w:themeFillShade="D9"/>
          </w:tcPr>
          <w:p w14:paraId="25019157" w14:textId="77777777" w:rsidR="00676FCE" w:rsidRPr="0037209D" w:rsidRDefault="00676FCE" w:rsidP="005150FC">
            <w:pPr>
              <w:rPr>
                <w:i/>
              </w:rPr>
            </w:pPr>
          </w:p>
        </w:tc>
        <w:tc>
          <w:tcPr>
            <w:tcW w:w="1287" w:type="pct"/>
            <w:shd w:val="clear" w:color="auto" w:fill="D9D9D9" w:themeFill="background1" w:themeFillShade="D9"/>
          </w:tcPr>
          <w:p w14:paraId="25019158" w14:textId="77777777" w:rsidR="00676FCE" w:rsidRPr="0037209D" w:rsidRDefault="00676FCE" w:rsidP="005150FC">
            <w:pPr>
              <w:rPr>
                <w:i/>
              </w:rPr>
            </w:pPr>
          </w:p>
        </w:tc>
        <w:tc>
          <w:tcPr>
            <w:tcW w:w="1940" w:type="pct"/>
            <w:shd w:val="clear" w:color="auto" w:fill="D9D9D9" w:themeFill="background1" w:themeFillShade="D9"/>
          </w:tcPr>
          <w:p w14:paraId="25019159" w14:textId="77777777" w:rsidR="00676FCE" w:rsidRPr="0037209D" w:rsidRDefault="00676FCE" w:rsidP="005150FC">
            <w:pPr>
              <w:rPr>
                <w:i/>
              </w:rPr>
            </w:pPr>
          </w:p>
        </w:tc>
        <w:tc>
          <w:tcPr>
            <w:tcW w:w="1347" w:type="pct"/>
            <w:shd w:val="clear" w:color="auto" w:fill="D9D9D9" w:themeFill="background1" w:themeFillShade="D9"/>
          </w:tcPr>
          <w:p w14:paraId="2501915A" w14:textId="77777777" w:rsidR="00676FCE" w:rsidRPr="0037209D" w:rsidRDefault="00676FCE" w:rsidP="0037209D">
            <w:pPr>
              <w:jc w:val="center"/>
              <w:rPr>
                <w:i/>
              </w:rPr>
            </w:pPr>
          </w:p>
        </w:tc>
      </w:tr>
      <w:tr w:rsidR="00676FCE" w:rsidRPr="00DC249A" w14:paraId="25019160" w14:textId="77777777" w:rsidTr="00B23249">
        <w:tc>
          <w:tcPr>
            <w:tcW w:w="426" w:type="pct"/>
            <w:vMerge w:val="restart"/>
            <w:shd w:val="clear" w:color="auto" w:fill="auto"/>
            <w:hideMark/>
          </w:tcPr>
          <w:p w14:paraId="2501915C" w14:textId="77777777" w:rsidR="00676FCE" w:rsidRPr="00DC249A" w:rsidRDefault="00676FCE" w:rsidP="0065433A">
            <w:r w:rsidRPr="00DC249A">
              <w:t>201</w:t>
            </w:r>
            <w:r>
              <w:t>2</w:t>
            </w:r>
          </w:p>
        </w:tc>
        <w:tc>
          <w:tcPr>
            <w:tcW w:w="1287" w:type="pct"/>
            <w:vMerge w:val="restart"/>
            <w:shd w:val="clear" w:color="auto" w:fill="auto"/>
            <w:hideMark/>
          </w:tcPr>
          <w:p w14:paraId="2501915D" w14:textId="77777777" w:rsidR="00676FCE" w:rsidRPr="00DC249A" w:rsidRDefault="00676FCE" w:rsidP="005150FC">
            <w:r w:rsidRPr="00DC249A">
              <w:t>Core-bijdrage</w:t>
            </w:r>
          </w:p>
        </w:tc>
        <w:tc>
          <w:tcPr>
            <w:tcW w:w="1940" w:type="pct"/>
            <w:shd w:val="clear" w:color="auto" w:fill="auto"/>
            <w:hideMark/>
          </w:tcPr>
          <w:p w14:paraId="2501915E" w14:textId="77777777" w:rsidR="00676FCE" w:rsidRPr="00DC249A" w:rsidRDefault="00676FCE" w:rsidP="00662278">
            <w:r w:rsidRPr="00DC249A">
              <w:t xml:space="preserve">1. </w:t>
            </w:r>
            <w:r>
              <w:t>V</w:t>
            </w:r>
            <w:r w:rsidR="002D237A">
              <w:t xml:space="preserve">erenigde </w:t>
            </w:r>
            <w:r>
              <w:t>S</w:t>
            </w:r>
            <w:r w:rsidR="002D237A">
              <w:t>taten</w:t>
            </w:r>
          </w:p>
        </w:tc>
        <w:tc>
          <w:tcPr>
            <w:tcW w:w="1347" w:type="pct"/>
            <w:shd w:val="clear" w:color="auto" w:fill="auto"/>
          </w:tcPr>
          <w:p w14:paraId="2501915F" w14:textId="77777777" w:rsidR="00676FCE" w:rsidRPr="00DC249A" w:rsidRDefault="00676FCE" w:rsidP="002D237A">
            <w:pPr>
              <w:tabs>
                <w:tab w:val="decimal" w:pos="1026"/>
              </w:tabs>
              <w:jc w:val="right"/>
            </w:pPr>
            <w:r w:rsidRPr="003E120C">
              <w:t>115</w:t>
            </w:r>
            <w:r w:rsidR="002D237A">
              <w:t>,9</w:t>
            </w:r>
          </w:p>
        </w:tc>
      </w:tr>
      <w:tr w:rsidR="00676FCE" w:rsidRPr="00DC249A" w14:paraId="25019165" w14:textId="77777777" w:rsidTr="00B23249">
        <w:tc>
          <w:tcPr>
            <w:tcW w:w="426" w:type="pct"/>
            <w:vMerge/>
            <w:shd w:val="clear" w:color="auto" w:fill="auto"/>
          </w:tcPr>
          <w:p w14:paraId="25019161" w14:textId="77777777" w:rsidR="00676FCE" w:rsidRPr="00DC249A" w:rsidRDefault="00676FCE" w:rsidP="005150FC"/>
        </w:tc>
        <w:tc>
          <w:tcPr>
            <w:tcW w:w="1287" w:type="pct"/>
            <w:vMerge/>
            <w:shd w:val="clear" w:color="auto" w:fill="auto"/>
          </w:tcPr>
          <w:p w14:paraId="25019162" w14:textId="77777777" w:rsidR="00676FCE" w:rsidRPr="00DC249A" w:rsidRDefault="00676FCE" w:rsidP="005150FC"/>
        </w:tc>
        <w:tc>
          <w:tcPr>
            <w:tcW w:w="1940" w:type="pct"/>
            <w:shd w:val="clear" w:color="auto" w:fill="auto"/>
            <w:hideMark/>
          </w:tcPr>
          <w:p w14:paraId="25019163" w14:textId="77777777" w:rsidR="00676FCE" w:rsidRPr="00DC249A" w:rsidRDefault="00676FCE" w:rsidP="007F7731">
            <w:r w:rsidRPr="00DC249A">
              <w:t xml:space="preserve">2. </w:t>
            </w:r>
            <w:r>
              <w:t>Japan</w:t>
            </w:r>
          </w:p>
        </w:tc>
        <w:tc>
          <w:tcPr>
            <w:tcW w:w="1347" w:type="pct"/>
            <w:shd w:val="clear" w:color="auto" w:fill="auto"/>
          </w:tcPr>
          <w:p w14:paraId="25019164" w14:textId="77777777" w:rsidR="00676FCE" w:rsidRPr="00DC249A" w:rsidRDefault="002D237A" w:rsidP="002D237A">
            <w:pPr>
              <w:tabs>
                <w:tab w:val="decimal" w:pos="1026"/>
              </w:tabs>
              <w:jc w:val="right"/>
            </w:pPr>
            <w:r>
              <w:t>63,9</w:t>
            </w:r>
          </w:p>
        </w:tc>
      </w:tr>
      <w:tr w:rsidR="00676FCE" w:rsidRPr="00DC249A" w14:paraId="2501916A" w14:textId="77777777" w:rsidTr="00B23249">
        <w:tc>
          <w:tcPr>
            <w:tcW w:w="426" w:type="pct"/>
            <w:vMerge/>
            <w:shd w:val="clear" w:color="auto" w:fill="auto"/>
          </w:tcPr>
          <w:p w14:paraId="25019166" w14:textId="77777777" w:rsidR="00676FCE" w:rsidRPr="00DC249A" w:rsidRDefault="00676FCE" w:rsidP="005150FC"/>
        </w:tc>
        <w:tc>
          <w:tcPr>
            <w:tcW w:w="1287" w:type="pct"/>
            <w:vMerge/>
            <w:shd w:val="clear" w:color="auto" w:fill="auto"/>
            <w:hideMark/>
          </w:tcPr>
          <w:p w14:paraId="25019167" w14:textId="77777777" w:rsidR="00676FCE" w:rsidRPr="00DC249A" w:rsidRDefault="00676FCE" w:rsidP="005150FC"/>
        </w:tc>
        <w:tc>
          <w:tcPr>
            <w:tcW w:w="1940" w:type="pct"/>
            <w:shd w:val="clear" w:color="auto" w:fill="auto"/>
            <w:hideMark/>
          </w:tcPr>
          <w:p w14:paraId="25019168" w14:textId="77777777" w:rsidR="00676FCE" w:rsidRPr="00AB7041" w:rsidRDefault="00676FCE" w:rsidP="00662278">
            <w:pPr>
              <w:rPr>
                <w:b/>
              </w:rPr>
            </w:pPr>
            <w:r w:rsidRPr="00AB7041">
              <w:rPr>
                <w:b/>
              </w:rPr>
              <w:t>13. Ne</w:t>
            </w:r>
            <w:r>
              <w:rPr>
                <w:b/>
              </w:rPr>
              <w:t>d</w:t>
            </w:r>
            <w:r w:rsidRPr="00AB7041">
              <w:rPr>
                <w:b/>
              </w:rPr>
              <w:t>erland</w:t>
            </w:r>
          </w:p>
        </w:tc>
        <w:tc>
          <w:tcPr>
            <w:tcW w:w="1347" w:type="pct"/>
            <w:shd w:val="clear" w:color="auto" w:fill="auto"/>
          </w:tcPr>
          <w:p w14:paraId="25019169" w14:textId="77777777" w:rsidR="00676FCE" w:rsidRPr="00AB7041" w:rsidRDefault="00676FCE" w:rsidP="002D237A">
            <w:pPr>
              <w:tabs>
                <w:tab w:val="decimal" w:pos="1026"/>
              </w:tabs>
              <w:jc w:val="right"/>
              <w:rPr>
                <w:b/>
              </w:rPr>
            </w:pPr>
            <w:r w:rsidRPr="00AB7041">
              <w:rPr>
                <w:b/>
              </w:rPr>
              <w:t>9</w:t>
            </w:r>
            <w:r w:rsidR="002D237A">
              <w:rPr>
                <w:b/>
              </w:rPr>
              <w:t>,5</w:t>
            </w:r>
          </w:p>
        </w:tc>
      </w:tr>
      <w:tr w:rsidR="00676FCE" w:rsidRPr="00DC249A" w14:paraId="2501916F" w14:textId="77777777" w:rsidTr="00B23249">
        <w:tc>
          <w:tcPr>
            <w:tcW w:w="426" w:type="pct"/>
            <w:vMerge/>
            <w:shd w:val="clear" w:color="auto" w:fill="auto"/>
          </w:tcPr>
          <w:p w14:paraId="2501916B" w14:textId="77777777" w:rsidR="00676FCE" w:rsidRPr="00DC249A" w:rsidRDefault="00676FCE" w:rsidP="005150FC"/>
        </w:tc>
        <w:tc>
          <w:tcPr>
            <w:tcW w:w="1287" w:type="pct"/>
            <w:vMerge w:val="restart"/>
            <w:shd w:val="clear" w:color="auto" w:fill="auto"/>
          </w:tcPr>
          <w:p w14:paraId="2501916C" w14:textId="77777777" w:rsidR="00676FCE" w:rsidRPr="00DC249A" w:rsidRDefault="00676FCE" w:rsidP="005150FC">
            <w:r w:rsidRPr="00662278">
              <w:t>Non-core-bijdragen</w:t>
            </w:r>
          </w:p>
        </w:tc>
        <w:tc>
          <w:tcPr>
            <w:tcW w:w="1940" w:type="pct"/>
            <w:shd w:val="clear" w:color="auto" w:fill="auto"/>
            <w:hideMark/>
          </w:tcPr>
          <w:p w14:paraId="2501916D" w14:textId="77777777" w:rsidR="00676FCE" w:rsidRPr="00DC249A" w:rsidRDefault="00676FCE" w:rsidP="00662278">
            <w:r w:rsidRPr="00DC249A">
              <w:t xml:space="preserve">1. </w:t>
            </w:r>
            <w:r>
              <w:t>E</w:t>
            </w:r>
            <w:r w:rsidR="002D237A">
              <w:t xml:space="preserve">uropese </w:t>
            </w:r>
            <w:r>
              <w:t>U</w:t>
            </w:r>
            <w:r w:rsidR="002D237A">
              <w:t>nie</w:t>
            </w:r>
          </w:p>
        </w:tc>
        <w:tc>
          <w:tcPr>
            <w:tcW w:w="1347" w:type="pct"/>
            <w:shd w:val="clear" w:color="auto" w:fill="auto"/>
          </w:tcPr>
          <w:p w14:paraId="2501916E" w14:textId="77777777" w:rsidR="00676FCE" w:rsidRPr="00DC249A" w:rsidRDefault="002D237A" w:rsidP="002D237A">
            <w:pPr>
              <w:tabs>
                <w:tab w:val="decimal" w:pos="1026"/>
              </w:tabs>
              <w:jc w:val="right"/>
            </w:pPr>
            <w:r>
              <w:t>150,9</w:t>
            </w:r>
          </w:p>
        </w:tc>
      </w:tr>
      <w:tr w:rsidR="00676FCE" w:rsidRPr="00DC249A" w14:paraId="25019174" w14:textId="77777777" w:rsidTr="00B23249">
        <w:tc>
          <w:tcPr>
            <w:tcW w:w="426" w:type="pct"/>
            <w:vMerge/>
            <w:shd w:val="clear" w:color="auto" w:fill="auto"/>
          </w:tcPr>
          <w:p w14:paraId="25019170" w14:textId="77777777" w:rsidR="00676FCE" w:rsidRPr="00DC249A" w:rsidRDefault="00676FCE" w:rsidP="005150FC"/>
        </w:tc>
        <w:tc>
          <w:tcPr>
            <w:tcW w:w="1287" w:type="pct"/>
            <w:vMerge/>
            <w:shd w:val="clear" w:color="auto" w:fill="auto"/>
          </w:tcPr>
          <w:p w14:paraId="25019171" w14:textId="77777777" w:rsidR="00676FCE" w:rsidRPr="00DC249A" w:rsidRDefault="00676FCE" w:rsidP="005150FC"/>
        </w:tc>
        <w:tc>
          <w:tcPr>
            <w:tcW w:w="1940" w:type="pct"/>
            <w:shd w:val="clear" w:color="auto" w:fill="auto"/>
            <w:hideMark/>
          </w:tcPr>
          <w:p w14:paraId="25019172" w14:textId="77777777" w:rsidR="00676FCE" w:rsidRPr="00DC249A" w:rsidRDefault="00676FCE" w:rsidP="00662278">
            <w:r w:rsidRPr="00DC249A">
              <w:t xml:space="preserve">2. </w:t>
            </w:r>
            <w:r>
              <w:t>V</w:t>
            </w:r>
            <w:r w:rsidR="002D237A">
              <w:t xml:space="preserve">erenigde </w:t>
            </w:r>
            <w:r>
              <w:t>S</w:t>
            </w:r>
            <w:r w:rsidR="002D237A">
              <w:t>taten</w:t>
            </w:r>
          </w:p>
        </w:tc>
        <w:tc>
          <w:tcPr>
            <w:tcW w:w="1347" w:type="pct"/>
            <w:shd w:val="clear" w:color="auto" w:fill="auto"/>
          </w:tcPr>
          <w:p w14:paraId="25019173" w14:textId="77777777" w:rsidR="00676FCE" w:rsidRPr="00DC249A" w:rsidRDefault="002D237A" w:rsidP="002D237A">
            <w:pPr>
              <w:tabs>
                <w:tab w:val="decimal" w:pos="1026"/>
              </w:tabs>
              <w:jc w:val="right"/>
            </w:pPr>
            <w:r>
              <w:t>86,4</w:t>
            </w:r>
          </w:p>
        </w:tc>
      </w:tr>
      <w:tr w:rsidR="00676FCE" w:rsidRPr="00DC249A" w14:paraId="25019179" w14:textId="77777777" w:rsidTr="00B23249">
        <w:tc>
          <w:tcPr>
            <w:tcW w:w="426" w:type="pct"/>
            <w:vMerge/>
            <w:shd w:val="clear" w:color="auto" w:fill="auto"/>
          </w:tcPr>
          <w:p w14:paraId="25019175" w14:textId="77777777" w:rsidR="00676FCE" w:rsidRPr="00DC249A" w:rsidRDefault="00676FCE" w:rsidP="005150FC"/>
        </w:tc>
        <w:tc>
          <w:tcPr>
            <w:tcW w:w="1287" w:type="pct"/>
            <w:vMerge/>
            <w:shd w:val="clear" w:color="auto" w:fill="auto"/>
          </w:tcPr>
          <w:p w14:paraId="25019176" w14:textId="77777777" w:rsidR="00676FCE" w:rsidRPr="00DC249A" w:rsidRDefault="00676FCE" w:rsidP="005150FC"/>
        </w:tc>
        <w:tc>
          <w:tcPr>
            <w:tcW w:w="1940" w:type="pct"/>
            <w:shd w:val="clear" w:color="auto" w:fill="auto"/>
            <w:hideMark/>
          </w:tcPr>
          <w:p w14:paraId="25019177" w14:textId="77777777" w:rsidR="00676FCE" w:rsidRPr="00AB7041" w:rsidRDefault="00676FCE" w:rsidP="00662278">
            <w:pPr>
              <w:rPr>
                <w:b/>
              </w:rPr>
            </w:pPr>
            <w:r w:rsidRPr="00AB7041">
              <w:rPr>
                <w:b/>
              </w:rPr>
              <w:t>12. Ne</w:t>
            </w:r>
            <w:r>
              <w:rPr>
                <w:b/>
              </w:rPr>
              <w:t>derland</w:t>
            </w:r>
          </w:p>
        </w:tc>
        <w:tc>
          <w:tcPr>
            <w:tcW w:w="1347" w:type="pct"/>
            <w:shd w:val="clear" w:color="auto" w:fill="auto"/>
          </w:tcPr>
          <w:p w14:paraId="25019178" w14:textId="77777777" w:rsidR="00676FCE" w:rsidRPr="00AB7041" w:rsidRDefault="00676FCE" w:rsidP="002D237A">
            <w:pPr>
              <w:tabs>
                <w:tab w:val="decimal" w:pos="1026"/>
              </w:tabs>
              <w:jc w:val="right"/>
              <w:rPr>
                <w:b/>
              </w:rPr>
            </w:pPr>
            <w:r w:rsidRPr="00AB7041">
              <w:rPr>
                <w:b/>
              </w:rPr>
              <w:t>15</w:t>
            </w:r>
            <w:r w:rsidR="002D237A">
              <w:rPr>
                <w:b/>
              </w:rPr>
              <w:t>,6</w:t>
            </w:r>
          </w:p>
        </w:tc>
      </w:tr>
      <w:tr w:rsidR="00676FCE" w:rsidRPr="00DC249A" w14:paraId="2501917E" w14:textId="77777777" w:rsidTr="00B23249">
        <w:tc>
          <w:tcPr>
            <w:tcW w:w="426" w:type="pct"/>
            <w:vMerge/>
            <w:shd w:val="clear" w:color="auto" w:fill="auto"/>
          </w:tcPr>
          <w:p w14:paraId="2501917A" w14:textId="77777777" w:rsidR="00676FCE" w:rsidRPr="00DC249A" w:rsidRDefault="00676FCE" w:rsidP="005150FC"/>
        </w:tc>
        <w:tc>
          <w:tcPr>
            <w:tcW w:w="1287" w:type="pct"/>
            <w:vMerge w:val="restart"/>
            <w:shd w:val="clear" w:color="auto" w:fill="auto"/>
          </w:tcPr>
          <w:p w14:paraId="2501917B" w14:textId="77777777" w:rsidR="00676FCE" w:rsidRPr="00DC249A" w:rsidRDefault="00676FCE" w:rsidP="005150FC">
            <w:r w:rsidRPr="00662278">
              <w:t>Totaal bijdrage</w:t>
            </w:r>
          </w:p>
        </w:tc>
        <w:tc>
          <w:tcPr>
            <w:tcW w:w="1940" w:type="pct"/>
            <w:shd w:val="clear" w:color="auto" w:fill="auto"/>
            <w:hideMark/>
          </w:tcPr>
          <w:p w14:paraId="2501917C" w14:textId="77777777" w:rsidR="00676FCE" w:rsidRPr="00DC249A" w:rsidRDefault="00676FCE" w:rsidP="00662278">
            <w:r w:rsidRPr="00DC249A">
              <w:t xml:space="preserve">1. </w:t>
            </w:r>
            <w:r w:rsidR="002D237A">
              <w:t>Verenigde Staten</w:t>
            </w:r>
          </w:p>
        </w:tc>
        <w:tc>
          <w:tcPr>
            <w:tcW w:w="1347" w:type="pct"/>
            <w:shd w:val="clear" w:color="auto" w:fill="auto"/>
          </w:tcPr>
          <w:p w14:paraId="2501917D" w14:textId="77777777" w:rsidR="00676FCE" w:rsidRPr="00DC249A" w:rsidRDefault="002D237A" w:rsidP="002D237A">
            <w:pPr>
              <w:tabs>
                <w:tab w:val="decimal" w:pos="1026"/>
              </w:tabs>
              <w:jc w:val="right"/>
            </w:pPr>
            <w:r>
              <w:t>202,2</w:t>
            </w:r>
          </w:p>
        </w:tc>
      </w:tr>
      <w:tr w:rsidR="00676FCE" w:rsidRPr="0037209D" w14:paraId="25019183" w14:textId="77777777" w:rsidTr="00B23249">
        <w:tc>
          <w:tcPr>
            <w:tcW w:w="426" w:type="pct"/>
            <w:vMerge/>
            <w:shd w:val="clear" w:color="auto" w:fill="auto"/>
          </w:tcPr>
          <w:p w14:paraId="2501917F" w14:textId="77777777" w:rsidR="00676FCE" w:rsidRPr="0037209D" w:rsidRDefault="00676FCE" w:rsidP="005150FC">
            <w:pPr>
              <w:rPr>
                <w:b/>
              </w:rPr>
            </w:pPr>
          </w:p>
        </w:tc>
        <w:tc>
          <w:tcPr>
            <w:tcW w:w="1287" w:type="pct"/>
            <w:vMerge/>
            <w:shd w:val="clear" w:color="auto" w:fill="auto"/>
          </w:tcPr>
          <w:p w14:paraId="25019180" w14:textId="77777777" w:rsidR="00676FCE" w:rsidRPr="0037209D" w:rsidRDefault="00676FCE" w:rsidP="005150FC">
            <w:pPr>
              <w:rPr>
                <w:b/>
              </w:rPr>
            </w:pPr>
          </w:p>
        </w:tc>
        <w:tc>
          <w:tcPr>
            <w:tcW w:w="1940" w:type="pct"/>
            <w:shd w:val="clear" w:color="auto" w:fill="auto"/>
          </w:tcPr>
          <w:p w14:paraId="25019181" w14:textId="77777777" w:rsidR="00676FCE" w:rsidRPr="00DC249A" w:rsidRDefault="00676FCE" w:rsidP="00662278">
            <w:r w:rsidRPr="00DC249A">
              <w:t xml:space="preserve">2. </w:t>
            </w:r>
            <w:r w:rsidR="002D237A">
              <w:t>Europese Unie</w:t>
            </w:r>
          </w:p>
        </w:tc>
        <w:tc>
          <w:tcPr>
            <w:tcW w:w="1347" w:type="pct"/>
            <w:shd w:val="clear" w:color="auto" w:fill="auto"/>
          </w:tcPr>
          <w:p w14:paraId="25019182" w14:textId="77777777" w:rsidR="00676FCE" w:rsidRPr="00DC249A" w:rsidRDefault="002D237A" w:rsidP="002D237A">
            <w:pPr>
              <w:tabs>
                <w:tab w:val="decimal" w:pos="1026"/>
              </w:tabs>
              <w:jc w:val="right"/>
            </w:pPr>
            <w:r>
              <w:t>150,9</w:t>
            </w:r>
          </w:p>
        </w:tc>
      </w:tr>
      <w:tr w:rsidR="00676FCE" w:rsidRPr="00DC249A" w14:paraId="25019188" w14:textId="77777777" w:rsidTr="00B23249">
        <w:tc>
          <w:tcPr>
            <w:tcW w:w="426" w:type="pct"/>
            <w:vMerge/>
            <w:shd w:val="clear" w:color="auto" w:fill="auto"/>
            <w:hideMark/>
          </w:tcPr>
          <w:p w14:paraId="25019184" w14:textId="77777777" w:rsidR="00676FCE" w:rsidRPr="00DC249A" w:rsidRDefault="00676FCE" w:rsidP="0065433A"/>
        </w:tc>
        <w:tc>
          <w:tcPr>
            <w:tcW w:w="1287" w:type="pct"/>
            <w:vMerge/>
            <w:shd w:val="clear" w:color="auto" w:fill="auto"/>
            <w:hideMark/>
          </w:tcPr>
          <w:p w14:paraId="25019185" w14:textId="77777777" w:rsidR="00676FCE" w:rsidRPr="00DC249A" w:rsidRDefault="00676FCE" w:rsidP="005150FC"/>
        </w:tc>
        <w:tc>
          <w:tcPr>
            <w:tcW w:w="1940" w:type="pct"/>
            <w:shd w:val="clear" w:color="auto" w:fill="auto"/>
            <w:hideMark/>
          </w:tcPr>
          <w:p w14:paraId="25019186" w14:textId="77777777" w:rsidR="00676FCE" w:rsidRPr="008E1C34" w:rsidRDefault="00676FCE" w:rsidP="00662278">
            <w:pPr>
              <w:rPr>
                <w:b/>
              </w:rPr>
            </w:pPr>
            <w:r>
              <w:rPr>
                <w:b/>
              </w:rPr>
              <w:t xml:space="preserve">19. </w:t>
            </w:r>
            <w:r w:rsidRPr="008E1C34">
              <w:rPr>
                <w:b/>
              </w:rPr>
              <w:t>Ne</w:t>
            </w:r>
            <w:r>
              <w:rPr>
                <w:b/>
              </w:rPr>
              <w:t>d</w:t>
            </w:r>
            <w:r w:rsidRPr="008E1C34">
              <w:rPr>
                <w:b/>
              </w:rPr>
              <w:t>erland</w:t>
            </w:r>
          </w:p>
        </w:tc>
        <w:tc>
          <w:tcPr>
            <w:tcW w:w="1347" w:type="pct"/>
            <w:shd w:val="clear" w:color="auto" w:fill="auto"/>
          </w:tcPr>
          <w:p w14:paraId="25019187" w14:textId="77777777" w:rsidR="00676FCE" w:rsidRPr="008E1C34" w:rsidRDefault="002D237A" w:rsidP="002D237A">
            <w:pPr>
              <w:tabs>
                <w:tab w:val="decimal" w:pos="1026"/>
              </w:tabs>
              <w:jc w:val="right"/>
              <w:rPr>
                <w:b/>
              </w:rPr>
            </w:pPr>
            <w:r>
              <w:rPr>
                <w:b/>
              </w:rPr>
              <w:t>25,1</w:t>
            </w:r>
          </w:p>
        </w:tc>
      </w:tr>
      <w:tr w:rsidR="00676FCE" w:rsidRPr="00DC249A" w14:paraId="2501918D" w14:textId="77777777" w:rsidTr="00676FCE">
        <w:tc>
          <w:tcPr>
            <w:tcW w:w="426" w:type="pct"/>
            <w:shd w:val="clear" w:color="auto" w:fill="D9D9D9" w:themeFill="background1" w:themeFillShade="D9"/>
          </w:tcPr>
          <w:p w14:paraId="25019189" w14:textId="77777777" w:rsidR="00676FCE" w:rsidRPr="00DC249A" w:rsidRDefault="00676FCE" w:rsidP="0065433A"/>
        </w:tc>
        <w:tc>
          <w:tcPr>
            <w:tcW w:w="1287" w:type="pct"/>
            <w:shd w:val="clear" w:color="auto" w:fill="D9D9D9" w:themeFill="background1" w:themeFillShade="D9"/>
          </w:tcPr>
          <w:p w14:paraId="2501918A" w14:textId="77777777" w:rsidR="00676FCE" w:rsidRPr="00DC249A" w:rsidRDefault="00676FCE" w:rsidP="005150FC"/>
        </w:tc>
        <w:tc>
          <w:tcPr>
            <w:tcW w:w="1940" w:type="pct"/>
            <w:shd w:val="clear" w:color="auto" w:fill="D9D9D9" w:themeFill="background1" w:themeFillShade="D9"/>
          </w:tcPr>
          <w:p w14:paraId="2501918B" w14:textId="77777777" w:rsidR="00676FCE" w:rsidRDefault="00676FCE" w:rsidP="00662278">
            <w:pPr>
              <w:rPr>
                <w:b/>
              </w:rPr>
            </w:pPr>
          </w:p>
        </w:tc>
        <w:tc>
          <w:tcPr>
            <w:tcW w:w="1347" w:type="pct"/>
            <w:shd w:val="clear" w:color="auto" w:fill="D9D9D9" w:themeFill="background1" w:themeFillShade="D9"/>
          </w:tcPr>
          <w:p w14:paraId="2501918C" w14:textId="77777777" w:rsidR="00676FCE" w:rsidRDefault="00676FCE" w:rsidP="007F7731">
            <w:pPr>
              <w:tabs>
                <w:tab w:val="decimal" w:pos="1026"/>
              </w:tabs>
              <w:jc w:val="right"/>
              <w:rPr>
                <w:b/>
              </w:rPr>
            </w:pPr>
          </w:p>
        </w:tc>
      </w:tr>
      <w:tr w:rsidR="002D237A" w:rsidRPr="00DC249A" w14:paraId="25019192" w14:textId="77777777" w:rsidTr="00B23249">
        <w:tc>
          <w:tcPr>
            <w:tcW w:w="426" w:type="pct"/>
            <w:vMerge w:val="restart"/>
            <w:shd w:val="clear" w:color="auto" w:fill="auto"/>
          </w:tcPr>
          <w:p w14:paraId="2501918E" w14:textId="77777777" w:rsidR="002D237A" w:rsidRPr="00DC249A" w:rsidRDefault="002D237A" w:rsidP="005150FC">
            <w:r w:rsidRPr="00DC249A">
              <w:t>201</w:t>
            </w:r>
            <w:r>
              <w:t>3</w:t>
            </w:r>
          </w:p>
        </w:tc>
        <w:tc>
          <w:tcPr>
            <w:tcW w:w="1287" w:type="pct"/>
            <w:vMerge w:val="restart"/>
            <w:shd w:val="clear" w:color="auto" w:fill="auto"/>
          </w:tcPr>
          <w:p w14:paraId="2501918F" w14:textId="77777777" w:rsidR="002D237A" w:rsidRPr="00DC249A" w:rsidRDefault="002D237A" w:rsidP="005150FC">
            <w:r w:rsidRPr="00DC249A">
              <w:t>Core-bijdrage</w:t>
            </w:r>
          </w:p>
        </w:tc>
        <w:tc>
          <w:tcPr>
            <w:tcW w:w="1940" w:type="pct"/>
            <w:shd w:val="clear" w:color="auto" w:fill="auto"/>
            <w:hideMark/>
          </w:tcPr>
          <w:p w14:paraId="25019190" w14:textId="77777777" w:rsidR="002D237A" w:rsidRPr="00DC249A" w:rsidRDefault="002D237A" w:rsidP="00662278">
            <w:r w:rsidRPr="00DC249A">
              <w:t xml:space="preserve">1. </w:t>
            </w:r>
            <w:r>
              <w:t>Verenigde Staten</w:t>
            </w:r>
          </w:p>
        </w:tc>
        <w:tc>
          <w:tcPr>
            <w:tcW w:w="1347" w:type="pct"/>
            <w:shd w:val="clear" w:color="auto" w:fill="auto"/>
          </w:tcPr>
          <w:p w14:paraId="25019191" w14:textId="77777777" w:rsidR="002D237A" w:rsidRPr="00DC249A" w:rsidRDefault="002D237A" w:rsidP="002D237A">
            <w:pPr>
              <w:tabs>
                <w:tab w:val="decimal" w:pos="1026"/>
              </w:tabs>
              <w:jc w:val="right"/>
            </w:pPr>
            <w:r w:rsidRPr="00E80B02">
              <w:t>115</w:t>
            </w:r>
            <w:r>
              <w:t>,9</w:t>
            </w:r>
          </w:p>
        </w:tc>
      </w:tr>
      <w:tr w:rsidR="002D237A" w:rsidRPr="00DC249A" w14:paraId="25019197" w14:textId="77777777" w:rsidTr="00B23249">
        <w:tc>
          <w:tcPr>
            <w:tcW w:w="426" w:type="pct"/>
            <w:vMerge/>
            <w:shd w:val="clear" w:color="auto" w:fill="auto"/>
          </w:tcPr>
          <w:p w14:paraId="25019193" w14:textId="77777777" w:rsidR="002D237A" w:rsidRPr="00DC249A" w:rsidRDefault="002D237A" w:rsidP="005150FC"/>
        </w:tc>
        <w:tc>
          <w:tcPr>
            <w:tcW w:w="1287" w:type="pct"/>
            <w:vMerge/>
            <w:shd w:val="clear" w:color="auto" w:fill="auto"/>
            <w:hideMark/>
          </w:tcPr>
          <w:p w14:paraId="25019194" w14:textId="77777777" w:rsidR="002D237A" w:rsidRPr="00DC249A" w:rsidRDefault="002D237A" w:rsidP="005150FC"/>
        </w:tc>
        <w:tc>
          <w:tcPr>
            <w:tcW w:w="1940" w:type="pct"/>
            <w:shd w:val="clear" w:color="auto" w:fill="auto"/>
            <w:hideMark/>
          </w:tcPr>
          <w:p w14:paraId="25019195" w14:textId="77777777" w:rsidR="002D237A" w:rsidRPr="00DC249A" w:rsidRDefault="002D237A" w:rsidP="007F7731">
            <w:r w:rsidRPr="00DC249A">
              <w:t xml:space="preserve">2. </w:t>
            </w:r>
            <w:r>
              <w:t>Japan</w:t>
            </w:r>
          </w:p>
        </w:tc>
        <w:tc>
          <w:tcPr>
            <w:tcW w:w="1347" w:type="pct"/>
            <w:shd w:val="clear" w:color="auto" w:fill="auto"/>
          </w:tcPr>
          <w:p w14:paraId="25019196" w14:textId="77777777" w:rsidR="002D237A" w:rsidRPr="00DC249A" w:rsidRDefault="002D237A" w:rsidP="002D237A">
            <w:pPr>
              <w:tabs>
                <w:tab w:val="decimal" w:pos="1026"/>
              </w:tabs>
              <w:jc w:val="right"/>
            </w:pPr>
            <w:r>
              <w:t>63,9</w:t>
            </w:r>
          </w:p>
        </w:tc>
      </w:tr>
      <w:tr w:rsidR="002D237A" w:rsidRPr="00DC249A" w14:paraId="2501919C" w14:textId="77777777" w:rsidTr="00B23249">
        <w:tc>
          <w:tcPr>
            <w:tcW w:w="426" w:type="pct"/>
            <w:vMerge/>
            <w:shd w:val="clear" w:color="auto" w:fill="auto"/>
          </w:tcPr>
          <w:p w14:paraId="25019198" w14:textId="77777777" w:rsidR="002D237A" w:rsidRPr="00DC249A" w:rsidRDefault="002D237A" w:rsidP="005150FC"/>
        </w:tc>
        <w:tc>
          <w:tcPr>
            <w:tcW w:w="1287" w:type="pct"/>
            <w:vMerge/>
            <w:shd w:val="clear" w:color="auto" w:fill="auto"/>
          </w:tcPr>
          <w:p w14:paraId="25019199" w14:textId="77777777" w:rsidR="002D237A" w:rsidRPr="00DC249A" w:rsidRDefault="002D237A" w:rsidP="005150FC"/>
        </w:tc>
        <w:tc>
          <w:tcPr>
            <w:tcW w:w="1940" w:type="pct"/>
            <w:shd w:val="clear" w:color="auto" w:fill="auto"/>
            <w:hideMark/>
          </w:tcPr>
          <w:p w14:paraId="2501919A" w14:textId="77777777" w:rsidR="002D237A" w:rsidRPr="00AB7041" w:rsidRDefault="002D237A" w:rsidP="00662278">
            <w:pPr>
              <w:rPr>
                <w:b/>
              </w:rPr>
            </w:pPr>
            <w:r w:rsidRPr="00AB7041">
              <w:rPr>
                <w:b/>
              </w:rPr>
              <w:t>13. Ne</w:t>
            </w:r>
            <w:r>
              <w:rPr>
                <w:b/>
              </w:rPr>
              <w:t>d</w:t>
            </w:r>
            <w:r w:rsidRPr="00AB7041">
              <w:rPr>
                <w:b/>
              </w:rPr>
              <w:t>erland</w:t>
            </w:r>
          </w:p>
        </w:tc>
        <w:tc>
          <w:tcPr>
            <w:tcW w:w="1347" w:type="pct"/>
            <w:shd w:val="clear" w:color="auto" w:fill="auto"/>
          </w:tcPr>
          <w:p w14:paraId="2501919B" w14:textId="77777777" w:rsidR="002D237A" w:rsidRPr="00AB7041" w:rsidRDefault="002D237A" w:rsidP="002D237A">
            <w:pPr>
              <w:tabs>
                <w:tab w:val="decimal" w:pos="1026"/>
              </w:tabs>
              <w:jc w:val="right"/>
              <w:rPr>
                <w:b/>
              </w:rPr>
            </w:pPr>
            <w:r w:rsidRPr="00AB7041">
              <w:rPr>
                <w:b/>
              </w:rPr>
              <w:t>9</w:t>
            </w:r>
            <w:r>
              <w:rPr>
                <w:b/>
              </w:rPr>
              <w:t>,5</w:t>
            </w:r>
          </w:p>
        </w:tc>
      </w:tr>
      <w:tr w:rsidR="002D237A" w:rsidRPr="00DC249A" w14:paraId="250191A1" w14:textId="77777777" w:rsidTr="00B23249">
        <w:tc>
          <w:tcPr>
            <w:tcW w:w="426" w:type="pct"/>
            <w:vMerge/>
            <w:shd w:val="clear" w:color="auto" w:fill="auto"/>
          </w:tcPr>
          <w:p w14:paraId="2501919D" w14:textId="77777777" w:rsidR="002D237A" w:rsidRPr="00DC249A" w:rsidRDefault="002D237A" w:rsidP="005150FC"/>
        </w:tc>
        <w:tc>
          <w:tcPr>
            <w:tcW w:w="1287" w:type="pct"/>
            <w:vMerge w:val="restart"/>
            <w:shd w:val="clear" w:color="auto" w:fill="auto"/>
            <w:hideMark/>
          </w:tcPr>
          <w:p w14:paraId="2501919E" w14:textId="77777777" w:rsidR="002D237A" w:rsidRPr="00DC249A" w:rsidRDefault="002D237A" w:rsidP="005150FC">
            <w:r w:rsidRPr="00DC249A">
              <w:t>Non-core-bijdragen</w:t>
            </w:r>
          </w:p>
        </w:tc>
        <w:tc>
          <w:tcPr>
            <w:tcW w:w="1940" w:type="pct"/>
            <w:shd w:val="clear" w:color="auto" w:fill="auto"/>
            <w:hideMark/>
          </w:tcPr>
          <w:p w14:paraId="2501919F" w14:textId="77777777" w:rsidR="002D237A" w:rsidRPr="00DC249A" w:rsidRDefault="002D237A" w:rsidP="00662278">
            <w:r w:rsidRPr="00DC249A">
              <w:t xml:space="preserve">1. </w:t>
            </w:r>
            <w:r>
              <w:t>Europese Unie</w:t>
            </w:r>
          </w:p>
        </w:tc>
        <w:tc>
          <w:tcPr>
            <w:tcW w:w="1347" w:type="pct"/>
            <w:shd w:val="clear" w:color="auto" w:fill="auto"/>
          </w:tcPr>
          <w:p w14:paraId="250191A0" w14:textId="77777777" w:rsidR="002D237A" w:rsidRPr="00DC249A" w:rsidRDefault="002D237A" w:rsidP="002D237A">
            <w:pPr>
              <w:tabs>
                <w:tab w:val="decimal" w:pos="1026"/>
              </w:tabs>
              <w:jc w:val="right"/>
            </w:pPr>
            <w:r>
              <w:t>176,3</w:t>
            </w:r>
          </w:p>
        </w:tc>
      </w:tr>
      <w:tr w:rsidR="002D237A" w:rsidRPr="00DC249A" w14:paraId="250191A6" w14:textId="77777777" w:rsidTr="00B23249">
        <w:tc>
          <w:tcPr>
            <w:tcW w:w="426" w:type="pct"/>
            <w:vMerge/>
            <w:shd w:val="clear" w:color="auto" w:fill="auto"/>
          </w:tcPr>
          <w:p w14:paraId="250191A2" w14:textId="77777777" w:rsidR="002D237A" w:rsidRPr="00DC249A" w:rsidRDefault="002D237A" w:rsidP="005150FC"/>
        </w:tc>
        <w:tc>
          <w:tcPr>
            <w:tcW w:w="1287" w:type="pct"/>
            <w:vMerge/>
            <w:shd w:val="clear" w:color="auto" w:fill="auto"/>
          </w:tcPr>
          <w:p w14:paraId="250191A3" w14:textId="77777777" w:rsidR="002D237A" w:rsidRPr="00DC249A" w:rsidRDefault="002D237A" w:rsidP="005150FC"/>
        </w:tc>
        <w:tc>
          <w:tcPr>
            <w:tcW w:w="1940" w:type="pct"/>
            <w:shd w:val="clear" w:color="auto" w:fill="auto"/>
            <w:hideMark/>
          </w:tcPr>
          <w:p w14:paraId="250191A4" w14:textId="77777777" w:rsidR="002D237A" w:rsidRPr="00DC249A" w:rsidRDefault="002D237A" w:rsidP="00662278">
            <w:r w:rsidRPr="00DC249A">
              <w:t xml:space="preserve">2. </w:t>
            </w:r>
            <w:r>
              <w:t>Verenigd Koninkrijk</w:t>
            </w:r>
          </w:p>
        </w:tc>
        <w:tc>
          <w:tcPr>
            <w:tcW w:w="1347" w:type="pct"/>
            <w:shd w:val="clear" w:color="auto" w:fill="auto"/>
          </w:tcPr>
          <w:p w14:paraId="250191A5" w14:textId="77777777" w:rsidR="002D237A" w:rsidRPr="00DC249A" w:rsidRDefault="002D237A" w:rsidP="002D237A">
            <w:pPr>
              <w:tabs>
                <w:tab w:val="decimal" w:pos="1026"/>
              </w:tabs>
              <w:jc w:val="right"/>
            </w:pPr>
            <w:r>
              <w:t>82,4</w:t>
            </w:r>
          </w:p>
        </w:tc>
      </w:tr>
      <w:tr w:rsidR="002D237A" w:rsidRPr="0037209D" w14:paraId="250191AB" w14:textId="77777777" w:rsidTr="00B23249">
        <w:tc>
          <w:tcPr>
            <w:tcW w:w="426" w:type="pct"/>
            <w:vMerge/>
            <w:shd w:val="clear" w:color="auto" w:fill="auto"/>
          </w:tcPr>
          <w:p w14:paraId="250191A7" w14:textId="77777777" w:rsidR="002D237A" w:rsidRPr="0037209D" w:rsidRDefault="002D237A" w:rsidP="005150FC">
            <w:pPr>
              <w:rPr>
                <w:b/>
              </w:rPr>
            </w:pPr>
          </w:p>
        </w:tc>
        <w:tc>
          <w:tcPr>
            <w:tcW w:w="1287" w:type="pct"/>
            <w:vMerge/>
            <w:shd w:val="clear" w:color="auto" w:fill="auto"/>
          </w:tcPr>
          <w:p w14:paraId="250191A8" w14:textId="77777777" w:rsidR="002D237A" w:rsidRPr="0037209D" w:rsidRDefault="002D237A" w:rsidP="005150FC">
            <w:pPr>
              <w:rPr>
                <w:b/>
              </w:rPr>
            </w:pPr>
          </w:p>
        </w:tc>
        <w:tc>
          <w:tcPr>
            <w:tcW w:w="1940" w:type="pct"/>
            <w:shd w:val="clear" w:color="auto" w:fill="auto"/>
          </w:tcPr>
          <w:p w14:paraId="250191A9" w14:textId="77777777" w:rsidR="002D237A" w:rsidRPr="00AB7041" w:rsidRDefault="002D237A" w:rsidP="00662278">
            <w:pPr>
              <w:rPr>
                <w:b/>
              </w:rPr>
            </w:pPr>
            <w:r w:rsidRPr="00AB7041">
              <w:rPr>
                <w:b/>
              </w:rPr>
              <w:t>20. Ne</w:t>
            </w:r>
            <w:r>
              <w:rPr>
                <w:b/>
              </w:rPr>
              <w:t>derland</w:t>
            </w:r>
          </w:p>
        </w:tc>
        <w:tc>
          <w:tcPr>
            <w:tcW w:w="1347" w:type="pct"/>
            <w:shd w:val="clear" w:color="auto" w:fill="auto"/>
          </w:tcPr>
          <w:p w14:paraId="250191AA" w14:textId="77777777" w:rsidR="002D237A" w:rsidRPr="00AB7041" w:rsidRDefault="002D237A" w:rsidP="002D237A">
            <w:pPr>
              <w:tabs>
                <w:tab w:val="decimal" w:pos="1026"/>
              </w:tabs>
              <w:jc w:val="right"/>
              <w:rPr>
                <w:b/>
              </w:rPr>
            </w:pPr>
            <w:r w:rsidRPr="00AB7041">
              <w:rPr>
                <w:b/>
              </w:rPr>
              <w:t>7</w:t>
            </w:r>
            <w:r>
              <w:rPr>
                <w:b/>
              </w:rPr>
              <w:t>,9</w:t>
            </w:r>
          </w:p>
        </w:tc>
      </w:tr>
      <w:tr w:rsidR="002D237A" w:rsidRPr="00DC249A" w14:paraId="250191B0" w14:textId="77777777" w:rsidTr="00B23249">
        <w:tc>
          <w:tcPr>
            <w:tcW w:w="426" w:type="pct"/>
            <w:vMerge/>
            <w:shd w:val="clear" w:color="auto" w:fill="auto"/>
          </w:tcPr>
          <w:p w14:paraId="250191AC" w14:textId="77777777" w:rsidR="002D237A" w:rsidRPr="00DC249A" w:rsidRDefault="002D237A" w:rsidP="0037209D">
            <w:pPr>
              <w:ind w:right="-211"/>
            </w:pPr>
          </w:p>
        </w:tc>
        <w:tc>
          <w:tcPr>
            <w:tcW w:w="1287" w:type="pct"/>
            <w:vMerge w:val="restart"/>
            <w:shd w:val="clear" w:color="auto" w:fill="auto"/>
          </w:tcPr>
          <w:p w14:paraId="250191AD" w14:textId="77777777" w:rsidR="002D237A" w:rsidRPr="00DC249A" w:rsidRDefault="002D237A" w:rsidP="0037209D">
            <w:pPr>
              <w:ind w:right="-211"/>
            </w:pPr>
            <w:r w:rsidRPr="00662278">
              <w:t>Totaal bijdrage</w:t>
            </w:r>
          </w:p>
        </w:tc>
        <w:tc>
          <w:tcPr>
            <w:tcW w:w="1940" w:type="pct"/>
            <w:shd w:val="clear" w:color="auto" w:fill="auto"/>
          </w:tcPr>
          <w:p w14:paraId="250191AE" w14:textId="77777777" w:rsidR="002D237A" w:rsidRPr="00DC249A" w:rsidRDefault="002D237A" w:rsidP="007F7731">
            <w:r w:rsidRPr="00DC249A">
              <w:t xml:space="preserve">1. </w:t>
            </w:r>
            <w:r>
              <w:t>Europese Unie</w:t>
            </w:r>
          </w:p>
        </w:tc>
        <w:tc>
          <w:tcPr>
            <w:tcW w:w="1347" w:type="pct"/>
            <w:shd w:val="clear" w:color="auto" w:fill="auto"/>
          </w:tcPr>
          <w:p w14:paraId="250191AF" w14:textId="77777777" w:rsidR="002D237A" w:rsidRPr="00DC249A" w:rsidRDefault="002D237A" w:rsidP="002D237A">
            <w:pPr>
              <w:tabs>
                <w:tab w:val="decimal" w:pos="1026"/>
              </w:tabs>
              <w:jc w:val="right"/>
            </w:pPr>
            <w:r>
              <w:t>176,3</w:t>
            </w:r>
          </w:p>
        </w:tc>
      </w:tr>
      <w:tr w:rsidR="002D237A" w:rsidRPr="00DC249A" w14:paraId="250191B5" w14:textId="77777777" w:rsidTr="00B23249">
        <w:tc>
          <w:tcPr>
            <w:tcW w:w="426" w:type="pct"/>
            <w:vMerge/>
            <w:shd w:val="clear" w:color="auto" w:fill="auto"/>
            <w:hideMark/>
          </w:tcPr>
          <w:p w14:paraId="250191B1" w14:textId="77777777" w:rsidR="002D237A" w:rsidRPr="00DC249A" w:rsidRDefault="002D237A" w:rsidP="0037209D">
            <w:pPr>
              <w:ind w:right="-211"/>
            </w:pPr>
          </w:p>
        </w:tc>
        <w:tc>
          <w:tcPr>
            <w:tcW w:w="1287" w:type="pct"/>
            <w:vMerge/>
            <w:shd w:val="clear" w:color="auto" w:fill="auto"/>
            <w:hideMark/>
          </w:tcPr>
          <w:p w14:paraId="250191B2" w14:textId="77777777" w:rsidR="002D237A" w:rsidRPr="00DC249A" w:rsidRDefault="002D237A" w:rsidP="0037209D">
            <w:pPr>
              <w:ind w:right="-211"/>
            </w:pPr>
          </w:p>
        </w:tc>
        <w:tc>
          <w:tcPr>
            <w:tcW w:w="1940" w:type="pct"/>
            <w:shd w:val="clear" w:color="auto" w:fill="auto"/>
            <w:hideMark/>
          </w:tcPr>
          <w:p w14:paraId="250191B3" w14:textId="77777777" w:rsidR="002D237A" w:rsidRPr="00DC249A" w:rsidRDefault="002D237A" w:rsidP="00662278">
            <w:r w:rsidRPr="00DC249A">
              <w:t xml:space="preserve">2. </w:t>
            </w:r>
            <w:r>
              <w:t>Verenigde Staten</w:t>
            </w:r>
          </w:p>
        </w:tc>
        <w:tc>
          <w:tcPr>
            <w:tcW w:w="1347" w:type="pct"/>
            <w:shd w:val="clear" w:color="auto" w:fill="auto"/>
          </w:tcPr>
          <w:p w14:paraId="250191B4" w14:textId="77777777" w:rsidR="002D237A" w:rsidRPr="00DC249A" w:rsidRDefault="002D237A" w:rsidP="002D237A">
            <w:pPr>
              <w:tabs>
                <w:tab w:val="decimal" w:pos="1026"/>
              </w:tabs>
              <w:jc w:val="right"/>
            </w:pPr>
            <w:r>
              <w:t>174,5</w:t>
            </w:r>
          </w:p>
        </w:tc>
      </w:tr>
      <w:tr w:rsidR="002D237A" w:rsidRPr="00DC249A" w14:paraId="250191BA" w14:textId="77777777" w:rsidTr="00B23249">
        <w:tc>
          <w:tcPr>
            <w:tcW w:w="426" w:type="pct"/>
            <w:vMerge/>
            <w:shd w:val="clear" w:color="auto" w:fill="auto"/>
          </w:tcPr>
          <w:p w14:paraId="250191B6" w14:textId="77777777" w:rsidR="002D237A" w:rsidRPr="00DC249A" w:rsidRDefault="002D237A" w:rsidP="0037209D">
            <w:pPr>
              <w:ind w:right="-211"/>
            </w:pPr>
          </w:p>
        </w:tc>
        <w:tc>
          <w:tcPr>
            <w:tcW w:w="1287" w:type="pct"/>
            <w:vMerge/>
            <w:shd w:val="clear" w:color="auto" w:fill="auto"/>
          </w:tcPr>
          <w:p w14:paraId="250191B7" w14:textId="77777777" w:rsidR="002D237A" w:rsidRPr="00DC249A" w:rsidRDefault="002D237A" w:rsidP="0037209D">
            <w:pPr>
              <w:ind w:right="-211"/>
            </w:pPr>
          </w:p>
        </w:tc>
        <w:tc>
          <w:tcPr>
            <w:tcW w:w="1940" w:type="pct"/>
            <w:shd w:val="clear" w:color="auto" w:fill="auto"/>
            <w:hideMark/>
          </w:tcPr>
          <w:p w14:paraId="250191B8" w14:textId="77777777" w:rsidR="002D237A" w:rsidRPr="008E1C34" w:rsidRDefault="002D237A" w:rsidP="00662278">
            <w:pPr>
              <w:rPr>
                <w:b/>
              </w:rPr>
            </w:pPr>
            <w:r>
              <w:rPr>
                <w:b/>
              </w:rPr>
              <w:t xml:space="preserve">17. </w:t>
            </w:r>
            <w:r w:rsidRPr="008E1C34">
              <w:rPr>
                <w:b/>
              </w:rPr>
              <w:t>Ne</w:t>
            </w:r>
            <w:r>
              <w:rPr>
                <w:b/>
              </w:rPr>
              <w:t>d</w:t>
            </w:r>
            <w:r w:rsidRPr="008E1C34">
              <w:rPr>
                <w:b/>
              </w:rPr>
              <w:t>erland</w:t>
            </w:r>
          </w:p>
        </w:tc>
        <w:tc>
          <w:tcPr>
            <w:tcW w:w="1347" w:type="pct"/>
            <w:shd w:val="clear" w:color="auto" w:fill="auto"/>
          </w:tcPr>
          <w:p w14:paraId="250191B9" w14:textId="77777777" w:rsidR="002D237A" w:rsidRPr="008E1C34" w:rsidRDefault="002D237A" w:rsidP="002D237A">
            <w:pPr>
              <w:tabs>
                <w:tab w:val="decimal" w:pos="1026"/>
              </w:tabs>
              <w:jc w:val="right"/>
              <w:rPr>
                <w:b/>
              </w:rPr>
            </w:pPr>
            <w:r>
              <w:rPr>
                <w:b/>
              </w:rPr>
              <w:t>17,3</w:t>
            </w:r>
          </w:p>
        </w:tc>
      </w:tr>
    </w:tbl>
    <w:p w14:paraId="250191BB" w14:textId="77777777" w:rsidR="00676FCE" w:rsidRDefault="00676FC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2045"/>
        <w:gridCol w:w="3082"/>
        <w:gridCol w:w="2140"/>
      </w:tblGrid>
      <w:tr w:rsidR="00662278" w:rsidRPr="00DC249A" w14:paraId="250191C0" w14:textId="77777777" w:rsidTr="00B23249">
        <w:tc>
          <w:tcPr>
            <w:tcW w:w="426" w:type="pct"/>
            <w:shd w:val="clear" w:color="auto" w:fill="auto"/>
          </w:tcPr>
          <w:p w14:paraId="250191BC" w14:textId="77777777" w:rsidR="00662278" w:rsidRPr="00676FCE" w:rsidRDefault="00676FCE" w:rsidP="0037209D">
            <w:pPr>
              <w:ind w:right="-211"/>
              <w:rPr>
                <w:b/>
              </w:rPr>
            </w:pPr>
            <w:r w:rsidRPr="00676FCE">
              <w:rPr>
                <w:b/>
              </w:rPr>
              <w:t>Jaar</w:t>
            </w:r>
          </w:p>
        </w:tc>
        <w:tc>
          <w:tcPr>
            <w:tcW w:w="1287" w:type="pct"/>
            <w:shd w:val="clear" w:color="auto" w:fill="auto"/>
          </w:tcPr>
          <w:p w14:paraId="250191BD" w14:textId="77777777" w:rsidR="00662278" w:rsidRPr="00676FCE" w:rsidRDefault="00676FCE" w:rsidP="0037209D">
            <w:pPr>
              <w:ind w:right="-211"/>
              <w:rPr>
                <w:b/>
              </w:rPr>
            </w:pPr>
            <w:r w:rsidRPr="00676FCE">
              <w:rPr>
                <w:b/>
              </w:rPr>
              <w:t>Bijdrage</w:t>
            </w:r>
          </w:p>
        </w:tc>
        <w:tc>
          <w:tcPr>
            <w:tcW w:w="1940" w:type="pct"/>
            <w:shd w:val="clear" w:color="auto" w:fill="auto"/>
            <w:hideMark/>
          </w:tcPr>
          <w:p w14:paraId="250191BE" w14:textId="77777777" w:rsidR="00662278" w:rsidRPr="00676FCE" w:rsidRDefault="00676FCE" w:rsidP="00662278">
            <w:pPr>
              <w:rPr>
                <w:b/>
              </w:rPr>
            </w:pPr>
            <w:r w:rsidRPr="00676FCE">
              <w:rPr>
                <w:b/>
              </w:rPr>
              <w:t>Ranking/donor</w:t>
            </w:r>
          </w:p>
        </w:tc>
        <w:tc>
          <w:tcPr>
            <w:tcW w:w="1347" w:type="pct"/>
            <w:shd w:val="clear" w:color="auto" w:fill="auto"/>
          </w:tcPr>
          <w:p w14:paraId="250191BF" w14:textId="77777777" w:rsidR="00662278" w:rsidRPr="00676FCE" w:rsidRDefault="00676FCE" w:rsidP="00676FCE">
            <w:pPr>
              <w:tabs>
                <w:tab w:val="decimal" w:pos="1026"/>
              </w:tabs>
              <w:jc w:val="center"/>
              <w:rPr>
                <w:b/>
              </w:rPr>
            </w:pPr>
            <w:r w:rsidRPr="00676FCE">
              <w:rPr>
                <w:b/>
              </w:rPr>
              <w:t>Bedrag</w:t>
            </w:r>
          </w:p>
        </w:tc>
      </w:tr>
      <w:tr w:rsidR="00676FCE" w:rsidRPr="00DC249A" w14:paraId="250191C5" w14:textId="77777777" w:rsidTr="00676FCE">
        <w:tc>
          <w:tcPr>
            <w:tcW w:w="426" w:type="pct"/>
            <w:shd w:val="clear" w:color="auto" w:fill="D9D9D9" w:themeFill="background1" w:themeFillShade="D9"/>
          </w:tcPr>
          <w:p w14:paraId="250191C1" w14:textId="77777777" w:rsidR="00676FCE" w:rsidRPr="00676FCE" w:rsidRDefault="00676FCE" w:rsidP="0037209D">
            <w:pPr>
              <w:ind w:right="-211"/>
              <w:rPr>
                <w:b/>
              </w:rPr>
            </w:pPr>
          </w:p>
        </w:tc>
        <w:tc>
          <w:tcPr>
            <w:tcW w:w="1287" w:type="pct"/>
            <w:shd w:val="clear" w:color="auto" w:fill="D9D9D9" w:themeFill="background1" w:themeFillShade="D9"/>
          </w:tcPr>
          <w:p w14:paraId="250191C2" w14:textId="77777777" w:rsidR="00676FCE" w:rsidRPr="00676FCE" w:rsidRDefault="00676FCE" w:rsidP="0037209D">
            <w:pPr>
              <w:ind w:right="-211"/>
              <w:rPr>
                <w:b/>
              </w:rPr>
            </w:pPr>
          </w:p>
        </w:tc>
        <w:tc>
          <w:tcPr>
            <w:tcW w:w="1940" w:type="pct"/>
            <w:shd w:val="clear" w:color="auto" w:fill="D9D9D9" w:themeFill="background1" w:themeFillShade="D9"/>
          </w:tcPr>
          <w:p w14:paraId="250191C3" w14:textId="77777777" w:rsidR="00676FCE" w:rsidRPr="00676FCE" w:rsidRDefault="00676FCE" w:rsidP="00662278">
            <w:pPr>
              <w:rPr>
                <w:b/>
              </w:rPr>
            </w:pPr>
          </w:p>
        </w:tc>
        <w:tc>
          <w:tcPr>
            <w:tcW w:w="1347" w:type="pct"/>
            <w:shd w:val="clear" w:color="auto" w:fill="D9D9D9" w:themeFill="background1" w:themeFillShade="D9"/>
          </w:tcPr>
          <w:p w14:paraId="250191C4" w14:textId="77777777" w:rsidR="00676FCE" w:rsidRPr="00676FCE" w:rsidRDefault="00676FCE" w:rsidP="00676FCE">
            <w:pPr>
              <w:tabs>
                <w:tab w:val="decimal" w:pos="1026"/>
              </w:tabs>
              <w:jc w:val="center"/>
              <w:rPr>
                <w:b/>
              </w:rPr>
            </w:pPr>
          </w:p>
        </w:tc>
      </w:tr>
      <w:tr w:rsidR="002D237A" w:rsidRPr="00DC249A" w14:paraId="250191CA" w14:textId="77777777" w:rsidTr="00B23249">
        <w:tc>
          <w:tcPr>
            <w:tcW w:w="426" w:type="pct"/>
            <w:vMerge w:val="restart"/>
            <w:shd w:val="clear" w:color="auto" w:fill="auto"/>
          </w:tcPr>
          <w:p w14:paraId="250191C6" w14:textId="77777777" w:rsidR="002D237A" w:rsidRPr="00DC249A" w:rsidRDefault="002D237A" w:rsidP="0037209D">
            <w:pPr>
              <w:ind w:right="-211"/>
            </w:pPr>
            <w:r>
              <w:t>2014</w:t>
            </w:r>
          </w:p>
        </w:tc>
        <w:tc>
          <w:tcPr>
            <w:tcW w:w="1287" w:type="pct"/>
            <w:vMerge w:val="restart"/>
            <w:shd w:val="clear" w:color="auto" w:fill="auto"/>
          </w:tcPr>
          <w:p w14:paraId="250191C7" w14:textId="77777777" w:rsidR="002D237A" w:rsidRPr="00662278" w:rsidRDefault="002D237A" w:rsidP="0037209D">
            <w:pPr>
              <w:ind w:right="-211"/>
            </w:pPr>
            <w:r>
              <w:t>Core-bijdragen</w:t>
            </w:r>
          </w:p>
        </w:tc>
        <w:tc>
          <w:tcPr>
            <w:tcW w:w="1940" w:type="pct"/>
            <w:shd w:val="clear" w:color="auto" w:fill="auto"/>
          </w:tcPr>
          <w:p w14:paraId="250191C8" w14:textId="77777777" w:rsidR="002D237A" w:rsidRPr="00DC249A" w:rsidRDefault="002D237A" w:rsidP="00662278">
            <w:r w:rsidRPr="00DC249A">
              <w:t xml:space="preserve">1. </w:t>
            </w:r>
            <w:r>
              <w:t>Verenigde Staten</w:t>
            </w:r>
          </w:p>
        </w:tc>
        <w:tc>
          <w:tcPr>
            <w:tcW w:w="1347" w:type="pct"/>
            <w:shd w:val="clear" w:color="auto" w:fill="auto"/>
          </w:tcPr>
          <w:p w14:paraId="250191C9" w14:textId="77777777" w:rsidR="002D237A" w:rsidRPr="00AB7041" w:rsidRDefault="002D237A" w:rsidP="002D237A">
            <w:pPr>
              <w:tabs>
                <w:tab w:val="decimal" w:pos="1026"/>
              </w:tabs>
              <w:jc w:val="right"/>
            </w:pPr>
            <w:r w:rsidRPr="00AB7041">
              <w:t>116</w:t>
            </w:r>
            <w:r>
              <w:t>,2</w:t>
            </w:r>
          </w:p>
        </w:tc>
      </w:tr>
      <w:tr w:rsidR="002D237A" w:rsidRPr="00DC249A" w14:paraId="250191CF" w14:textId="77777777" w:rsidTr="00B23249">
        <w:tc>
          <w:tcPr>
            <w:tcW w:w="426" w:type="pct"/>
            <w:vMerge/>
            <w:shd w:val="clear" w:color="auto" w:fill="auto"/>
          </w:tcPr>
          <w:p w14:paraId="250191CB" w14:textId="77777777" w:rsidR="002D237A" w:rsidRPr="00DC249A" w:rsidRDefault="002D237A" w:rsidP="0037209D">
            <w:pPr>
              <w:ind w:right="-211"/>
            </w:pPr>
          </w:p>
        </w:tc>
        <w:tc>
          <w:tcPr>
            <w:tcW w:w="1287" w:type="pct"/>
            <w:vMerge/>
            <w:shd w:val="clear" w:color="auto" w:fill="auto"/>
          </w:tcPr>
          <w:p w14:paraId="250191CC" w14:textId="77777777" w:rsidR="002D237A" w:rsidRPr="00DC249A" w:rsidRDefault="002D237A" w:rsidP="0037209D">
            <w:pPr>
              <w:ind w:right="-211"/>
            </w:pPr>
          </w:p>
        </w:tc>
        <w:tc>
          <w:tcPr>
            <w:tcW w:w="1940" w:type="pct"/>
            <w:shd w:val="clear" w:color="auto" w:fill="auto"/>
            <w:hideMark/>
          </w:tcPr>
          <w:p w14:paraId="250191CD" w14:textId="77777777" w:rsidR="002D237A" w:rsidRPr="00DC249A" w:rsidRDefault="002D237A" w:rsidP="007F7731">
            <w:r w:rsidRPr="00DC249A">
              <w:t xml:space="preserve">2. </w:t>
            </w:r>
            <w:r>
              <w:t>Japan</w:t>
            </w:r>
          </w:p>
        </w:tc>
        <w:tc>
          <w:tcPr>
            <w:tcW w:w="1347" w:type="pct"/>
            <w:shd w:val="clear" w:color="auto" w:fill="auto"/>
          </w:tcPr>
          <w:p w14:paraId="250191CE" w14:textId="77777777" w:rsidR="002D237A" w:rsidRPr="00AB7041" w:rsidRDefault="002D237A" w:rsidP="002D237A">
            <w:pPr>
              <w:tabs>
                <w:tab w:val="decimal" w:pos="1026"/>
              </w:tabs>
              <w:jc w:val="right"/>
            </w:pPr>
            <w:r>
              <w:t>55,0</w:t>
            </w:r>
          </w:p>
        </w:tc>
      </w:tr>
      <w:tr w:rsidR="002D237A" w:rsidRPr="00DC249A" w14:paraId="250191D4" w14:textId="77777777" w:rsidTr="00B23249">
        <w:tc>
          <w:tcPr>
            <w:tcW w:w="426" w:type="pct"/>
            <w:vMerge/>
            <w:shd w:val="clear" w:color="auto" w:fill="auto"/>
          </w:tcPr>
          <w:p w14:paraId="250191D0" w14:textId="77777777" w:rsidR="002D237A" w:rsidRPr="00DC249A" w:rsidRDefault="002D237A" w:rsidP="0037209D">
            <w:pPr>
              <w:ind w:right="-211"/>
            </w:pPr>
          </w:p>
        </w:tc>
        <w:tc>
          <w:tcPr>
            <w:tcW w:w="1287" w:type="pct"/>
            <w:vMerge/>
            <w:shd w:val="clear" w:color="auto" w:fill="auto"/>
          </w:tcPr>
          <w:p w14:paraId="250191D1" w14:textId="77777777" w:rsidR="002D237A" w:rsidRPr="00DC249A" w:rsidRDefault="002D237A" w:rsidP="0037209D">
            <w:pPr>
              <w:ind w:right="-211"/>
            </w:pPr>
          </w:p>
        </w:tc>
        <w:tc>
          <w:tcPr>
            <w:tcW w:w="1940" w:type="pct"/>
            <w:shd w:val="clear" w:color="auto" w:fill="auto"/>
            <w:hideMark/>
          </w:tcPr>
          <w:p w14:paraId="250191D2" w14:textId="77777777" w:rsidR="002D237A" w:rsidRPr="00AB7041" w:rsidRDefault="002D237A" w:rsidP="00662278">
            <w:pPr>
              <w:rPr>
                <w:b/>
              </w:rPr>
            </w:pPr>
            <w:r w:rsidRPr="00AB7041">
              <w:rPr>
                <w:b/>
              </w:rPr>
              <w:t>15. Ne</w:t>
            </w:r>
            <w:r>
              <w:rPr>
                <w:b/>
              </w:rPr>
              <w:t>derland</w:t>
            </w:r>
          </w:p>
        </w:tc>
        <w:tc>
          <w:tcPr>
            <w:tcW w:w="1347" w:type="pct"/>
            <w:shd w:val="clear" w:color="auto" w:fill="auto"/>
          </w:tcPr>
          <w:p w14:paraId="250191D3" w14:textId="77777777" w:rsidR="002D237A" w:rsidRPr="00AB7041" w:rsidRDefault="002D237A" w:rsidP="002D237A">
            <w:pPr>
              <w:tabs>
                <w:tab w:val="decimal" w:pos="1026"/>
              </w:tabs>
              <w:jc w:val="right"/>
              <w:rPr>
                <w:b/>
              </w:rPr>
            </w:pPr>
            <w:r w:rsidRPr="00AB7041">
              <w:rPr>
                <w:b/>
              </w:rPr>
              <w:t>8</w:t>
            </w:r>
            <w:r>
              <w:rPr>
                <w:b/>
              </w:rPr>
              <w:t>,4</w:t>
            </w:r>
          </w:p>
        </w:tc>
      </w:tr>
      <w:tr w:rsidR="002D237A" w:rsidRPr="00DC249A" w14:paraId="250191D9" w14:textId="77777777" w:rsidTr="00B23249">
        <w:tc>
          <w:tcPr>
            <w:tcW w:w="426" w:type="pct"/>
            <w:vMerge/>
            <w:shd w:val="clear" w:color="auto" w:fill="auto"/>
          </w:tcPr>
          <w:p w14:paraId="250191D5" w14:textId="77777777" w:rsidR="002D237A" w:rsidRPr="00DC249A" w:rsidRDefault="002D237A" w:rsidP="0037209D">
            <w:pPr>
              <w:ind w:right="-211"/>
            </w:pPr>
          </w:p>
        </w:tc>
        <w:tc>
          <w:tcPr>
            <w:tcW w:w="1287" w:type="pct"/>
            <w:vMerge w:val="restart"/>
            <w:shd w:val="clear" w:color="auto" w:fill="auto"/>
          </w:tcPr>
          <w:p w14:paraId="250191D6" w14:textId="77777777" w:rsidR="002D237A" w:rsidRPr="00DC249A" w:rsidRDefault="002D237A" w:rsidP="0037209D">
            <w:pPr>
              <w:ind w:right="-211"/>
            </w:pPr>
            <w:r w:rsidRPr="00DC249A">
              <w:t>Non-core-bijdragen</w:t>
            </w:r>
          </w:p>
        </w:tc>
        <w:tc>
          <w:tcPr>
            <w:tcW w:w="1940" w:type="pct"/>
            <w:shd w:val="clear" w:color="auto" w:fill="auto"/>
            <w:hideMark/>
          </w:tcPr>
          <w:p w14:paraId="250191D7" w14:textId="77777777" w:rsidR="002D237A" w:rsidRPr="00DC249A" w:rsidRDefault="002D237A" w:rsidP="00662278">
            <w:r w:rsidRPr="00DC249A">
              <w:t xml:space="preserve">1. </w:t>
            </w:r>
            <w:r>
              <w:t>Europese Unie</w:t>
            </w:r>
          </w:p>
        </w:tc>
        <w:tc>
          <w:tcPr>
            <w:tcW w:w="1347" w:type="pct"/>
            <w:shd w:val="clear" w:color="auto" w:fill="auto"/>
          </w:tcPr>
          <w:p w14:paraId="250191D8" w14:textId="77777777" w:rsidR="002D237A" w:rsidRPr="00AB7041" w:rsidRDefault="002D237A" w:rsidP="002D237A">
            <w:pPr>
              <w:tabs>
                <w:tab w:val="decimal" w:pos="1026"/>
              </w:tabs>
              <w:jc w:val="right"/>
            </w:pPr>
            <w:r w:rsidRPr="00AB7041">
              <w:t>185</w:t>
            </w:r>
            <w:r>
              <w:t>,3</w:t>
            </w:r>
          </w:p>
        </w:tc>
      </w:tr>
      <w:tr w:rsidR="002D237A" w:rsidRPr="0037209D" w14:paraId="250191DE" w14:textId="77777777" w:rsidTr="00B23249">
        <w:tc>
          <w:tcPr>
            <w:tcW w:w="426" w:type="pct"/>
            <w:vMerge/>
            <w:shd w:val="clear" w:color="auto" w:fill="auto"/>
          </w:tcPr>
          <w:p w14:paraId="250191DA" w14:textId="77777777" w:rsidR="002D237A" w:rsidRPr="0037209D" w:rsidRDefault="002D237A" w:rsidP="0037209D">
            <w:pPr>
              <w:ind w:right="-211"/>
              <w:rPr>
                <w:b/>
              </w:rPr>
            </w:pPr>
          </w:p>
        </w:tc>
        <w:tc>
          <w:tcPr>
            <w:tcW w:w="1287" w:type="pct"/>
            <w:vMerge/>
            <w:shd w:val="clear" w:color="auto" w:fill="auto"/>
          </w:tcPr>
          <w:p w14:paraId="250191DB" w14:textId="77777777" w:rsidR="002D237A" w:rsidRPr="0037209D" w:rsidRDefault="002D237A" w:rsidP="0037209D">
            <w:pPr>
              <w:ind w:right="-211"/>
              <w:rPr>
                <w:b/>
              </w:rPr>
            </w:pPr>
          </w:p>
        </w:tc>
        <w:tc>
          <w:tcPr>
            <w:tcW w:w="1940" w:type="pct"/>
            <w:shd w:val="clear" w:color="auto" w:fill="auto"/>
          </w:tcPr>
          <w:p w14:paraId="250191DC" w14:textId="77777777" w:rsidR="002D237A" w:rsidRPr="00DC249A" w:rsidRDefault="002D237A" w:rsidP="00662278">
            <w:r w:rsidRPr="00DC249A">
              <w:t xml:space="preserve">2. </w:t>
            </w:r>
            <w:r>
              <w:t>Verenigd Koninkrijk</w:t>
            </w:r>
          </w:p>
        </w:tc>
        <w:tc>
          <w:tcPr>
            <w:tcW w:w="1347" w:type="pct"/>
            <w:shd w:val="clear" w:color="auto" w:fill="auto"/>
          </w:tcPr>
          <w:p w14:paraId="250191DD" w14:textId="77777777" w:rsidR="002D237A" w:rsidRPr="00AB7041" w:rsidRDefault="002D237A" w:rsidP="002D237A">
            <w:pPr>
              <w:tabs>
                <w:tab w:val="decimal" w:pos="1026"/>
              </w:tabs>
              <w:jc w:val="right"/>
            </w:pPr>
            <w:r w:rsidRPr="00AB7041">
              <w:t>96</w:t>
            </w:r>
            <w:r>
              <w:t>,3</w:t>
            </w:r>
          </w:p>
        </w:tc>
      </w:tr>
      <w:tr w:rsidR="002D237A" w:rsidRPr="0037209D" w14:paraId="250191E3" w14:textId="77777777" w:rsidTr="00B23249">
        <w:tc>
          <w:tcPr>
            <w:tcW w:w="426" w:type="pct"/>
            <w:vMerge/>
            <w:shd w:val="clear" w:color="auto" w:fill="auto"/>
          </w:tcPr>
          <w:p w14:paraId="250191DF" w14:textId="77777777" w:rsidR="002D237A" w:rsidRPr="0037209D" w:rsidRDefault="002D237A" w:rsidP="0037209D">
            <w:pPr>
              <w:ind w:right="-211"/>
              <w:rPr>
                <w:b/>
              </w:rPr>
            </w:pPr>
          </w:p>
        </w:tc>
        <w:tc>
          <w:tcPr>
            <w:tcW w:w="1287" w:type="pct"/>
            <w:vMerge/>
            <w:shd w:val="clear" w:color="auto" w:fill="auto"/>
          </w:tcPr>
          <w:p w14:paraId="250191E0" w14:textId="77777777" w:rsidR="002D237A" w:rsidRPr="0037209D" w:rsidRDefault="002D237A" w:rsidP="0037209D">
            <w:pPr>
              <w:ind w:right="-211"/>
              <w:rPr>
                <w:b/>
              </w:rPr>
            </w:pPr>
          </w:p>
        </w:tc>
        <w:tc>
          <w:tcPr>
            <w:tcW w:w="1940" w:type="pct"/>
            <w:shd w:val="clear" w:color="auto" w:fill="auto"/>
          </w:tcPr>
          <w:p w14:paraId="250191E1" w14:textId="77777777" w:rsidR="002D237A" w:rsidRPr="00AB7041" w:rsidRDefault="002D237A" w:rsidP="00662278">
            <w:pPr>
              <w:rPr>
                <w:b/>
              </w:rPr>
            </w:pPr>
            <w:r w:rsidRPr="00AB7041">
              <w:rPr>
                <w:b/>
              </w:rPr>
              <w:t>22. Ne</w:t>
            </w:r>
            <w:r>
              <w:rPr>
                <w:b/>
              </w:rPr>
              <w:t>d</w:t>
            </w:r>
            <w:r w:rsidRPr="00AB7041">
              <w:rPr>
                <w:b/>
              </w:rPr>
              <w:t>erland</w:t>
            </w:r>
          </w:p>
        </w:tc>
        <w:tc>
          <w:tcPr>
            <w:tcW w:w="1347" w:type="pct"/>
            <w:shd w:val="clear" w:color="auto" w:fill="auto"/>
          </w:tcPr>
          <w:p w14:paraId="250191E2" w14:textId="77777777" w:rsidR="002D237A" w:rsidRPr="00AB7041" w:rsidRDefault="002D237A" w:rsidP="002D237A">
            <w:pPr>
              <w:tabs>
                <w:tab w:val="decimal" w:pos="1026"/>
              </w:tabs>
              <w:jc w:val="right"/>
              <w:rPr>
                <w:b/>
              </w:rPr>
            </w:pPr>
            <w:r w:rsidRPr="00AB7041">
              <w:rPr>
                <w:b/>
              </w:rPr>
              <w:t>10</w:t>
            </w:r>
            <w:r>
              <w:rPr>
                <w:b/>
              </w:rPr>
              <w:t>,0</w:t>
            </w:r>
          </w:p>
        </w:tc>
      </w:tr>
      <w:tr w:rsidR="002D237A" w:rsidRPr="0037209D" w14:paraId="250191E8" w14:textId="77777777" w:rsidTr="00B23249">
        <w:tc>
          <w:tcPr>
            <w:tcW w:w="426" w:type="pct"/>
            <w:vMerge/>
            <w:shd w:val="clear" w:color="auto" w:fill="auto"/>
          </w:tcPr>
          <w:p w14:paraId="250191E4" w14:textId="77777777" w:rsidR="002D237A" w:rsidRPr="0037209D" w:rsidRDefault="002D237A" w:rsidP="0037209D">
            <w:pPr>
              <w:ind w:right="-211"/>
              <w:rPr>
                <w:b/>
              </w:rPr>
            </w:pPr>
          </w:p>
        </w:tc>
        <w:tc>
          <w:tcPr>
            <w:tcW w:w="1287" w:type="pct"/>
            <w:vMerge w:val="restart"/>
            <w:shd w:val="clear" w:color="auto" w:fill="auto"/>
          </w:tcPr>
          <w:p w14:paraId="250191E5" w14:textId="77777777" w:rsidR="002D237A" w:rsidRPr="0037209D" w:rsidRDefault="002D237A" w:rsidP="0037209D">
            <w:pPr>
              <w:ind w:right="-211"/>
              <w:rPr>
                <w:b/>
              </w:rPr>
            </w:pPr>
            <w:r w:rsidRPr="00DC249A">
              <w:t>Totaal bijdrage</w:t>
            </w:r>
          </w:p>
        </w:tc>
        <w:tc>
          <w:tcPr>
            <w:tcW w:w="1940" w:type="pct"/>
            <w:shd w:val="clear" w:color="auto" w:fill="auto"/>
          </w:tcPr>
          <w:p w14:paraId="250191E6" w14:textId="77777777" w:rsidR="002D237A" w:rsidRPr="00DC249A" w:rsidRDefault="002D237A" w:rsidP="00662278">
            <w:r w:rsidRPr="00DC249A">
              <w:t xml:space="preserve">1. </w:t>
            </w:r>
            <w:r>
              <w:t>Verenigde Staten</w:t>
            </w:r>
          </w:p>
        </w:tc>
        <w:tc>
          <w:tcPr>
            <w:tcW w:w="1347" w:type="pct"/>
            <w:shd w:val="clear" w:color="auto" w:fill="auto"/>
          </w:tcPr>
          <w:p w14:paraId="250191E7" w14:textId="77777777" w:rsidR="002D237A" w:rsidRPr="00AB7041" w:rsidRDefault="002D237A" w:rsidP="002D237A">
            <w:pPr>
              <w:tabs>
                <w:tab w:val="decimal" w:pos="1026"/>
              </w:tabs>
              <w:jc w:val="right"/>
            </w:pPr>
            <w:r w:rsidRPr="00AB7041">
              <w:t>199</w:t>
            </w:r>
            <w:r>
              <w:t>,5</w:t>
            </w:r>
          </w:p>
        </w:tc>
      </w:tr>
      <w:tr w:rsidR="002D237A" w:rsidRPr="0037209D" w14:paraId="250191ED" w14:textId="77777777" w:rsidTr="00B23249">
        <w:tc>
          <w:tcPr>
            <w:tcW w:w="426" w:type="pct"/>
            <w:vMerge/>
            <w:shd w:val="clear" w:color="auto" w:fill="auto"/>
          </w:tcPr>
          <w:p w14:paraId="250191E9" w14:textId="77777777" w:rsidR="002D237A" w:rsidRPr="0037209D" w:rsidRDefault="002D237A" w:rsidP="0037209D">
            <w:pPr>
              <w:ind w:right="-211"/>
              <w:rPr>
                <w:b/>
              </w:rPr>
            </w:pPr>
          </w:p>
        </w:tc>
        <w:tc>
          <w:tcPr>
            <w:tcW w:w="1287" w:type="pct"/>
            <w:vMerge/>
            <w:shd w:val="clear" w:color="auto" w:fill="auto"/>
          </w:tcPr>
          <w:p w14:paraId="250191EA" w14:textId="77777777" w:rsidR="002D237A" w:rsidRPr="0037209D" w:rsidRDefault="002D237A" w:rsidP="0037209D">
            <w:pPr>
              <w:ind w:right="-211"/>
              <w:rPr>
                <w:b/>
              </w:rPr>
            </w:pPr>
          </w:p>
        </w:tc>
        <w:tc>
          <w:tcPr>
            <w:tcW w:w="1940" w:type="pct"/>
            <w:shd w:val="clear" w:color="auto" w:fill="auto"/>
          </w:tcPr>
          <w:p w14:paraId="250191EB" w14:textId="77777777" w:rsidR="002D237A" w:rsidRPr="00DC249A" w:rsidRDefault="002D237A" w:rsidP="00662278">
            <w:r w:rsidRPr="00DC249A">
              <w:t xml:space="preserve">2. </w:t>
            </w:r>
            <w:r>
              <w:t>Europese Unie</w:t>
            </w:r>
          </w:p>
        </w:tc>
        <w:tc>
          <w:tcPr>
            <w:tcW w:w="1347" w:type="pct"/>
            <w:shd w:val="clear" w:color="auto" w:fill="auto"/>
          </w:tcPr>
          <w:p w14:paraId="250191EC" w14:textId="77777777" w:rsidR="002D237A" w:rsidRPr="00AB7041" w:rsidRDefault="002D237A" w:rsidP="002D237A">
            <w:pPr>
              <w:tabs>
                <w:tab w:val="decimal" w:pos="1026"/>
              </w:tabs>
              <w:jc w:val="right"/>
            </w:pPr>
            <w:r w:rsidRPr="00AB7041">
              <w:t>185</w:t>
            </w:r>
            <w:r>
              <w:t>,3</w:t>
            </w:r>
          </w:p>
        </w:tc>
      </w:tr>
      <w:tr w:rsidR="002D237A" w:rsidRPr="0037209D" w14:paraId="250191F2" w14:textId="77777777" w:rsidTr="00B23249">
        <w:tc>
          <w:tcPr>
            <w:tcW w:w="426" w:type="pct"/>
            <w:vMerge/>
            <w:shd w:val="clear" w:color="auto" w:fill="auto"/>
          </w:tcPr>
          <w:p w14:paraId="250191EE" w14:textId="77777777" w:rsidR="002D237A" w:rsidRPr="0037209D" w:rsidRDefault="002D237A" w:rsidP="0037209D">
            <w:pPr>
              <w:ind w:right="-211"/>
              <w:rPr>
                <w:b/>
              </w:rPr>
            </w:pPr>
          </w:p>
        </w:tc>
        <w:tc>
          <w:tcPr>
            <w:tcW w:w="1287" w:type="pct"/>
            <w:vMerge/>
            <w:shd w:val="clear" w:color="auto" w:fill="auto"/>
          </w:tcPr>
          <w:p w14:paraId="250191EF" w14:textId="77777777" w:rsidR="002D237A" w:rsidRPr="0037209D" w:rsidRDefault="002D237A" w:rsidP="0037209D">
            <w:pPr>
              <w:ind w:right="-211"/>
              <w:rPr>
                <w:b/>
              </w:rPr>
            </w:pPr>
          </w:p>
        </w:tc>
        <w:tc>
          <w:tcPr>
            <w:tcW w:w="1940" w:type="pct"/>
            <w:shd w:val="clear" w:color="auto" w:fill="auto"/>
          </w:tcPr>
          <w:p w14:paraId="250191F0" w14:textId="77777777" w:rsidR="002D237A" w:rsidRPr="008E1C34" w:rsidRDefault="002D237A" w:rsidP="00662278">
            <w:pPr>
              <w:rPr>
                <w:b/>
              </w:rPr>
            </w:pPr>
            <w:r>
              <w:rPr>
                <w:b/>
              </w:rPr>
              <w:t xml:space="preserve">19. </w:t>
            </w:r>
            <w:r w:rsidRPr="008E1C34">
              <w:rPr>
                <w:b/>
              </w:rPr>
              <w:t>Ne</w:t>
            </w:r>
            <w:r>
              <w:rPr>
                <w:b/>
              </w:rPr>
              <w:t>d</w:t>
            </w:r>
            <w:r w:rsidRPr="008E1C34">
              <w:rPr>
                <w:b/>
              </w:rPr>
              <w:t>erland</w:t>
            </w:r>
          </w:p>
        </w:tc>
        <w:tc>
          <w:tcPr>
            <w:tcW w:w="1347" w:type="pct"/>
            <w:shd w:val="clear" w:color="auto" w:fill="auto"/>
          </w:tcPr>
          <w:p w14:paraId="250191F1" w14:textId="77777777" w:rsidR="002D237A" w:rsidRPr="00AB7041" w:rsidRDefault="002D237A" w:rsidP="002D237A">
            <w:pPr>
              <w:tabs>
                <w:tab w:val="decimal" w:pos="1026"/>
              </w:tabs>
              <w:jc w:val="right"/>
              <w:rPr>
                <w:b/>
              </w:rPr>
            </w:pPr>
            <w:r w:rsidRPr="00AB7041">
              <w:rPr>
                <w:b/>
              </w:rPr>
              <w:t>18</w:t>
            </w:r>
            <w:r>
              <w:rPr>
                <w:b/>
              </w:rPr>
              <w:t>,4</w:t>
            </w:r>
          </w:p>
        </w:tc>
      </w:tr>
    </w:tbl>
    <w:p w14:paraId="250191F3" w14:textId="77777777" w:rsidR="00FA3B7B" w:rsidRDefault="00FA3B7B" w:rsidP="00B95FC2"/>
    <w:p w14:paraId="250191F4" w14:textId="77777777" w:rsidR="00FA3B7B" w:rsidRDefault="00FA3B7B" w:rsidP="00A757AB">
      <w:pPr>
        <w:pStyle w:val="BodyText2"/>
        <w:spacing w:after="0" w:line="240" w:lineRule="auto"/>
        <w:rPr>
          <w:szCs w:val="22"/>
        </w:rPr>
      </w:pPr>
      <w:r w:rsidRPr="00012E53">
        <w:rPr>
          <w:szCs w:val="22"/>
        </w:rPr>
        <w:t xml:space="preserve">FAO werkt op basis van een </w:t>
      </w:r>
      <w:r w:rsidRPr="00012E53">
        <w:rPr>
          <w:i/>
          <w:szCs w:val="22"/>
        </w:rPr>
        <w:t>Programme of Work &amp; Budget</w:t>
      </w:r>
      <w:r w:rsidRPr="00012E53">
        <w:rPr>
          <w:szCs w:val="22"/>
        </w:rPr>
        <w:t xml:space="preserve"> (PWB) dat elke twee jaar tijdens de Conferentie wordt goedgekeurd. Het in 2</w:t>
      </w:r>
      <w:r w:rsidR="00797FB1">
        <w:rPr>
          <w:szCs w:val="22"/>
        </w:rPr>
        <w:t>011</w:t>
      </w:r>
      <w:r w:rsidRPr="00012E53">
        <w:rPr>
          <w:szCs w:val="22"/>
        </w:rPr>
        <w:t xml:space="preserve"> goedgekeurde PWB, waarin de lijnen voor de komende twee jaar zijn uitgezet, kent een geïntegreerde vorm: het verplichte (contributie) en het vrijwillige (bijdrage) deel van het budget worden samen onder de strategische doelen uitgewerkt</w:t>
      </w:r>
      <w:r w:rsidRPr="00F258E6">
        <w:rPr>
          <w:szCs w:val="22"/>
        </w:rPr>
        <w:t>.</w:t>
      </w:r>
      <w:r w:rsidR="00797FB1" w:rsidRPr="00F258E6">
        <w:rPr>
          <w:szCs w:val="22"/>
        </w:rPr>
        <w:t xml:space="preserve"> </w:t>
      </w:r>
    </w:p>
    <w:p w14:paraId="250191F5" w14:textId="77777777" w:rsidR="00F71D4E" w:rsidRPr="00012E53" w:rsidRDefault="00F71D4E" w:rsidP="00A757AB">
      <w:pPr>
        <w:pStyle w:val="BodyText2"/>
        <w:spacing w:after="0" w:line="240" w:lineRule="auto"/>
        <w:rPr>
          <w:szCs w:val="22"/>
        </w:rPr>
      </w:pPr>
    </w:p>
    <w:p w14:paraId="250191F6" w14:textId="7E14DBF7" w:rsidR="00FA3B7B" w:rsidRPr="00012E53" w:rsidRDefault="00FA3B7B" w:rsidP="00A757AB">
      <w:pPr>
        <w:pStyle w:val="BodyText2"/>
        <w:spacing w:after="0" w:line="240" w:lineRule="auto"/>
        <w:rPr>
          <w:szCs w:val="22"/>
        </w:rPr>
      </w:pPr>
      <w:r w:rsidRPr="00012E53">
        <w:rPr>
          <w:szCs w:val="22"/>
        </w:rPr>
        <w:t xml:space="preserve">De inkomsten van de FAO bestaan uit verplichte contributies en uit vrijwillige bijdragen. De vrijwillige bijdragen </w:t>
      </w:r>
      <w:r w:rsidR="00C008E2">
        <w:rPr>
          <w:szCs w:val="22"/>
        </w:rPr>
        <w:t xml:space="preserve">binnen het budget voor 2014-2015 </w:t>
      </w:r>
      <w:r w:rsidRPr="00012E53">
        <w:rPr>
          <w:szCs w:val="22"/>
        </w:rPr>
        <w:t xml:space="preserve">vormen </w:t>
      </w:r>
      <w:r w:rsidR="00C008E2">
        <w:rPr>
          <w:szCs w:val="22"/>
        </w:rPr>
        <w:t>59%</w:t>
      </w:r>
      <w:r w:rsidRPr="00012E53">
        <w:rPr>
          <w:szCs w:val="22"/>
        </w:rPr>
        <w:t xml:space="preserve"> van de totale inkomsten. Het reguliere budget voor de periode 201</w:t>
      </w:r>
      <w:r w:rsidR="001B4BBA">
        <w:rPr>
          <w:szCs w:val="22"/>
        </w:rPr>
        <w:t>4</w:t>
      </w:r>
      <w:r w:rsidRPr="00012E53">
        <w:rPr>
          <w:szCs w:val="22"/>
        </w:rPr>
        <w:t>-201</w:t>
      </w:r>
      <w:r w:rsidR="001B4BBA">
        <w:rPr>
          <w:szCs w:val="22"/>
        </w:rPr>
        <w:t>5</w:t>
      </w:r>
      <w:r w:rsidRPr="00012E53">
        <w:rPr>
          <w:szCs w:val="22"/>
        </w:rPr>
        <w:t xml:space="preserve"> is vastgesteld op USD 1,0</w:t>
      </w:r>
      <w:r w:rsidR="00B5342E">
        <w:rPr>
          <w:szCs w:val="22"/>
        </w:rPr>
        <w:t>0</w:t>
      </w:r>
      <w:r w:rsidRPr="00012E53">
        <w:rPr>
          <w:szCs w:val="22"/>
        </w:rPr>
        <w:t>5 miljard</w:t>
      </w:r>
      <w:r w:rsidR="00B5342E">
        <w:rPr>
          <w:szCs w:val="22"/>
        </w:rPr>
        <w:t>.</w:t>
      </w:r>
      <w:r w:rsidR="00D00404">
        <w:rPr>
          <w:szCs w:val="22"/>
        </w:rPr>
        <w:t xml:space="preserve"> </w:t>
      </w:r>
      <w:r w:rsidRPr="00012E53">
        <w:rPr>
          <w:szCs w:val="22"/>
        </w:rPr>
        <w:t xml:space="preserve">Nederland betaalt </w:t>
      </w:r>
      <w:r>
        <w:rPr>
          <w:szCs w:val="22"/>
        </w:rPr>
        <w:t>daar aan mee via de</w:t>
      </w:r>
      <w:r w:rsidRPr="00012E53">
        <w:rPr>
          <w:szCs w:val="22"/>
        </w:rPr>
        <w:t xml:space="preserve"> jaarlijkse contributie van ruim USD </w:t>
      </w:r>
      <w:r w:rsidR="00EE7E08">
        <w:rPr>
          <w:szCs w:val="22"/>
        </w:rPr>
        <w:t>8</w:t>
      </w:r>
      <w:r w:rsidRPr="00012E53">
        <w:rPr>
          <w:szCs w:val="22"/>
        </w:rPr>
        <w:t xml:space="preserve"> miljoen. Deze contributie valt onder de begroting van het ministerie van Economische Zaken</w:t>
      </w:r>
      <w:r>
        <w:rPr>
          <w:szCs w:val="22"/>
        </w:rPr>
        <w:t xml:space="preserve">, </w:t>
      </w:r>
      <w:r w:rsidRPr="00012E53">
        <w:rPr>
          <w:szCs w:val="22"/>
        </w:rPr>
        <w:t xml:space="preserve">ongeveer de helft </w:t>
      </w:r>
      <w:r>
        <w:rPr>
          <w:szCs w:val="22"/>
        </w:rPr>
        <w:t>van dit bedrag wordt toegerekend aan</w:t>
      </w:r>
      <w:r w:rsidRPr="00012E53">
        <w:rPr>
          <w:szCs w:val="22"/>
        </w:rPr>
        <w:t xml:space="preserve"> ODA. </w:t>
      </w:r>
    </w:p>
    <w:p w14:paraId="250191F7" w14:textId="77777777" w:rsidR="00FA3B7B" w:rsidRPr="00012E53" w:rsidRDefault="00FA3B7B" w:rsidP="00A757AB">
      <w:pPr>
        <w:pStyle w:val="BodyText2"/>
        <w:spacing w:after="0" w:line="240" w:lineRule="auto"/>
        <w:rPr>
          <w:szCs w:val="22"/>
        </w:rPr>
      </w:pPr>
    </w:p>
    <w:p w14:paraId="250191F8" w14:textId="105CE5CC" w:rsidR="00FA3B7B" w:rsidRPr="00DC249A" w:rsidRDefault="00FA3B7B" w:rsidP="00A757AB">
      <w:pPr>
        <w:pStyle w:val="BodyText2"/>
        <w:spacing w:after="0" w:line="240" w:lineRule="auto"/>
      </w:pPr>
      <w:r w:rsidRPr="00012E53">
        <w:rPr>
          <w:szCs w:val="22"/>
        </w:rPr>
        <w:t>Nederland heeft sinds 2001 een partnerschapsprogramma met de FAO</w:t>
      </w:r>
      <w:r w:rsidR="00F71D4E">
        <w:rPr>
          <w:szCs w:val="22"/>
        </w:rPr>
        <w:t>, gefinancierd uit het OS budget</w:t>
      </w:r>
      <w:r w:rsidRPr="00012E53">
        <w:rPr>
          <w:szCs w:val="22"/>
        </w:rPr>
        <w:t xml:space="preserve">. In 2010 is dit programma, samen met Zweden, voortgezet als het </w:t>
      </w:r>
      <w:r w:rsidRPr="00012E53">
        <w:rPr>
          <w:i/>
          <w:szCs w:val="22"/>
        </w:rPr>
        <w:t>FAO Multidonor Mechanism</w:t>
      </w:r>
      <w:r w:rsidR="00B60A59">
        <w:rPr>
          <w:i/>
          <w:szCs w:val="22"/>
        </w:rPr>
        <w:t>.</w:t>
      </w:r>
      <w:r w:rsidRPr="00012E53">
        <w:rPr>
          <w:szCs w:val="22"/>
        </w:rPr>
        <w:t xml:space="preserve"> Nederland </w:t>
      </w:r>
      <w:r w:rsidR="00B60A59">
        <w:rPr>
          <w:szCs w:val="22"/>
        </w:rPr>
        <w:t xml:space="preserve">heeft </w:t>
      </w:r>
      <w:r w:rsidRPr="00012E53">
        <w:rPr>
          <w:szCs w:val="22"/>
        </w:rPr>
        <w:t>EUR 2,5 milj</w:t>
      </w:r>
      <w:r w:rsidR="001B4BBA">
        <w:rPr>
          <w:szCs w:val="22"/>
        </w:rPr>
        <w:t xml:space="preserve">oen per jaar gecommitteerd vanaf </w:t>
      </w:r>
      <w:r w:rsidRPr="00012E53">
        <w:rPr>
          <w:szCs w:val="22"/>
        </w:rPr>
        <w:t>2010</w:t>
      </w:r>
      <w:r w:rsidR="001B4BBA">
        <w:rPr>
          <w:szCs w:val="22"/>
        </w:rPr>
        <w:t xml:space="preserve"> tot en met 2015</w:t>
      </w:r>
      <w:r w:rsidRPr="00012E53">
        <w:rPr>
          <w:szCs w:val="22"/>
        </w:rPr>
        <w:t xml:space="preserve">. </w:t>
      </w:r>
      <w:r w:rsidR="00B60A59">
        <w:rPr>
          <w:szCs w:val="22"/>
        </w:rPr>
        <w:t>O</w:t>
      </w:r>
      <w:r w:rsidRPr="00012E53">
        <w:rPr>
          <w:szCs w:val="22"/>
        </w:rPr>
        <w:t xml:space="preserve">ok op ad-hoc basis </w:t>
      </w:r>
      <w:r w:rsidR="00B60A59">
        <w:rPr>
          <w:szCs w:val="22"/>
        </w:rPr>
        <w:t xml:space="preserve">worden </w:t>
      </w:r>
      <w:r w:rsidRPr="00012E53">
        <w:rPr>
          <w:szCs w:val="22"/>
        </w:rPr>
        <w:t>projecten in ontwikkelingslanden gefinancierd. Zo heeft Nederland in 2009 bijgedragen aan FA</w:t>
      </w:r>
      <w:r w:rsidR="001B4BBA">
        <w:rPr>
          <w:szCs w:val="22"/>
        </w:rPr>
        <w:t>O voor de wederopbouw in Uruzgan, en ook in 2009 heeft Nederland Euro 6 miljoen aan de FAO gegeven voor noodhulpactiviteiten</w:t>
      </w:r>
      <w:r w:rsidRPr="00012E53">
        <w:rPr>
          <w:szCs w:val="22"/>
        </w:rPr>
        <w:t xml:space="preserve">. </w:t>
      </w:r>
      <w:r w:rsidR="001B4BBA">
        <w:rPr>
          <w:szCs w:val="22"/>
        </w:rPr>
        <w:t>Ook zijn er bijdragen uit de bilaterale programma’s die lopen via de ambassades, o.m. in Bangladesh en in de Palestijnse Gebieden</w:t>
      </w:r>
      <w:r w:rsidR="00F71D4E">
        <w:rPr>
          <w:szCs w:val="22"/>
        </w:rPr>
        <w:t xml:space="preserve"> (2012 en 2013)</w:t>
      </w:r>
      <w:r w:rsidR="001B4BBA">
        <w:rPr>
          <w:szCs w:val="22"/>
        </w:rPr>
        <w:t xml:space="preserve">. </w:t>
      </w:r>
      <w:r w:rsidRPr="00012E53">
        <w:rPr>
          <w:szCs w:val="22"/>
        </w:rPr>
        <w:t xml:space="preserve">Gezien over de periode 2000 - 2007 was Nederland nog de derde donor van FAO, maar de jaren daarna is de bijdrage fors gedaald en behoorde Nederland niet meer tot de top 10 donoren. </w:t>
      </w:r>
      <w:r w:rsidR="00B60A59">
        <w:rPr>
          <w:szCs w:val="22"/>
        </w:rPr>
        <w:t>De laatste</w:t>
      </w:r>
      <w:r w:rsidR="001B4BBA">
        <w:rPr>
          <w:szCs w:val="22"/>
        </w:rPr>
        <w:t xml:space="preserve"> jaren</w:t>
      </w:r>
      <w:r w:rsidR="00F50C75">
        <w:rPr>
          <w:szCs w:val="22"/>
        </w:rPr>
        <w:t xml:space="preserve"> </w:t>
      </w:r>
      <w:r w:rsidRPr="00012E53">
        <w:rPr>
          <w:szCs w:val="22"/>
        </w:rPr>
        <w:t xml:space="preserve">stond Nederland </w:t>
      </w:r>
      <w:r w:rsidR="00662278">
        <w:rPr>
          <w:szCs w:val="22"/>
        </w:rPr>
        <w:t xml:space="preserve">in </w:t>
      </w:r>
      <w:r w:rsidRPr="00012E53">
        <w:rPr>
          <w:szCs w:val="22"/>
        </w:rPr>
        <w:t xml:space="preserve">de top </w:t>
      </w:r>
      <w:r w:rsidR="00662278">
        <w:rPr>
          <w:szCs w:val="22"/>
        </w:rPr>
        <w:t>2</w:t>
      </w:r>
      <w:r w:rsidRPr="00012E53">
        <w:rPr>
          <w:szCs w:val="22"/>
        </w:rPr>
        <w:t>0 donoren, o</w:t>
      </w:r>
      <w:r>
        <w:rPr>
          <w:szCs w:val="22"/>
        </w:rPr>
        <w:t xml:space="preserve">nder </w:t>
      </w:r>
      <w:r w:rsidRPr="00012E53">
        <w:rPr>
          <w:szCs w:val="22"/>
        </w:rPr>
        <w:t>m</w:t>
      </w:r>
      <w:r>
        <w:rPr>
          <w:szCs w:val="22"/>
        </w:rPr>
        <w:t>eer</w:t>
      </w:r>
      <w:r w:rsidRPr="00012E53">
        <w:rPr>
          <w:szCs w:val="22"/>
        </w:rPr>
        <w:t xml:space="preserve"> door grote bijdragen uit het </w:t>
      </w:r>
      <w:r>
        <w:rPr>
          <w:szCs w:val="22"/>
        </w:rPr>
        <w:t>OS-</w:t>
      </w:r>
      <w:r w:rsidRPr="00012E53">
        <w:rPr>
          <w:szCs w:val="22"/>
        </w:rPr>
        <w:t>landenprogramma direct aan het lokale FAO kantoor, o</w:t>
      </w:r>
      <w:r w:rsidR="00E73754">
        <w:rPr>
          <w:szCs w:val="22"/>
        </w:rPr>
        <w:t>nder andere</w:t>
      </w:r>
      <w:r w:rsidRPr="00012E53">
        <w:rPr>
          <w:szCs w:val="22"/>
        </w:rPr>
        <w:t xml:space="preserve"> in Bangladesh en de Palestijnse Gebieden.</w:t>
      </w:r>
    </w:p>
    <w:p w14:paraId="250191F9" w14:textId="77777777" w:rsidR="009811DF" w:rsidRPr="00DC249A" w:rsidRDefault="00F24A31" w:rsidP="00F24A31">
      <w:pPr>
        <w:pStyle w:val="Heading1"/>
        <w:tabs>
          <w:tab w:val="num" w:pos="0"/>
        </w:tabs>
        <w:spacing w:after="240" w:line="240" w:lineRule="auto"/>
        <w:ind w:hanging="1162"/>
      </w:pPr>
      <w:bookmarkStart w:id="20" w:name="_Toc410397628"/>
      <w:r w:rsidRPr="00DC249A">
        <w:t xml:space="preserve">3 </w:t>
      </w:r>
      <w:r w:rsidRPr="00DC249A">
        <w:tab/>
      </w:r>
      <w:r w:rsidR="006C1EB0" w:rsidRPr="00DC249A">
        <w:t>Institutionele aspecten</w:t>
      </w:r>
      <w:r w:rsidR="00D745A7" w:rsidRPr="00DC249A">
        <w:t xml:space="preserve"> </w:t>
      </w:r>
      <w:r w:rsidR="009B1466" w:rsidRPr="00DC249A">
        <w:t xml:space="preserve">en functioneren </w:t>
      </w:r>
      <w:r w:rsidR="00D745A7" w:rsidRPr="00DC249A">
        <w:t>van de organisatie</w:t>
      </w:r>
      <w:bookmarkEnd w:id="20"/>
    </w:p>
    <w:p w14:paraId="250191FA" w14:textId="77777777" w:rsidR="00D745A7" w:rsidRPr="00DC249A" w:rsidRDefault="00A757AB" w:rsidP="00ED4248">
      <w:pPr>
        <w:pStyle w:val="Heading2"/>
        <w:numPr>
          <w:ilvl w:val="1"/>
          <w:numId w:val="20"/>
        </w:numPr>
        <w:tabs>
          <w:tab w:val="left" w:pos="-1162"/>
          <w:tab w:val="left" w:pos="0"/>
        </w:tabs>
        <w:spacing w:line="240" w:lineRule="auto"/>
      </w:pPr>
      <w:bookmarkStart w:id="21" w:name="_Toc410397629"/>
      <w:r>
        <w:tab/>
      </w:r>
      <w:r w:rsidR="00743337" w:rsidRPr="00DC249A">
        <w:t xml:space="preserve">Strategie en </w:t>
      </w:r>
      <w:r w:rsidR="00A84B60" w:rsidRPr="00DC249A">
        <w:t>f</w:t>
      </w:r>
      <w:r w:rsidR="00D745A7" w:rsidRPr="00DC249A">
        <w:t>ocus</w:t>
      </w:r>
      <w:bookmarkEnd w:id="21"/>
    </w:p>
    <w:p w14:paraId="250191FB" w14:textId="77777777" w:rsidR="00094518" w:rsidRPr="00DC249A" w:rsidRDefault="00094518" w:rsidP="00094518"/>
    <w:p w14:paraId="250191FC" w14:textId="6DDFC49B" w:rsidR="00FA3B7B" w:rsidRPr="00012E53" w:rsidRDefault="00FA3B7B" w:rsidP="00A757AB">
      <w:pPr>
        <w:spacing w:line="240" w:lineRule="auto"/>
        <w:rPr>
          <w:szCs w:val="22"/>
        </w:rPr>
      </w:pPr>
      <w:r w:rsidRPr="00012E53">
        <w:rPr>
          <w:szCs w:val="22"/>
        </w:rPr>
        <w:t>In 2009 is de meerjarenstrategie 2010-2019 aangenomen (</w:t>
      </w:r>
      <w:r w:rsidRPr="00012E53">
        <w:rPr>
          <w:rFonts w:cs="Times-Bold"/>
          <w:bCs/>
          <w:szCs w:val="18"/>
        </w:rPr>
        <w:t>Strategic Framework 2010-2019)</w:t>
      </w:r>
      <w:r w:rsidRPr="00012E53">
        <w:rPr>
          <w:szCs w:val="18"/>
        </w:rPr>
        <w:t>.</w:t>
      </w:r>
      <w:r w:rsidRPr="00012E53">
        <w:rPr>
          <w:szCs w:val="22"/>
        </w:rPr>
        <w:t xml:space="preserve"> </w:t>
      </w:r>
      <w:r w:rsidR="00DD6CD0">
        <w:rPr>
          <w:szCs w:val="22"/>
        </w:rPr>
        <w:t>Deze is</w:t>
      </w:r>
      <w:r w:rsidRPr="00012E53">
        <w:rPr>
          <w:szCs w:val="22"/>
        </w:rPr>
        <w:t xml:space="preserve"> </w:t>
      </w:r>
      <w:r w:rsidR="00DD6CD0">
        <w:rPr>
          <w:szCs w:val="22"/>
        </w:rPr>
        <w:t>in</w:t>
      </w:r>
      <w:r w:rsidR="00200AE7">
        <w:rPr>
          <w:szCs w:val="22"/>
        </w:rPr>
        <w:t xml:space="preserve"> 2013 </w:t>
      </w:r>
      <w:r w:rsidRPr="00012E53">
        <w:rPr>
          <w:szCs w:val="22"/>
        </w:rPr>
        <w:t xml:space="preserve">aangepast, waarmee de FAO duidelijker prioriteiten stelt. In het oude </w:t>
      </w:r>
      <w:r>
        <w:rPr>
          <w:szCs w:val="22"/>
        </w:rPr>
        <w:t>raamwerk</w:t>
      </w:r>
      <w:r w:rsidRPr="00012E53">
        <w:rPr>
          <w:szCs w:val="22"/>
        </w:rPr>
        <w:t xml:space="preserve"> had de FAO 13 </w:t>
      </w:r>
      <w:r w:rsidR="00F71D4E">
        <w:rPr>
          <w:szCs w:val="22"/>
        </w:rPr>
        <w:t xml:space="preserve">strategische </w:t>
      </w:r>
      <w:r w:rsidRPr="00012E53">
        <w:rPr>
          <w:szCs w:val="22"/>
        </w:rPr>
        <w:t xml:space="preserve">doelstellingen, in het nieuwe </w:t>
      </w:r>
      <w:r>
        <w:rPr>
          <w:szCs w:val="22"/>
        </w:rPr>
        <w:t>n</w:t>
      </w:r>
      <w:r w:rsidRPr="00012E53">
        <w:rPr>
          <w:szCs w:val="22"/>
        </w:rPr>
        <w:t xml:space="preserve">og slechts vijf: </w:t>
      </w:r>
      <w:r w:rsidRPr="0047659D">
        <w:rPr>
          <w:iCs/>
          <w:szCs w:val="18"/>
        </w:rPr>
        <w:t xml:space="preserve">1. Bijdragen aan de uitroeiing van honger, voedselonzekerheid en ondervoeding; 2. Verhogen en verbeteren van </w:t>
      </w:r>
      <w:r>
        <w:rPr>
          <w:iCs/>
          <w:szCs w:val="18"/>
        </w:rPr>
        <w:t xml:space="preserve">de productie van </w:t>
      </w:r>
      <w:r w:rsidRPr="0047659D">
        <w:rPr>
          <w:iCs/>
          <w:szCs w:val="18"/>
        </w:rPr>
        <w:t xml:space="preserve">goederen en diensten van landbouw, bosbouw en visserij op een duurzame manier; 3. Verminderen van </w:t>
      </w:r>
      <w:proofErr w:type="gramStart"/>
      <w:r w:rsidRPr="0047659D">
        <w:rPr>
          <w:iCs/>
          <w:szCs w:val="18"/>
        </w:rPr>
        <w:t>rurale</w:t>
      </w:r>
      <w:proofErr w:type="gramEnd"/>
      <w:r w:rsidRPr="0047659D">
        <w:rPr>
          <w:iCs/>
          <w:szCs w:val="18"/>
        </w:rPr>
        <w:t xml:space="preserve"> armoede; 4. Mogelijk maken van meer inclusieve en efficiënte landbouw en voedselsystemen op lokaal, nationa</w:t>
      </w:r>
      <w:r>
        <w:rPr>
          <w:iCs/>
          <w:szCs w:val="18"/>
        </w:rPr>
        <w:t>al</w:t>
      </w:r>
      <w:r w:rsidRPr="0047659D">
        <w:rPr>
          <w:iCs/>
          <w:szCs w:val="18"/>
        </w:rPr>
        <w:t xml:space="preserve"> en internationa</w:t>
      </w:r>
      <w:r>
        <w:rPr>
          <w:iCs/>
          <w:szCs w:val="18"/>
        </w:rPr>
        <w:t>al</w:t>
      </w:r>
      <w:r w:rsidRPr="0047659D">
        <w:rPr>
          <w:iCs/>
          <w:szCs w:val="18"/>
        </w:rPr>
        <w:t xml:space="preserve"> niveau; 5. Verhogen van de weerbaarheid </w:t>
      </w:r>
      <w:r>
        <w:rPr>
          <w:iCs/>
          <w:szCs w:val="18"/>
        </w:rPr>
        <w:t xml:space="preserve">van </w:t>
      </w:r>
      <w:r w:rsidRPr="0047659D">
        <w:rPr>
          <w:iCs/>
          <w:szCs w:val="18"/>
        </w:rPr>
        <w:t>levensonderhoud tegen bedreigingen en crisissen. Daarnaast wordt er nog een ‘zesde’ overkoepelende doelstelling geformuleerd,</w:t>
      </w:r>
      <w:r w:rsidRPr="0047659D">
        <w:rPr>
          <w:szCs w:val="18"/>
        </w:rPr>
        <w:t xml:space="preserve"> ger</w:t>
      </w:r>
      <w:r w:rsidRPr="00012E53">
        <w:rPr>
          <w:szCs w:val="18"/>
        </w:rPr>
        <w:t xml:space="preserve">elateerd aan de normatieve taken van FAO en dwars doorsnijdende thema’s als gender en </w:t>
      </w:r>
      <w:r w:rsidRPr="00F71D4E">
        <w:rPr>
          <w:i/>
          <w:szCs w:val="18"/>
        </w:rPr>
        <w:t>governance</w:t>
      </w:r>
      <w:r w:rsidRPr="00012E53">
        <w:rPr>
          <w:szCs w:val="18"/>
        </w:rPr>
        <w:t xml:space="preserve">. Deze moet nog nader uitgewerkt worden. Binnen FAO is </w:t>
      </w:r>
      <w:r>
        <w:rPr>
          <w:szCs w:val="18"/>
        </w:rPr>
        <w:t xml:space="preserve">een nieuwe </w:t>
      </w:r>
      <w:r w:rsidRPr="00012E53">
        <w:rPr>
          <w:szCs w:val="18"/>
        </w:rPr>
        <w:t>systematiek voor een transparante allocatie van middelen</w:t>
      </w:r>
      <w:r>
        <w:rPr>
          <w:szCs w:val="18"/>
        </w:rPr>
        <w:t xml:space="preserve"> in gebruik genomen</w:t>
      </w:r>
      <w:r w:rsidRPr="00012E53">
        <w:rPr>
          <w:szCs w:val="18"/>
        </w:rPr>
        <w:t>, ger</w:t>
      </w:r>
      <w:r>
        <w:rPr>
          <w:szCs w:val="18"/>
        </w:rPr>
        <w:t>icht op de beleidsprioriteiten. Dit verhoogt en verbetert de transparantie van beslissingen. De nieuwe strategie en hoe de organisatie daarop ingericht wordt,</w:t>
      </w:r>
      <w:r w:rsidR="00200AE7">
        <w:rPr>
          <w:szCs w:val="18"/>
        </w:rPr>
        <w:t xml:space="preserve"> worden als positief beoordeeld, </w:t>
      </w:r>
      <w:r w:rsidR="00C067C1">
        <w:rPr>
          <w:szCs w:val="18"/>
        </w:rPr>
        <w:t>onder meer</w:t>
      </w:r>
      <w:r w:rsidR="00200AE7">
        <w:rPr>
          <w:szCs w:val="18"/>
        </w:rPr>
        <w:t xml:space="preserve"> door het recente MOPAN rapport (januari 2015), </w:t>
      </w:r>
      <w:r w:rsidR="00C067C1">
        <w:rPr>
          <w:szCs w:val="18"/>
        </w:rPr>
        <w:t>dat</w:t>
      </w:r>
      <w:r w:rsidR="00200AE7">
        <w:rPr>
          <w:szCs w:val="18"/>
        </w:rPr>
        <w:t xml:space="preserve"> FAO’s mandaat en strategie als helder </w:t>
      </w:r>
      <w:proofErr w:type="gramStart"/>
      <w:r w:rsidR="00E73754">
        <w:rPr>
          <w:szCs w:val="18"/>
        </w:rPr>
        <w:t>beoordeelt</w:t>
      </w:r>
      <w:proofErr w:type="gramEnd"/>
      <w:r w:rsidR="00200AE7">
        <w:rPr>
          <w:szCs w:val="18"/>
        </w:rPr>
        <w:t>.</w:t>
      </w:r>
    </w:p>
    <w:p w14:paraId="250191FD" w14:textId="77777777" w:rsidR="00FA3B7B" w:rsidRDefault="00FA3B7B" w:rsidP="00A757AB">
      <w:pPr>
        <w:rPr>
          <w:color w:val="FF0000"/>
        </w:rPr>
      </w:pPr>
    </w:p>
    <w:p w14:paraId="250191FE" w14:textId="77777777" w:rsidR="00FA3B7B" w:rsidRPr="00012E53" w:rsidRDefault="00FA3B7B" w:rsidP="00A757AB">
      <w:pPr>
        <w:pStyle w:val="FootnoteText"/>
        <w:tabs>
          <w:tab w:val="clear" w:pos="600"/>
        </w:tabs>
        <w:spacing w:line="240" w:lineRule="auto"/>
        <w:ind w:left="0" w:firstLine="0"/>
        <w:rPr>
          <w:sz w:val="22"/>
          <w:szCs w:val="22"/>
        </w:rPr>
      </w:pPr>
      <w:r w:rsidRPr="00012E53">
        <w:rPr>
          <w:sz w:val="18"/>
          <w:szCs w:val="18"/>
        </w:rPr>
        <w:t xml:space="preserve">Het mandaat van FAO wordt zowel uitvoerend als normatief ingevuld. Het kernmandaat is breed, omdat landbouw en voedsel bijzonder veel facetten kennen. In 2008 zijn de </w:t>
      </w:r>
      <w:r>
        <w:rPr>
          <w:sz w:val="18"/>
          <w:szCs w:val="18"/>
        </w:rPr>
        <w:t xml:space="preserve">FAO </w:t>
      </w:r>
      <w:r w:rsidRPr="00012E53">
        <w:rPr>
          <w:sz w:val="18"/>
          <w:szCs w:val="18"/>
        </w:rPr>
        <w:t xml:space="preserve">programmaprioriteiten en een nieuw strategisch raamwerk uitgewerkt en neergelegd in het </w:t>
      </w:r>
      <w:r w:rsidRPr="00012E53">
        <w:rPr>
          <w:i/>
          <w:sz w:val="18"/>
          <w:szCs w:val="18"/>
        </w:rPr>
        <w:t>Immediate Plan of Action</w:t>
      </w:r>
      <w:r w:rsidRPr="00012E53">
        <w:rPr>
          <w:sz w:val="18"/>
          <w:szCs w:val="18"/>
        </w:rPr>
        <w:t xml:space="preserve"> (IPA). In lijn met het IPA zijn in 2009 het Strategische Plan (2010-2019) en het 4-jaren plan (2010-2013) goedgekeurd. Bij het aantreden van de nieuwe DG Graziano da Silva op 1 januari 2012 heeft hij een brede consultatie gehouden en een nieuw strategisch r</w:t>
      </w:r>
      <w:r>
        <w:rPr>
          <w:sz w:val="18"/>
          <w:szCs w:val="18"/>
        </w:rPr>
        <w:t>a</w:t>
      </w:r>
      <w:r w:rsidRPr="00012E53">
        <w:rPr>
          <w:sz w:val="18"/>
          <w:szCs w:val="18"/>
        </w:rPr>
        <w:t>amw</w:t>
      </w:r>
      <w:r>
        <w:rPr>
          <w:sz w:val="18"/>
          <w:szCs w:val="18"/>
        </w:rPr>
        <w:t>e</w:t>
      </w:r>
      <w:r w:rsidRPr="00012E53">
        <w:rPr>
          <w:sz w:val="18"/>
          <w:szCs w:val="18"/>
        </w:rPr>
        <w:t>rk ontwikkeld</w:t>
      </w:r>
      <w:r>
        <w:rPr>
          <w:sz w:val="18"/>
          <w:szCs w:val="18"/>
        </w:rPr>
        <w:t xml:space="preserve"> voor 2014-2017</w:t>
      </w:r>
      <w:r w:rsidRPr="00012E53">
        <w:rPr>
          <w:sz w:val="18"/>
          <w:szCs w:val="18"/>
        </w:rPr>
        <w:t xml:space="preserve">. Dit is aan de FAO Council voorgelegd en goedgekeurd. Dit framework </w:t>
      </w:r>
      <w:r w:rsidR="00200AE7">
        <w:rPr>
          <w:sz w:val="18"/>
          <w:szCs w:val="18"/>
        </w:rPr>
        <w:t>maakt de FAO veel doelgerichter</w:t>
      </w:r>
      <w:r w:rsidRPr="00012E53">
        <w:rPr>
          <w:sz w:val="18"/>
          <w:szCs w:val="18"/>
        </w:rPr>
        <w:t xml:space="preserve">, </w:t>
      </w:r>
      <w:r w:rsidR="00200AE7">
        <w:rPr>
          <w:sz w:val="18"/>
          <w:szCs w:val="18"/>
        </w:rPr>
        <w:t xml:space="preserve">doorbreekt </w:t>
      </w:r>
      <w:r w:rsidRPr="00012E53">
        <w:rPr>
          <w:sz w:val="18"/>
          <w:szCs w:val="18"/>
        </w:rPr>
        <w:t>de verkokering in de organisatie</w:t>
      </w:r>
      <w:r w:rsidR="00200AE7">
        <w:rPr>
          <w:sz w:val="18"/>
          <w:szCs w:val="18"/>
        </w:rPr>
        <w:t>, decentraliseert</w:t>
      </w:r>
      <w:r w:rsidRPr="00012E53">
        <w:rPr>
          <w:sz w:val="18"/>
          <w:szCs w:val="18"/>
        </w:rPr>
        <w:t xml:space="preserve"> uitvoerende bevoegdheden en </w:t>
      </w:r>
      <w:r w:rsidR="00200AE7">
        <w:rPr>
          <w:sz w:val="18"/>
          <w:szCs w:val="18"/>
        </w:rPr>
        <w:t xml:space="preserve">maakt </w:t>
      </w:r>
      <w:r w:rsidRPr="00012E53">
        <w:rPr>
          <w:sz w:val="18"/>
          <w:szCs w:val="18"/>
        </w:rPr>
        <w:t>de organisatie efficiënter</w:t>
      </w:r>
      <w:r w:rsidR="00200AE7">
        <w:rPr>
          <w:sz w:val="18"/>
          <w:szCs w:val="18"/>
        </w:rPr>
        <w:t xml:space="preserve">, </w:t>
      </w:r>
      <w:r w:rsidR="00626FC4">
        <w:rPr>
          <w:sz w:val="18"/>
          <w:szCs w:val="18"/>
        </w:rPr>
        <w:t>onder meer</w:t>
      </w:r>
      <w:r w:rsidR="00200AE7">
        <w:rPr>
          <w:sz w:val="18"/>
          <w:szCs w:val="18"/>
        </w:rPr>
        <w:t xml:space="preserve"> door de toepassing van Results Based Management</w:t>
      </w:r>
      <w:r w:rsidRPr="00012E53">
        <w:rPr>
          <w:sz w:val="18"/>
          <w:szCs w:val="18"/>
        </w:rPr>
        <w:t xml:space="preserve">. </w:t>
      </w:r>
      <w:r>
        <w:rPr>
          <w:sz w:val="18"/>
          <w:szCs w:val="18"/>
        </w:rPr>
        <w:t>Hier</w:t>
      </w:r>
      <w:r w:rsidRPr="00012E53">
        <w:rPr>
          <w:sz w:val="18"/>
          <w:szCs w:val="18"/>
        </w:rPr>
        <w:t xml:space="preserve">door </w:t>
      </w:r>
      <w:r>
        <w:rPr>
          <w:sz w:val="18"/>
          <w:szCs w:val="18"/>
        </w:rPr>
        <w:t xml:space="preserve">kan </w:t>
      </w:r>
      <w:r w:rsidRPr="00012E53">
        <w:rPr>
          <w:sz w:val="18"/>
          <w:szCs w:val="18"/>
        </w:rPr>
        <w:t>optimaal gebruik gemaa</w:t>
      </w:r>
      <w:r>
        <w:rPr>
          <w:sz w:val="18"/>
          <w:szCs w:val="18"/>
        </w:rPr>
        <w:t xml:space="preserve">kt worden van het </w:t>
      </w:r>
      <w:r w:rsidRPr="00265BE1">
        <w:rPr>
          <w:sz w:val="18"/>
          <w:szCs w:val="18"/>
        </w:rPr>
        <w:t>comparatieve voordeel van de organisatie</w:t>
      </w:r>
      <w:r>
        <w:rPr>
          <w:i/>
          <w:sz w:val="18"/>
          <w:szCs w:val="18"/>
        </w:rPr>
        <w:t>.</w:t>
      </w:r>
      <w:r w:rsidRPr="00012E53">
        <w:rPr>
          <w:sz w:val="18"/>
          <w:szCs w:val="18"/>
        </w:rPr>
        <w:t xml:space="preserve"> Het kernma</w:t>
      </w:r>
      <w:r>
        <w:rPr>
          <w:sz w:val="18"/>
          <w:szCs w:val="18"/>
        </w:rPr>
        <w:t>ndaat van FAO is daarmee helder, de uitvoering op veldniveau zal moeten volgen.</w:t>
      </w:r>
      <w:r w:rsidR="00200AE7">
        <w:rPr>
          <w:sz w:val="18"/>
          <w:szCs w:val="18"/>
        </w:rPr>
        <w:t xml:space="preserve"> </w:t>
      </w:r>
      <w:r w:rsidR="00626FC4">
        <w:rPr>
          <w:sz w:val="18"/>
          <w:szCs w:val="18"/>
        </w:rPr>
        <w:t>H</w:t>
      </w:r>
      <w:r w:rsidR="00200AE7">
        <w:rPr>
          <w:sz w:val="18"/>
          <w:szCs w:val="18"/>
        </w:rPr>
        <w:t>et recente MOPAN evaluatierapport uit januari 2015</w:t>
      </w:r>
      <w:r w:rsidR="002D237A">
        <w:rPr>
          <w:sz w:val="18"/>
          <w:szCs w:val="18"/>
        </w:rPr>
        <w:t xml:space="preserve"> </w:t>
      </w:r>
      <w:r w:rsidR="00626FC4">
        <w:rPr>
          <w:sz w:val="18"/>
          <w:szCs w:val="18"/>
        </w:rPr>
        <w:t>komt tot de</w:t>
      </w:r>
      <w:r w:rsidR="00200AE7">
        <w:rPr>
          <w:sz w:val="18"/>
          <w:szCs w:val="18"/>
        </w:rPr>
        <w:t xml:space="preserve"> conclusie dat deze veranderingen de FAO ten goede aan het komen zijn, dat de richting goed is, maar dat de veranderingen nog te recent zijn om daar een definitieve conclusie aan te verbinden. De verwachting van MOPAN is echter positief.</w:t>
      </w:r>
    </w:p>
    <w:p w14:paraId="250191FF" w14:textId="77777777" w:rsidR="00FA3B7B" w:rsidRPr="00012E53" w:rsidRDefault="00FA3B7B" w:rsidP="00FA3B7B">
      <w:pPr>
        <w:spacing w:line="240" w:lineRule="auto"/>
        <w:jc w:val="both"/>
      </w:pPr>
    </w:p>
    <w:p w14:paraId="25019200" w14:textId="77777777" w:rsidR="00F258E6" w:rsidRDefault="00FA3B7B" w:rsidP="00FA3B7B">
      <w:pPr>
        <w:spacing w:line="240" w:lineRule="auto"/>
        <w:jc w:val="both"/>
      </w:pPr>
      <w:r>
        <w:t xml:space="preserve">Beoordeling: </w:t>
      </w:r>
      <w:r w:rsidR="00AB436C">
        <w:t>voldoende</w:t>
      </w:r>
      <w:r>
        <w:t xml:space="preserve"> = </w:t>
      </w:r>
      <w:r w:rsidR="00AB436C">
        <w:t>3</w:t>
      </w:r>
    </w:p>
    <w:p w14:paraId="25019201" w14:textId="77777777" w:rsidR="00FA3B7B" w:rsidRPr="00012E53" w:rsidRDefault="00FA3B7B" w:rsidP="00FA3B7B">
      <w:pPr>
        <w:spacing w:line="240" w:lineRule="auto"/>
        <w:jc w:val="both"/>
      </w:pPr>
      <w:r w:rsidRPr="00012E53">
        <w:t xml:space="preserve">Verwachting voor positieve verandering: waarschijnlijk = </w:t>
      </w:r>
      <w:r w:rsidRPr="00012E53">
        <w:sym w:font="Wingdings" w:char="F0E9"/>
      </w:r>
    </w:p>
    <w:p w14:paraId="25019202" w14:textId="4AA18B6D" w:rsidR="00CD5427" w:rsidRPr="00DC249A" w:rsidRDefault="00A757AB" w:rsidP="00ED4248">
      <w:pPr>
        <w:pStyle w:val="Heading2"/>
        <w:numPr>
          <w:ilvl w:val="1"/>
          <w:numId w:val="20"/>
        </w:numPr>
        <w:tabs>
          <w:tab w:val="left" w:pos="-1162"/>
          <w:tab w:val="left" w:pos="0"/>
        </w:tabs>
        <w:spacing w:line="240" w:lineRule="auto"/>
        <w:rPr>
          <w:lang w:val="en-US"/>
        </w:rPr>
      </w:pPr>
      <w:bookmarkStart w:id="22" w:name="_Toc410397630"/>
      <w:r w:rsidRPr="000E3A1B">
        <w:tab/>
      </w:r>
      <w:bookmarkEnd w:id="22"/>
      <w:r w:rsidR="0020719A">
        <w:rPr>
          <w:lang w:val="en-US"/>
        </w:rPr>
        <w:t>Resultaatsturing</w:t>
      </w:r>
    </w:p>
    <w:p w14:paraId="25019203" w14:textId="77777777" w:rsidR="002D6BF5" w:rsidRPr="00836F35" w:rsidRDefault="002D6BF5" w:rsidP="002D6BF5">
      <w:pPr>
        <w:ind w:left="-802"/>
        <w:rPr>
          <w:color w:val="FF0000"/>
          <w:lang w:val="en-US"/>
        </w:rPr>
      </w:pPr>
    </w:p>
    <w:p w14:paraId="25019204" w14:textId="09452C0E" w:rsidR="00C008E2" w:rsidRPr="00786500" w:rsidRDefault="00C008E2" w:rsidP="00A757AB">
      <w:pPr>
        <w:pStyle w:val="CommentText"/>
        <w:spacing w:line="240" w:lineRule="auto"/>
        <w:rPr>
          <w:sz w:val="18"/>
          <w:szCs w:val="18"/>
        </w:rPr>
      </w:pPr>
      <w:r w:rsidRPr="00C008E2">
        <w:rPr>
          <w:sz w:val="18"/>
          <w:szCs w:val="18"/>
        </w:rPr>
        <w:t xml:space="preserve">FAO heeft haar planningssysteem vernieuwd, wat heeft geleid tot resultaatgerichter opereren binnen de organisatie. Dankzij een scherpe focus vanuit het </w:t>
      </w:r>
      <w:r w:rsidR="00597340">
        <w:rPr>
          <w:sz w:val="18"/>
          <w:szCs w:val="18"/>
        </w:rPr>
        <w:t>strategische raamwerk</w:t>
      </w:r>
      <w:r w:rsidRPr="00C008E2">
        <w:rPr>
          <w:sz w:val="18"/>
          <w:szCs w:val="18"/>
        </w:rPr>
        <w:t xml:space="preserve"> heeft FAO concrete maatregelen kunnen nemen en sterk leiderschap kunnen tonen richting een resultaatgerichte organisatiecultuur. </w:t>
      </w:r>
      <w:r w:rsidRPr="00C008E2">
        <w:rPr>
          <w:snapToGrid w:val="0"/>
          <w:sz w:val="18"/>
          <w:szCs w:val="18"/>
          <w:lang w:eastAsia="en-US"/>
        </w:rPr>
        <w:t>Het resultaatgericht managementsysteem (</w:t>
      </w:r>
      <w:r w:rsidRPr="00C008E2">
        <w:rPr>
          <w:i/>
          <w:snapToGrid w:val="0"/>
          <w:sz w:val="18"/>
          <w:szCs w:val="18"/>
          <w:lang w:eastAsia="en-US"/>
        </w:rPr>
        <w:t>Results Based Management,</w:t>
      </w:r>
      <w:r w:rsidRPr="00C008E2">
        <w:rPr>
          <w:snapToGrid w:val="0"/>
          <w:sz w:val="18"/>
          <w:szCs w:val="18"/>
          <w:lang w:eastAsia="en-US"/>
        </w:rPr>
        <w:t xml:space="preserve"> RBM) heeft geleid tot een aantal </w:t>
      </w:r>
      <w:r>
        <w:rPr>
          <w:snapToGrid w:val="0"/>
          <w:sz w:val="18"/>
          <w:szCs w:val="18"/>
          <w:lang w:eastAsia="en-US"/>
        </w:rPr>
        <w:t xml:space="preserve">goede </w:t>
      </w:r>
      <w:r w:rsidRPr="00C008E2">
        <w:rPr>
          <w:snapToGrid w:val="0"/>
          <w:sz w:val="18"/>
          <w:szCs w:val="18"/>
          <w:lang w:eastAsia="en-US"/>
        </w:rPr>
        <w:t>managementdocumenten</w:t>
      </w:r>
      <w:r>
        <w:rPr>
          <w:snapToGrid w:val="0"/>
          <w:sz w:val="18"/>
          <w:szCs w:val="18"/>
          <w:lang w:eastAsia="en-US"/>
        </w:rPr>
        <w:t>, die nu in uitvoer</w:t>
      </w:r>
      <w:r w:rsidR="00597340">
        <w:rPr>
          <w:snapToGrid w:val="0"/>
          <w:sz w:val="18"/>
          <w:szCs w:val="18"/>
          <w:lang w:eastAsia="en-US"/>
        </w:rPr>
        <w:t>ing</w:t>
      </w:r>
      <w:r>
        <w:rPr>
          <w:snapToGrid w:val="0"/>
          <w:sz w:val="18"/>
          <w:szCs w:val="18"/>
          <w:lang w:eastAsia="en-US"/>
        </w:rPr>
        <w:t xml:space="preserve"> worden gebracht</w:t>
      </w:r>
      <w:r w:rsidRPr="00C008E2">
        <w:rPr>
          <w:snapToGrid w:val="0"/>
          <w:sz w:val="18"/>
          <w:szCs w:val="18"/>
          <w:lang w:eastAsia="en-US"/>
        </w:rPr>
        <w:t xml:space="preserve">. </w:t>
      </w:r>
      <w:r>
        <w:rPr>
          <w:snapToGrid w:val="0"/>
          <w:sz w:val="18"/>
          <w:szCs w:val="18"/>
          <w:lang w:eastAsia="en-US"/>
        </w:rPr>
        <w:t xml:space="preserve">In </w:t>
      </w:r>
      <w:r w:rsidRPr="00C008E2">
        <w:rPr>
          <w:sz w:val="18"/>
          <w:szCs w:val="18"/>
        </w:rPr>
        <w:t xml:space="preserve">het MOPAN rapport </w:t>
      </w:r>
      <w:r>
        <w:rPr>
          <w:sz w:val="18"/>
          <w:szCs w:val="18"/>
        </w:rPr>
        <w:t xml:space="preserve">2015 </w:t>
      </w:r>
      <w:r w:rsidRPr="00C008E2">
        <w:rPr>
          <w:sz w:val="18"/>
          <w:szCs w:val="18"/>
        </w:rPr>
        <w:t xml:space="preserve">staat dat </w:t>
      </w:r>
      <w:r>
        <w:rPr>
          <w:sz w:val="18"/>
          <w:szCs w:val="18"/>
        </w:rPr>
        <w:t xml:space="preserve">het </w:t>
      </w:r>
      <w:r w:rsidRPr="00C008E2">
        <w:rPr>
          <w:sz w:val="18"/>
          <w:szCs w:val="18"/>
        </w:rPr>
        <w:t xml:space="preserve">strategisch management op alle punten adequaat tot </w:t>
      </w:r>
      <w:r>
        <w:rPr>
          <w:sz w:val="18"/>
          <w:szCs w:val="18"/>
        </w:rPr>
        <w:t>zeer sterk</w:t>
      </w:r>
      <w:r w:rsidRPr="00C008E2">
        <w:rPr>
          <w:sz w:val="18"/>
          <w:szCs w:val="18"/>
        </w:rPr>
        <w:t xml:space="preserve"> scoort</w:t>
      </w:r>
      <w:r>
        <w:rPr>
          <w:sz w:val="18"/>
          <w:szCs w:val="18"/>
        </w:rPr>
        <w:t>,</w:t>
      </w:r>
      <w:r w:rsidRPr="00C008E2">
        <w:rPr>
          <w:sz w:val="18"/>
          <w:szCs w:val="18"/>
        </w:rPr>
        <w:t xml:space="preserve"> </w:t>
      </w:r>
      <w:r>
        <w:rPr>
          <w:sz w:val="18"/>
          <w:szCs w:val="18"/>
        </w:rPr>
        <w:t>h</w:t>
      </w:r>
      <w:r w:rsidRPr="00C008E2">
        <w:rPr>
          <w:sz w:val="18"/>
          <w:szCs w:val="18"/>
        </w:rPr>
        <w:t>et beleid rond RBM is goed</w:t>
      </w:r>
      <w:r>
        <w:rPr>
          <w:sz w:val="18"/>
          <w:szCs w:val="18"/>
        </w:rPr>
        <w:t>, maar moet nog wel door de hele organisatie goed opgepakt worden</w:t>
      </w:r>
      <w:r w:rsidRPr="00C008E2">
        <w:rPr>
          <w:sz w:val="18"/>
          <w:szCs w:val="18"/>
        </w:rPr>
        <w:t>: “</w:t>
      </w:r>
      <w:r w:rsidRPr="00C008E2">
        <w:rPr>
          <w:i/>
          <w:sz w:val="18"/>
          <w:szCs w:val="18"/>
        </w:rPr>
        <w:t xml:space="preserve">FAO staff capacities to implement RBM are still variable across the organisation and evaluations suggest that the RBM training offered has </w:t>
      </w:r>
      <w:proofErr w:type="gramStart"/>
      <w:r w:rsidRPr="00C008E2">
        <w:rPr>
          <w:i/>
          <w:sz w:val="18"/>
          <w:szCs w:val="18"/>
        </w:rPr>
        <w:t>not</w:t>
      </w:r>
      <w:proofErr w:type="gramEnd"/>
      <w:r w:rsidRPr="00C008E2">
        <w:rPr>
          <w:i/>
          <w:sz w:val="18"/>
          <w:szCs w:val="18"/>
        </w:rPr>
        <w:t xml:space="preserve"> yet resulted in strong RBM capacities at all levels of the organisation for monitoring and reporting on results</w:t>
      </w:r>
      <w:r w:rsidRPr="00C008E2">
        <w:rPr>
          <w:sz w:val="18"/>
          <w:szCs w:val="18"/>
        </w:rPr>
        <w:t xml:space="preserve">”. </w:t>
      </w:r>
      <w:r w:rsidRPr="00C008E2">
        <w:rPr>
          <w:snapToGrid w:val="0"/>
          <w:sz w:val="18"/>
          <w:szCs w:val="18"/>
          <w:lang w:eastAsia="en-US"/>
        </w:rPr>
        <w:t xml:space="preserve">Het RBM-concept wordt nu ook op landenniveau doorgevoerd. Op enkele (deel)terreinen, zoals genetische bronnen, de Codex Alimentarius en de bosbouw heeft de FAO al meerjarenplannen. In het huidige biennium moeten deze ook voor alle andere FAO-onderdelen van kracht worden. De focus op resultaatgericht management heeft ook geleid tot een beweging naar resultaatgericht budgetteren. Er is goede vooruitgang geboekt op projectniveau en binnen de operationele werkplanning, maar tegelijkertijd is op corporate niveau nog een slag te maken in het verbinden van </w:t>
      </w:r>
      <w:r w:rsidR="00597340">
        <w:rPr>
          <w:snapToGrid w:val="0"/>
          <w:sz w:val="18"/>
          <w:szCs w:val="18"/>
          <w:lang w:eastAsia="en-US"/>
        </w:rPr>
        <w:t>middelen</w:t>
      </w:r>
      <w:r w:rsidRPr="00C008E2">
        <w:rPr>
          <w:snapToGrid w:val="0"/>
          <w:sz w:val="18"/>
          <w:szCs w:val="18"/>
          <w:lang w:eastAsia="en-US"/>
        </w:rPr>
        <w:t xml:space="preserve"> aan resultaten. FAO werkt hiervoor aan de </w:t>
      </w:r>
      <w:proofErr w:type="gramStart"/>
      <w:r w:rsidRPr="00C008E2">
        <w:rPr>
          <w:snapToGrid w:val="0"/>
          <w:sz w:val="18"/>
          <w:szCs w:val="18"/>
          <w:lang w:eastAsia="en-US"/>
        </w:rPr>
        <w:t>implementatie</w:t>
      </w:r>
      <w:proofErr w:type="gramEnd"/>
      <w:r w:rsidRPr="00C008E2">
        <w:rPr>
          <w:snapToGrid w:val="0"/>
          <w:sz w:val="18"/>
          <w:szCs w:val="18"/>
          <w:lang w:eastAsia="en-US"/>
        </w:rPr>
        <w:t xml:space="preserve"> van een </w:t>
      </w:r>
      <w:r w:rsidR="001E5B8E" w:rsidRPr="002D237A">
        <w:rPr>
          <w:i/>
          <w:snapToGrid w:val="0"/>
          <w:sz w:val="18"/>
          <w:szCs w:val="18"/>
          <w:lang w:eastAsia="en-US"/>
        </w:rPr>
        <w:t>results</w:t>
      </w:r>
      <w:r w:rsidR="00E73754">
        <w:rPr>
          <w:i/>
          <w:snapToGrid w:val="0"/>
          <w:sz w:val="18"/>
          <w:szCs w:val="18"/>
          <w:lang w:eastAsia="en-US"/>
        </w:rPr>
        <w:t xml:space="preserve"> </w:t>
      </w:r>
      <w:r w:rsidR="001E5B8E" w:rsidRPr="002D237A">
        <w:rPr>
          <w:i/>
          <w:snapToGrid w:val="0"/>
          <w:sz w:val="18"/>
          <w:szCs w:val="18"/>
          <w:lang w:eastAsia="en-US"/>
        </w:rPr>
        <w:t>based budget system,</w:t>
      </w:r>
      <w:r w:rsidRPr="00C008E2">
        <w:rPr>
          <w:snapToGrid w:val="0"/>
          <w:sz w:val="18"/>
          <w:szCs w:val="18"/>
          <w:lang w:eastAsia="en-US"/>
        </w:rPr>
        <w:t xml:space="preserve"> waarbij de verwachting is dat de connectie tussen </w:t>
      </w:r>
      <w:r w:rsidR="00597340">
        <w:rPr>
          <w:snapToGrid w:val="0"/>
          <w:sz w:val="18"/>
          <w:szCs w:val="18"/>
          <w:lang w:eastAsia="en-US"/>
        </w:rPr>
        <w:t>middelen</w:t>
      </w:r>
      <w:r w:rsidRPr="00C008E2">
        <w:rPr>
          <w:snapToGrid w:val="0"/>
          <w:sz w:val="18"/>
          <w:szCs w:val="18"/>
          <w:lang w:eastAsia="en-US"/>
        </w:rPr>
        <w:t xml:space="preserve"> en resultaten helderder wordt</w:t>
      </w:r>
      <w:r w:rsidR="00786500">
        <w:rPr>
          <w:snapToGrid w:val="0"/>
          <w:sz w:val="18"/>
          <w:szCs w:val="18"/>
          <w:lang w:eastAsia="en-US"/>
        </w:rPr>
        <w:t>.</w:t>
      </w:r>
    </w:p>
    <w:p w14:paraId="25019205" w14:textId="77777777" w:rsidR="00FA3B7B" w:rsidRPr="00012E53" w:rsidRDefault="00FA3B7B" w:rsidP="00FA3B7B">
      <w:pPr>
        <w:spacing w:line="240" w:lineRule="auto"/>
        <w:jc w:val="both"/>
        <w:rPr>
          <w:b/>
        </w:rPr>
      </w:pPr>
    </w:p>
    <w:p w14:paraId="25019206" w14:textId="77777777" w:rsidR="00F258E6" w:rsidRDefault="00FA3B7B" w:rsidP="00FA3B7B">
      <w:pPr>
        <w:spacing w:line="240" w:lineRule="auto"/>
        <w:jc w:val="both"/>
      </w:pPr>
      <w:r w:rsidRPr="00012E53">
        <w:t xml:space="preserve">Beoordeling: </w:t>
      </w:r>
      <w:r w:rsidR="003F44C7">
        <w:t>voldoende</w:t>
      </w:r>
      <w:r w:rsidRPr="00012E53">
        <w:t xml:space="preserve"> = </w:t>
      </w:r>
      <w:r w:rsidR="00F258E6">
        <w:t>3</w:t>
      </w:r>
    </w:p>
    <w:p w14:paraId="25019207" w14:textId="77777777" w:rsidR="00FA3B7B" w:rsidRPr="00012E53" w:rsidRDefault="00FA3B7B" w:rsidP="00FA3B7B">
      <w:pPr>
        <w:spacing w:line="240" w:lineRule="auto"/>
        <w:jc w:val="both"/>
      </w:pPr>
      <w:r w:rsidRPr="00012E53">
        <w:t xml:space="preserve">Verwachting voor positieve verandering: waarschijnlijk = </w:t>
      </w:r>
      <w:r w:rsidRPr="00012E53">
        <w:sym w:font="Wingdings" w:char="F0E9"/>
      </w:r>
    </w:p>
    <w:p w14:paraId="25019208" w14:textId="77777777" w:rsidR="00B54564" w:rsidRPr="00836F35" w:rsidRDefault="00B54564" w:rsidP="00B54564">
      <w:pPr>
        <w:rPr>
          <w:color w:val="FF0000"/>
        </w:rPr>
      </w:pPr>
    </w:p>
    <w:p w14:paraId="25019209" w14:textId="77777777" w:rsidR="00ED2F32" w:rsidRPr="00DC249A" w:rsidRDefault="00B54564" w:rsidP="008E22BC">
      <w:pPr>
        <w:numPr>
          <w:ilvl w:val="1"/>
          <w:numId w:val="20"/>
        </w:numPr>
        <w:ind w:left="0" w:hanging="1162"/>
        <w:rPr>
          <w:b/>
        </w:rPr>
      </w:pPr>
      <w:r w:rsidRPr="00DC249A">
        <w:rPr>
          <w:b/>
        </w:rPr>
        <w:t xml:space="preserve">Partnerschappen </w:t>
      </w:r>
    </w:p>
    <w:p w14:paraId="2501920A" w14:textId="77777777" w:rsidR="00ED2F32" w:rsidRPr="00DC249A" w:rsidRDefault="00ED2F32" w:rsidP="00ED2F32">
      <w:pPr>
        <w:ind w:left="-1162"/>
      </w:pPr>
    </w:p>
    <w:p w14:paraId="2501920B" w14:textId="77777777" w:rsidR="00F067FE" w:rsidRPr="00012E53" w:rsidRDefault="00F067FE" w:rsidP="00A757AB">
      <w:pPr>
        <w:pStyle w:val="FootnoteText"/>
        <w:spacing w:line="240" w:lineRule="auto"/>
        <w:ind w:left="0" w:firstLine="0"/>
        <w:rPr>
          <w:sz w:val="18"/>
          <w:szCs w:val="18"/>
        </w:rPr>
      </w:pPr>
      <w:r w:rsidRPr="00012E53">
        <w:rPr>
          <w:sz w:val="18"/>
          <w:szCs w:val="18"/>
        </w:rPr>
        <w:t xml:space="preserve">Het hervormingsproces binnen de FAO is onder andere gericht op een intensievere en kwalitatief betere samenwerking met andere </w:t>
      </w:r>
      <w:r>
        <w:rPr>
          <w:sz w:val="18"/>
          <w:szCs w:val="18"/>
        </w:rPr>
        <w:t xml:space="preserve">(multilaterale) </w:t>
      </w:r>
      <w:r w:rsidRPr="00012E53">
        <w:rPr>
          <w:sz w:val="18"/>
          <w:szCs w:val="18"/>
        </w:rPr>
        <w:t xml:space="preserve">organisaties. Mede onder druk van donoren is dit de laatste jaren duidelijk verbeterd. FAO stelt zich binnen de samenwerking met WFP en IFAD op het gebied van voedselhulp en </w:t>
      </w:r>
      <w:r>
        <w:rPr>
          <w:sz w:val="18"/>
          <w:szCs w:val="18"/>
        </w:rPr>
        <w:t>voedsel</w:t>
      </w:r>
      <w:r w:rsidRPr="00012E53">
        <w:rPr>
          <w:sz w:val="18"/>
          <w:szCs w:val="18"/>
        </w:rPr>
        <w:t xml:space="preserve">zekerheid meer op als een teamspeler op basis van specifieke mandaten. </w:t>
      </w:r>
      <w:r w:rsidR="00200AE7">
        <w:rPr>
          <w:sz w:val="18"/>
          <w:szCs w:val="18"/>
        </w:rPr>
        <w:t xml:space="preserve">De drie </w:t>
      </w:r>
      <w:r w:rsidR="00597340">
        <w:rPr>
          <w:sz w:val="18"/>
          <w:szCs w:val="18"/>
        </w:rPr>
        <w:t>organisaties</w:t>
      </w:r>
      <w:r w:rsidR="00200AE7">
        <w:rPr>
          <w:sz w:val="18"/>
          <w:szCs w:val="18"/>
        </w:rPr>
        <w:t xml:space="preserve"> </w:t>
      </w:r>
      <w:r w:rsidR="002D237A">
        <w:rPr>
          <w:sz w:val="18"/>
          <w:szCs w:val="18"/>
        </w:rPr>
        <w:t xml:space="preserve">financieren </w:t>
      </w:r>
      <w:r w:rsidRPr="00012E53">
        <w:rPr>
          <w:sz w:val="18"/>
          <w:szCs w:val="18"/>
        </w:rPr>
        <w:t>gezamenlijk</w:t>
      </w:r>
      <w:r w:rsidR="00C967F9">
        <w:rPr>
          <w:sz w:val="18"/>
          <w:szCs w:val="18"/>
        </w:rPr>
        <w:t xml:space="preserve"> het</w:t>
      </w:r>
      <w:r w:rsidRPr="00012E53">
        <w:rPr>
          <w:sz w:val="18"/>
          <w:szCs w:val="18"/>
        </w:rPr>
        <w:t xml:space="preserve"> secretariaat van het Wereld Voedselzekerheid</w:t>
      </w:r>
      <w:r w:rsidR="008E1C34">
        <w:rPr>
          <w:sz w:val="18"/>
          <w:szCs w:val="18"/>
        </w:rPr>
        <w:t>s</w:t>
      </w:r>
      <w:r w:rsidRPr="00012E53">
        <w:rPr>
          <w:sz w:val="18"/>
          <w:szCs w:val="18"/>
        </w:rPr>
        <w:t xml:space="preserve">comité (Committee on World Food Security, CFS) en </w:t>
      </w:r>
      <w:r w:rsidR="00200AE7">
        <w:rPr>
          <w:sz w:val="18"/>
          <w:szCs w:val="18"/>
        </w:rPr>
        <w:t xml:space="preserve">houden </w:t>
      </w:r>
      <w:r w:rsidRPr="00012E53">
        <w:rPr>
          <w:sz w:val="18"/>
          <w:szCs w:val="18"/>
        </w:rPr>
        <w:t xml:space="preserve">regelmatige vergaderingen van de hoofden van de drie organisaties. De </w:t>
      </w:r>
      <w:r>
        <w:rPr>
          <w:sz w:val="18"/>
          <w:szCs w:val="18"/>
        </w:rPr>
        <w:t>o</w:t>
      </w:r>
      <w:r w:rsidRPr="00012E53">
        <w:rPr>
          <w:sz w:val="18"/>
          <w:szCs w:val="18"/>
        </w:rPr>
        <w:t xml:space="preserve">nafhankelijke </w:t>
      </w:r>
      <w:r>
        <w:rPr>
          <w:sz w:val="18"/>
          <w:szCs w:val="18"/>
        </w:rPr>
        <w:t>e</w:t>
      </w:r>
      <w:r w:rsidRPr="00012E53">
        <w:rPr>
          <w:sz w:val="18"/>
          <w:szCs w:val="18"/>
        </w:rPr>
        <w:t xml:space="preserve">xterne </w:t>
      </w:r>
      <w:r>
        <w:rPr>
          <w:sz w:val="18"/>
          <w:szCs w:val="18"/>
        </w:rPr>
        <w:t>e</w:t>
      </w:r>
      <w:r w:rsidRPr="00012E53">
        <w:rPr>
          <w:sz w:val="18"/>
          <w:szCs w:val="18"/>
        </w:rPr>
        <w:t>valuatie heeft geadviseerd dat er een organisatie</w:t>
      </w:r>
      <w:r>
        <w:rPr>
          <w:sz w:val="18"/>
          <w:szCs w:val="18"/>
        </w:rPr>
        <w:t>-</w:t>
      </w:r>
      <w:r w:rsidRPr="00012E53">
        <w:rPr>
          <w:sz w:val="18"/>
          <w:szCs w:val="18"/>
        </w:rPr>
        <w:t xml:space="preserve">brede strategie moet komen voor partnerschappen. In de </w:t>
      </w:r>
      <w:r>
        <w:rPr>
          <w:sz w:val="18"/>
          <w:szCs w:val="18"/>
        </w:rPr>
        <w:t>FAO Raad</w:t>
      </w:r>
      <w:r w:rsidRPr="00012E53">
        <w:rPr>
          <w:sz w:val="18"/>
          <w:szCs w:val="18"/>
        </w:rPr>
        <w:t xml:space="preserve"> van april 2013 w</w:t>
      </w:r>
      <w:r>
        <w:rPr>
          <w:sz w:val="18"/>
          <w:szCs w:val="18"/>
        </w:rPr>
        <w:t>e</w:t>
      </w:r>
      <w:r w:rsidRPr="00012E53">
        <w:rPr>
          <w:sz w:val="18"/>
          <w:szCs w:val="18"/>
        </w:rPr>
        <w:t xml:space="preserve">rden strategieën </w:t>
      </w:r>
      <w:r w:rsidR="00200AE7">
        <w:rPr>
          <w:sz w:val="18"/>
          <w:szCs w:val="18"/>
        </w:rPr>
        <w:t>aangenomen</w:t>
      </w:r>
      <w:r w:rsidRPr="00012E53">
        <w:rPr>
          <w:sz w:val="18"/>
          <w:szCs w:val="18"/>
        </w:rPr>
        <w:t xml:space="preserve"> voor samenwerking met de private sector en met het maatschappelijk middenveld. Dit soort samenwerking is </w:t>
      </w:r>
      <w:r>
        <w:rPr>
          <w:sz w:val="18"/>
          <w:szCs w:val="18"/>
        </w:rPr>
        <w:t>veelbelovend maar vereist</w:t>
      </w:r>
      <w:r w:rsidRPr="00012E53">
        <w:rPr>
          <w:sz w:val="18"/>
          <w:szCs w:val="18"/>
        </w:rPr>
        <w:t xml:space="preserve"> een leerproces voordat </w:t>
      </w:r>
      <w:r>
        <w:rPr>
          <w:sz w:val="18"/>
          <w:szCs w:val="18"/>
        </w:rPr>
        <w:t>he</w:t>
      </w:r>
      <w:r w:rsidRPr="00012E53">
        <w:rPr>
          <w:sz w:val="18"/>
          <w:szCs w:val="18"/>
        </w:rPr>
        <w:t xml:space="preserve">t zich </w:t>
      </w:r>
      <w:r>
        <w:rPr>
          <w:sz w:val="18"/>
          <w:szCs w:val="18"/>
        </w:rPr>
        <w:t xml:space="preserve">diep </w:t>
      </w:r>
      <w:r w:rsidRPr="00012E53">
        <w:rPr>
          <w:sz w:val="18"/>
          <w:szCs w:val="18"/>
        </w:rPr>
        <w:t>verankerd zal hebben binnen de organisatie.</w:t>
      </w:r>
      <w:r w:rsidR="00750E82">
        <w:rPr>
          <w:sz w:val="18"/>
          <w:szCs w:val="18"/>
        </w:rPr>
        <w:t xml:space="preserve"> Het eerste partnerschap met de private sector heeft FAO gesloten met de R</w:t>
      </w:r>
      <w:r w:rsidR="00786500">
        <w:rPr>
          <w:sz w:val="18"/>
          <w:szCs w:val="18"/>
        </w:rPr>
        <w:t>abob</w:t>
      </w:r>
      <w:r w:rsidR="00750E82">
        <w:rPr>
          <w:sz w:val="18"/>
          <w:szCs w:val="18"/>
        </w:rPr>
        <w:t>ank Foundation in 2014. Omdat in het CFS zowel de private sector organisaties als maatschappelijk middenveld organisaties institutioneel vertegenwoordigd zijn, wordt hier door de organisatie FAO veel van geleerd</w:t>
      </w:r>
      <w:r w:rsidR="00786500">
        <w:rPr>
          <w:sz w:val="18"/>
          <w:szCs w:val="18"/>
        </w:rPr>
        <w:t>.</w:t>
      </w:r>
      <w:r w:rsidR="00750E82">
        <w:rPr>
          <w:sz w:val="18"/>
          <w:szCs w:val="18"/>
        </w:rPr>
        <w:t xml:space="preserve"> </w:t>
      </w:r>
      <w:proofErr w:type="gramStart"/>
      <w:r w:rsidR="00786500">
        <w:rPr>
          <w:sz w:val="18"/>
          <w:szCs w:val="18"/>
        </w:rPr>
        <w:t>D</w:t>
      </w:r>
      <w:r w:rsidR="00750E82">
        <w:rPr>
          <w:sz w:val="18"/>
          <w:szCs w:val="18"/>
        </w:rPr>
        <w:t xml:space="preserve">it is een voorbeeld voor de VN als geheel hoe met deze </w:t>
      </w:r>
      <w:r w:rsidR="00F71D4E" w:rsidRPr="00F71D4E">
        <w:rPr>
          <w:i/>
          <w:sz w:val="18"/>
          <w:szCs w:val="18"/>
        </w:rPr>
        <w:t>multi-stakeholder</w:t>
      </w:r>
      <w:r w:rsidR="00F71D4E">
        <w:rPr>
          <w:sz w:val="18"/>
          <w:szCs w:val="18"/>
        </w:rPr>
        <w:t xml:space="preserve"> </w:t>
      </w:r>
      <w:r w:rsidR="00750E82">
        <w:rPr>
          <w:sz w:val="18"/>
          <w:szCs w:val="18"/>
        </w:rPr>
        <w:t>materie moet worden omgegaan.</w:t>
      </w:r>
      <w:proofErr w:type="gramEnd"/>
    </w:p>
    <w:p w14:paraId="2501920C" w14:textId="77777777" w:rsidR="00F067FE" w:rsidRPr="00012E53" w:rsidRDefault="00F067FE" w:rsidP="00A757AB">
      <w:pPr>
        <w:pStyle w:val="FootnoteText"/>
        <w:spacing w:line="240" w:lineRule="auto"/>
        <w:ind w:left="0" w:firstLine="0"/>
        <w:rPr>
          <w:sz w:val="18"/>
          <w:szCs w:val="18"/>
        </w:rPr>
      </w:pPr>
    </w:p>
    <w:p w14:paraId="2501920D" w14:textId="77777777" w:rsidR="00F067FE" w:rsidRPr="00012E53" w:rsidRDefault="00F067FE" w:rsidP="00A757AB">
      <w:pPr>
        <w:pStyle w:val="FootnoteText"/>
        <w:spacing w:line="240" w:lineRule="auto"/>
        <w:ind w:left="0" w:firstLine="0"/>
        <w:rPr>
          <w:sz w:val="18"/>
          <w:szCs w:val="18"/>
        </w:rPr>
      </w:pPr>
      <w:r w:rsidRPr="00F258E6">
        <w:rPr>
          <w:sz w:val="18"/>
          <w:szCs w:val="18"/>
        </w:rPr>
        <w:t xml:space="preserve">FAO heeft zich gebonden aan de VN-hervormingen maar </w:t>
      </w:r>
      <w:r w:rsidR="00DD6CD0" w:rsidRPr="00F258E6">
        <w:rPr>
          <w:sz w:val="18"/>
          <w:szCs w:val="18"/>
        </w:rPr>
        <w:t>vindt</w:t>
      </w:r>
      <w:r w:rsidRPr="00F258E6">
        <w:rPr>
          <w:sz w:val="18"/>
          <w:szCs w:val="18"/>
        </w:rPr>
        <w:t xml:space="preserve"> dat</w:t>
      </w:r>
      <w:r w:rsidRPr="00012E53">
        <w:rPr>
          <w:sz w:val="18"/>
          <w:szCs w:val="18"/>
        </w:rPr>
        <w:t xml:space="preserve"> hervormingen meer moeten betekenen dan alleen efficiënter werken op landenniveau. Het gaat er vooral om de toegevoegde waarde van de VN als duurzame ontwikkelingspartner te laten zien en dat de VN een hoeder van </w:t>
      </w:r>
      <w:r w:rsidRPr="00012E53">
        <w:rPr>
          <w:i/>
          <w:sz w:val="18"/>
          <w:szCs w:val="18"/>
        </w:rPr>
        <w:t>global public goods</w:t>
      </w:r>
      <w:r w:rsidRPr="00012E53">
        <w:rPr>
          <w:sz w:val="18"/>
          <w:szCs w:val="18"/>
        </w:rPr>
        <w:t xml:space="preserve"> is. Daarom </w:t>
      </w:r>
      <w:r>
        <w:rPr>
          <w:sz w:val="18"/>
          <w:szCs w:val="18"/>
        </w:rPr>
        <w:t>wordt bepleit</w:t>
      </w:r>
      <w:r w:rsidRPr="00012E53">
        <w:rPr>
          <w:sz w:val="18"/>
          <w:szCs w:val="18"/>
        </w:rPr>
        <w:t xml:space="preserve"> dat er binnen het </w:t>
      </w:r>
      <w:r w:rsidRPr="00012E53">
        <w:rPr>
          <w:i/>
          <w:sz w:val="18"/>
          <w:szCs w:val="18"/>
        </w:rPr>
        <w:t>Delivering as One</w:t>
      </w:r>
      <w:r w:rsidRPr="00012E53">
        <w:rPr>
          <w:sz w:val="18"/>
          <w:szCs w:val="18"/>
        </w:rPr>
        <w:t xml:space="preserve"> concept ruimte blijft voor de specifieke kennis en kunde</w:t>
      </w:r>
      <w:r>
        <w:rPr>
          <w:sz w:val="18"/>
          <w:szCs w:val="18"/>
        </w:rPr>
        <w:t xml:space="preserve"> van de g</w:t>
      </w:r>
      <w:r w:rsidRPr="00012E53">
        <w:rPr>
          <w:sz w:val="18"/>
          <w:szCs w:val="18"/>
        </w:rPr>
        <w:t xml:space="preserve">especialiseerde </w:t>
      </w:r>
      <w:r>
        <w:rPr>
          <w:sz w:val="18"/>
          <w:szCs w:val="18"/>
        </w:rPr>
        <w:t>o</w:t>
      </w:r>
      <w:r w:rsidRPr="00012E53">
        <w:rPr>
          <w:sz w:val="18"/>
          <w:szCs w:val="18"/>
        </w:rPr>
        <w:t>rganisaties</w:t>
      </w:r>
      <w:r w:rsidR="00750E82">
        <w:rPr>
          <w:sz w:val="18"/>
          <w:szCs w:val="18"/>
        </w:rPr>
        <w:t>: h</w:t>
      </w:r>
      <w:r>
        <w:rPr>
          <w:sz w:val="18"/>
          <w:szCs w:val="18"/>
        </w:rPr>
        <w:t xml:space="preserve">et geven van </w:t>
      </w:r>
      <w:r w:rsidRPr="00012E53">
        <w:rPr>
          <w:sz w:val="18"/>
          <w:szCs w:val="18"/>
        </w:rPr>
        <w:t xml:space="preserve">beleidsadviezen, het vaststellen van standaarden en het uitvoeren van normatieve taken. </w:t>
      </w:r>
      <w:r>
        <w:rPr>
          <w:sz w:val="18"/>
          <w:szCs w:val="18"/>
        </w:rPr>
        <w:t xml:space="preserve">Dit wordt door </w:t>
      </w:r>
      <w:r w:rsidRPr="00012E53">
        <w:rPr>
          <w:sz w:val="18"/>
          <w:szCs w:val="18"/>
        </w:rPr>
        <w:t>Nederland onderken</w:t>
      </w:r>
      <w:r>
        <w:rPr>
          <w:sz w:val="18"/>
          <w:szCs w:val="18"/>
        </w:rPr>
        <w:t xml:space="preserve">d, </w:t>
      </w:r>
      <w:r w:rsidRPr="00012E53">
        <w:rPr>
          <w:sz w:val="18"/>
          <w:szCs w:val="18"/>
        </w:rPr>
        <w:t xml:space="preserve">Gespecialiseerde Organisaties </w:t>
      </w:r>
      <w:r>
        <w:rPr>
          <w:sz w:val="18"/>
          <w:szCs w:val="18"/>
        </w:rPr>
        <w:t xml:space="preserve">hebben </w:t>
      </w:r>
      <w:r w:rsidRPr="00012E53">
        <w:rPr>
          <w:sz w:val="18"/>
          <w:szCs w:val="18"/>
        </w:rPr>
        <w:t>een andere rol op landenniveau dan de meer uitvoerende fondsen en programma’s.</w:t>
      </w:r>
    </w:p>
    <w:p w14:paraId="2501920E" w14:textId="77777777" w:rsidR="00F067FE" w:rsidRPr="00012E53" w:rsidRDefault="00F067FE" w:rsidP="00F067FE">
      <w:pPr>
        <w:pStyle w:val="FootnoteText"/>
        <w:spacing w:line="240" w:lineRule="auto"/>
        <w:ind w:left="0" w:firstLine="0"/>
        <w:jc w:val="both"/>
        <w:rPr>
          <w:sz w:val="18"/>
          <w:szCs w:val="18"/>
        </w:rPr>
      </w:pPr>
    </w:p>
    <w:p w14:paraId="2501920F" w14:textId="77777777" w:rsidR="00F067FE" w:rsidRPr="00012E53" w:rsidRDefault="00F067FE" w:rsidP="00F067FE">
      <w:pPr>
        <w:spacing w:line="240" w:lineRule="auto"/>
        <w:jc w:val="both"/>
      </w:pPr>
      <w:r w:rsidRPr="00012E53">
        <w:t xml:space="preserve">Beoordeling: </w:t>
      </w:r>
      <w:r>
        <w:t>voldoende</w:t>
      </w:r>
      <w:r w:rsidRPr="00012E53">
        <w:t xml:space="preserve"> = </w:t>
      </w:r>
      <w:r>
        <w:t>3</w:t>
      </w:r>
    </w:p>
    <w:p w14:paraId="25019210" w14:textId="77777777" w:rsidR="00F067FE" w:rsidRPr="00012E53" w:rsidRDefault="00F067FE" w:rsidP="00F067FE">
      <w:pPr>
        <w:spacing w:line="240" w:lineRule="auto"/>
        <w:jc w:val="both"/>
      </w:pPr>
      <w:r w:rsidRPr="00012E53">
        <w:t xml:space="preserve">Verwachting voor positieve verandering: </w:t>
      </w:r>
      <w:r w:rsidR="00947E41">
        <w:t>neutraal</w:t>
      </w:r>
      <w:r w:rsidRPr="00012E53">
        <w:t xml:space="preserve"> = </w:t>
      </w:r>
      <w:r w:rsidR="00947E41">
        <w:sym w:font="Wingdings" w:char="F0E8"/>
      </w:r>
    </w:p>
    <w:p w14:paraId="25019211" w14:textId="77777777" w:rsidR="00DE343C" w:rsidRPr="00412635" w:rsidRDefault="004D372F" w:rsidP="004D372F">
      <w:pPr>
        <w:pStyle w:val="Heading2"/>
        <w:tabs>
          <w:tab w:val="left" w:pos="-1162"/>
          <w:tab w:val="left" w:pos="0"/>
          <w:tab w:val="num" w:pos="1160"/>
        </w:tabs>
        <w:spacing w:line="240" w:lineRule="auto"/>
        <w:ind w:hanging="1162"/>
      </w:pPr>
      <w:bookmarkStart w:id="23" w:name="_Toc410140903"/>
      <w:bookmarkStart w:id="24" w:name="_Toc410397631"/>
      <w:r w:rsidRPr="00412635">
        <w:t>3.</w:t>
      </w:r>
      <w:r w:rsidR="00A74DEC" w:rsidRPr="00412635">
        <w:t>4</w:t>
      </w:r>
      <w:r w:rsidRPr="00412635">
        <w:t xml:space="preserve"> </w:t>
      </w:r>
      <w:r w:rsidRPr="00412635">
        <w:tab/>
      </w:r>
      <w:r w:rsidR="00DE343C" w:rsidRPr="00412635">
        <w:t>Effectiviteit bestuurs- en beheersorganen</w:t>
      </w:r>
      <w:bookmarkEnd w:id="23"/>
      <w:bookmarkEnd w:id="24"/>
      <w:r w:rsidR="00D85A93" w:rsidRPr="00412635">
        <w:t xml:space="preserve"> </w:t>
      </w:r>
    </w:p>
    <w:p w14:paraId="25019212" w14:textId="77777777" w:rsidR="00DE343C" w:rsidRPr="00412635" w:rsidRDefault="00DE343C" w:rsidP="00DE343C"/>
    <w:p w14:paraId="25019213" w14:textId="77777777" w:rsidR="00FA3B7B" w:rsidRPr="00012E53" w:rsidRDefault="00FA3B7B" w:rsidP="00A757AB">
      <w:pPr>
        <w:spacing w:line="240" w:lineRule="auto"/>
        <w:rPr>
          <w:szCs w:val="22"/>
        </w:rPr>
      </w:pPr>
      <w:r w:rsidRPr="00012E53">
        <w:rPr>
          <w:szCs w:val="22"/>
        </w:rPr>
        <w:t xml:space="preserve">De FAO Raadsvergaderingen verlopen sinds </w:t>
      </w:r>
      <w:r w:rsidR="003125FB">
        <w:rPr>
          <w:szCs w:val="22"/>
        </w:rPr>
        <w:t>de hervormingen na 2012 efficiënt en dat gold ook voor de FAO Conferentie va</w:t>
      </w:r>
      <w:r w:rsidRPr="00012E53">
        <w:rPr>
          <w:szCs w:val="22"/>
        </w:rPr>
        <w:t xml:space="preserve">n 2013. De machtsbalans in de beheersraden is weliswaar gepolitiseerd door blokvorming van regionale groepen, maar er worden meestal werkbare oplossingen gevonden. </w:t>
      </w:r>
      <w:r w:rsidR="003125FB">
        <w:rPr>
          <w:szCs w:val="22"/>
        </w:rPr>
        <w:t xml:space="preserve">Met het aantreden van de huidige </w:t>
      </w:r>
      <w:r w:rsidRPr="00012E53">
        <w:rPr>
          <w:szCs w:val="22"/>
        </w:rPr>
        <w:t>DG in 2012 is de impasse van voorgaande jaren doorbroken. De delegatie van uitvoerende bevoegdheden naar de regio</w:t>
      </w:r>
      <w:r w:rsidR="005607C4">
        <w:rPr>
          <w:szCs w:val="22"/>
        </w:rPr>
        <w:t>-</w:t>
      </w:r>
      <w:r w:rsidRPr="00012E53">
        <w:rPr>
          <w:szCs w:val="22"/>
        </w:rPr>
        <w:t xml:space="preserve"> en landenkantoren is eveneens een belangrijke ontwikkeling</w:t>
      </w:r>
      <w:r>
        <w:rPr>
          <w:szCs w:val="22"/>
        </w:rPr>
        <w:t>. V</w:t>
      </w:r>
      <w:r w:rsidRPr="00012E53">
        <w:rPr>
          <w:szCs w:val="22"/>
        </w:rPr>
        <w:t xml:space="preserve">oorheen werd de organisatie te centraal vanuit Rome aangestuurd. Er wordt gestuurd op </w:t>
      </w:r>
      <w:r w:rsidRPr="00012E53">
        <w:rPr>
          <w:i/>
          <w:szCs w:val="22"/>
        </w:rPr>
        <w:t>One FAO</w:t>
      </w:r>
      <w:r w:rsidRPr="00012E53">
        <w:rPr>
          <w:szCs w:val="22"/>
        </w:rPr>
        <w:t xml:space="preserve"> met decentraal maatwerk per regio of land.</w:t>
      </w:r>
    </w:p>
    <w:p w14:paraId="25019214" w14:textId="77777777" w:rsidR="00FA3B7B" w:rsidRPr="00012E53" w:rsidRDefault="00FA3B7B" w:rsidP="00A757AB">
      <w:pPr>
        <w:spacing w:line="240" w:lineRule="auto"/>
        <w:outlineLvl w:val="0"/>
        <w:rPr>
          <w:szCs w:val="22"/>
        </w:rPr>
      </w:pPr>
    </w:p>
    <w:p w14:paraId="25019215" w14:textId="77777777" w:rsidR="00FA3B7B" w:rsidRPr="00012E53" w:rsidRDefault="003125FB" w:rsidP="00A757AB">
      <w:pPr>
        <w:spacing w:line="240" w:lineRule="auto"/>
        <w:outlineLvl w:val="0"/>
        <w:rPr>
          <w:szCs w:val="22"/>
        </w:rPr>
      </w:pPr>
      <w:r>
        <w:rPr>
          <w:szCs w:val="22"/>
        </w:rPr>
        <w:t>FAO heeft veel meer het zwaartepunt gelegd op de regionale conferenties, deze krijgen een steeds belangrijkere input op het totale FAO</w:t>
      </w:r>
      <w:r w:rsidR="005607C4">
        <w:rPr>
          <w:szCs w:val="22"/>
        </w:rPr>
        <w:t>-</w:t>
      </w:r>
      <w:r>
        <w:rPr>
          <w:szCs w:val="22"/>
        </w:rPr>
        <w:t xml:space="preserve">beleid, maar ook bij het vaststellen van regionale </w:t>
      </w:r>
      <w:r w:rsidR="005F6F0B">
        <w:rPr>
          <w:szCs w:val="22"/>
        </w:rPr>
        <w:t>prioriteiten</w:t>
      </w:r>
      <w:r>
        <w:rPr>
          <w:szCs w:val="22"/>
        </w:rPr>
        <w:t xml:space="preserve">. </w:t>
      </w:r>
      <w:r w:rsidR="005F6F0B">
        <w:rPr>
          <w:szCs w:val="22"/>
        </w:rPr>
        <w:t>Daaraan gerelateerd is FAO op regionaal niveau</w:t>
      </w:r>
      <w:r w:rsidR="00FA3B7B" w:rsidRPr="00012E53">
        <w:rPr>
          <w:szCs w:val="22"/>
        </w:rPr>
        <w:t xml:space="preserve"> </w:t>
      </w:r>
      <w:r w:rsidR="005F6F0B">
        <w:rPr>
          <w:szCs w:val="22"/>
        </w:rPr>
        <w:t xml:space="preserve">sinds 2013 </w:t>
      </w:r>
      <w:r w:rsidR="00FA3B7B" w:rsidRPr="00012E53">
        <w:rPr>
          <w:szCs w:val="22"/>
        </w:rPr>
        <w:t xml:space="preserve">aan het reorganiseren. De kwaliteit van de regio- en landenkantoren verschilt sterk, niet alleen op het gebied van de uitvoering maar eveneens waar het gaat om rapportage. Door de beperkte financiële middelen is er vaak niet genoeg technische capaciteit op landenniveau aanwezig. Door een </w:t>
      </w:r>
      <w:r w:rsidR="00FA3B7B">
        <w:rPr>
          <w:szCs w:val="22"/>
        </w:rPr>
        <w:t xml:space="preserve">grotere </w:t>
      </w:r>
      <w:r w:rsidR="00FA3B7B" w:rsidRPr="00012E53">
        <w:rPr>
          <w:szCs w:val="22"/>
        </w:rPr>
        <w:t xml:space="preserve">aandacht voor decentralisatie van bevoegdheden naar de regiokantoren, inclusief middelen en technisch vaardig personeel, </w:t>
      </w:r>
      <w:r>
        <w:rPr>
          <w:szCs w:val="22"/>
        </w:rPr>
        <w:t>is dit aan het</w:t>
      </w:r>
      <w:r w:rsidR="00FA3B7B" w:rsidRPr="00012E53">
        <w:rPr>
          <w:szCs w:val="22"/>
        </w:rPr>
        <w:t xml:space="preserve"> verbeteren</w:t>
      </w:r>
      <w:r>
        <w:rPr>
          <w:szCs w:val="22"/>
        </w:rPr>
        <w:t xml:space="preserve">, zoals ook werd vastgesteld in het MOPAN rapport van januari 2015. In het </w:t>
      </w:r>
      <w:r w:rsidR="00FA3B7B" w:rsidRPr="00012E53">
        <w:rPr>
          <w:szCs w:val="22"/>
        </w:rPr>
        <w:t>verleden werden landenvertegenwoordigers niet altijd op basis van hun specifieke capaciteiten aangenomen, of veldkantoren op basis van strategische doeleinden geopend</w:t>
      </w:r>
      <w:r w:rsidR="00FA3B7B">
        <w:rPr>
          <w:szCs w:val="22"/>
        </w:rPr>
        <w:t>.</w:t>
      </w:r>
      <w:r w:rsidR="00FA3B7B" w:rsidRPr="00012E53">
        <w:rPr>
          <w:szCs w:val="22"/>
        </w:rPr>
        <w:t xml:space="preserve"> </w:t>
      </w:r>
      <w:r w:rsidR="00FA3B7B">
        <w:rPr>
          <w:szCs w:val="22"/>
        </w:rPr>
        <w:t>D</w:t>
      </w:r>
      <w:r w:rsidR="00FA3B7B" w:rsidRPr="00012E53">
        <w:rPr>
          <w:szCs w:val="22"/>
        </w:rPr>
        <w:t xml:space="preserve">it </w:t>
      </w:r>
      <w:r>
        <w:rPr>
          <w:szCs w:val="22"/>
        </w:rPr>
        <w:t xml:space="preserve">is </w:t>
      </w:r>
      <w:r w:rsidR="00FA3B7B" w:rsidRPr="00012E53">
        <w:rPr>
          <w:szCs w:val="22"/>
        </w:rPr>
        <w:t>aan een grondige herziening onderworpen</w:t>
      </w:r>
      <w:r>
        <w:rPr>
          <w:szCs w:val="22"/>
        </w:rPr>
        <w:t xml:space="preserve">, </w:t>
      </w:r>
      <w:r w:rsidR="005607C4">
        <w:rPr>
          <w:szCs w:val="22"/>
        </w:rPr>
        <w:t>onder meer</w:t>
      </w:r>
      <w:r>
        <w:rPr>
          <w:szCs w:val="22"/>
        </w:rPr>
        <w:t xml:space="preserve"> worden FAO landenvertegenwoordigers nu </w:t>
      </w:r>
      <w:r w:rsidR="005607C4">
        <w:rPr>
          <w:szCs w:val="22"/>
        </w:rPr>
        <w:t>op basis van bewezen capaciteiten</w:t>
      </w:r>
      <w:r>
        <w:rPr>
          <w:szCs w:val="22"/>
        </w:rPr>
        <w:t xml:space="preserve"> benoemd</w:t>
      </w:r>
      <w:r w:rsidR="00FA3B7B" w:rsidRPr="00012E53">
        <w:rPr>
          <w:szCs w:val="22"/>
        </w:rPr>
        <w:t>.</w:t>
      </w:r>
      <w:r w:rsidR="00A91D6C">
        <w:rPr>
          <w:szCs w:val="22"/>
        </w:rPr>
        <w:t xml:space="preserve"> </w:t>
      </w:r>
      <w:r w:rsidR="00FA3B7B" w:rsidRPr="00012E53">
        <w:rPr>
          <w:szCs w:val="22"/>
        </w:rPr>
        <w:t>FAO</w:t>
      </w:r>
      <w:r>
        <w:rPr>
          <w:szCs w:val="22"/>
        </w:rPr>
        <w:t xml:space="preserve"> brengt langzamerhand</w:t>
      </w:r>
      <w:r w:rsidR="00FA3B7B" w:rsidRPr="00012E53">
        <w:rPr>
          <w:szCs w:val="22"/>
        </w:rPr>
        <w:t xml:space="preserve"> op landenniveau </w:t>
      </w:r>
      <w:r w:rsidR="00FA3B7B">
        <w:rPr>
          <w:szCs w:val="22"/>
        </w:rPr>
        <w:t xml:space="preserve">beter </w:t>
      </w:r>
      <w:r w:rsidR="00FA3B7B" w:rsidRPr="00012E53">
        <w:rPr>
          <w:szCs w:val="22"/>
        </w:rPr>
        <w:t>de meerwaarde (technische expertise) van de organisatie voor het v</w:t>
      </w:r>
      <w:r>
        <w:rPr>
          <w:szCs w:val="22"/>
        </w:rPr>
        <w:t>oetlicht</w:t>
      </w:r>
      <w:r w:rsidR="00FA3B7B" w:rsidRPr="00012E53">
        <w:rPr>
          <w:szCs w:val="22"/>
        </w:rPr>
        <w:t>.</w:t>
      </w:r>
    </w:p>
    <w:p w14:paraId="25019216" w14:textId="77777777" w:rsidR="00FA3B7B" w:rsidRPr="00012E53" w:rsidRDefault="00FA3B7B" w:rsidP="00A757AB">
      <w:pPr>
        <w:spacing w:line="240" w:lineRule="auto"/>
        <w:rPr>
          <w:b/>
        </w:rPr>
      </w:pPr>
    </w:p>
    <w:p w14:paraId="25019217" w14:textId="77777777" w:rsidR="00F067FE" w:rsidRPr="00012E53" w:rsidRDefault="00F067FE" w:rsidP="00A757AB">
      <w:pPr>
        <w:pStyle w:val="FootnoteText"/>
        <w:spacing w:line="240" w:lineRule="auto"/>
        <w:ind w:left="0" w:firstLine="0"/>
        <w:rPr>
          <w:sz w:val="18"/>
          <w:szCs w:val="18"/>
        </w:rPr>
      </w:pPr>
      <w:r w:rsidRPr="00012E53">
        <w:rPr>
          <w:sz w:val="18"/>
          <w:szCs w:val="18"/>
        </w:rPr>
        <w:t xml:space="preserve">Momenteel onderneemt FAO op landenniveau </w:t>
      </w:r>
      <w:r w:rsidR="003125FB">
        <w:rPr>
          <w:sz w:val="18"/>
          <w:szCs w:val="18"/>
        </w:rPr>
        <w:t xml:space="preserve">nog steeds </w:t>
      </w:r>
      <w:r w:rsidRPr="00012E53">
        <w:rPr>
          <w:sz w:val="18"/>
          <w:szCs w:val="18"/>
        </w:rPr>
        <w:t xml:space="preserve">te veel uiteenlopende projecten. De bezetting op landenniveau wordt verbeterd en de beslissingsbevoegdheden gedecentraliseerd. Er is een flink aantal landenkantoren van uitstekend niveau, waar ook vaak door de Nederlandse OS mee wordt samengewerkt. Er zijn echter ook landenkantoren die nog een inhaalslag moeten maken. Dit blijkt ook uit de MOPAN evaluatie. </w:t>
      </w:r>
      <w:r>
        <w:rPr>
          <w:sz w:val="18"/>
          <w:szCs w:val="18"/>
        </w:rPr>
        <w:t>D</w:t>
      </w:r>
      <w:r w:rsidRPr="00012E53">
        <w:rPr>
          <w:sz w:val="18"/>
          <w:szCs w:val="18"/>
        </w:rPr>
        <w:t xml:space="preserve">oor het </w:t>
      </w:r>
      <w:r>
        <w:rPr>
          <w:sz w:val="18"/>
          <w:szCs w:val="18"/>
        </w:rPr>
        <w:t xml:space="preserve">matige functioneren in het </w:t>
      </w:r>
      <w:r w:rsidRPr="00012E53">
        <w:rPr>
          <w:sz w:val="18"/>
          <w:szCs w:val="18"/>
        </w:rPr>
        <w:t>recente verleden van FAO i</w:t>
      </w:r>
      <w:r>
        <w:rPr>
          <w:sz w:val="18"/>
          <w:szCs w:val="18"/>
        </w:rPr>
        <w:t>s hun rol in VN bredere zaken</w:t>
      </w:r>
      <w:r w:rsidRPr="00012E53">
        <w:rPr>
          <w:sz w:val="18"/>
          <w:szCs w:val="18"/>
        </w:rPr>
        <w:t xml:space="preserve">, de beleidsadvisering op landenniveau en de deelname aan de beleidsdiscussies in het kader van </w:t>
      </w:r>
      <w:r w:rsidRPr="00012E53">
        <w:rPr>
          <w:i/>
          <w:sz w:val="18"/>
          <w:szCs w:val="18"/>
        </w:rPr>
        <w:t>Poverty Reduction Strategy Papers</w:t>
      </w:r>
      <w:r w:rsidRPr="00012E53">
        <w:rPr>
          <w:sz w:val="18"/>
          <w:szCs w:val="18"/>
        </w:rPr>
        <w:t xml:space="preserve"> (PRSP), </w:t>
      </w:r>
      <w:r w:rsidRPr="00012E53">
        <w:rPr>
          <w:i/>
          <w:sz w:val="18"/>
          <w:szCs w:val="18"/>
        </w:rPr>
        <w:t>VN Development Assistent Frameworks</w:t>
      </w:r>
      <w:r w:rsidRPr="00012E53">
        <w:rPr>
          <w:sz w:val="18"/>
          <w:szCs w:val="18"/>
        </w:rPr>
        <w:t xml:space="preserve"> (UNDAF)</w:t>
      </w:r>
      <w:r>
        <w:rPr>
          <w:sz w:val="18"/>
          <w:szCs w:val="18"/>
        </w:rPr>
        <w:t>,</w:t>
      </w:r>
      <w:r w:rsidRPr="00012E53">
        <w:rPr>
          <w:sz w:val="18"/>
          <w:szCs w:val="18"/>
        </w:rPr>
        <w:t xml:space="preserve"> beperkt</w:t>
      </w:r>
      <w:r w:rsidR="003125FB">
        <w:rPr>
          <w:sz w:val="18"/>
          <w:szCs w:val="18"/>
        </w:rPr>
        <w:t xml:space="preserve"> </w:t>
      </w:r>
      <w:proofErr w:type="gramStart"/>
      <w:r w:rsidR="003125FB">
        <w:rPr>
          <w:sz w:val="18"/>
          <w:szCs w:val="18"/>
        </w:rPr>
        <w:t>geweest</w:t>
      </w:r>
      <w:proofErr w:type="gramEnd"/>
      <w:r w:rsidR="003125FB">
        <w:rPr>
          <w:sz w:val="18"/>
          <w:szCs w:val="18"/>
        </w:rPr>
        <w:t>, maar dat is duidelijk aan het verbeteren</w:t>
      </w:r>
      <w:r w:rsidRPr="00012E53">
        <w:rPr>
          <w:sz w:val="18"/>
          <w:szCs w:val="18"/>
        </w:rPr>
        <w:t xml:space="preserve">. </w:t>
      </w:r>
      <w:r w:rsidR="003125FB">
        <w:rPr>
          <w:sz w:val="18"/>
          <w:szCs w:val="18"/>
        </w:rPr>
        <w:t xml:space="preserve"> </w:t>
      </w:r>
      <w:r w:rsidRPr="00012E53">
        <w:rPr>
          <w:sz w:val="18"/>
          <w:szCs w:val="18"/>
        </w:rPr>
        <w:t xml:space="preserve">Daarom is de keuze voor meer focus op regionale inkleuring binnen </w:t>
      </w:r>
      <w:r w:rsidRPr="006629FA">
        <w:rPr>
          <w:i/>
          <w:sz w:val="18"/>
          <w:szCs w:val="18"/>
        </w:rPr>
        <w:t>One FAO</w:t>
      </w:r>
      <w:r w:rsidRPr="00012E53">
        <w:rPr>
          <w:sz w:val="18"/>
          <w:szCs w:val="18"/>
        </w:rPr>
        <w:t xml:space="preserve"> een belangrijke stap.</w:t>
      </w:r>
      <w:r>
        <w:rPr>
          <w:sz w:val="18"/>
          <w:szCs w:val="18"/>
        </w:rPr>
        <w:t xml:space="preserve"> </w:t>
      </w:r>
      <w:r w:rsidRPr="00012E53">
        <w:rPr>
          <w:sz w:val="18"/>
          <w:szCs w:val="18"/>
        </w:rPr>
        <w:t>De partners zijn vanwege het mandaat van de FAO meestal (semi-) overheidsorganisaties. In de uitvoering van noodhulpactiviteiten werkt FAO nauw samen met uitvoerende partners als NGO’s en de Wereldbank. Over het algemeen worden de</w:t>
      </w:r>
      <w:r>
        <w:rPr>
          <w:sz w:val="18"/>
          <w:szCs w:val="18"/>
        </w:rPr>
        <w:t>ze</w:t>
      </w:r>
      <w:r w:rsidRPr="00012E53">
        <w:rPr>
          <w:sz w:val="18"/>
          <w:szCs w:val="18"/>
        </w:rPr>
        <w:t xml:space="preserve"> noodhulpactiviteiten van de FAO positief beoordeeld. De relatie met bilaterale donoren op veldniveau is aan de beterende hand. </w:t>
      </w:r>
    </w:p>
    <w:p w14:paraId="25019218" w14:textId="77777777" w:rsidR="00F067FE" w:rsidRPr="00012E53" w:rsidRDefault="00F067FE" w:rsidP="00F067FE">
      <w:pPr>
        <w:spacing w:line="240" w:lineRule="auto"/>
        <w:jc w:val="both"/>
      </w:pPr>
    </w:p>
    <w:p w14:paraId="25019219" w14:textId="77777777" w:rsidR="003125FB" w:rsidRPr="00012E53" w:rsidRDefault="003125FB" w:rsidP="003125FB">
      <w:pPr>
        <w:spacing w:line="240" w:lineRule="auto"/>
        <w:jc w:val="both"/>
      </w:pPr>
      <w:r w:rsidRPr="00012E53">
        <w:t xml:space="preserve">Beoordeling: </w:t>
      </w:r>
      <w:r>
        <w:t>goed</w:t>
      </w:r>
      <w:r w:rsidRPr="00012E53">
        <w:t xml:space="preserve"> </w:t>
      </w:r>
      <w:r>
        <w:t>= 4</w:t>
      </w:r>
    </w:p>
    <w:p w14:paraId="2501921A" w14:textId="77777777" w:rsidR="003A32D7" w:rsidRPr="00412635" w:rsidRDefault="00E276B2" w:rsidP="003A32D7">
      <w:pPr>
        <w:pStyle w:val="Heading2"/>
        <w:tabs>
          <w:tab w:val="left" w:pos="-1162"/>
          <w:tab w:val="left" w:pos="0"/>
          <w:tab w:val="num" w:pos="1160"/>
        </w:tabs>
        <w:spacing w:line="240" w:lineRule="auto"/>
        <w:ind w:hanging="1162"/>
        <w:rPr>
          <w:b w:val="0"/>
        </w:rPr>
      </w:pPr>
      <w:bookmarkStart w:id="25" w:name="_Toc410397632"/>
      <w:r w:rsidRPr="00412635">
        <w:t>3.</w:t>
      </w:r>
      <w:r w:rsidR="00A74DEC" w:rsidRPr="00412635">
        <w:t>5</w:t>
      </w:r>
      <w:r w:rsidRPr="00412635">
        <w:tab/>
      </w:r>
      <w:r w:rsidR="003A32D7" w:rsidRPr="00412635">
        <w:t>Beleidsevaluatie</w:t>
      </w:r>
      <w:bookmarkEnd w:id="25"/>
    </w:p>
    <w:p w14:paraId="2501921B" w14:textId="77777777" w:rsidR="003A32D7" w:rsidRPr="00836F35" w:rsidRDefault="003A32D7" w:rsidP="003A32D7">
      <w:pPr>
        <w:rPr>
          <w:color w:val="FF0000"/>
        </w:rPr>
      </w:pPr>
    </w:p>
    <w:p w14:paraId="2501921C" w14:textId="58116D52" w:rsidR="00F067FE" w:rsidRPr="00012E53" w:rsidRDefault="00F067FE" w:rsidP="00A757AB">
      <w:pPr>
        <w:tabs>
          <w:tab w:val="num" w:pos="360"/>
        </w:tabs>
        <w:spacing w:line="240" w:lineRule="auto"/>
        <w:rPr>
          <w:szCs w:val="22"/>
        </w:rPr>
      </w:pPr>
      <w:r w:rsidRPr="00012E53">
        <w:rPr>
          <w:szCs w:val="22"/>
        </w:rPr>
        <w:t xml:space="preserve">De evaluatiedienst </w:t>
      </w:r>
      <w:r>
        <w:rPr>
          <w:szCs w:val="22"/>
        </w:rPr>
        <w:t xml:space="preserve">van de FAO </w:t>
      </w:r>
      <w:r w:rsidRPr="00012E53">
        <w:rPr>
          <w:szCs w:val="22"/>
        </w:rPr>
        <w:t xml:space="preserve">legt </w:t>
      </w:r>
      <w:r>
        <w:rPr>
          <w:szCs w:val="22"/>
        </w:rPr>
        <w:t xml:space="preserve">zich toe </w:t>
      </w:r>
      <w:r w:rsidRPr="00012E53">
        <w:rPr>
          <w:szCs w:val="22"/>
        </w:rPr>
        <w:t xml:space="preserve">op de evaluatie van technische en beleidsactiviteiten. Als uitvoering van de hervormingen is in 2010 de evaluatiedienst afgesplitst als </w:t>
      </w:r>
      <w:r>
        <w:rPr>
          <w:szCs w:val="22"/>
        </w:rPr>
        <w:t>aparte</w:t>
      </w:r>
      <w:r w:rsidRPr="00012E53">
        <w:rPr>
          <w:szCs w:val="22"/>
        </w:rPr>
        <w:t xml:space="preserve"> organisatorische </w:t>
      </w:r>
      <w:r>
        <w:rPr>
          <w:szCs w:val="22"/>
        </w:rPr>
        <w:t>eenheid</w:t>
      </w:r>
      <w:r w:rsidRPr="00012E53">
        <w:rPr>
          <w:szCs w:val="22"/>
        </w:rPr>
        <w:t xml:space="preserve">. Het beleid is vastgelegd in </w:t>
      </w:r>
      <w:r>
        <w:rPr>
          <w:szCs w:val="22"/>
        </w:rPr>
        <w:t>het</w:t>
      </w:r>
      <w:r w:rsidRPr="00012E53">
        <w:rPr>
          <w:szCs w:val="22"/>
        </w:rPr>
        <w:t xml:space="preserve"> </w:t>
      </w:r>
      <w:r>
        <w:rPr>
          <w:szCs w:val="22"/>
        </w:rPr>
        <w:t>handvest</w:t>
      </w:r>
      <w:r w:rsidRPr="00012E53">
        <w:rPr>
          <w:szCs w:val="22"/>
        </w:rPr>
        <w:t xml:space="preserve"> voor de evaluatiedienst. Er werken 17 mensen. De FAO werkt met een standaardsjabloon voor evaluaties dat de transparantie en vergelijkbaarheid vergroot. Naast evaluaties van individuele activiteiten en programma’s worden ook thematische evaluaties uitgevoerd die van </w:t>
      </w:r>
      <w:r>
        <w:rPr>
          <w:szCs w:val="22"/>
        </w:rPr>
        <w:t>goed</w:t>
      </w:r>
      <w:r w:rsidRPr="00012E53">
        <w:rPr>
          <w:szCs w:val="22"/>
        </w:rPr>
        <w:t xml:space="preserve">e kwaliteit zijn. De programmacommissie beoordeelt alle evaluaties. Deze worden elke twee jaar in een </w:t>
      </w:r>
      <w:r w:rsidRPr="00012E53">
        <w:rPr>
          <w:i/>
          <w:szCs w:val="22"/>
        </w:rPr>
        <w:t>Programme Evaluation Report</w:t>
      </w:r>
      <w:r w:rsidRPr="00012E53">
        <w:rPr>
          <w:szCs w:val="22"/>
        </w:rPr>
        <w:t xml:space="preserve"> via de Raad aan de Conferentie aangeboden. De evaluatiedienst heeft een nuttige en stimulerende rol vervuld bij de totstandkoming van de Onafhankelijke Externe Evaluatie. Er wordt gewerkt aan een voorstel om alle programma’s van FAO te evalueren. Voor kleinere programma’s zal dat in de vorm van een clusterevaluatie zijn. In 2012 is de FAO evaluatiedienst doorgelicht door een peer-evaluatie van </w:t>
      </w:r>
      <w:r>
        <w:rPr>
          <w:szCs w:val="22"/>
        </w:rPr>
        <w:t>onder</w:t>
      </w:r>
      <w:r w:rsidR="005F6F0B">
        <w:rPr>
          <w:szCs w:val="22"/>
        </w:rPr>
        <w:t xml:space="preserve"> </w:t>
      </w:r>
      <w:r>
        <w:rPr>
          <w:szCs w:val="22"/>
        </w:rPr>
        <w:t>meer</w:t>
      </w:r>
      <w:r w:rsidRPr="00012E53">
        <w:rPr>
          <w:szCs w:val="22"/>
        </w:rPr>
        <w:t xml:space="preserve"> de IOB</w:t>
      </w:r>
      <w:r>
        <w:rPr>
          <w:szCs w:val="22"/>
        </w:rPr>
        <w:t>. D</w:t>
      </w:r>
      <w:r w:rsidRPr="00012E53">
        <w:rPr>
          <w:szCs w:val="22"/>
        </w:rPr>
        <w:t xml:space="preserve">e conclusie </w:t>
      </w:r>
      <w:r>
        <w:rPr>
          <w:szCs w:val="22"/>
        </w:rPr>
        <w:t>was</w:t>
      </w:r>
      <w:r w:rsidRPr="00012E53">
        <w:rPr>
          <w:szCs w:val="22"/>
        </w:rPr>
        <w:t xml:space="preserve"> dat de FAO evaluatiedienst van goede kwaliteit is. De kwaliteit van beleidsevaluaties is relevant voor nationale en internationale beleidsontwikkeling. Er wordt een breed spectrum aan projecten, landen, thema’s en institutionele evaluaties uitgevoerd. </w:t>
      </w:r>
    </w:p>
    <w:p w14:paraId="2501921D" w14:textId="77777777" w:rsidR="00F067FE" w:rsidRPr="00012E53" w:rsidRDefault="00F067FE" w:rsidP="00F067FE">
      <w:pPr>
        <w:spacing w:line="240" w:lineRule="auto"/>
        <w:jc w:val="both"/>
        <w:rPr>
          <w:i/>
        </w:rPr>
      </w:pPr>
    </w:p>
    <w:p w14:paraId="2501921E" w14:textId="765CF817" w:rsidR="00F067FE" w:rsidRDefault="001E5B8E" w:rsidP="00F067FE">
      <w:pPr>
        <w:spacing w:line="240" w:lineRule="auto"/>
        <w:jc w:val="both"/>
      </w:pPr>
      <w:r w:rsidRPr="000E3A1B">
        <w:t xml:space="preserve">Beoordeling: </w:t>
      </w:r>
      <w:r w:rsidR="002A3124">
        <w:t>voldoende</w:t>
      </w:r>
      <w:r w:rsidRPr="000E3A1B">
        <w:t xml:space="preserve"> = </w:t>
      </w:r>
      <w:r w:rsidR="00091984">
        <w:t>3</w:t>
      </w:r>
    </w:p>
    <w:p w14:paraId="7D9EB4A0" w14:textId="77777777" w:rsidR="00091984" w:rsidRPr="00012E53" w:rsidRDefault="00091984" w:rsidP="00091984">
      <w:pPr>
        <w:spacing w:line="240" w:lineRule="auto"/>
        <w:jc w:val="both"/>
      </w:pPr>
      <w:r w:rsidRPr="00012E53">
        <w:t xml:space="preserve">Verwachting voor positieve verandering: waarschijnlijk = </w:t>
      </w:r>
      <w:r w:rsidRPr="00012E53">
        <w:sym w:font="Wingdings" w:char="F0E9"/>
      </w:r>
    </w:p>
    <w:p w14:paraId="2501921F" w14:textId="4A3BB334" w:rsidR="00DE343C" w:rsidRPr="002D237A" w:rsidRDefault="001E5B8E" w:rsidP="004D372F">
      <w:pPr>
        <w:pStyle w:val="Heading2"/>
        <w:tabs>
          <w:tab w:val="left" w:pos="-1162"/>
          <w:tab w:val="left" w:pos="0"/>
          <w:tab w:val="num" w:pos="1160"/>
        </w:tabs>
        <w:spacing w:line="240" w:lineRule="auto"/>
        <w:ind w:hanging="1162"/>
      </w:pPr>
      <w:bookmarkStart w:id="26" w:name="_Toc348364671"/>
      <w:bookmarkStart w:id="27" w:name="_Toc410397633"/>
      <w:r w:rsidRPr="002D237A">
        <w:t>3.6</w:t>
      </w:r>
      <w:r w:rsidRPr="002D237A">
        <w:rPr>
          <w:color w:val="FF0000"/>
        </w:rPr>
        <w:tab/>
      </w:r>
      <w:bookmarkEnd w:id="26"/>
      <w:bookmarkEnd w:id="27"/>
      <w:r w:rsidR="0020719A">
        <w:t>Personeelsbeleid</w:t>
      </w:r>
    </w:p>
    <w:p w14:paraId="25019220" w14:textId="77777777" w:rsidR="00DE343C" w:rsidRPr="002D237A" w:rsidRDefault="00DE343C" w:rsidP="00DE343C">
      <w:pPr>
        <w:rPr>
          <w:b/>
          <w:color w:val="FF0000"/>
        </w:rPr>
      </w:pPr>
    </w:p>
    <w:p w14:paraId="25019221" w14:textId="77777777" w:rsidR="00FA3B7B" w:rsidRPr="00012E53" w:rsidRDefault="00FA3B7B" w:rsidP="00A757AB">
      <w:pPr>
        <w:spacing w:line="240" w:lineRule="auto"/>
      </w:pPr>
      <w:r w:rsidRPr="00012E53">
        <w:t xml:space="preserve">Als onderdeel van het overkoepelende hervormingsproces van de organisatie, </w:t>
      </w:r>
      <w:proofErr w:type="gramStart"/>
      <w:r w:rsidRPr="00012E53">
        <w:t xml:space="preserve">is  </w:t>
      </w:r>
      <w:proofErr w:type="gramEnd"/>
      <w:r w:rsidRPr="00012E53">
        <w:t xml:space="preserve">een </w:t>
      </w:r>
      <w:r w:rsidRPr="00012E53">
        <w:rPr>
          <w:i/>
        </w:rPr>
        <w:t>HR Strategic Framework &amp; Action Plan 2010-2011</w:t>
      </w:r>
      <w:r w:rsidRPr="00012E53">
        <w:t xml:space="preserve"> ontwikkeld om ook in de </w:t>
      </w:r>
      <w:r>
        <w:t>personeels</w:t>
      </w:r>
      <w:r w:rsidRPr="00012E53">
        <w:t xml:space="preserve">sector vergaande hervormingen door te voeren en het beleid te vernieuwen. De FAO-staf </w:t>
      </w:r>
      <w:r w:rsidR="00832311">
        <w:t>is</w:t>
      </w:r>
      <w:r w:rsidRPr="00012E53">
        <w:t xml:space="preserve"> de belangrijkste </w:t>
      </w:r>
      <w:r w:rsidRPr="00012E53">
        <w:rPr>
          <w:i/>
        </w:rPr>
        <w:t xml:space="preserve">asset </w:t>
      </w:r>
      <w:r w:rsidRPr="00012E53">
        <w:t>van de organisatie in het vervullen van het mandaat</w:t>
      </w:r>
      <w:r w:rsidR="005F6F0B">
        <w:t xml:space="preserve"> (ongeveer 75% van het core budget betreft personeelskosten, dat is logisch binnen een kennisorganisatie)</w:t>
      </w:r>
      <w:r>
        <w:t>.</w:t>
      </w:r>
      <w:r w:rsidRPr="00012E53">
        <w:t xml:space="preserve"> </w:t>
      </w:r>
      <w:r>
        <w:t>E</w:t>
      </w:r>
      <w:r w:rsidRPr="00012E53">
        <w:t xml:space="preserve">r is kwalitatief hoogstaand personeel, maar </w:t>
      </w:r>
      <w:r w:rsidR="005F6F0B">
        <w:t xml:space="preserve">dit was </w:t>
      </w:r>
      <w:r w:rsidRPr="00012E53">
        <w:t>vaak enigszins vastgeroest in verkokering</w:t>
      </w:r>
      <w:r w:rsidRPr="00F258E6">
        <w:t>.</w:t>
      </w:r>
      <w:r w:rsidR="00DD6CD0" w:rsidRPr="00F258E6">
        <w:t xml:space="preserve"> Daar is sinds 2012 verandering in gekomen, en dat verandert de organisatie snel, de FAO zit duidelijk in de lift. </w:t>
      </w:r>
      <w:r w:rsidRPr="00F258E6">
        <w:t xml:space="preserve">Er is </w:t>
      </w:r>
      <w:r w:rsidR="005F6F0B" w:rsidRPr="00F258E6">
        <w:t>nu</w:t>
      </w:r>
      <w:r w:rsidRPr="00F258E6">
        <w:t xml:space="preserve"> een</w:t>
      </w:r>
      <w:r w:rsidR="005F6F0B" w:rsidRPr="00F258E6">
        <w:t xml:space="preserve"> stafrotatiesysteem en vrijwel alle nieuwe</w:t>
      </w:r>
      <w:r w:rsidR="005F6F0B">
        <w:t xml:space="preserve"> programma</w:t>
      </w:r>
      <w:r w:rsidR="00743F09">
        <w:t>-</w:t>
      </w:r>
      <w:r w:rsidR="005F6F0B">
        <w:t xml:space="preserve"> en projectfinanciering wordt ontschot </w:t>
      </w:r>
      <w:r w:rsidR="00832311">
        <w:t xml:space="preserve">– door de pijlers heen – </w:t>
      </w:r>
      <w:r w:rsidR="005F6F0B">
        <w:t>aangeboden</w:t>
      </w:r>
      <w:r w:rsidR="00832311">
        <w:t xml:space="preserve"> </w:t>
      </w:r>
      <w:r w:rsidR="005F6F0B">
        <w:t>aan de programmacommissie (door meerdere directies gezamenlijk)</w:t>
      </w:r>
      <w:r w:rsidRPr="00012E53">
        <w:t xml:space="preserve">. Het wordt </w:t>
      </w:r>
      <w:r w:rsidR="005F6F0B">
        <w:t xml:space="preserve">bovendien </w:t>
      </w:r>
      <w:r w:rsidRPr="00012E53">
        <w:t>onderdeel van een FAO</w:t>
      </w:r>
      <w:r>
        <w:t>-</w:t>
      </w:r>
      <w:r w:rsidRPr="00012E53">
        <w:t xml:space="preserve">carrière om op veldkantoren gediend te hebben. Tevens </w:t>
      </w:r>
      <w:r w:rsidR="005F6F0B">
        <w:t xml:space="preserve">is </w:t>
      </w:r>
      <w:r w:rsidRPr="00012E53">
        <w:t>het beoordelingsproces van werknemers aan een grondige revisie onderworpen</w:t>
      </w:r>
      <w:r>
        <w:t>, opdat</w:t>
      </w:r>
      <w:r w:rsidRPr="00012E53">
        <w:t xml:space="preserve"> </w:t>
      </w:r>
      <w:r>
        <w:t>d</w:t>
      </w:r>
      <w:r w:rsidRPr="00012E53">
        <w:t xml:space="preserve">e juiste </w:t>
      </w:r>
      <w:r>
        <w:t>vaardigheden</w:t>
      </w:r>
      <w:r w:rsidRPr="00012E53">
        <w:t xml:space="preserve"> binnen de organisatie aanwezig z</w:t>
      </w:r>
      <w:r>
        <w:t>u</w:t>
      </w:r>
      <w:r w:rsidRPr="00012E53">
        <w:t>l</w:t>
      </w:r>
      <w:r>
        <w:t>len</w:t>
      </w:r>
      <w:r w:rsidRPr="00012E53">
        <w:t xml:space="preserve"> zijn. De nog te nemen stappen zijn </w:t>
      </w:r>
      <w:r>
        <w:t>vooral</w:t>
      </w:r>
      <w:r w:rsidRPr="00012E53">
        <w:t xml:space="preserve"> procesmatig</w:t>
      </w:r>
      <w:r>
        <w:t>. D</w:t>
      </w:r>
      <w:r w:rsidRPr="00012E53">
        <w:t>e daadwerkelijke cultuuromslag zal vanuit de stafleden zelf moeten komen</w:t>
      </w:r>
      <w:r w:rsidR="005F6F0B">
        <w:t>, dat is volop aan de gang</w:t>
      </w:r>
      <w:r w:rsidR="00DD6CD0">
        <w:t xml:space="preserve"> en boekt goede voortgang</w:t>
      </w:r>
      <w:r w:rsidRPr="00012E53">
        <w:t xml:space="preserve">. Aan deze cultuuromslag (van projectmatige naar programmabenadering, </w:t>
      </w:r>
      <w:r w:rsidR="00DD6CD0">
        <w:t xml:space="preserve">door de programmatische pijlers heen werken, </w:t>
      </w:r>
      <w:r w:rsidRPr="00012E53">
        <w:t>decentralisatie naar regiokantoren, integratie van noodhulp en reguliere programma’s, meer resultaatgerichtheid, beter integreren van programma’s en kennis etc.) wordt hard gewerkt</w:t>
      </w:r>
      <w:r w:rsidR="005F6F0B">
        <w:t xml:space="preserve">, </w:t>
      </w:r>
      <w:proofErr w:type="gramStart"/>
      <w:r w:rsidR="005F6F0B">
        <w:t>hetgeen</w:t>
      </w:r>
      <w:proofErr w:type="gramEnd"/>
      <w:r w:rsidR="005F6F0B">
        <w:t xml:space="preserve"> bevestigd wordt door het MOPAN rapport</w:t>
      </w:r>
      <w:r w:rsidRPr="00012E53">
        <w:t>.</w:t>
      </w:r>
    </w:p>
    <w:p w14:paraId="25019222" w14:textId="77777777" w:rsidR="00FA3B7B" w:rsidRPr="00012E53" w:rsidRDefault="00FA3B7B" w:rsidP="00FA3B7B">
      <w:pPr>
        <w:spacing w:line="240" w:lineRule="auto"/>
        <w:jc w:val="both"/>
      </w:pPr>
    </w:p>
    <w:p w14:paraId="25019223" w14:textId="77777777" w:rsidR="00FA3B7B" w:rsidRPr="00012E53" w:rsidRDefault="00FA3B7B" w:rsidP="00FA3B7B">
      <w:pPr>
        <w:spacing w:line="240" w:lineRule="auto"/>
        <w:jc w:val="both"/>
      </w:pPr>
      <w:r w:rsidRPr="00012E53">
        <w:t>Beoordeling: voldoende = 3</w:t>
      </w:r>
    </w:p>
    <w:p w14:paraId="25019224" w14:textId="77777777" w:rsidR="00FA3B7B" w:rsidRPr="00012E53" w:rsidRDefault="00FA3B7B" w:rsidP="00FA3B7B">
      <w:pPr>
        <w:spacing w:line="240" w:lineRule="auto"/>
        <w:jc w:val="both"/>
      </w:pPr>
      <w:r w:rsidRPr="00012E53">
        <w:t xml:space="preserve">Verwachting voor positieve verandering: </w:t>
      </w:r>
      <w:r w:rsidR="00947E41">
        <w:t>neutraal</w:t>
      </w:r>
      <w:r w:rsidRPr="00012E53">
        <w:t xml:space="preserve"> = </w:t>
      </w:r>
      <w:r w:rsidR="00947E41">
        <w:sym w:font="Wingdings" w:char="F0E8"/>
      </w:r>
    </w:p>
    <w:p w14:paraId="25019226" w14:textId="6EB8D483" w:rsidR="00DE343C" w:rsidRDefault="00A757AB" w:rsidP="00DE343C">
      <w:pPr>
        <w:pStyle w:val="Heading2"/>
        <w:numPr>
          <w:ilvl w:val="1"/>
          <w:numId w:val="32"/>
        </w:numPr>
        <w:tabs>
          <w:tab w:val="left" w:pos="-1162"/>
          <w:tab w:val="left" w:pos="0"/>
        </w:tabs>
        <w:spacing w:line="240" w:lineRule="auto"/>
      </w:pPr>
      <w:bookmarkStart w:id="28" w:name="_Toc410397634"/>
      <w:r>
        <w:tab/>
      </w:r>
      <w:bookmarkEnd w:id="28"/>
      <w:r w:rsidR="0020719A">
        <w:t>Financieel beheer</w:t>
      </w:r>
    </w:p>
    <w:p w14:paraId="0D5AC80A" w14:textId="77777777" w:rsidR="0020719A" w:rsidRPr="0020719A" w:rsidRDefault="0020719A" w:rsidP="0020719A"/>
    <w:p w14:paraId="25019227" w14:textId="77777777" w:rsidR="00FA3B7B" w:rsidRPr="00012E53" w:rsidRDefault="00FA3B7B" w:rsidP="00A757AB">
      <w:pPr>
        <w:spacing w:line="240" w:lineRule="auto"/>
        <w:rPr>
          <w:szCs w:val="22"/>
        </w:rPr>
      </w:pPr>
      <w:r w:rsidRPr="00012E53">
        <w:rPr>
          <w:szCs w:val="22"/>
        </w:rPr>
        <w:t xml:space="preserve">De financiële situatie van de FAO </w:t>
      </w:r>
      <w:r w:rsidR="001F1472">
        <w:rPr>
          <w:szCs w:val="22"/>
        </w:rPr>
        <w:t>zit in de lift</w:t>
      </w:r>
      <w:r w:rsidRPr="00012E53">
        <w:rPr>
          <w:szCs w:val="22"/>
        </w:rPr>
        <w:t xml:space="preserve">. </w:t>
      </w:r>
      <w:r w:rsidR="001F1472">
        <w:rPr>
          <w:szCs w:val="22"/>
        </w:rPr>
        <w:t>Voorheen was h</w:t>
      </w:r>
      <w:r w:rsidRPr="00012E53">
        <w:rPr>
          <w:szCs w:val="22"/>
        </w:rPr>
        <w:t xml:space="preserve">et niet of </w:t>
      </w:r>
      <w:r w:rsidR="001F1472">
        <w:rPr>
          <w:szCs w:val="22"/>
        </w:rPr>
        <w:t xml:space="preserve">te </w:t>
      </w:r>
      <w:r w:rsidRPr="00012E53">
        <w:rPr>
          <w:szCs w:val="22"/>
        </w:rPr>
        <w:t>laat betalen van contributies de oorzaak van liquiditeitsproblemen</w:t>
      </w:r>
      <w:r w:rsidR="001F1472">
        <w:rPr>
          <w:szCs w:val="22"/>
        </w:rPr>
        <w:t>, maar dat wordt steeds beter</w:t>
      </w:r>
      <w:r w:rsidRPr="00012E53">
        <w:rPr>
          <w:szCs w:val="22"/>
        </w:rPr>
        <w:t xml:space="preserve">. </w:t>
      </w:r>
      <w:r w:rsidR="001F1472">
        <w:rPr>
          <w:szCs w:val="22"/>
        </w:rPr>
        <w:t>He</w:t>
      </w:r>
      <w:r w:rsidRPr="00012E53">
        <w:rPr>
          <w:szCs w:val="22"/>
        </w:rPr>
        <w:t xml:space="preserve">t beleid van </w:t>
      </w:r>
      <w:r w:rsidRPr="00012E53">
        <w:rPr>
          <w:i/>
          <w:szCs w:val="22"/>
        </w:rPr>
        <w:t>zero nominal growth</w:t>
      </w:r>
      <w:r w:rsidRPr="00F80853">
        <w:rPr>
          <w:szCs w:val="22"/>
        </w:rPr>
        <w:t xml:space="preserve"> </w:t>
      </w:r>
      <w:r w:rsidRPr="00012E53">
        <w:rPr>
          <w:szCs w:val="22"/>
        </w:rPr>
        <w:t xml:space="preserve">van </w:t>
      </w:r>
      <w:r w:rsidR="001F1472">
        <w:rPr>
          <w:szCs w:val="22"/>
        </w:rPr>
        <w:t>vrijwel</w:t>
      </w:r>
      <w:r w:rsidRPr="00012E53">
        <w:rPr>
          <w:szCs w:val="22"/>
        </w:rPr>
        <w:t xml:space="preserve"> </w:t>
      </w:r>
      <w:r w:rsidR="001F1472">
        <w:rPr>
          <w:szCs w:val="22"/>
        </w:rPr>
        <w:t xml:space="preserve">alle </w:t>
      </w:r>
      <w:r w:rsidRPr="00012E53">
        <w:rPr>
          <w:szCs w:val="22"/>
        </w:rPr>
        <w:t xml:space="preserve">OESO-landen levert </w:t>
      </w:r>
      <w:r w:rsidR="001F1472">
        <w:rPr>
          <w:szCs w:val="22"/>
        </w:rPr>
        <w:t xml:space="preserve">wel </w:t>
      </w:r>
      <w:r w:rsidRPr="00012E53">
        <w:rPr>
          <w:szCs w:val="22"/>
        </w:rPr>
        <w:t>problemen op</w:t>
      </w:r>
      <w:r w:rsidR="001F1472">
        <w:rPr>
          <w:szCs w:val="22"/>
        </w:rPr>
        <w:t xml:space="preserve"> als de FAO nieuwe taken die voortvloeien uit de reorganisatie wil oppakken</w:t>
      </w:r>
      <w:r w:rsidRPr="00012E53">
        <w:rPr>
          <w:szCs w:val="22"/>
        </w:rPr>
        <w:t xml:space="preserve">. </w:t>
      </w:r>
      <w:r w:rsidR="001F1472">
        <w:rPr>
          <w:szCs w:val="22"/>
        </w:rPr>
        <w:t>Hiervoor moeten bezuinigingen binnen de organisatie gevonden worden</w:t>
      </w:r>
      <w:r w:rsidR="00F80853">
        <w:rPr>
          <w:szCs w:val="22"/>
        </w:rPr>
        <w:t>.</w:t>
      </w:r>
      <w:r w:rsidR="001F1472">
        <w:rPr>
          <w:szCs w:val="22"/>
        </w:rPr>
        <w:t xml:space="preserve"> </w:t>
      </w:r>
      <w:r w:rsidR="00F80853">
        <w:rPr>
          <w:szCs w:val="22"/>
        </w:rPr>
        <w:t>Dat is moeilijk</w:t>
      </w:r>
      <w:r w:rsidR="001F1472">
        <w:rPr>
          <w:szCs w:val="22"/>
        </w:rPr>
        <w:t xml:space="preserve"> omdat ong</w:t>
      </w:r>
      <w:r w:rsidR="00F80853">
        <w:rPr>
          <w:szCs w:val="22"/>
        </w:rPr>
        <w:t>eveer</w:t>
      </w:r>
      <w:r w:rsidR="001F1472">
        <w:rPr>
          <w:szCs w:val="22"/>
        </w:rPr>
        <w:t xml:space="preserve"> 75% van het budget voor personeelskosten is</w:t>
      </w:r>
      <w:r w:rsidR="00F80853">
        <w:rPr>
          <w:szCs w:val="22"/>
        </w:rPr>
        <w:t xml:space="preserve"> bestemd</w:t>
      </w:r>
      <w:r w:rsidR="001F1472">
        <w:rPr>
          <w:szCs w:val="22"/>
        </w:rPr>
        <w:t xml:space="preserve">. </w:t>
      </w:r>
      <w:r>
        <w:rPr>
          <w:szCs w:val="22"/>
        </w:rPr>
        <w:t>Voor h</w:t>
      </w:r>
      <w:r w:rsidRPr="00012E53">
        <w:rPr>
          <w:szCs w:val="22"/>
        </w:rPr>
        <w:t xml:space="preserve">et FAO-budget </w:t>
      </w:r>
      <w:r>
        <w:rPr>
          <w:szCs w:val="22"/>
        </w:rPr>
        <w:t xml:space="preserve">is </w:t>
      </w:r>
      <w:r w:rsidRPr="00012E53">
        <w:rPr>
          <w:szCs w:val="22"/>
        </w:rPr>
        <w:t xml:space="preserve">jarenlang een nullijn </w:t>
      </w:r>
      <w:r>
        <w:rPr>
          <w:szCs w:val="22"/>
        </w:rPr>
        <w:t>aangehouden</w:t>
      </w:r>
      <w:r w:rsidRPr="00012E53">
        <w:rPr>
          <w:szCs w:val="22"/>
        </w:rPr>
        <w:t>, terwijl het takenpakket dat de lidstaten van de FAO verwacht</w:t>
      </w:r>
      <w:r>
        <w:rPr>
          <w:szCs w:val="22"/>
        </w:rPr>
        <w:t>en</w:t>
      </w:r>
      <w:r w:rsidRPr="00012E53">
        <w:rPr>
          <w:szCs w:val="22"/>
        </w:rPr>
        <w:t xml:space="preserve"> steeds groter is geworden. De DG </w:t>
      </w:r>
      <w:r>
        <w:rPr>
          <w:szCs w:val="22"/>
        </w:rPr>
        <w:t>heeft</w:t>
      </w:r>
      <w:r w:rsidRPr="00012E53">
        <w:rPr>
          <w:szCs w:val="22"/>
        </w:rPr>
        <w:t xml:space="preserve"> veel besparingen weten te vinden, die voor het overgrote deel in het technische werk van de FAO worden gestoken. Opvallend is dat de extra-budgettaire financiering </w:t>
      </w:r>
      <w:r>
        <w:rPr>
          <w:szCs w:val="22"/>
        </w:rPr>
        <w:t xml:space="preserve">door donoren </w:t>
      </w:r>
      <w:r w:rsidRPr="00012E53">
        <w:rPr>
          <w:szCs w:val="22"/>
        </w:rPr>
        <w:t xml:space="preserve">van FAO </w:t>
      </w:r>
      <w:r>
        <w:rPr>
          <w:szCs w:val="22"/>
        </w:rPr>
        <w:t xml:space="preserve">(specifieke projecten in landen) </w:t>
      </w:r>
      <w:r w:rsidRPr="00012E53">
        <w:rPr>
          <w:szCs w:val="22"/>
        </w:rPr>
        <w:t xml:space="preserve">de laatste jaren een stevige stijging vertoont. </w:t>
      </w:r>
      <w:proofErr w:type="gramStart"/>
      <w:r w:rsidRPr="00012E53">
        <w:rPr>
          <w:szCs w:val="22"/>
        </w:rPr>
        <w:t>Inmiddels</w:t>
      </w:r>
      <w:proofErr w:type="gramEnd"/>
      <w:r w:rsidRPr="00012E53">
        <w:rPr>
          <w:szCs w:val="22"/>
        </w:rPr>
        <w:t xml:space="preserve"> ligt de verhouding op 50/50.</w:t>
      </w:r>
    </w:p>
    <w:p w14:paraId="25019228" w14:textId="77777777" w:rsidR="00FA3B7B" w:rsidRPr="00012E53" w:rsidRDefault="00FA3B7B" w:rsidP="00A757AB">
      <w:pPr>
        <w:spacing w:line="240" w:lineRule="auto"/>
        <w:rPr>
          <w:szCs w:val="22"/>
        </w:rPr>
      </w:pPr>
    </w:p>
    <w:p w14:paraId="25019229" w14:textId="77777777" w:rsidR="00FA3B7B" w:rsidRPr="00012E53" w:rsidRDefault="00FA3B7B" w:rsidP="00A757AB">
      <w:pPr>
        <w:spacing w:line="240" w:lineRule="auto"/>
        <w:rPr>
          <w:szCs w:val="22"/>
        </w:rPr>
      </w:pPr>
      <w:r w:rsidRPr="00012E53">
        <w:rPr>
          <w:szCs w:val="22"/>
        </w:rPr>
        <w:t xml:space="preserve">Een van de hoofdboodschappen van de Onafhankelijke Externe Evaluatie is </w:t>
      </w:r>
      <w:r w:rsidRPr="00012E53">
        <w:rPr>
          <w:i/>
          <w:szCs w:val="22"/>
        </w:rPr>
        <w:t>Reform with Growth</w:t>
      </w:r>
      <w:r w:rsidRPr="00012E53">
        <w:rPr>
          <w:szCs w:val="22"/>
        </w:rPr>
        <w:t>. De grote meerderheid van de lidstaten ziet het belang en de noodzaak in van hervorming van de FAO. Hierdoor is er de laatste jaren een positievere sfeer rondom de onderhandelingen over het budget. In 20</w:t>
      </w:r>
      <w:r w:rsidR="00A42690">
        <w:rPr>
          <w:szCs w:val="22"/>
        </w:rPr>
        <w:t>13</w:t>
      </w:r>
      <w:r w:rsidRPr="00012E53">
        <w:rPr>
          <w:szCs w:val="22"/>
        </w:rPr>
        <w:t xml:space="preserve"> is een volledig geïntegreerd budget gepresenteerd waarbij </w:t>
      </w:r>
      <w:r>
        <w:rPr>
          <w:szCs w:val="22"/>
        </w:rPr>
        <w:t>het</w:t>
      </w:r>
      <w:r w:rsidRPr="00012E53">
        <w:rPr>
          <w:szCs w:val="22"/>
        </w:rPr>
        <w:t xml:space="preserve"> deel</w:t>
      </w:r>
      <w:r>
        <w:rPr>
          <w:szCs w:val="22"/>
        </w:rPr>
        <w:t xml:space="preserve"> van de verplichte contributies</w:t>
      </w:r>
      <w:r w:rsidRPr="00012E53">
        <w:rPr>
          <w:szCs w:val="22"/>
        </w:rPr>
        <w:t xml:space="preserve"> en het ‘vrijwillige’ deel op overzichtelijke wijze op papier staan. </w:t>
      </w:r>
    </w:p>
    <w:p w14:paraId="2501922A" w14:textId="77777777" w:rsidR="006629FA" w:rsidRDefault="006629FA" w:rsidP="00A757AB">
      <w:pPr>
        <w:pStyle w:val="Header"/>
        <w:spacing w:line="240" w:lineRule="auto"/>
        <w:rPr>
          <w:szCs w:val="22"/>
        </w:rPr>
      </w:pPr>
    </w:p>
    <w:p w14:paraId="2501922B" w14:textId="2FF05479" w:rsidR="00FA3B7B" w:rsidRPr="00012E53" w:rsidRDefault="00FA3B7B" w:rsidP="00A757AB">
      <w:pPr>
        <w:pStyle w:val="Header"/>
        <w:spacing w:line="240" w:lineRule="auto"/>
        <w:rPr>
          <w:szCs w:val="22"/>
        </w:rPr>
      </w:pPr>
      <w:r w:rsidRPr="00012E53">
        <w:rPr>
          <w:szCs w:val="22"/>
        </w:rPr>
        <w:t xml:space="preserve">Het kantoor van de inspecteur-generaal is verantwoordelijk voor het interne toezicht op het FAO-management en voor de uitvoering van interne audits. De functie van </w:t>
      </w:r>
      <w:r w:rsidRPr="00012E53">
        <w:rPr>
          <w:i/>
          <w:szCs w:val="22"/>
        </w:rPr>
        <w:t>External Auditor</w:t>
      </w:r>
      <w:r w:rsidRPr="00012E53">
        <w:rPr>
          <w:szCs w:val="22"/>
        </w:rPr>
        <w:t xml:space="preserve"> wordt vervuld door de </w:t>
      </w:r>
      <w:r w:rsidR="00A42690">
        <w:rPr>
          <w:szCs w:val="22"/>
        </w:rPr>
        <w:t>Indiase</w:t>
      </w:r>
      <w:r w:rsidRPr="00012E53">
        <w:rPr>
          <w:szCs w:val="22"/>
        </w:rPr>
        <w:t xml:space="preserve"> Rekenkamer. FAO heeft de afgelopen jaren een goedkeurende accountantsverklaring ontvangen. Financiële rapportages zijn summier maar inzichtelijk</w:t>
      </w:r>
      <w:r w:rsidR="00A42690">
        <w:rPr>
          <w:szCs w:val="22"/>
        </w:rPr>
        <w:t xml:space="preserve">. </w:t>
      </w:r>
      <w:r>
        <w:rPr>
          <w:szCs w:val="22"/>
        </w:rPr>
        <w:t xml:space="preserve">In </w:t>
      </w:r>
      <w:r w:rsidR="00A42690">
        <w:rPr>
          <w:szCs w:val="22"/>
        </w:rPr>
        <w:t>de</w:t>
      </w:r>
      <w:r>
        <w:rPr>
          <w:szCs w:val="22"/>
        </w:rPr>
        <w:t xml:space="preserve"> audit rapport</w:t>
      </w:r>
      <w:r w:rsidR="00A42690">
        <w:rPr>
          <w:szCs w:val="22"/>
        </w:rPr>
        <w:t>en</w:t>
      </w:r>
      <w:r>
        <w:rPr>
          <w:szCs w:val="22"/>
        </w:rPr>
        <w:t xml:space="preserve"> </w:t>
      </w:r>
      <w:r w:rsidR="00A42690">
        <w:rPr>
          <w:szCs w:val="22"/>
        </w:rPr>
        <w:t xml:space="preserve">over de afgelopen jaren </w:t>
      </w:r>
      <w:r>
        <w:rPr>
          <w:szCs w:val="22"/>
        </w:rPr>
        <w:t>st</w:t>
      </w:r>
      <w:r w:rsidR="00A42690">
        <w:rPr>
          <w:szCs w:val="22"/>
        </w:rPr>
        <w:t>onden</w:t>
      </w:r>
      <w:r>
        <w:rPr>
          <w:szCs w:val="22"/>
        </w:rPr>
        <w:t xml:space="preserve"> </w:t>
      </w:r>
      <w:r w:rsidRPr="000158CA">
        <w:t xml:space="preserve">aanbevelingen </w:t>
      </w:r>
      <w:r w:rsidR="008C7F9E">
        <w:t>die</w:t>
      </w:r>
      <w:r w:rsidRPr="000158CA">
        <w:t xml:space="preserve"> o</w:t>
      </w:r>
      <w:r>
        <w:t xml:space="preserve">nder </w:t>
      </w:r>
      <w:r w:rsidRPr="000158CA">
        <w:t>a</w:t>
      </w:r>
      <w:r>
        <w:t>ndere</w:t>
      </w:r>
      <w:r w:rsidRPr="000158CA">
        <w:t xml:space="preserve"> </w:t>
      </w:r>
      <w:r w:rsidR="008C7F9E">
        <w:t xml:space="preserve">betrekking hadden op </w:t>
      </w:r>
      <w:r w:rsidRPr="000158CA">
        <w:t>de noodzakelijke verbetering van het projectmanagement, oude openstaande activiteiten, de vertraagde invoer van IPSAS, verkeerde interne conclusies over het bereiken van doelstellingen</w:t>
      </w:r>
      <w:r>
        <w:t xml:space="preserve">. </w:t>
      </w:r>
      <w:r w:rsidR="00A42690">
        <w:t>Dat weerspiegelde</w:t>
      </w:r>
      <w:r w:rsidRPr="000158CA">
        <w:t xml:space="preserve"> het </w:t>
      </w:r>
      <w:r>
        <w:t>algemene</w:t>
      </w:r>
      <w:r w:rsidRPr="000158CA">
        <w:t xml:space="preserve"> beeld van een organisatie die </w:t>
      </w:r>
      <w:r w:rsidR="008C7F9E">
        <w:t>onvoldoende</w:t>
      </w:r>
      <w:r w:rsidRPr="000158CA">
        <w:t xml:space="preserve"> in control</w:t>
      </w:r>
      <w:r>
        <w:t>e</w:t>
      </w:r>
      <w:r w:rsidR="00A42690">
        <w:t xml:space="preserve"> wa</w:t>
      </w:r>
      <w:r w:rsidRPr="000158CA">
        <w:t>s</w:t>
      </w:r>
      <w:r w:rsidR="008C7F9E">
        <w:t>.</w:t>
      </w:r>
      <w:r w:rsidR="00A42690">
        <w:t xml:space="preserve"> </w:t>
      </w:r>
      <w:r w:rsidR="008C7F9E">
        <w:t>D</w:t>
      </w:r>
      <w:r w:rsidR="00A42690">
        <w:t xml:space="preserve">e laatste audit rapporten geven </w:t>
      </w:r>
      <w:r w:rsidR="008C7F9E">
        <w:t xml:space="preserve">echter </w:t>
      </w:r>
      <w:r w:rsidR="00A42690">
        <w:t xml:space="preserve">een veel positiever beeld over het financiële management, </w:t>
      </w:r>
      <w:proofErr w:type="gramStart"/>
      <w:r w:rsidR="00A42690">
        <w:t>hetgeen</w:t>
      </w:r>
      <w:proofErr w:type="gramEnd"/>
      <w:r w:rsidR="00A42690">
        <w:t xml:space="preserve"> ook in het MOPAN rapport van januari 2015 wordt bevestigd</w:t>
      </w:r>
      <w:r>
        <w:t>.</w:t>
      </w:r>
      <w:r w:rsidRPr="000158CA">
        <w:t xml:space="preserve"> </w:t>
      </w:r>
      <w:r w:rsidR="00A42690">
        <w:t>Zoals bij veel VN organisaties,</w:t>
      </w:r>
      <w:r w:rsidRPr="000158CA">
        <w:t xml:space="preserve"> is </w:t>
      </w:r>
      <w:r w:rsidR="00A42690">
        <w:t xml:space="preserve">bij FAO </w:t>
      </w:r>
      <w:r w:rsidRPr="000158CA">
        <w:t xml:space="preserve">het bedrag van </w:t>
      </w:r>
      <w:r>
        <w:t>ongedekte kosten voor stafuitkeringen – waarond</w:t>
      </w:r>
      <w:r w:rsidR="0076380F">
        <w:t>er medische en pensioenkosten –</w:t>
      </w:r>
      <w:r>
        <w:t xml:space="preserve"> </w:t>
      </w:r>
      <w:r w:rsidR="00A42690">
        <w:t xml:space="preserve">hoog </w:t>
      </w:r>
      <w:r w:rsidRPr="000158CA">
        <w:t xml:space="preserve">opgelopen tot </w:t>
      </w:r>
      <w:r w:rsidR="00A42690">
        <w:t>meer dan US</w:t>
      </w:r>
      <w:r w:rsidR="008C7F9E">
        <w:t>D</w:t>
      </w:r>
      <w:r w:rsidR="00A42690">
        <w:t xml:space="preserve"> </w:t>
      </w:r>
      <w:r w:rsidRPr="000158CA">
        <w:t>8</w:t>
      </w:r>
      <w:r w:rsidR="00A42690">
        <w:t>00 mi</w:t>
      </w:r>
      <w:r w:rsidRPr="000158CA">
        <w:t>ljoe</w:t>
      </w:r>
      <w:r w:rsidR="00A42690">
        <w:t>n</w:t>
      </w:r>
      <w:r w:rsidRPr="000158CA">
        <w:t>.</w:t>
      </w:r>
      <w:r w:rsidRPr="00012E53">
        <w:t xml:space="preserve"> </w:t>
      </w:r>
      <w:r>
        <w:t>E</w:t>
      </w:r>
      <w:r w:rsidRPr="00012E53">
        <w:t>en versobering van salarissen en secundaire arbeidsvoorwaarden ligt voor de hand</w:t>
      </w:r>
      <w:r w:rsidR="008C7F9E">
        <w:t>. D</w:t>
      </w:r>
      <w:r w:rsidR="00A42690">
        <w:t xml:space="preserve">e DG FAO heeft </w:t>
      </w:r>
      <w:r w:rsidR="008C7F9E">
        <w:t xml:space="preserve">al </w:t>
      </w:r>
      <w:r w:rsidR="00A42690">
        <w:t>verschillende malen bij de lidstaten bepleit om dit in New York aan de orde te stellen</w:t>
      </w:r>
      <w:r w:rsidRPr="00012E53">
        <w:t>.</w:t>
      </w:r>
      <w:r>
        <w:t xml:space="preserve"> </w:t>
      </w:r>
      <w:proofErr w:type="gramStart"/>
      <w:r>
        <w:rPr>
          <w:szCs w:val="22"/>
        </w:rPr>
        <w:t xml:space="preserve">In </w:t>
      </w:r>
      <w:r w:rsidRPr="00012E53">
        <w:rPr>
          <w:szCs w:val="22"/>
        </w:rPr>
        <w:t>het algemeen</w:t>
      </w:r>
      <w:proofErr w:type="gramEnd"/>
      <w:r w:rsidRPr="00012E53">
        <w:rPr>
          <w:szCs w:val="22"/>
        </w:rPr>
        <w:t xml:space="preserve"> staat FAO open voor het advies van de </w:t>
      </w:r>
      <w:r w:rsidRPr="00012E53">
        <w:rPr>
          <w:i/>
          <w:szCs w:val="22"/>
        </w:rPr>
        <w:t>External Auditor</w:t>
      </w:r>
      <w:r>
        <w:rPr>
          <w:i/>
          <w:szCs w:val="22"/>
        </w:rPr>
        <w:t>.</w:t>
      </w:r>
      <w:r>
        <w:rPr>
          <w:szCs w:val="22"/>
        </w:rPr>
        <w:t xml:space="preserve"> </w:t>
      </w:r>
      <w:r w:rsidRPr="00012E53">
        <w:rPr>
          <w:szCs w:val="22"/>
        </w:rPr>
        <w:t>Informat</w:t>
      </w:r>
      <w:r w:rsidR="00A42690">
        <w:rPr>
          <w:szCs w:val="22"/>
        </w:rPr>
        <w:t xml:space="preserve">ie over beleidsmatige zaken is </w:t>
      </w:r>
      <w:r w:rsidRPr="00012E53">
        <w:rPr>
          <w:szCs w:val="22"/>
        </w:rPr>
        <w:t>via de website goed beschikbaar.</w:t>
      </w:r>
    </w:p>
    <w:p w14:paraId="2501922C" w14:textId="77777777" w:rsidR="00FA3B7B" w:rsidRPr="00012E53" w:rsidRDefault="00FA3B7B" w:rsidP="00A757AB">
      <w:pPr>
        <w:tabs>
          <w:tab w:val="num" w:pos="0"/>
        </w:tabs>
        <w:spacing w:line="240" w:lineRule="auto"/>
        <w:rPr>
          <w:szCs w:val="22"/>
        </w:rPr>
      </w:pPr>
    </w:p>
    <w:p w14:paraId="2501922D" w14:textId="77777777" w:rsidR="00FA3B7B" w:rsidRPr="00012E53" w:rsidRDefault="00FA3B7B" w:rsidP="00A757AB">
      <w:pPr>
        <w:tabs>
          <w:tab w:val="num" w:pos="0"/>
        </w:tabs>
        <w:spacing w:line="240" w:lineRule="auto"/>
      </w:pPr>
      <w:r w:rsidRPr="00012E53">
        <w:rPr>
          <w:szCs w:val="22"/>
        </w:rPr>
        <w:t>De inhoudelijke kwaliteit van projecten die met de geoormerkte bijdragen worden uitgevoerd is goed. De kwaliteit en de tijdige aanlevering van de rapportages, zowel financieel als inhoudelijk, verschilt soms sterk. Zo zijn ze niet altijd even duidelijk met betrekking tot concrete resultaten en de impact die de projecten hebben.</w:t>
      </w:r>
      <w:r w:rsidRPr="00012E53">
        <w:t xml:space="preserve"> De samenhang tussen inhoudelijke en financiële rapportages is voor verbetering vatbaar. </w:t>
      </w:r>
      <w:r>
        <w:t>E</w:t>
      </w:r>
      <w:r w:rsidRPr="00012E53">
        <w:t>erdergenoemde veranderingen in de regio</w:t>
      </w:r>
      <w:r>
        <w:t>’</w:t>
      </w:r>
      <w:r w:rsidRPr="00012E53">
        <w:t xml:space="preserve">s </w:t>
      </w:r>
      <w:r>
        <w:t xml:space="preserve">zullen </w:t>
      </w:r>
      <w:r w:rsidRPr="00012E53">
        <w:t xml:space="preserve">dit probleem </w:t>
      </w:r>
      <w:r>
        <w:t>moeten</w:t>
      </w:r>
      <w:r w:rsidRPr="00012E53">
        <w:t xml:space="preserve"> verhelpen.</w:t>
      </w:r>
    </w:p>
    <w:p w14:paraId="2501922E" w14:textId="77777777" w:rsidR="00FA3B7B" w:rsidRPr="00012E53" w:rsidRDefault="00FA3B7B" w:rsidP="00A757AB">
      <w:pPr>
        <w:tabs>
          <w:tab w:val="num" w:pos="0"/>
        </w:tabs>
        <w:spacing w:line="240" w:lineRule="auto"/>
      </w:pPr>
    </w:p>
    <w:p w14:paraId="2501922F" w14:textId="77777777" w:rsidR="00FA3B7B" w:rsidRPr="00012E53" w:rsidRDefault="00FA3B7B" w:rsidP="00A757AB">
      <w:pPr>
        <w:tabs>
          <w:tab w:val="num" w:pos="0"/>
        </w:tabs>
        <w:spacing w:line="240" w:lineRule="auto"/>
        <w:rPr>
          <w:szCs w:val="22"/>
        </w:rPr>
      </w:pPr>
      <w:r w:rsidRPr="00012E53">
        <w:t xml:space="preserve">Het </w:t>
      </w:r>
      <w:r w:rsidRPr="00012E53">
        <w:rPr>
          <w:i/>
        </w:rPr>
        <w:t xml:space="preserve">cost recovery </w:t>
      </w:r>
      <w:r w:rsidRPr="00012E53">
        <w:t>beleid van FAO ligt duidelijk vast. Er zijn echter nogal wat verschillende percentages voor verschillende soorten van donorbijdragen</w:t>
      </w:r>
      <w:proofErr w:type="gramStart"/>
      <w:r w:rsidRPr="00012E53">
        <w:t xml:space="preserve">, </w:t>
      </w:r>
      <w:r>
        <w:t>hetgeen</w:t>
      </w:r>
      <w:proofErr w:type="gramEnd"/>
      <w:r w:rsidRPr="00012E53">
        <w:t xml:space="preserve"> niet altijd tot transparantie leidt.</w:t>
      </w:r>
      <w:r w:rsidR="00A42690">
        <w:t xml:space="preserve"> Op dit moment wordt in de FAO Raad de discussie geopend om dit opnieuw in te richten, en daarmee de transparantie te bevorderen.</w:t>
      </w:r>
      <w:r w:rsidRPr="00012E53">
        <w:t xml:space="preserve"> FAO werkt met een </w:t>
      </w:r>
      <w:r w:rsidRPr="00C6221D">
        <w:t>geïntegreerd budget</w:t>
      </w:r>
      <w:r w:rsidRPr="00012E53">
        <w:t>, waar geen verschil wordt gemaakt tussen verplichte, vrijwillige, geoormerkte en ongeoormerkte bijdragen; Nederland ondersteunt deze manier van budgetteren.</w:t>
      </w:r>
    </w:p>
    <w:p w14:paraId="25019230" w14:textId="77777777" w:rsidR="00FA3B7B" w:rsidRPr="00012E53" w:rsidRDefault="00FA3B7B" w:rsidP="00FA3B7B">
      <w:pPr>
        <w:spacing w:line="240" w:lineRule="auto"/>
        <w:jc w:val="both"/>
      </w:pPr>
    </w:p>
    <w:p w14:paraId="25019231" w14:textId="77777777" w:rsidR="00FA3B7B" w:rsidRPr="00012E53" w:rsidRDefault="00FA3B7B" w:rsidP="00FA3B7B">
      <w:pPr>
        <w:spacing w:line="240" w:lineRule="auto"/>
        <w:jc w:val="both"/>
      </w:pPr>
      <w:r w:rsidRPr="00012E53">
        <w:t xml:space="preserve">Beoordeling: </w:t>
      </w:r>
      <w:r>
        <w:t>voldoende</w:t>
      </w:r>
      <w:r w:rsidRPr="00012E53">
        <w:t xml:space="preserve"> = </w:t>
      </w:r>
      <w:r>
        <w:t>3</w:t>
      </w:r>
    </w:p>
    <w:p w14:paraId="25019232" w14:textId="77777777" w:rsidR="00FA3B7B" w:rsidRPr="00012E53" w:rsidRDefault="00FA3B7B" w:rsidP="00FA3B7B">
      <w:pPr>
        <w:spacing w:line="240" w:lineRule="auto"/>
        <w:jc w:val="both"/>
      </w:pPr>
      <w:r w:rsidRPr="00012E53">
        <w:t xml:space="preserve">Verwachting voor positieve verandering: waarschijnlijk = </w:t>
      </w:r>
      <w:r w:rsidRPr="00012E53">
        <w:sym w:font="Wingdings" w:char="F0E9"/>
      </w:r>
    </w:p>
    <w:p w14:paraId="25019233" w14:textId="77777777" w:rsidR="00DE343C" w:rsidRPr="00412635" w:rsidRDefault="000A22CF" w:rsidP="004D372F">
      <w:pPr>
        <w:pStyle w:val="Heading2"/>
        <w:tabs>
          <w:tab w:val="left" w:pos="-1162"/>
          <w:tab w:val="left" w:pos="0"/>
          <w:tab w:val="num" w:pos="1160"/>
        </w:tabs>
        <w:spacing w:line="240" w:lineRule="auto"/>
        <w:ind w:hanging="1162"/>
      </w:pPr>
      <w:bookmarkStart w:id="29" w:name="_Toc410397635"/>
      <w:r w:rsidRPr="00412635">
        <w:t>3.</w:t>
      </w:r>
      <w:r w:rsidR="00A74DEC" w:rsidRPr="00412635">
        <w:t>8</w:t>
      </w:r>
      <w:r w:rsidR="004D372F" w:rsidRPr="00412635">
        <w:t xml:space="preserve"> </w:t>
      </w:r>
      <w:r w:rsidR="004D372F" w:rsidRPr="00412635">
        <w:tab/>
      </w:r>
      <w:r w:rsidR="00DE343C" w:rsidRPr="00412635">
        <w:t>Corruptiebestrijding in de interne organisatie</w:t>
      </w:r>
      <w:bookmarkEnd w:id="29"/>
    </w:p>
    <w:p w14:paraId="25019234" w14:textId="77777777" w:rsidR="00DE343C" w:rsidRPr="00412635" w:rsidRDefault="00DE343C" w:rsidP="00DE343C"/>
    <w:p w14:paraId="25019235" w14:textId="77777777" w:rsidR="00FA3B7B" w:rsidRPr="00012E53" w:rsidRDefault="00FA3B7B" w:rsidP="00A757AB">
      <w:pPr>
        <w:spacing w:line="240" w:lineRule="auto"/>
        <w:textAlignment w:val="top"/>
        <w:rPr>
          <w:szCs w:val="22"/>
        </w:rPr>
      </w:pPr>
      <w:r w:rsidRPr="00012E53">
        <w:rPr>
          <w:szCs w:val="22"/>
        </w:rPr>
        <w:t>FAO heeft een</w:t>
      </w:r>
      <w:r w:rsidR="00A42690">
        <w:rPr>
          <w:szCs w:val="22"/>
        </w:rPr>
        <w:t xml:space="preserve"> goed</w:t>
      </w:r>
      <w:r w:rsidRPr="00012E53">
        <w:rPr>
          <w:szCs w:val="22"/>
        </w:rPr>
        <w:t xml:space="preserve"> beleid geformuleerd op het gebied van fraude en onrechtmatig gebruik van de middelen, gericht op preventie en detectie. FAO heeft een </w:t>
      </w:r>
      <w:r w:rsidRPr="00012E53">
        <w:rPr>
          <w:i/>
          <w:szCs w:val="22"/>
        </w:rPr>
        <w:t>zero tolerance</w:t>
      </w:r>
      <w:r w:rsidRPr="00012E53">
        <w:rPr>
          <w:szCs w:val="22"/>
        </w:rPr>
        <w:t xml:space="preserve"> beleid ten aanzien van fraude. Het bureau van de </w:t>
      </w:r>
      <w:r w:rsidR="00346019">
        <w:rPr>
          <w:szCs w:val="22"/>
        </w:rPr>
        <w:t>i</w:t>
      </w:r>
      <w:r w:rsidRPr="00012E53">
        <w:rPr>
          <w:szCs w:val="22"/>
        </w:rPr>
        <w:t>nspecteur-generaal heeft een risico</w:t>
      </w:r>
      <w:r>
        <w:rPr>
          <w:szCs w:val="22"/>
        </w:rPr>
        <w:t>beoordelings</w:t>
      </w:r>
      <w:r w:rsidRPr="00012E53">
        <w:rPr>
          <w:szCs w:val="22"/>
        </w:rPr>
        <w:t xml:space="preserve">proces opgesteld, inclusief de corruptierisico’s. Het gebruikt hiervoor informatie uit audits en andere onderzoeken. Ook is het bureau verantwoordelijk voor het opsporen en aanpakken van fraude en corruptie. Op projectniveau worden geen specifieke corruptierisico’s </w:t>
      </w:r>
      <w:r>
        <w:rPr>
          <w:szCs w:val="22"/>
        </w:rPr>
        <w:t>beoordeeld</w:t>
      </w:r>
      <w:r w:rsidRPr="00012E53">
        <w:rPr>
          <w:szCs w:val="22"/>
        </w:rPr>
        <w:t xml:space="preserve">. Daarnaast werkt FAO met een interne audit om rechtmatigheids- en doelmatigheidsrisico’s af te dekken. Het jaarlijkse rapport van de </w:t>
      </w:r>
      <w:r w:rsidR="00346019">
        <w:rPr>
          <w:szCs w:val="22"/>
        </w:rPr>
        <w:t>i</w:t>
      </w:r>
      <w:r w:rsidRPr="00012E53">
        <w:rPr>
          <w:szCs w:val="22"/>
        </w:rPr>
        <w:t xml:space="preserve">nspecteur-generaal maakt melding van </w:t>
      </w:r>
      <w:proofErr w:type="gramStart"/>
      <w:r w:rsidRPr="00012E53">
        <w:rPr>
          <w:szCs w:val="22"/>
        </w:rPr>
        <w:t>de</w:t>
      </w:r>
      <w:proofErr w:type="gramEnd"/>
      <w:r w:rsidRPr="00012E53">
        <w:rPr>
          <w:szCs w:val="22"/>
        </w:rPr>
        <w:t xml:space="preserve"> onderzoeken op het gebied van fraude en andere schendingen van integriteit. Het </w:t>
      </w:r>
      <w:r w:rsidR="00346019">
        <w:rPr>
          <w:szCs w:val="22"/>
        </w:rPr>
        <w:t>b</w:t>
      </w:r>
      <w:r w:rsidRPr="00012E53">
        <w:rPr>
          <w:szCs w:val="22"/>
        </w:rPr>
        <w:t xml:space="preserve">ureau rapporteert aan de directeur-generaal en het senior management over de geleerde lessen en bevordert het beleid en de activiteiten die de integriteit van FAO verbeteren. Er zijn zeer weinig </w:t>
      </w:r>
      <w:r>
        <w:rPr>
          <w:szCs w:val="22"/>
        </w:rPr>
        <w:t xml:space="preserve">gevallen van </w:t>
      </w:r>
      <w:r w:rsidRPr="00012E53">
        <w:rPr>
          <w:szCs w:val="22"/>
        </w:rPr>
        <w:t>fraude en onrechtmatigheid.</w:t>
      </w:r>
      <w:r>
        <w:rPr>
          <w:szCs w:val="22"/>
        </w:rPr>
        <w:t xml:space="preserve"> </w:t>
      </w:r>
    </w:p>
    <w:p w14:paraId="25019236" w14:textId="77777777" w:rsidR="00FA3B7B" w:rsidRPr="00012E53" w:rsidRDefault="00FA3B7B" w:rsidP="00FA3B7B">
      <w:pPr>
        <w:spacing w:line="240" w:lineRule="auto"/>
        <w:jc w:val="both"/>
        <w:rPr>
          <w:b/>
        </w:rPr>
      </w:pPr>
    </w:p>
    <w:p w14:paraId="25019237" w14:textId="77777777" w:rsidR="00FA3B7B" w:rsidRPr="00012E53" w:rsidRDefault="00FA3B7B" w:rsidP="00FA3B7B">
      <w:pPr>
        <w:spacing w:line="240" w:lineRule="auto"/>
        <w:jc w:val="both"/>
      </w:pPr>
      <w:r w:rsidRPr="00012E53">
        <w:t xml:space="preserve">Beoordeling: </w:t>
      </w:r>
      <w:r w:rsidR="001408DE">
        <w:t>goed</w:t>
      </w:r>
      <w:r w:rsidRPr="00012E53">
        <w:t xml:space="preserve"> = </w:t>
      </w:r>
      <w:r w:rsidR="001408DE">
        <w:t>4</w:t>
      </w:r>
    </w:p>
    <w:p w14:paraId="25019238" w14:textId="77777777" w:rsidR="009534EF" w:rsidRPr="00412635" w:rsidRDefault="003E7BF8" w:rsidP="004D372F">
      <w:pPr>
        <w:pStyle w:val="Heading1"/>
        <w:tabs>
          <w:tab w:val="num" w:pos="0"/>
        </w:tabs>
        <w:spacing w:after="240" w:line="240" w:lineRule="auto"/>
        <w:ind w:hanging="1162"/>
      </w:pPr>
      <w:bookmarkStart w:id="30" w:name="_Toc348364679"/>
      <w:bookmarkStart w:id="31" w:name="_Toc410397636"/>
      <w:r w:rsidRPr="00412635">
        <w:t>4</w:t>
      </w:r>
      <w:r w:rsidR="004D372F" w:rsidRPr="00412635">
        <w:t xml:space="preserve"> </w:t>
      </w:r>
      <w:r w:rsidR="004D372F" w:rsidRPr="00412635">
        <w:tab/>
      </w:r>
      <w:r w:rsidR="009534EF" w:rsidRPr="00412635">
        <w:t xml:space="preserve">Beleidsrelevantie </w:t>
      </w:r>
      <w:r w:rsidR="00756754" w:rsidRPr="00412635">
        <w:t xml:space="preserve">en resultaten </w:t>
      </w:r>
      <w:r w:rsidR="009534EF" w:rsidRPr="00412635">
        <w:t>van de organisatie</w:t>
      </w:r>
      <w:bookmarkEnd w:id="30"/>
      <w:bookmarkEnd w:id="31"/>
    </w:p>
    <w:p w14:paraId="25019239" w14:textId="58985581" w:rsidR="002E05CA" w:rsidRPr="00BE32BA" w:rsidRDefault="0027051F" w:rsidP="00BE32BA">
      <w:pPr>
        <w:pStyle w:val="Heading2"/>
        <w:tabs>
          <w:tab w:val="left" w:pos="-1162"/>
          <w:tab w:val="left" w:pos="0"/>
        </w:tabs>
        <w:spacing w:line="240" w:lineRule="auto"/>
        <w:ind w:hanging="1134"/>
        <w:rPr>
          <w:b w:val="0"/>
          <w:szCs w:val="22"/>
        </w:rPr>
      </w:pPr>
      <w:bookmarkStart w:id="32" w:name="_Toc410397637"/>
      <w:r w:rsidRPr="00412635">
        <w:t xml:space="preserve">4.1 </w:t>
      </w:r>
      <w:r w:rsidR="0008255C" w:rsidRPr="00412635">
        <w:tab/>
      </w:r>
      <w:r w:rsidRPr="00412635">
        <w:t>Relevantie voor Nederlandse BHOS-prioriteiten</w:t>
      </w:r>
      <w:bookmarkEnd w:id="32"/>
      <w:r w:rsidR="00A757AB">
        <w:br/>
      </w:r>
      <w:r w:rsidR="00A757AB">
        <w:br/>
      </w:r>
      <w:r w:rsidR="00A757AB" w:rsidRPr="00BE32BA">
        <w:rPr>
          <w:b w:val="0"/>
        </w:rPr>
        <w:t xml:space="preserve">1. </w:t>
      </w:r>
      <w:r w:rsidRPr="00BE32BA">
        <w:rPr>
          <w:b w:val="0"/>
        </w:rPr>
        <w:t>Voedselzekerheid</w:t>
      </w:r>
      <w:r w:rsidR="00BE32BA" w:rsidRPr="00BE32BA">
        <w:rPr>
          <w:b w:val="0"/>
        </w:rPr>
        <w:br/>
      </w:r>
      <w:r w:rsidR="00AF0F29" w:rsidRPr="00BE32BA">
        <w:rPr>
          <w:b w:val="0"/>
          <w:szCs w:val="22"/>
        </w:rPr>
        <w:t xml:space="preserve">Relevant. </w:t>
      </w:r>
      <w:r w:rsidR="001408DE" w:rsidRPr="00BE32BA">
        <w:rPr>
          <w:b w:val="0"/>
          <w:szCs w:val="22"/>
        </w:rPr>
        <w:t xml:space="preserve">De FAO is essentieel bij de mondiale strategische discussies over voedselzekerheid. De FAO heeft bij handelsdiscussies over innovatieve en duurzame landbouw een niche met informatievoorziening en analyses ten behoeve van de kennisvergroting van ontwikkelingslanden. Onderwerpen als verantwoord landgebruik, </w:t>
      </w:r>
      <w:r w:rsidR="001408DE" w:rsidRPr="00BE32BA">
        <w:rPr>
          <w:b w:val="0"/>
          <w:i/>
          <w:szCs w:val="22"/>
        </w:rPr>
        <w:t xml:space="preserve">climate smart agriculture </w:t>
      </w:r>
      <w:r w:rsidR="001408DE" w:rsidRPr="00BE32BA">
        <w:rPr>
          <w:b w:val="0"/>
          <w:szCs w:val="22"/>
        </w:rPr>
        <w:t xml:space="preserve">en </w:t>
      </w:r>
      <w:r w:rsidR="001408DE" w:rsidRPr="00BE32BA">
        <w:rPr>
          <w:b w:val="0"/>
          <w:i/>
          <w:szCs w:val="22"/>
        </w:rPr>
        <w:t>responsible agricultural investment</w:t>
      </w:r>
      <w:r w:rsidR="001408DE" w:rsidRPr="00BE32BA">
        <w:rPr>
          <w:b w:val="0"/>
          <w:szCs w:val="22"/>
        </w:rPr>
        <w:t xml:space="preserve"> hebben</w:t>
      </w:r>
      <w:r w:rsidR="0034120C" w:rsidRPr="00BE32BA">
        <w:rPr>
          <w:b w:val="0"/>
          <w:szCs w:val="22"/>
        </w:rPr>
        <w:t>, mede op basis van CFS resultaten,</w:t>
      </w:r>
      <w:r w:rsidR="001408DE" w:rsidRPr="00BE32BA">
        <w:rPr>
          <w:b w:val="0"/>
          <w:szCs w:val="22"/>
        </w:rPr>
        <w:t xml:space="preserve"> een hoge prioriteit in de organisatie.</w:t>
      </w:r>
      <w:r w:rsidR="00BE32BA">
        <w:rPr>
          <w:b w:val="0"/>
          <w:szCs w:val="22"/>
        </w:rPr>
        <w:br/>
      </w:r>
      <w:r w:rsidR="00BE32BA">
        <w:rPr>
          <w:b w:val="0"/>
          <w:szCs w:val="22"/>
        </w:rPr>
        <w:br/>
      </w:r>
      <w:r w:rsidR="00BE32BA" w:rsidRPr="00BE32BA">
        <w:rPr>
          <w:b w:val="0"/>
        </w:rPr>
        <w:t xml:space="preserve">2. </w:t>
      </w:r>
      <w:r w:rsidRPr="00BE32BA">
        <w:rPr>
          <w:b w:val="0"/>
        </w:rPr>
        <w:t>Water</w:t>
      </w:r>
      <w:r w:rsidR="00BE32BA">
        <w:br/>
      </w:r>
      <w:r w:rsidR="00821C4F" w:rsidRPr="00BE32BA">
        <w:rPr>
          <w:b w:val="0"/>
        </w:rPr>
        <w:t xml:space="preserve">Relevant. FAO is van betekenis voor de </w:t>
      </w:r>
      <w:proofErr w:type="gramStart"/>
      <w:r w:rsidR="00821C4F" w:rsidRPr="00BE32BA">
        <w:rPr>
          <w:b w:val="0"/>
        </w:rPr>
        <w:t>implementatie</w:t>
      </w:r>
      <w:proofErr w:type="gramEnd"/>
      <w:r w:rsidR="00821C4F" w:rsidRPr="00BE32BA">
        <w:rPr>
          <w:b w:val="0"/>
        </w:rPr>
        <w:t xml:space="preserve"> van de doelstellingen uit de </w:t>
      </w:r>
      <w:r w:rsidR="00821C4F" w:rsidRPr="00BE32BA">
        <w:rPr>
          <w:b w:val="0"/>
          <w:i/>
        </w:rPr>
        <w:t>World Summit on Sustainable Development</w:t>
      </w:r>
      <w:r w:rsidR="00821C4F" w:rsidRPr="00BE32BA">
        <w:rPr>
          <w:b w:val="0"/>
        </w:rPr>
        <w:t xml:space="preserve"> op het gebied van biodiversiteit, water en landbouw. Dit heeft FAO </w:t>
      </w:r>
      <w:r w:rsidR="00E73754">
        <w:rPr>
          <w:b w:val="0"/>
        </w:rPr>
        <w:t>onder andere</w:t>
      </w:r>
      <w:r w:rsidR="00821C4F" w:rsidRPr="00BE32BA">
        <w:rPr>
          <w:b w:val="0"/>
        </w:rPr>
        <w:t xml:space="preserve"> ingevuld door het in 2014 gelanceerde </w:t>
      </w:r>
      <w:r w:rsidR="00821C4F" w:rsidRPr="00BE32BA">
        <w:rPr>
          <w:b w:val="0"/>
          <w:i/>
        </w:rPr>
        <w:t>Blue Growth Initiative.</w:t>
      </w:r>
      <w:r w:rsidR="00821C4F" w:rsidRPr="00BE32BA">
        <w:rPr>
          <w:b w:val="0"/>
        </w:rPr>
        <w:t xml:space="preserve"> Het beheer van natuurlijke hulpbronnen (land/bodem, water en uitgangsmateriaal) zijn belangrijke randvoorwaarden voor de voedselzekerheids-strategieën en activiteiten van FAO. IGG werkt samen met FAO aan de ontwikkeling en </w:t>
      </w:r>
      <w:proofErr w:type="gramStart"/>
      <w:r w:rsidR="00821C4F" w:rsidRPr="00BE32BA">
        <w:rPr>
          <w:b w:val="0"/>
        </w:rPr>
        <w:t>implementatie</w:t>
      </w:r>
      <w:proofErr w:type="gramEnd"/>
      <w:r w:rsidR="00821C4F" w:rsidRPr="00BE32BA">
        <w:rPr>
          <w:b w:val="0"/>
        </w:rPr>
        <w:t xml:space="preserve"> van een database waar waterproductiviteit in kaart wordt gebracht. Met </w:t>
      </w:r>
      <w:proofErr w:type="gramStart"/>
      <w:r w:rsidR="00821C4F" w:rsidRPr="00BE32BA">
        <w:rPr>
          <w:b w:val="0"/>
        </w:rPr>
        <w:t>deze</w:t>
      </w:r>
      <w:proofErr w:type="gramEnd"/>
      <w:r w:rsidR="00821C4F" w:rsidRPr="00BE32BA">
        <w:rPr>
          <w:b w:val="0"/>
        </w:rPr>
        <w:t xml:space="preserve"> publiek toegankelijke informatie, die via satellieten wordt verkregen, kan de wereldwijde watervoorraad worden gemonitord, advies worden gegeven hoe effectief met de voorraad kan worden omgegaan. Ook kunnen producenten zelf op veldniveau hier gebruik van maken om landopbrengsten te verbeteren.</w:t>
      </w:r>
      <w:r w:rsidR="00084795" w:rsidRPr="008E1C34">
        <w:rPr>
          <w:szCs w:val="22"/>
        </w:rPr>
        <w:t xml:space="preserve"> </w:t>
      </w:r>
      <w:r w:rsidR="00BE32BA">
        <w:rPr>
          <w:szCs w:val="22"/>
        </w:rPr>
        <w:br/>
      </w:r>
      <w:r w:rsidR="00BE32BA">
        <w:rPr>
          <w:szCs w:val="22"/>
        </w:rPr>
        <w:br/>
      </w:r>
      <w:r w:rsidR="00BE32BA">
        <w:rPr>
          <w:b w:val="0"/>
        </w:rPr>
        <w:t xml:space="preserve">3. </w:t>
      </w:r>
      <w:r w:rsidRPr="00BE32BA">
        <w:rPr>
          <w:b w:val="0"/>
        </w:rPr>
        <w:t>Veiligheid en Rechtsorde</w:t>
      </w:r>
    </w:p>
    <w:p w14:paraId="2501923A" w14:textId="77777777" w:rsidR="008E1C34" w:rsidRPr="000C4044" w:rsidRDefault="003F44C7" w:rsidP="000C4044">
      <w:pPr>
        <w:spacing w:line="240" w:lineRule="auto"/>
      </w:pPr>
      <w:r>
        <w:t>Beperkt relevant. FAO draagt bij aan het herstellen van bestaanszekerheid van de getroffen bevolking in de post conflict periode. FAO voert b</w:t>
      </w:r>
      <w:r w:rsidR="00A757AB">
        <w:t>ijvoorbeeld</w:t>
      </w:r>
      <w:r>
        <w:t xml:space="preserve"> programma’s uit </w:t>
      </w:r>
      <w:r w:rsidR="00284E0D">
        <w:t xml:space="preserve">op het </w:t>
      </w:r>
      <w:r>
        <w:t>gebied van landbouwontwikkeling, micro</w:t>
      </w:r>
      <w:r w:rsidR="00284E0D">
        <w:t>krediet</w:t>
      </w:r>
      <w:r>
        <w:t>systemen, landrechten, zaden en kunstmest. Dit bevordert direct en indirect de werkgelegenheid wat noodzakelijk is voo</w:t>
      </w:r>
      <w:r w:rsidR="000C4044">
        <w:t xml:space="preserve">r verdere opbouw van een land. </w:t>
      </w:r>
      <w:r w:rsidR="000C4044">
        <w:br/>
      </w:r>
      <w:r w:rsidR="000C4044">
        <w:br/>
        <w:t xml:space="preserve">4. </w:t>
      </w:r>
      <w:r w:rsidR="0027051F" w:rsidRPr="000C4044">
        <w:t>Seksuele en Reproductieve Gezondheid en Rechten (SRGR)</w:t>
      </w:r>
    </w:p>
    <w:p w14:paraId="2501923B" w14:textId="77777777" w:rsidR="000C4044" w:rsidRDefault="000C4044" w:rsidP="000C4044">
      <w:pPr>
        <w:spacing w:line="240" w:lineRule="auto"/>
        <w:jc w:val="both"/>
        <w:rPr>
          <w:szCs w:val="22"/>
        </w:rPr>
      </w:pPr>
      <w:r>
        <w:rPr>
          <w:szCs w:val="22"/>
        </w:rPr>
        <w:t>Niet relevant.</w:t>
      </w:r>
    </w:p>
    <w:p w14:paraId="2501923C" w14:textId="77777777" w:rsidR="000C4044" w:rsidRDefault="000C4044" w:rsidP="000C4044">
      <w:pPr>
        <w:spacing w:line="240" w:lineRule="auto"/>
        <w:jc w:val="both"/>
        <w:rPr>
          <w:szCs w:val="22"/>
        </w:rPr>
      </w:pPr>
    </w:p>
    <w:p w14:paraId="2501923D" w14:textId="77777777" w:rsidR="0027051F" w:rsidRPr="000C4044" w:rsidRDefault="000C4044" w:rsidP="000C4044">
      <w:pPr>
        <w:spacing w:line="240" w:lineRule="auto"/>
        <w:jc w:val="both"/>
        <w:rPr>
          <w:szCs w:val="22"/>
        </w:rPr>
      </w:pPr>
      <w:r>
        <w:rPr>
          <w:szCs w:val="22"/>
        </w:rPr>
        <w:t xml:space="preserve">5. </w:t>
      </w:r>
      <w:r w:rsidR="0027051F" w:rsidRPr="000C4044">
        <w:t>Gendergelijkheid</w:t>
      </w:r>
      <w:r w:rsidR="002803F3" w:rsidRPr="003A41B5">
        <w:rPr>
          <w:i/>
        </w:rPr>
        <w:t xml:space="preserve"> </w:t>
      </w:r>
    </w:p>
    <w:p w14:paraId="2501923E" w14:textId="5F090846" w:rsidR="0027051F" w:rsidRPr="000C4044" w:rsidRDefault="003F44C7" w:rsidP="000C4044">
      <w:pPr>
        <w:spacing w:line="240" w:lineRule="auto"/>
      </w:pPr>
      <w:r w:rsidRPr="003F44C7">
        <w:t xml:space="preserve">Beperkt relevant. Voor FAO is gender een dwarsdoorsnijdende prioriteit. Volgens </w:t>
      </w:r>
      <w:r>
        <w:t>FAO’s</w:t>
      </w:r>
      <w:r w:rsidRPr="003F44C7">
        <w:t xml:space="preserve"> eigen schattingen wordt in landen waar landbouw arbeidsintensief is, zoals sub Sahara Afrika, tot 80% van het voedsel door vrouwen geproduceerd. Als vrouwen gelijke toegang tot productiemiddelen in de landbouw zouden hebben, zou het aantal mensen met honger met 150 miljoen kunnen afnemen.</w:t>
      </w:r>
      <w:r>
        <w:t xml:space="preserve"> </w:t>
      </w:r>
      <w:r w:rsidRPr="003F44C7">
        <w:t>De evaluatie van het genderbeleid in 2011 w</w:t>
      </w:r>
      <w:r w:rsidR="00811983">
        <w:t>ijst op een</w:t>
      </w:r>
      <w:r w:rsidRPr="003F44C7">
        <w:t xml:space="preserve"> gebrek aan leiderschap, vrijblijvendheid in de toepassing van de eigen richtlijnen en onvoldoende middelen voor interne capaciteitsopbouw. Resultaten voor vrouwen zijn onvoldoende duurzaam. FAO heeft lessen getrokken uit de evaluatie: gendergelijkheid is in het kader van de Strategic Framework 2010 – 2019 opgewaardeerd tot een strategische doelstelling. </w:t>
      </w:r>
      <w:r w:rsidR="000C4044">
        <w:br/>
      </w:r>
      <w:r w:rsidR="000C4044">
        <w:br/>
        <w:t xml:space="preserve">6. </w:t>
      </w:r>
      <w:r w:rsidR="0027051F" w:rsidRPr="000C4044">
        <w:t>Klimaat</w:t>
      </w:r>
    </w:p>
    <w:p w14:paraId="2501923F" w14:textId="77777777" w:rsidR="000C4044" w:rsidRDefault="00975F50" w:rsidP="000C4044">
      <w:pPr>
        <w:spacing w:line="240" w:lineRule="auto"/>
      </w:pPr>
      <w:r w:rsidRPr="008E1C34">
        <w:rPr>
          <w:szCs w:val="22"/>
        </w:rPr>
        <w:t>R</w:t>
      </w:r>
      <w:r w:rsidR="00AF0F29" w:rsidRPr="008E1C34">
        <w:rPr>
          <w:szCs w:val="22"/>
        </w:rPr>
        <w:t xml:space="preserve">elevant. </w:t>
      </w:r>
      <w:r w:rsidRPr="008E1C34">
        <w:rPr>
          <w:szCs w:val="22"/>
        </w:rPr>
        <w:t xml:space="preserve">Klimaat (adaptatie en mitigatie) wordt in toenemende mate een prioriteit voor FAO. FAO kan bij uitstek technische kennis en </w:t>
      </w:r>
      <w:r w:rsidRPr="00811983">
        <w:rPr>
          <w:i/>
          <w:szCs w:val="22"/>
        </w:rPr>
        <w:t>know-how</w:t>
      </w:r>
      <w:r w:rsidRPr="008E1C34">
        <w:rPr>
          <w:szCs w:val="22"/>
        </w:rPr>
        <w:t xml:space="preserve"> leveren in de internationale fora, mede doordat de FAO het secretariaat h</w:t>
      </w:r>
      <w:r w:rsidR="00284E0D">
        <w:rPr>
          <w:szCs w:val="22"/>
        </w:rPr>
        <w:t>uisvest</w:t>
      </w:r>
      <w:r w:rsidRPr="008E1C34">
        <w:rPr>
          <w:szCs w:val="22"/>
        </w:rPr>
        <w:t xml:space="preserve"> van de in september 2014 tijdens de Klimaattop in de New York gelanceerde Global Alliance for Climate Smart Agriculture</w:t>
      </w:r>
      <w:r w:rsidR="00832311">
        <w:rPr>
          <w:szCs w:val="22"/>
        </w:rPr>
        <w:t xml:space="preserve">. </w:t>
      </w:r>
    </w:p>
    <w:p w14:paraId="25019240" w14:textId="77777777" w:rsidR="000C4044" w:rsidRDefault="000C4044" w:rsidP="000C4044">
      <w:pPr>
        <w:spacing w:line="240" w:lineRule="auto"/>
        <w:jc w:val="both"/>
      </w:pPr>
    </w:p>
    <w:p w14:paraId="25019241" w14:textId="77777777" w:rsidR="008E1C34" w:rsidRDefault="000C4044" w:rsidP="000C4044">
      <w:pPr>
        <w:spacing w:line="240" w:lineRule="auto"/>
        <w:jc w:val="both"/>
      </w:pPr>
      <w:r>
        <w:t xml:space="preserve">7. </w:t>
      </w:r>
      <w:r w:rsidR="0027051F" w:rsidRPr="008E1C34">
        <w:rPr>
          <w:i/>
        </w:rPr>
        <w:t>Private Sector Development</w:t>
      </w:r>
      <w:r w:rsidR="0027051F" w:rsidRPr="008E1C34">
        <w:t xml:space="preserve"> </w:t>
      </w:r>
    </w:p>
    <w:p w14:paraId="25019242" w14:textId="77777777" w:rsidR="008E1C34" w:rsidRPr="000C4044" w:rsidRDefault="00AF0F29" w:rsidP="000C4044">
      <w:pPr>
        <w:spacing w:line="240" w:lineRule="auto"/>
      </w:pPr>
      <w:r w:rsidRPr="008E1C34">
        <w:t>Relevant</w:t>
      </w:r>
      <w:r w:rsidR="00975F50" w:rsidRPr="008E1C34">
        <w:t>.</w:t>
      </w:r>
      <w:r w:rsidRPr="008E1C34">
        <w:t xml:space="preserve"> </w:t>
      </w:r>
      <w:r w:rsidR="005000BD" w:rsidRPr="008E1C34">
        <w:t xml:space="preserve">FAO richt zich op boeren en dat zijn per definitie (kleine </w:t>
      </w:r>
      <w:proofErr w:type="gramStart"/>
      <w:r w:rsidR="005000BD" w:rsidRPr="008E1C34">
        <w:t>rurale</w:t>
      </w:r>
      <w:proofErr w:type="gramEnd"/>
      <w:r w:rsidR="005000BD" w:rsidRPr="008E1C34">
        <w:t xml:space="preserve">) ondernemers. FAO </w:t>
      </w:r>
      <w:r w:rsidR="00284E0D">
        <w:t>hanteert</w:t>
      </w:r>
      <w:r w:rsidR="005000BD" w:rsidRPr="008E1C34">
        <w:t xml:space="preserve"> de ketenbenadering </w:t>
      </w:r>
      <w:r w:rsidR="00284E0D">
        <w:t>om</w:t>
      </w:r>
      <w:r w:rsidR="005000BD" w:rsidRPr="008E1C34">
        <w:t xml:space="preserve"> de juiste condities </w:t>
      </w:r>
      <w:r w:rsidR="00284E0D">
        <w:t>te scheppen voor het bevorderen van</w:t>
      </w:r>
      <w:r w:rsidR="005000BD" w:rsidRPr="008E1C34">
        <w:t xml:space="preserve"> </w:t>
      </w:r>
      <w:proofErr w:type="gramStart"/>
      <w:r w:rsidR="005000BD" w:rsidRPr="008E1C34">
        <w:t>rurale</w:t>
      </w:r>
      <w:proofErr w:type="gramEnd"/>
      <w:r w:rsidR="005000BD" w:rsidRPr="008E1C34">
        <w:t xml:space="preserve"> economische ontwikkeling. </w:t>
      </w:r>
      <w:r w:rsidR="00975F50" w:rsidRPr="008E1C34">
        <w:t xml:space="preserve">In het CFS heeft het </w:t>
      </w:r>
      <w:r w:rsidR="00975F50" w:rsidRPr="003F44C7">
        <w:rPr>
          <w:i/>
        </w:rPr>
        <w:t>Private Sector Mechanism</w:t>
      </w:r>
      <w:r w:rsidR="00975F50" w:rsidRPr="008E1C34">
        <w:t xml:space="preserve"> zelfs een formele positie.</w:t>
      </w:r>
      <w:r w:rsidR="000C4044">
        <w:br/>
      </w:r>
      <w:r w:rsidR="000C4044">
        <w:br/>
        <w:t xml:space="preserve">8. </w:t>
      </w:r>
      <w:r w:rsidR="0027051F" w:rsidRPr="000C4044">
        <w:t>Humanitaire hulp</w:t>
      </w:r>
      <w:r w:rsidR="002E05CA" w:rsidRPr="003A41B5">
        <w:rPr>
          <w:i/>
        </w:rPr>
        <w:t xml:space="preserve"> </w:t>
      </w:r>
    </w:p>
    <w:p w14:paraId="25019243" w14:textId="77777777" w:rsidR="00F067FE" w:rsidRPr="005000BD" w:rsidRDefault="00F258E6" w:rsidP="000C4044">
      <w:pPr>
        <w:spacing w:line="240" w:lineRule="auto"/>
      </w:pPr>
      <w:r>
        <w:t>Relevant. FAO is lid van de IASC. De FAO heeft een humanitaire hulp tak, die goed opereert binnen haar mandaat: hulp bij noodgevallen om er voor te zorgen dat de volgende oogst niet mislukt. Een relatief groot deel van het FAO budget wordt hiervoor ingezet. FAO begint haar inzet, daar waar WFP uitfaseert. Hoewel de samenwerking tussen beide organisaties goed is, loopt deze overgang nog niet altijd soepel, vooral vanwege het feit dat WFP veel meer inzetbare veldcapaciteit heeft in rampgebieden</w:t>
      </w:r>
      <w:r w:rsidR="00284E0D">
        <w:t xml:space="preserve"> dan FAO</w:t>
      </w:r>
      <w:r>
        <w:t>.</w:t>
      </w:r>
      <w:r w:rsidR="005000BD" w:rsidRPr="005000BD">
        <w:t xml:space="preserve"> </w:t>
      </w:r>
    </w:p>
    <w:p w14:paraId="25019244" w14:textId="45485E29" w:rsidR="00E56899" w:rsidRPr="008E1C34" w:rsidRDefault="005749A5" w:rsidP="008E1C34">
      <w:pPr>
        <w:pStyle w:val="Heading2"/>
        <w:tabs>
          <w:tab w:val="left" w:pos="-1162"/>
          <w:tab w:val="left" w:pos="0"/>
          <w:tab w:val="num" w:pos="1160"/>
        </w:tabs>
        <w:spacing w:line="240" w:lineRule="auto"/>
        <w:ind w:hanging="1162"/>
      </w:pPr>
      <w:bookmarkStart w:id="33" w:name="_Toc410140912"/>
      <w:bookmarkStart w:id="34" w:name="_Toc410397638"/>
      <w:r w:rsidRPr="00412635">
        <w:t>4</w:t>
      </w:r>
      <w:r w:rsidR="003331DA" w:rsidRPr="00412635">
        <w:t>.</w:t>
      </w:r>
      <w:r w:rsidR="00195B13" w:rsidRPr="00412635">
        <w:t>2</w:t>
      </w:r>
      <w:r w:rsidR="008624F0" w:rsidRPr="00412635">
        <w:tab/>
      </w:r>
      <w:r w:rsidR="0020719A">
        <w:t>Extra</w:t>
      </w:r>
      <w:r w:rsidR="008624F0" w:rsidRPr="00412635">
        <w:t xml:space="preserve"> relevantie</w:t>
      </w:r>
      <w:bookmarkEnd w:id="33"/>
      <w:bookmarkEnd w:id="34"/>
      <w:r w:rsidR="0057402A" w:rsidRPr="00412635">
        <w:t xml:space="preserve"> </w:t>
      </w:r>
    </w:p>
    <w:p w14:paraId="25019245" w14:textId="77777777" w:rsidR="00F067FE" w:rsidRDefault="00F067FE" w:rsidP="00E234E3">
      <w:pPr>
        <w:ind w:left="227"/>
        <w:rPr>
          <w:color w:val="FF0000"/>
        </w:rPr>
      </w:pPr>
    </w:p>
    <w:p w14:paraId="25019246" w14:textId="4230C89E" w:rsidR="005000BD" w:rsidRDefault="00F067FE" w:rsidP="000C4044">
      <w:pPr>
        <w:spacing w:line="240" w:lineRule="auto"/>
      </w:pPr>
      <w:r w:rsidRPr="00012E53">
        <w:t xml:space="preserve">FAO heeft een belangrijke normerende taak en is goed in staat om deze taak uit te voeren. Er zijn verschillende technische comités </w:t>
      </w:r>
      <w:r>
        <w:t>met</w:t>
      </w:r>
      <w:r w:rsidRPr="00012E53">
        <w:t xml:space="preserve"> voldoende waarborg voor onafhankelijk</w:t>
      </w:r>
      <w:r>
        <w:t>heid die deze normen monitoren</w:t>
      </w:r>
      <w:r w:rsidRPr="00012E53">
        <w:t xml:space="preserve"> en handha</w:t>
      </w:r>
      <w:r>
        <w:t>ven</w:t>
      </w:r>
      <w:r w:rsidRPr="00012E53">
        <w:t xml:space="preserve">. Het normerende proces van FAO </w:t>
      </w:r>
      <w:r>
        <w:t>verloopt</w:t>
      </w:r>
      <w:r w:rsidRPr="00012E53">
        <w:t xml:space="preserve"> goed</w:t>
      </w:r>
      <w:r>
        <w:t>.</w:t>
      </w:r>
      <w:r w:rsidRPr="00012E53">
        <w:t xml:space="preserve"> FAO is </w:t>
      </w:r>
      <w:r w:rsidR="004D2AB0">
        <w:t xml:space="preserve">ook </w:t>
      </w:r>
      <w:r w:rsidRPr="00012E53">
        <w:t xml:space="preserve">dé kennisinstelling </w:t>
      </w:r>
      <w:r>
        <w:t>voor</w:t>
      </w:r>
      <w:r w:rsidRPr="00012E53">
        <w:t xml:space="preserve"> voedsel en landbouw in de wereld</w:t>
      </w:r>
      <w:r w:rsidR="0063304D">
        <w:t>, dit is de belangrijkste IPG functie, naast de normatieve rol</w:t>
      </w:r>
      <w:r>
        <w:t>.</w:t>
      </w:r>
      <w:r w:rsidRPr="00012E53">
        <w:t xml:space="preserve"> </w:t>
      </w:r>
      <w:r>
        <w:t>Zij</w:t>
      </w:r>
      <w:r w:rsidRPr="00012E53">
        <w:t xml:space="preserve"> heeft de</w:t>
      </w:r>
      <w:r w:rsidR="004D2AB0">
        <w:t>ze</w:t>
      </w:r>
      <w:r w:rsidRPr="00012E53">
        <w:t xml:space="preserve"> kennis in huis </w:t>
      </w:r>
      <w:r>
        <w:t>m</w:t>
      </w:r>
      <w:r w:rsidRPr="00012E53">
        <w:t xml:space="preserve">aar vanwege vele jaren van matig management is de </w:t>
      </w:r>
      <w:r w:rsidR="004D2AB0">
        <w:t>kennis</w:t>
      </w:r>
      <w:r w:rsidRPr="00012E53">
        <w:t xml:space="preserve">rol in het slop geraakt. Er wordt </w:t>
      </w:r>
      <w:r>
        <w:t>door</w:t>
      </w:r>
      <w:r w:rsidRPr="00012E53">
        <w:t xml:space="preserve"> de huidige hervormingen hard aan gewerkt en de FAO is weer vertegenwoordigd in alle internationale fora die voor haar mandaat van belang zijn. </w:t>
      </w:r>
    </w:p>
    <w:p w14:paraId="25019247" w14:textId="3442F3AE" w:rsidR="00F067FE" w:rsidRPr="005000BD" w:rsidRDefault="005000BD" w:rsidP="000C4044">
      <w:pPr>
        <w:spacing w:line="240" w:lineRule="auto"/>
      </w:pPr>
      <w:r>
        <w:t xml:space="preserve">FAO is ook </w:t>
      </w:r>
      <w:r w:rsidRPr="005000BD">
        <w:t>r</w:t>
      </w:r>
      <w:r w:rsidR="00F067FE" w:rsidRPr="005000BD">
        <w:t>elevant vanuit het perspectief van de internationale OS-architectuur</w:t>
      </w:r>
      <w:r>
        <w:t>. B</w:t>
      </w:r>
      <w:r w:rsidR="00F067FE" w:rsidRPr="00F067FE">
        <w:rPr>
          <w:szCs w:val="22"/>
        </w:rPr>
        <w:t>innen de</w:t>
      </w:r>
      <w:r w:rsidR="004D2AB0">
        <w:rPr>
          <w:szCs w:val="22"/>
        </w:rPr>
        <w:t>ze</w:t>
      </w:r>
      <w:r w:rsidR="00F067FE" w:rsidRPr="00F067FE">
        <w:rPr>
          <w:szCs w:val="22"/>
        </w:rPr>
        <w:t xml:space="preserve"> </w:t>
      </w:r>
      <w:r w:rsidR="00E234E3">
        <w:rPr>
          <w:szCs w:val="22"/>
        </w:rPr>
        <w:t xml:space="preserve">is FAO </w:t>
      </w:r>
      <w:r w:rsidR="00F067FE" w:rsidRPr="00F067FE">
        <w:rPr>
          <w:szCs w:val="22"/>
        </w:rPr>
        <w:t>mede verantwoordelijk voor het verminderen van armoede en honger en het bevorderen van een duurzaam leefmilieu. De OS-beleidsrelevantie is groot, in het bijzonder het Committee on World Food Security, dat wereldwijde richtsnoeren</w:t>
      </w:r>
      <w:r w:rsidR="00F067FE" w:rsidRPr="00F067FE">
        <w:rPr>
          <w:i/>
          <w:szCs w:val="22"/>
        </w:rPr>
        <w:t xml:space="preserve"> </w:t>
      </w:r>
      <w:r w:rsidR="00F067FE" w:rsidRPr="00F067FE">
        <w:rPr>
          <w:szCs w:val="22"/>
        </w:rPr>
        <w:t>opstelt. Een overkoepelende boodschap van de Onafhankelijke Externe Evaluatie luidt: “Als de FAO morgen zou verdwijnen, zou veel van deze organisatie opnieuw uitgevonden moeten worden”.</w:t>
      </w:r>
      <w:r w:rsidR="00F067FE" w:rsidRPr="00F067FE">
        <w:rPr>
          <w:i/>
          <w:szCs w:val="22"/>
        </w:rPr>
        <w:t xml:space="preserve"> </w:t>
      </w:r>
    </w:p>
    <w:p w14:paraId="25019248" w14:textId="77777777" w:rsidR="00C855A8" w:rsidRDefault="00E234E3" w:rsidP="000C4044">
      <w:pPr>
        <w:pStyle w:val="Heading2"/>
        <w:tabs>
          <w:tab w:val="left" w:pos="-1162"/>
          <w:tab w:val="left" w:pos="0"/>
          <w:tab w:val="num" w:pos="1160"/>
        </w:tabs>
        <w:spacing w:line="240" w:lineRule="auto"/>
        <w:rPr>
          <w:b w:val="0"/>
        </w:rPr>
      </w:pPr>
      <w:r>
        <w:rPr>
          <w:b w:val="0"/>
        </w:rPr>
        <w:t>Daarnaast is de</w:t>
      </w:r>
      <w:r w:rsidR="00F067FE" w:rsidRPr="00F067FE">
        <w:rPr>
          <w:b w:val="0"/>
        </w:rPr>
        <w:t xml:space="preserve"> FAO is wereldwijd actief, in het bijzonder ook in Afrika en fragiele staten</w:t>
      </w:r>
      <w:r w:rsidR="00F067FE" w:rsidRPr="00F067FE">
        <w:t>.</w:t>
      </w:r>
      <w:r>
        <w:t xml:space="preserve"> </w:t>
      </w:r>
      <w:r w:rsidR="00F067FE" w:rsidRPr="00E234E3">
        <w:rPr>
          <w:b w:val="0"/>
          <w:szCs w:val="22"/>
        </w:rPr>
        <w:t>Het belang van de organisatie ligt in de Nederlandse optiek vooral in de platformfunctie voor mondiale voedselzekerheid</w:t>
      </w:r>
      <w:r w:rsidR="004D2AB0">
        <w:rPr>
          <w:b w:val="0"/>
          <w:szCs w:val="22"/>
        </w:rPr>
        <w:t>, als</w:t>
      </w:r>
      <w:r w:rsidR="00F067FE" w:rsidRPr="00E234E3">
        <w:rPr>
          <w:b w:val="0"/>
          <w:szCs w:val="22"/>
        </w:rPr>
        <w:t xml:space="preserve"> kennisinstelling op </w:t>
      </w:r>
      <w:r w:rsidR="004D2AB0">
        <w:rPr>
          <w:b w:val="0"/>
          <w:szCs w:val="22"/>
        </w:rPr>
        <w:t xml:space="preserve">het </w:t>
      </w:r>
      <w:r w:rsidR="00F067FE" w:rsidRPr="00E234E3">
        <w:rPr>
          <w:b w:val="0"/>
          <w:szCs w:val="22"/>
        </w:rPr>
        <w:t>gebied van landbouw-aangelegenheden</w:t>
      </w:r>
      <w:r w:rsidR="004D2AB0">
        <w:rPr>
          <w:b w:val="0"/>
          <w:szCs w:val="22"/>
        </w:rPr>
        <w:t>,</w:t>
      </w:r>
      <w:r w:rsidR="00F067FE" w:rsidRPr="00E234E3">
        <w:rPr>
          <w:b w:val="0"/>
          <w:szCs w:val="22"/>
        </w:rPr>
        <w:t xml:space="preserve"> in de forum- en normfunctie op het terrein van voedselkwaliteit, plantenziekten, grensoverschrijdende ziekten en bescherming van biodiversiteit. </w:t>
      </w:r>
      <w:r w:rsidR="00F067FE" w:rsidRPr="00E234E3">
        <w:rPr>
          <w:b w:val="0"/>
        </w:rPr>
        <w:t xml:space="preserve">Nederland heeft een traditie bij FAO </w:t>
      </w:r>
      <w:r w:rsidR="004D2AB0">
        <w:rPr>
          <w:b w:val="0"/>
        </w:rPr>
        <w:t>als het gaat om</w:t>
      </w:r>
      <w:r w:rsidR="00F067FE" w:rsidRPr="00E234E3">
        <w:rPr>
          <w:b w:val="0"/>
        </w:rPr>
        <w:t xml:space="preserve"> kennisontwikkeling, vooral </w:t>
      </w:r>
      <w:r w:rsidR="004D2AB0">
        <w:rPr>
          <w:b w:val="0"/>
        </w:rPr>
        <w:t>door de</w:t>
      </w:r>
      <w:r w:rsidR="00F067FE" w:rsidRPr="00E234E3">
        <w:rPr>
          <w:b w:val="0"/>
        </w:rPr>
        <w:t xml:space="preserve"> samenwerking met de Wageningen</w:t>
      </w:r>
      <w:r w:rsidR="00832311">
        <w:rPr>
          <w:b w:val="0"/>
        </w:rPr>
        <w:t xml:space="preserve"> Universiteit</w:t>
      </w:r>
      <w:r w:rsidR="00F067FE" w:rsidRPr="00E234E3">
        <w:rPr>
          <w:b w:val="0"/>
        </w:rPr>
        <w:t xml:space="preserve">. In 2013 is het </w:t>
      </w:r>
      <w:proofErr w:type="gramStart"/>
      <w:r w:rsidR="00F067FE" w:rsidRPr="00E234E3">
        <w:rPr>
          <w:b w:val="0"/>
        </w:rPr>
        <w:t>reeds</w:t>
      </w:r>
      <w:proofErr w:type="gramEnd"/>
      <w:r w:rsidR="00F067FE" w:rsidRPr="00E234E3">
        <w:rPr>
          <w:b w:val="0"/>
        </w:rPr>
        <w:t xml:space="preserve"> bestaande MoU met Wageningen Universiteit en Research Center (WUR) vernieuwd. Daarnaast steunt Nederland al heel lang de </w:t>
      </w:r>
      <w:r w:rsidR="00F067FE" w:rsidRPr="006629FA">
        <w:rPr>
          <w:b w:val="0"/>
          <w:i/>
        </w:rPr>
        <w:t xml:space="preserve">Consultative Group for International Agricultural </w:t>
      </w:r>
      <w:proofErr w:type="gramStart"/>
      <w:r w:rsidR="00F067FE" w:rsidRPr="006629FA">
        <w:rPr>
          <w:b w:val="0"/>
          <w:i/>
        </w:rPr>
        <w:t>Research</w:t>
      </w:r>
      <w:proofErr w:type="gramEnd"/>
      <w:r w:rsidR="00F067FE" w:rsidRPr="006629FA">
        <w:rPr>
          <w:b w:val="0"/>
          <w:i/>
        </w:rPr>
        <w:t>.</w:t>
      </w:r>
      <w:r w:rsidR="00F067FE" w:rsidRPr="00E234E3">
        <w:rPr>
          <w:b w:val="0"/>
        </w:rPr>
        <w:t xml:space="preserve"> De samenwerking met de FAO is onlangs versterkt, vooral op het gebied van kennisuitwisseling. FAO heeft via haar normerende rol ook een indirecte invloed op Nederlandse regelgeving, bijvoorbeeld via de besluiten in de Codex Alimentarius</w:t>
      </w:r>
      <w:r w:rsidR="005D25EE">
        <w:rPr>
          <w:b w:val="0"/>
        </w:rPr>
        <w:t>, de International Plant Protection Convention (IPPC)</w:t>
      </w:r>
      <w:r w:rsidR="00F067FE" w:rsidRPr="00E234E3">
        <w:rPr>
          <w:b w:val="0"/>
        </w:rPr>
        <w:t xml:space="preserve"> en de verschillende technische comités van FAO.</w:t>
      </w:r>
    </w:p>
    <w:p w14:paraId="25019249" w14:textId="77777777" w:rsidR="00C855A8" w:rsidRDefault="00C855A8" w:rsidP="000C4044">
      <w:pPr>
        <w:pStyle w:val="Heading2"/>
        <w:tabs>
          <w:tab w:val="left" w:pos="-1162"/>
          <w:tab w:val="left" w:pos="0"/>
          <w:tab w:val="num" w:pos="1160"/>
        </w:tabs>
        <w:spacing w:line="240" w:lineRule="auto"/>
        <w:rPr>
          <w:b w:val="0"/>
        </w:rPr>
      </w:pPr>
    </w:p>
    <w:p w14:paraId="2501924A" w14:textId="6A0BFAB3" w:rsidR="00C855A8" w:rsidRPr="00C855A8" w:rsidRDefault="00C855A8" w:rsidP="000C4044">
      <w:pPr>
        <w:pStyle w:val="Heading2"/>
        <w:tabs>
          <w:tab w:val="left" w:pos="-1162"/>
          <w:tab w:val="left" w:pos="0"/>
          <w:tab w:val="num" w:pos="1160"/>
        </w:tabs>
        <w:spacing w:line="240" w:lineRule="auto"/>
        <w:rPr>
          <w:b w:val="0"/>
          <w:color w:val="000000"/>
          <w:kern w:val="14"/>
          <w:szCs w:val="18"/>
        </w:rPr>
      </w:pPr>
      <w:r w:rsidRPr="00F258E6">
        <w:rPr>
          <w:b w:val="0"/>
          <w:color w:val="000000"/>
          <w:kern w:val="14"/>
          <w:szCs w:val="18"/>
        </w:rPr>
        <w:t>De FAO is de centrale speler om partijen bij elkaar te bren</w:t>
      </w:r>
      <w:r w:rsidR="00E73754">
        <w:rPr>
          <w:b w:val="0"/>
          <w:color w:val="000000"/>
          <w:kern w:val="14"/>
          <w:szCs w:val="18"/>
        </w:rPr>
        <w:t>gen voor het realiseren van de Duurzame Ontwikkelingsdoelen</w:t>
      </w:r>
      <w:r w:rsidRPr="00F258E6">
        <w:rPr>
          <w:b w:val="0"/>
          <w:color w:val="000000"/>
          <w:kern w:val="14"/>
          <w:szCs w:val="18"/>
        </w:rPr>
        <w:t xml:space="preserve"> op het gebied van honger en voedselzekerheid. Jaarlijks rapporteert de FAO over voortgang op deze doelen. </w:t>
      </w:r>
      <w:r w:rsidR="00811983">
        <w:rPr>
          <w:b w:val="0"/>
          <w:color w:val="000000"/>
          <w:kern w:val="14"/>
          <w:szCs w:val="18"/>
        </w:rPr>
        <w:t>Er wordt g</w:t>
      </w:r>
      <w:r w:rsidR="004D2AB0">
        <w:rPr>
          <w:b w:val="0"/>
          <w:color w:val="000000"/>
          <w:kern w:val="14"/>
          <w:szCs w:val="18"/>
        </w:rPr>
        <w:t>estreefd naar</w:t>
      </w:r>
      <w:r w:rsidRPr="00F258E6">
        <w:rPr>
          <w:b w:val="0"/>
          <w:color w:val="000000"/>
          <w:kern w:val="14"/>
          <w:szCs w:val="18"/>
        </w:rPr>
        <w:t xml:space="preserve"> een gezamenlijke positie en actieve betrokkenheid van de Romeinse instellingen binnen het </w:t>
      </w:r>
      <w:r w:rsidR="00811983">
        <w:rPr>
          <w:b w:val="0"/>
          <w:color w:val="000000"/>
          <w:kern w:val="14"/>
          <w:szCs w:val="18"/>
        </w:rPr>
        <w:t>P</w:t>
      </w:r>
      <w:r w:rsidRPr="00F258E6">
        <w:rPr>
          <w:b w:val="0"/>
          <w:color w:val="000000"/>
          <w:kern w:val="14"/>
          <w:szCs w:val="18"/>
        </w:rPr>
        <w:t>ost 2015 proces.</w:t>
      </w:r>
    </w:p>
    <w:p w14:paraId="2501924B" w14:textId="77777777" w:rsidR="00F067FE" w:rsidRPr="00C855A8" w:rsidRDefault="00F067FE" w:rsidP="00F067FE">
      <w:pPr>
        <w:spacing w:line="240" w:lineRule="auto"/>
        <w:jc w:val="both"/>
      </w:pPr>
    </w:p>
    <w:p w14:paraId="2501924C" w14:textId="77777777" w:rsidR="00F067FE" w:rsidRPr="00E234E3" w:rsidRDefault="00F067FE" w:rsidP="00F067FE">
      <w:pPr>
        <w:rPr>
          <w:color w:val="FF0000"/>
        </w:rPr>
      </w:pPr>
    </w:p>
    <w:p w14:paraId="2501924D" w14:textId="77777777" w:rsidR="00097B3F" w:rsidRPr="00412635" w:rsidRDefault="00097B3F" w:rsidP="00097B3F">
      <w:pPr>
        <w:pStyle w:val="Heading1"/>
        <w:tabs>
          <w:tab w:val="num" w:pos="0"/>
        </w:tabs>
        <w:spacing w:after="240" w:line="240" w:lineRule="auto"/>
        <w:ind w:hanging="1162"/>
      </w:pPr>
      <w:bookmarkStart w:id="35" w:name="_Toc410397639"/>
      <w:r w:rsidRPr="00DC249A">
        <w:t>Conclusie</w:t>
      </w:r>
      <w:bookmarkEnd w:id="35"/>
    </w:p>
    <w:p w14:paraId="2501924E" w14:textId="77777777" w:rsidR="00097B3F" w:rsidRPr="00412635" w:rsidRDefault="00097B3F" w:rsidP="00097B3F"/>
    <w:p w14:paraId="2501924F" w14:textId="77777777" w:rsidR="00097B3F" w:rsidRDefault="00097B3F" w:rsidP="00097B3F">
      <w:pPr>
        <w:pStyle w:val="Heading2"/>
        <w:tabs>
          <w:tab w:val="left" w:pos="-1162"/>
          <w:tab w:val="left" w:pos="0"/>
          <w:tab w:val="num" w:pos="1160"/>
        </w:tabs>
        <w:spacing w:line="240" w:lineRule="auto"/>
        <w:ind w:hanging="1162"/>
      </w:pPr>
      <w:bookmarkStart w:id="36" w:name="_Toc410397640"/>
      <w:r w:rsidRPr="00412635">
        <w:t xml:space="preserve">5.1 </w:t>
      </w:r>
      <w:r w:rsidRPr="00412635">
        <w:tab/>
        <w:t>Institutionele aspecten en functioneren</w:t>
      </w:r>
      <w:bookmarkEnd w:id="36"/>
    </w:p>
    <w:p w14:paraId="25019250" w14:textId="77777777" w:rsidR="00097B3F" w:rsidRDefault="00AA6C30" w:rsidP="00097B3F">
      <w:r>
        <w:t>Het hervormingsproces bij FAO levert duidelijke resultaten op. De organisatie heeft een breed mandaat en daarom is het belangrijk dat nu duidelijker prioriteiten worden gesteld. De financiële situatie van de organisatie zit in de lift. FAO kent een goede evaluatiedienst.</w:t>
      </w:r>
    </w:p>
    <w:p w14:paraId="25019251" w14:textId="77777777" w:rsidR="00AA6C30" w:rsidRPr="00DC249A" w:rsidRDefault="00AA6C30" w:rsidP="00097B3F"/>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
        <w:gridCol w:w="5349"/>
        <w:gridCol w:w="841"/>
        <w:gridCol w:w="852"/>
      </w:tblGrid>
      <w:tr w:rsidR="00097B3F" w:rsidRPr="00DC249A" w14:paraId="25019256" w14:textId="77777777" w:rsidTr="000605A3">
        <w:tc>
          <w:tcPr>
            <w:tcW w:w="359" w:type="dxa"/>
            <w:shd w:val="clear" w:color="auto" w:fill="auto"/>
          </w:tcPr>
          <w:p w14:paraId="25019252" w14:textId="77777777" w:rsidR="00097B3F" w:rsidRPr="00DC249A" w:rsidRDefault="00097B3F" w:rsidP="000605A3"/>
        </w:tc>
        <w:tc>
          <w:tcPr>
            <w:tcW w:w="5349" w:type="dxa"/>
            <w:shd w:val="clear" w:color="auto" w:fill="auto"/>
          </w:tcPr>
          <w:p w14:paraId="25019253" w14:textId="77777777" w:rsidR="00097B3F" w:rsidRPr="00DC249A" w:rsidRDefault="00097B3F" w:rsidP="000605A3"/>
        </w:tc>
        <w:tc>
          <w:tcPr>
            <w:tcW w:w="841" w:type="dxa"/>
            <w:shd w:val="clear" w:color="auto" w:fill="auto"/>
          </w:tcPr>
          <w:p w14:paraId="25019254" w14:textId="77777777" w:rsidR="00097B3F" w:rsidRPr="00DC249A" w:rsidRDefault="00097B3F" w:rsidP="000605A3">
            <w:r w:rsidRPr="00DC249A">
              <w:t>Score</w:t>
            </w:r>
          </w:p>
        </w:tc>
        <w:tc>
          <w:tcPr>
            <w:tcW w:w="852" w:type="dxa"/>
            <w:shd w:val="clear" w:color="auto" w:fill="auto"/>
          </w:tcPr>
          <w:p w14:paraId="25019255" w14:textId="77777777" w:rsidR="00097B3F" w:rsidRPr="00DC249A" w:rsidRDefault="00097B3F" w:rsidP="000605A3">
            <w:r w:rsidRPr="00DC249A">
              <w:t>Verw.</w:t>
            </w:r>
          </w:p>
        </w:tc>
      </w:tr>
      <w:tr w:rsidR="00097B3F" w:rsidRPr="00DC249A" w14:paraId="25019258" w14:textId="77777777" w:rsidTr="000605A3">
        <w:tc>
          <w:tcPr>
            <w:tcW w:w="7401" w:type="dxa"/>
            <w:gridSpan w:val="4"/>
            <w:shd w:val="clear" w:color="auto" w:fill="auto"/>
          </w:tcPr>
          <w:p w14:paraId="25019257" w14:textId="77777777" w:rsidR="00097B3F" w:rsidRPr="00DC249A" w:rsidRDefault="00097B3F" w:rsidP="000605A3">
            <w:pPr>
              <w:rPr>
                <w:b/>
              </w:rPr>
            </w:pPr>
            <w:r w:rsidRPr="00DC249A">
              <w:rPr>
                <w:b/>
              </w:rPr>
              <w:t xml:space="preserve">3 Institutionele aspecten en functioneren </w:t>
            </w:r>
          </w:p>
        </w:tc>
      </w:tr>
      <w:tr w:rsidR="00097B3F" w:rsidRPr="00DC249A" w14:paraId="2501925D" w14:textId="77777777" w:rsidTr="000605A3">
        <w:tc>
          <w:tcPr>
            <w:tcW w:w="359" w:type="dxa"/>
            <w:shd w:val="clear" w:color="auto" w:fill="auto"/>
          </w:tcPr>
          <w:p w14:paraId="25019259" w14:textId="77777777" w:rsidR="00097B3F" w:rsidRPr="00DC249A" w:rsidRDefault="00097B3F" w:rsidP="000605A3">
            <w:pPr>
              <w:rPr>
                <w:b/>
              </w:rPr>
            </w:pPr>
          </w:p>
        </w:tc>
        <w:tc>
          <w:tcPr>
            <w:tcW w:w="5349" w:type="dxa"/>
            <w:shd w:val="clear" w:color="auto" w:fill="auto"/>
          </w:tcPr>
          <w:p w14:paraId="2501925A" w14:textId="77777777" w:rsidR="00097B3F" w:rsidRPr="00DC249A" w:rsidRDefault="00097B3F" w:rsidP="000605A3">
            <w:r w:rsidRPr="00DC249A">
              <w:t xml:space="preserve">Strategie en focus </w:t>
            </w:r>
          </w:p>
        </w:tc>
        <w:tc>
          <w:tcPr>
            <w:tcW w:w="841" w:type="dxa"/>
            <w:shd w:val="clear" w:color="auto" w:fill="auto"/>
            <w:vAlign w:val="center"/>
          </w:tcPr>
          <w:p w14:paraId="2501925B" w14:textId="77777777" w:rsidR="00097B3F" w:rsidRPr="00DC249A" w:rsidRDefault="00AB436C" w:rsidP="00AB436C">
            <w:pPr>
              <w:jc w:val="center"/>
            </w:pPr>
            <w:r>
              <w:t>3</w:t>
            </w:r>
          </w:p>
        </w:tc>
        <w:tc>
          <w:tcPr>
            <w:tcW w:w="852" w:type="dxa"/>
            <w:shd w:val="clear" w:color="auto" w:fill="auto"/>
            <w:vAlign w:val="center"/>
          </w:tcPr>
          <w:p w14:paraId="2501925C" w14:textId="77777777" w:rsidR="00097B3F" w:rsidRPr="00DC249A" w:rsidRDefault="009E0144" w:rsidP="000605A3">
            <w:pPr>
              <w:jc w:val="center"/>
            </w:pPr>
            <w:r w:rsidRPr="00012E53">
              <w:sym w:font="Wingdings" w:char="F0E9"/>
            </w:r>
          </w:p>
        </w:tc>
      </w:tr>
      <w:tr w:rsidR="00097B3F" w:rsidRPr="00DC249A" w14:paraId="25019262" w14:textId="77777777" w:rsidTr="000605A3">
        <w:tc>
          <w:tcPr>
            <w:tcW w:w="359" w:type="dxa"/>
            <w:shd w:val="clear" w:color="auto" w:fill="auto"/>
          </w:tcPr>
          <w:p w14:paraId="2501925E" w14:textId="77777777" w:rsidR="00097B3F" w:rsidRPr="00DC249A" w:rsidRDefault="00097B3F" w:rsidP="000605A3">
            <w:pPr>
              <w:rPr>
                <w:b/>
              </w:rPr>
            </w:pPr>
          </w:p>
        </w:tc>
        <w:tc>
          <w:tcPr>
            <w:tcW w:w="5349" w:type="dxa"/>
            <w:shd w:val="clear" w:color="auto" w:fill="auto"/>
          </w:tcPr>
          <w:p w14:paraId="2501925F" w14:textId="616A24C7" w:rsidR="00097B3F" w:rsidRPr="00DC249A" w:rsidRDefault="0020719A" w:rsidP="000605A3">
            <w:r>
              <w:t>Resultaatsturing</w:t>
            </w:r>
            <w:r w:rsidR="00097B3F" w:rsidRPr="00DC249A">
              <w:t xml:space="preserve"> </w:t>
            </w:r>
          </w:p>
        </w:tc>
        <w:tc>
          <w:tcPr>
            <w:tcW w:w="841" w:type="dxa"/>
            <w:shd w:val="clear" w:color="auto" w:fill="auto"/>
            <w:vAlign w:val="center"/>
          </w:tcPr>
          <w:p w14:paraId="25019260" w14:textId="77777777" w:rsidR="00097B3F" w:rsidRPr="00DC249A" w:rsidRDefault="009A0347" w:rsidP="000605A3">
            <w:pPr>
              <w:jc w:val="center"/>
            </w:pPr>
            <w:r>
              <w:t>3</w:t>
            </w:r>
          </w:p>
        </w:tc>
        <w:tc>
          <w:tcPr>
            <w:tcW w:w="852" w:type="dxa"/>
            <w:shd w:val="clear" w:color="auto" w:fill="auto"/>
            <w:vAlign w:val="center"/>
          </w:tcPr>
          <w:p w14:paraId="25019261" w14:textId="77777777" w:rsidR="00097B3F" w:rsidRPr="00DC249A" w:rsidRDefault="009E0144" w:rsidP="000605A3">
            <w:pPr>
              <w:jc w:val="center"/>
            </w:pPr>
            <w:r w:rsidRPr="00012E53">
              <w:sym w:font="Wingdings" w:char="F0E9"/>
            </w:r>
          </w:p>
        </w:tc>
      </w:tr>
      <w:tr w:rsidR="00097B3F" w:rsidRPr="00DC249A" w14:paraId="25019267" w14:textId="77777777" w:rsidTr="000605A3">
        <w:tc>
          <w:tcPr>
            <w:tcW w:w="359" w:type="dxa"/>
            <w:shd w:val="clear" w:color="auto" w:fill="auto"/>
          </w:tcPr>
          <w:p w14:paraId="25019263" w14:textId="77777777" w:rsidR="00097B3F" w:rsidRPr="00DC249A" w:rsidRDefault="00097B3F" w:rsidP="000605A3">
            <w:pPr>
              <w:rPr>
                <w:b/>
              </w:rPr>
            </w:pPr>
          </w:p>
        </w:tc>
        <w:tc>
          <w:tcPr>
            <w:tcW w:w="5349" w:type="dxa"/>
            <w:shd w:val="clear" w:color="auto" w:fill="auto"/>
          </w:tcPr>
          <w:p w14:paraId="25019264" w14:textId="77777777" w:rsidR="00097B3F" w:rsidRPr="00DC249A" w:rsidRDefault="00097B3F" w:rsidP="000605A3">
            <w:r w:rsidRPr="00DC249A">
              <w:t>Partnerschappen</w:t>
            </w:r>
          </w:p>
        </w:tc>
        <w:tc>
          <w:tcPr>
            <w:tcW w:w="841" w:type="dxa"/>
            <w:shd w:val="clear" w:color="auto" w:fill="auto"/>
            <w:vAlign w:val="center"/>
          </w:tcPr>
          <w:p w14:paraId="25019265" w14:textId="77777777" w:rsidR="00097B3F" w:rsidRPr="00DC249A" w:rsidRDefault="009E0144" w:rsidP="000605A3">
            <w:pPr>
              <w:jc w:val="center"/>
            </w:pPr>
            <w:r>
              <w:t>3</w:t>
            </w:r>
          </w:p>
        </w:tc>
        <w:tc>
          <w:tcPr>
            <w:tcW w:w="852" w:type="dxa"/>
            <w:shd w:val="clear" w:color="auto" w:fill="auto"/>
            <w:vAlign w:val="center"/>
          </w:tcPr>
          <w:p w14:paraId="25019266" w14:textId="77777777" w:rsidR="00097B3F" w:rsidRPr="00DC249A" w:rsidRDefault="00947E41" w:rsidP="000605A3">
            <w:pPr>
              <w:jc w:val="center"/>
            </w:pPr>
            <w:r>
              <w:sym w:font="Wingdings" w:char="F0E8"/>
            </w:r>
          </w:p>
        </w:tc>
      </w:tr>
      <w:tr w:rsidR="00097B3F" w:rsidRPr="00DC249A" w14:paraId="2501926C" w14:textId="77777777" w:rsidTr="000605A3">
        <w:tc>
          <w:tcPr>
            <w:tcW w:w="359" w:type="dxa"/>
            <w:shd w:val="clear" w:color="auto" w:fill="auto"/>
          </w:tcPr>
          <w:p w14:paraId="25019268" w14:textId="77777777" w:rsidR="00097B3F" w:rsidRPr="00DC249A" w:rsidRDefault="00097B3F" w:rsidP="000605A3">
            <w:pPr>
              <w:rPr>
                <w:b/>
              </w:rPr>
            </w:pPr>
          </w:p>
        </w:tc>
        <w:tc>
          <w:tcPr>
            <w:tcW w:w="5349" w:type="dxa"/>
            <w:shd w:val="clear" w:color="auto" w:fill="auto"/>
          </w:tcPr>
          <w:p w14:paraId="25019269" w14:textId="77777777" w:rsidR="00097B3F" w:rsidRPr="00DC249A" w:rsidRDefault="00097B3F" w:rsidP="000605A3">
            <w:r w:rsidRPr="00DC249A">
              <w:t>Effectiviteit bestuurs- en beheersorganen</w:t>
            </w:r>
          </w:p>
        </w:tc>
        <w:tc>
          <w:tcPr>
            <w:tcW w:w="841" w:type="dxa"/>
            <w:shd w:val="clear" w:color="auto" w:fill="auto"/>
            <w:vAlign w:val="center"/>
          </w:tcPr>
          <w:p w14:paraId="2501926A" w14:textId="726075B6" w:rsidR="00097B3F" w:rsidRPr="00DC249A" w:rsidRDefault="002A3124" w:rsidP="000605A3">
            <w:pPr>
              <w:jc w:val="center"/>
            </w:pPr>
            <w:r>
              <w:t>4</w:t>
            </w:r>
          </w:p>
        </w:tc>
        <w:tc>
          <w:tcPr>
            <w:tcW w:w="852" w:type="dxa"/>
            <w:shd w:val="clear" w:color="auto" w:fill="auto"/>
            <w:vAlign w:val="center"/>
          </w:tcPr>
          <w:p w14:paraId="2501926B" w14:textId="63DEE200" w:rsidR="00097B3F" w:rsidRPr="00DC249A" w:rsidRDefault="00097B3F" w:rsidP="000605A3">
            <w:pPr>
              <w:jc w:val="center"/>
            </w:pPr>
          </w:p>
        </w:tc>
      </w:tr>
      <w:tr w:rsidR="00097B3F" w:rsidRPr="00DC249A" w14:paraId="25019271" w14:textId="77777777" w:rsidTr="000605A3">
        <w:tc>
          <w:tcPr>
            <w:tcW w:w="359" w:type="dxa"/>
            <w:shd w:val="clear" w:color="auto" w:fill="auto"/>
          </w:tcPr>
          <w:p w14:paraId="2501926D" w14:textId="77777777" w:rsidR="00097B3F" w:rsidRPr="00DC249A" w:rsidRDefault="00097B3F" w:rsidP="000605A3">
            <w:pPr>
              <w:rPr>
                <w:b/>
              </w:rPr>
            </w:pPr>
          </w:p>
        </w:tc>
        <w:tc>
          <w:tcPr>
            <w:tcW w:w="5349" w:type="dxa"/>
            <w:shd w:val="clear" w:color="auto" w:fill="auto"/>
          </w:tcPr>
          <w:p w14:paraId="2501926E" w14:textId="77777777" w:rsidR="00097B3F" w:rsidRPr="00DC249A" w:rsidRDefault="00097B3F" w:rsidP="000605A3">
            <w:r w:rsidRPr="00DC249A">
              <w:t>Beleidsevaluatie</w:t>
            </w:r>
          </w:p>
        </w:tc>
        <w:tc>
          <w:tcPr>
            <w:tcW w:w="841" w:type="dxa"/>
            <w:shd w:val="clear" w:color="auto" w:fill="auto"/>
            <w:vAlign w:val="center"/>
          </w:tcPr>
          <w:p w14:paraId="2501926F" w14:textId="4BB4F6E0" w:rsidR="00097B3F" w:rsidRPr="00DC249A" w:rsidRDefault="002A3124" w:rsidP="000605A3">
            <w:pPr>
              <w:jc w:val="center"/>
            </w:pPr>
            <w:r>
              <w:t>3</w:t>
            </w:r>
          </w:p>
        </w:tc>
        <w:tc>
          <w:tcPr>
            <w:tcW w:w="852" w:type="dxa"/>
            <w:shd w:val="clear" w:color="auto" w:fill="auto"/>
            <w:vAlign w:val="center"/>
          </w:tcPr>
          <w:p w14:paraId="25019270" w14:textId="3CCC5083" w:rsidR="00097B3F" w:rsidRPr="00DC249A" w:rsidRDefault="002A3124" w:rsidP="000605A3">
            <w:pPr>
              <w:jc w:val="center"/>
            </w:pPr>
            <w:r w:rsidRPr="00012E53">
              <w:sym w:font="Wingdings" w:char="F0E9"/>
            </w:r>
          </w:p>
        </w:tc>
      </w:tr>
      <w:tr w:rsidR="00097B3F" w:rsidRPr="00DC249A" w14:paraId="25019276" w14:textId="77777777" w:rsidTr="000605A3">
        <w:tc>
          <w:tcPr>
            <w:tcW w:w="359" w:type="dxa"/>
            <w:shd w:val="clear" w:color="auto" w:fill="auto"/>
          </w:tcPr>
          <w:p w14:paraId="25019272" w14:textId="77777777" w:rsidR="00097B3F" w:rsidRPr="00DC249A" w:rsidRDefault="00097B3F" w:rsidP="000605A3">
            <w:pPr>
              <w:rPr>
                <w:b/>
              </w:rPr>
            </w:pPr>
          </w:p>
        </w:tc>
        <w:tc>
          <w:tcPr>
            <w:tcW w:w="5349" w:type="dxa"/>
            <w:shd w:val="clear" w:color="auto" w:fill="auto"/>
          </w:tcPr>
          <w:p w14:paraId="25019273" w14:textId="54D490E6" w:rsidR="00097B3F" w:rsidRPr="00DC249A" w:rsidRDefault="0020719A" w:rsidP="000605A3">
            <w:r>
              <w:t>Personeelsbeleid</w:t>
            </w:r>
          </w:p>
        </w:tc>
        <w:tc>
          <w:tcPr>
            <w:tcW w:w="841" w:type="dxa"/>
            <w:shd w:val="clear" w:color="auto" w:fill="auto"/>
            <w:vAlign w:val="center"/>
          </w:tcPr>
          <w:p w14:paraId="25019274" w14:textId="77777777" w:rsidR="00097B3F" w:rsidRPr="00DC249A" w:rsidRDefault="009A0347" w:rsidP="000605A3">
            <w:pPr>
              <w:jc w:val="center"/>
            </w:pPr>
            <w:r>
              <w:t>3</w:t>
            </w:r>
          </w:p>
        </w:tc>
        <w:tc>
          <w:tcPr>
            <w:tcW w:w="852" w:type="dxa"/>
            <w:shd w:val="clear" w:color="auto" w:fill="auto"/>
            <w:vAlign w:val="center"/>
          </w:tcPr>
          <w:p w14:paraId="25019275" w14:textId="77777777" w:rsidR="00097B3F" w:rsidRPr="00DC249A" w:rsidRDefault="00947E41" w:rsidP="000605A3">
            <w:pPr>
              <w:jc w:val="center"/>
            </w:pPr>
            <w:r>
              <w:sym w:font="Wingdings" w:char="F0E8"/>
            </w:r>
          </w:p>
        </w:tc>
      </w:tr>
      <w:tr w:rsidR="00097B3F" w:rsidRPr="00DC249A" w14:paraId="2501927B" w14:textId="77777777" w:rsidTr="000605A3">
        <w:tc>
          <w:tcPr>
            <w:tcW w:w="359" w:type="dxa"/>
            <w:shd w:val="clear" w:color="auto" w:fill="auto"/>
          </w:tcPr>
          <w:p w14:paraId="25019277" w14:textId="77777777" w:rsidR="00097B3F" w:rsidRPr="00DC249A" w:rsidRDefault="00097B3F" w:rsidP="000605A3">
            <w:pPr>
              <w:rPr>
                <w:b/>
              </w:rPr>
            </w:pPr>
          </w:p>
        </w:tc>
        <w:tc>
          <w:tcPr>
            <w:tcW w:w="5349" w:type="dxa"/>
            <w:shd w:val="clear" w:color="auto" w:fill="auto"/>
          </w:tcPr>
          <w:p w14:paraId="25019278" w14:textId="7B286A1E" w:rsidR="00097B3F" w:rsidRPr="00DC249A" w:rsidRDefault="0020719A" w:rsidP="000605A3">
            <w:r>
              <w:t>Financieel beheer</w:t>
            </w:r>
          </w:p>
        </w:tc>
        <w:tc>
          <w:tcPr>
            <w:tcW w:w="841" w:type="dxa"/>
            <w:shd w:val="clear" w:color="auto" w:fill="auto"/>
            <w:vAlign w:val="center"/>
          </w:tcPr>
          <w:p w14:paraId="25019279" w14:textId="77777777" w:rsidR="00097B3F" w:rsidRPr="00DC249A" w:rsidRDefault="009E0144" w:rsidP="000605A3">
            <w:pPr>
              <w:jc w:val="center"/>
            </w:pPr>
            <w:r>
              <w:t>3</w:t>
            </w:r>
          </w:p>
        </w:tc>
        <w:tc>
          <w:tcPr>
            <w:tcW w:w="852" w:type="dxa"/>
            <w:shd w:val="clear" w:color="auto" w:fill="auto"/>
            <w:vAlign w:val="center"/>
          </w:tcPr>
          <w:p w14:paraId="2501927A" w14:textId="77777777" w:rsidR="00097B3F" w:rsidRPr="00DC249A" w:rsidRDefault="009E0144" w:rsidP="000605A3">
            <w:pPr>
              <w:jc w:val="center"/>
            </w:pPr>
            <w:r w:rsidRPr="00012E53">
              <w:sym w:font="Wingdings" w:char="F0E9"/>
            </w:r>
          </w:p>
        </w:tc>
      </w:tr>
      <w:tr w:rsidR="00097B3F" w:rsidRPr="00DC249A" w14:paraId="25019280" w14:textId="77777777" w:rsidTr="000605A3">
        <w:tc>
          <w:tcPr>
            <w:tcW w:w="359" w:type="dxa"/>
            <w:shd w:val="clear" w:color="auto" w:fill="auto"/>
          </w:tcPr>
          <w:p w14:paraId="2501927C" w14:textId="77777777" w:rsidR="00097B3F" w:rsidRPr="00DC249A" w:rsidRDefault="00097B3F" w:rsidP="000605A3">
            <w:pPr>
              <w:rPr>
                <w:b/>
              </w:rPr>
            </w:pPr>
          </w:p>
        </w:tc>
        <w:tc>
          <w:tcPr>
            <w:tcW w:w="5349" w:type="dxa"/>
            <w:shd w:val="clear" w:color="auto" w:fill="auto"/>
          </w:tcPr>
          <w:p w14:paraId="2501927D" w14:textId="77777777" w:rsidR="00097B3F" w:rsidRPr="00DC249A" w:rsidRDefault="00097B3F" w:rsidP="000605A3">
            <w:r w:rsidRPr="00DC249A">
              <w:t>Corruptiebestrijding in de interne organisatie</w:t>
            </w:r>
          </w:p>
        </w:tc>
        <w:tc>
          <w:tcPr>
            <w:tcW w:w="841" w:type="dxa"/>
            <w:shd w:val="clear" w:color="auto" w:fill="auto"/>
            <w:vAlign w:val="center"/>
          </w:tcPr>
          <w:p w14:paraId="2501927E" w14:textId="77777777" w:rsidR="00097B3F" w:rsidRPr="00DC249A" w:rsidRDefault="009E0144" w:rsidP="000605A3">
            <w:pPr>
              <w:jc w:val="center"/>
            </w:pPr>
            <w:r>
              <w:t>4</w:t>
            </w:r>
          </w:p>
        </w:tc>
        <w:tc>
          <w:tcPr>
            <w:tcW w:w="852" w:type="dxa"/>
            <w:shd w:val="clear" w:color="auto" w:fill="auto"/>
            <w:vAlign w:val="center"/>
          </w:tcPr>
          <w:p w14:paraId="2501927F" w14:textId="77777777" w:rsidR="00097B3F" w:rsidRPr="00DC249A" w:rsidRDefault="00097B3F" w:rsidP="000605A3">
            <w:pPr>
              <w:jc w:val="center"/>
            </w:pPr>
          </w:p>
        </w:tc>
      </w:tr>
    </w:tbl>
    <w:p w14:paraId="25019281" w14:textId="77777777" w:rsidR="00097B3F" w:rsidRPr="00DC249A" w:rsidRDefault="00097B3F" w:rsidP="00097B3F"/>
    <w:p w14:paraId="25019282" w14:textId="77777777" w:rsidR="00097B3F" w:rsidRPr="00DC249A" w:rsidRDefault="00097B3F" w:rsidP="00097B3F">
      <w:pPr>
        <w:pStyle w:val="Heading2"/>
        <w:tabs>
          <w:tab w:val="left" w:pos="-1162"/>
          <w:tab w:val="left" w:pos="0"/>
          <w:tab w:val="num" w:pos="1160"/>
        </w:tabs>
        <w:spacing w:line="240" w:lineRule="auto"/>
        <w:ind w:hanging="1162"/>
      </w:pPr>
      <w:bookmarkStart w:id="37" w:name="_Toc410397641"/>
      <w:r w:rsidRPr="00DC249A">
        <w:t xml:space="preserve">5.2 </w:t>
      </w:r>
      <w:r w:rsidRPr="00DC249A">
        <w:tab/>
        <w:t>Beleidsrelevantie</w:t>
      </w:r>
      <w:bookmarkEnd w:id="37"/>
    </w:p>
    <w:p w14:paraId="25019284" w14:textId="77777777" w:rsidR="004D2AB0" w:rsidRDefault="00AA6C30" w:rsidP="00097B3F">
      <w:r>
        <w:t>FAO is belangrijk als systeemorganisatie met een normerende functie en is relevant voor het beleid op de terreinen voedselzekerheid, water, klimaat, private sector en humanitaire hulp.</w:t>
      </w:r>
    </w:p>
    <w:p w14:paraId="25019285" w14:textId="77777777" w:rsidR="00AA6C30" w:rsidRPr="00DC249A" w:rsidRDefault="00AA6C30" w:rsidP="00097B3F"/>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411"/>
        <w:gridCol w:w="841"/>
      </w:tblGrid>
      <w:tr w:rsidR="00097B3F" w:rsidRPr="00DC249A" w14:paraId="25019289" w14:textId="77777777" w:rsidTr="000605A3">
        <w:tc>
          <w:tcPr>
            <w:tcW w:w="360" w:type="dxa"/>
            <w:shd w:val="clear" w:color="auto" w:fill="auto"/>
          </w:tcPr>
          <w:p w14:paraId="25019286" w14:textId="77777777" w:rsidR="00097B3F" w:rsidRPr="00DC249A" w:rsidRDefault="00097B3F" w:rsidP="000605A3"/>
        </w:tc>
        <w:tc>
          <w:tcPr>
            <w:tcW w:w="6411" w:type="dxa"/>
            <w:shd w:val="clear" w:color="auto" w:fill="auto"/>
          </w:tcPr>
          <w:p w14:paraId="25019287" w14:textId="77777777" w:rsidR="00097B3F" w:rsidRPr="00DC249A" w:rsidRDefault="00097B3F" w:rsidP="000605A3"/>
        </w:tc>
        <w:tc>
          <w:tcPr>
            <w:tcW w:w="841" w:type="dxa"/>
            <w:shd w:val="clear" w:color="auto" w:fill="auto"/>
          </w:tcPr>
          <w:p w14:paraId="25019288" w14:textId="77777777" w:rsidR="00097B3F" w:rsidRPr="00DC249A" w:rsidRDefault="00097B3F" w:rsidP="000605A3">
            <w:r w:rsidRPr="00DC249A">
              <w:t>Score</w:t>
            </w:r>
          </w:p>
        </w:tc>
      </w:tr>
      <w:tr w:rsidR="00097B3F" w:rsidRPr="00DC249A" w14:paraId="2501928B" w14:textId="77777777" w:rsidTr="000605A3">
        <w:tc>
          <w:tcPr>
            <w:tcW w:w="7612" w:type="dxa"/>
            <w:gridSpan w:val="3"/>
            <w:shd w:val="clear" w:color="auto" w:fill="auto"/>
          </w:tcPr>
          <w:p w14:paraId="2501928A" w14:textId="673A760C" w:rsidR="00097B3F" w:rsidRPr="00DC249A" w:rsidRDefault="0020719A" w:rsidP="000605A3">
            <w:r>
              <w:rPr>
                <w:b/>
              </w:rPr>
              <w:t>4</w:t>
            </w:r>
            <w:r w:rsidR="00097B3F" w:rsidRPr="00DC249A">
              <w:rPr>
                <w:b/>
              </w:rPr>
              <w:t>.1 Relevantie voor Nederlandse BHOS-prioriteiten</w:t>
            </w:r>
          </w:p>
        </w:tc>
      </w:tr>
      <w:tr w:rsidR="00097B3F" w:rsidRPr="00DC249A" w14:paraId="2501928F" w14:textId="77777777" w:rsidTr="000605A3">
        <w:tc>
          <w:tcPr>
            <w:tcW w:w="360" w:type="dxa"/>
            <w:shd w:val="clear" w:color="auto" w:fill="auto"/>
          </w:tcPr>
          <w:p w14:paraId="2501928C" w14:textId="77777777" w:rsidR="00097B3F" w:rsidRPr="00DC249A" w:rsidRDefault="00097B3F" w:rsidP="000605A3"/>
        </w:tc>
        <w:tc>
          <w:tcPr>
            <w:tcW w:w="6411" w:type="dxa"/>
            <w:shd w:val="clear" w:color="auto" w:fill="auto"/>
          </w:tcPr>
          <w:p w14:paraId="2501928D" w14:textId="77777777" w:rsidR="00097B3F" w:rsidRPr="00DC249A" w:rsidRDefault="00097B3F" w:rsidP="000605A3">
            <w:r w:rsidRPr="00DC249A">
              <w:t>Voedselzekerheid</w:t>
            </w:r>
          </w:p>
        </w:tc>
        <w:tc>
          <w:tcPr>
            <w:tcW w:w="841" w:type="dxa"/>
            <w:shd w:val="clear" w:color="auto" w:fill="auto"/>
          </w:tcPr>
          <w:p w14:paraId="2501928E" w14:textId="77777777" w:rsidR="00097B3F" w:rsidRPr="00DC249A" w:rsidRDefault="009E2074" w:rsidP="009E2074">
            <w:pPr>
              <w:jc w:val="center"/>
            </w:pPr>
            <w:r>
              <w:t>+</w:t>
            </w:r>
          </w:p>
        </w:tc>
      </w:tr>
      <w:tr w:rsidR="00097B3F" w:rsidRPr="00DC249A" w14:paraId="25019293" w14:textId="77777777" w:rsidTr="000605A3">
        <w:tc>
          <w:tcPr>
            <w:tcW w:w="360" w:type="dxa"/>
            <w:shd w:val="clear" w:color="auto" w:fill="auto"/>
          </w:tcPr>
          <w:p w14:paraId="25019290" w14:textId="77777777" w:rsidR="00097B3F" w:rsidRPr="00DC249A" w:rsidRDefault="00097B3F" w:rsidP="000605A3"/>
        </w:tc>
        <w:tc>
          <w:tcPr>
            <w:tcW w:w="6411" w:type="dxa"/>
            <w:shd w:val="clear" w:color="auto" w:fill="auto"/>
          </w:tcPr>
          <w:p w14:paraId="25019291" w14:textId="77777777" w:rsidR="00097B3F" w:rsidRPr="00DC249A" w:rsidRDefault="00097B3F" w:rsidP="000605A3">
            <w:r w:rsidRPr="00DC249A">
              <w:t>Water</w:t>
            </w:r>
          </w:p>
        </w:tc>
        <w:tc>
          <w:tcPr>
            <w:tcW w:w="841" w:type="dxa"/>
            <w:shd w:val="clear" w:color="auto" w:fill="auto"/>
          </w:tcPr>
          <w:p w14:paraId="25019292" w14:textId="77777777" w:rsidR="00097B3F" w:rsidRPr="00DC249A" w:rsidRDefault="009E2074" w:rsidP="009E2074">
            <w:pPr>
              <w:jc w:val="center"/>
            </w:pPr>
            <w:r>
              <w:t>+</w:t>
            </w:r>
          </w:p>
        </w:tc>
      </w:tr>
      <w:tr w:rsidR="00097B3F" w:rsidRPr="00DC249A" w14:paraId="25019297" w14:textId="77777777" w:rsidTr="000605A3">
        <w:tc>
          <w:tcPr>
            <w:tcW w:w="360" w:type="dxa"/>
            <w:shd w:val="clear" w:color="auto" w:fill="auto"/>
          </w:tcPr>
          <w:p w14:paraId="25019294" w14:textId="77777777" w:rsidR="00097B3F" w:rsidRPr="00DC249A" w:rsidRDefault="00097B3F" w:rsidP="000605A3"/>
        </w:tc>
        <w:tc>
          <w:tcPr>
            <w:tcW w:w="6411" w:type="dxa"/>
            <w:shd w:val="clear" w:color="auto" w:fill="auto"/>
          </w:tcPr>
          <w:p w14:paraId="25019295" w14:textId="77777777" w:rsidR="00097B3F" w:rsidRPr="00DC249A" w:rsidRDefault="00097B3F" w:rsidP="000605A3">
            <w:r w:rsidRPr="00DC249A">
              <w:t>Veiligheid en rechtsorde</w:t>
            </w:r>
          </w:p>
        </w:tc>
        <w:tc>
          <w:tcPr>
            <w:tcW w:w="841" w:type="dxa"/>
            <w:shd w:val="clear" w:color="auto" w:fill="auto"/>
          </w:tcPr>
          <w:p w14:paraId="25019296" w14:textId="77777777" w:rsidR="00097B3F" w:rsidRPr="00DC249A" w:rsidRDefault="00AB436C" w:rsidP="009E2074">
            <w:pPr>
              <w:jc w:val="center"/>
            </w:pPr>
            <w:r>
              <w:t>0</w:t>
            </w:r>
          </w:p>
        </w:tc>
      </w:tr>
      <w:tr w:rsidR="00097B3F" w:rsidRPr="00DC249A" w14:paraId="2501929B" w14:textId="77777777" w:rsidTr="000605A3">
        <w:tc>
          <w:tcPr>
            <w:tcW w:w="360" w:type="dxa"/>
            <w:shd w:val="clear" w:color="auto" w:fill="auto"/>
          </w:tcPr>
          <w:p w14:paraId="25019298" w14:textId="77777777" w:rsidR="00097B3F" w:rsidRPr="00DC249A" w:rsidRDefault="00097B3F" w:rsidP="000605A3"/>
        </w:tc>
        <w:tc>
          <w:tcPr>
            <w:tcW w:w="6411" w:type="dxa"/>
            <w:shd w:val="clear" w:color="auto" w:fill="auto"/>
          </w:tcPr>
          <w:p w14:paraId="25019299" w14:textId="77777777" w:rsidR="00097B3F" w:rsidRPr="00DC249A" w:rsidRDefault="00097B3F" w:rsidP="000605A3">
            <w:r w:rsidRPr="00DC249A">
              <w:t>SRGR, inclusief hiv/aids</w:t>
            </w:r>
          </w:p>
        </w:tc>
        <w:tc>
          <w:tcPr>
            <w:tcW w:w="841" w:type="dxa"/>
            <w:shd w:val="clear" w:color="auto" w:fill="auto"/>
          </w:tcPr>
          <w:p w14:paraId="2501929A" w14:textId="77777777" w:rsidR="00097B3F" w:rsidRPr="00DC249A" w:rsidRDefault="009E2074" w:rsidP="009E2074">
            <w:pPr>
              <w:jc w:val="center"/>
            </w:pPr>
            <w:r>
              <w:t>-</w:t>
            </w:r>
          </w:p>
        </w:tc>
      </w:tr>
      <w:tr w:rsidR="00097B3F" w:rsidRPr="00DC249A" w14:paraId="2501929F" w14:textId="77777777" w:rsidTr="000605A3">
        <w:tc>
          <w:tcPr>
            <w:tcW w:w="360" w:type="dxa"/>
            <w:shd w:val="clear" w:color="auto" w:fill="auto"/>
          </w:tcPr>
          <w:p w14:paraId="2501929C" w14:textId="77777777" w:rsidR="00097B3F" w:rsidRPr="00DC249A" w:rsidRDefault="00097B3F" w:rsidP="000605A3"/>
        </w:tc>
        <w:tc>
          <w:tcPr>
            <w:tcW w:w="6411" w:type="dxa"/>
            <w:shd w:val="clear" w:color="auto" w:fill="auto"/>
          </w:tcPr>
          <w:p w14:paraId="2501929D" w14:textId="77777777" w:rsidR="00097B3F" w:rsidRPr="00DC249A" w:rsidRDefault="00097B3F" w:rsidP="000605A3">
            <w:r w:rsidRPr="00DC249A">
              <w:t>Gendergelijkheid</w:t>
            </w:r>
          </w:p>
        </w:tc>
        <w:tc>
          <w:tcPr>
            <w:tcW w:w="841" w:type="dxa"/>
            <w:shd w:val="clear" w:color="auto" w:fill="auto"/>
          </w:tcPr>
          <w:p w14:paraId="2501929E" w14:textId="77777777" w:rsidR="00097B3F" w:rsidRPr="00DC249A" w:rsidRDefault="009E2074" w:rsidP="009E2074">
            <w:pPr>
              <w:jc w:val="center"/>
            </w:pPr>
            <w:r>
              <w:t>0</w:t>
            </w:r>
          </w:p>
        </w:tc>
      </w:tr>
      <w:tr w:rsidR="00097B3F" w:rsidRPr="00DC249A" w14:paraId="250192A3" w14:textId="77777777" w:rsidTr="000605A3">
        <w:tc>
          <w:tcPr>
            <w:tcW w:w="360" w:type="dxa"/>
            <w:shd w:val="clear" w:color="auto" w:fill="auto"/>
          </w:tcPr>
          <w:p w14:paraId="250192A0" w14:textId="77777777" w:rsidR="00097B3F" w:rsidRPr="00DC249A" w:rsidRDefault="00097B3F" w:rsidP="000605A3"/>
        </w:tc>
        <w:tc>
          <w:tcPr>
            <w:tcW w:w="6411" w:type="dxa"/>
            <w:shd w:val="clear" w:color="auto" w:fill="auto"/>
          </w:tcPr>
          <w:p w14:paraId="250192A1" w14:textId="77777777" w:rsidR="00097B3F" w:rsidRPr="00DC249A" w:rsidRDefault="00097B3F" w:rsidP="000605A3">
            <w:r w:rsidRPr="00DC249A">
              <w:t>Klimaat</w:t>
            </w:r>
          </w:p>
        </w:tc>
        <w:tc>
          <w:tcPr>
            <w:tcW w:w="841" w:type="dxa"/>
            <w:shd w:val="clear" w:color="auto" w:fill="auto"/>
          </w:tcPr>
          <w:p w14:paraId="250192A2" w14:textId="77777777" w:rsidR="00097B3F" w:rsidRPr="00DC249A" w:rsidRDefault="009E2074" w:rsidP="009E2074">
            <w:pPr>
              <w:jc w:val="center"/>
            </w:pPr>
            <w:r>
              <w:t>+</w:t>
            </w:r>
          </w:p>
        </w:tc>
      </w:tr>
      <w:tr w:rsidR="00097B3F" w:rsidRPr="00DC249A" w14:paraId="250192A7" w14:textId="77777777" w:rsidTr="000605A3">
        <w:tc>
          <w:tcPr>
            <w:tcW w:w="360" w:type="dxa"/>
            <w:shd w:val="clear" w:color="auto" w:fill="auto"/>
          </w:tcPr>
          <w:p w14:paraId="250192A4" w14:textId="77777777" w:rsidR="00097B3F" w:rsidRPr="00DC249A" w:rsidRDefault="00097B3F" w:rsidP="000605A3"/>
        </w:tc>
        <w:tc>
          <w:tcPr>
            <w:tcW w:w="6411" w:type="dxa"/>
            <w:shd w:val="clear" w:color="auto" w:fill="auto"/>
          </w:tcPr>
          <w:p w14:paraId="250192A5" w14:textId="77777777" w:rsidR="00097B3F" w:rsidRPr="00DC249A" w:rsidRDefault="00097B3F" w:rsidP="000605A3">
            <w:pPr>
              <w:rPr>
                <w:lang w:val="en-GB"/>
              </w:rPr>
            </w:pPr>
            <w:r w:rsidRPr="00DC249A">
              <w:rPr>
                <w:i/>
                <w:lang w:val="en-GB"/>
              </w:rPr>
              <w:t>Private Sector Development</w:t>
            </w:r>
            <w:r w:rsidRPr="00DC249A">
              <w:rPr>
                <w:lang w:val="en-GB"/>
              </w:rPr>
              <w:t xml:space="preserve"> (inclusief IMVO)</w:t>
            </w:r>
          </w:p>
        </w:tc>
        <w:tc>
          <w:tcPr>
            <w:tcW w:w="841" w:type="dxa"/>
            <w:shd w:val="clear" w:color="auto" w:fill="auto"/>
          </w:tcPr>
          <w:p w14:paraId="250192A6" w14:textId="77777777" w:rsidR="00097B3F" w:rsidRPr="00DC249A" w:rsidRDefault="009E2074" w:rsidP="009E2074">
            <w:pPr>
              <w:jc w:val="center"/>
              <w:rPr>
                <w:lang w:val="en-GB"/>
              </w:rPr>
            </w:pPr>
            <w:r>
              <w:rPr>
                <w:lang w:val="en-GB"/>
              </w:rPr>
              <w:t>+</w:t>
            </w:r>
          </w:p>
        </w:tc>
      </w:tr>
      <w:tr w:rsidR="00097B3F" w:rsidRPr="00DC249A" w14:paraId="250192AB" w14:textId="77777777" w:rsidTr="000605A3">
        <w:tc>
          <w:tcPr>
            <w:tcW w:w="360" w:type="dxa"/>
            <w:shd w:val="clear" w:color="auto" w:fill="auto"/>
          </w:tcPr>
          <w:p w14:paraId="250192A8" w14:textId="77777777" w:rsidR="00097B3F" w:rsidRPr="00DC249A" w:rsidRDefault="00097B3F" w:rsidP="000605A3">
            <w:pPr>
              <w:rPr>
                <w:lang w:val="en-GB"/>
              </w:rPr>
            </w:pPr>
          </w:p>
        </w:tc>
        <w:tc>
          <w:tcPr>
            <w:tcW w:w="6411" w:type="dxa"/>
            <w:shd w:val="clear" w:color="auto" w:fill="auto"/>
          </w:tcPr>
          <w:p w14:paraId="250192A9" w14:textId="77777777" w:rsidR="00097B3F" w:rsidRPr="00DC249A" w:rsidRDefault="00097B3F" w:rsidP="000605A3">
            <w:r w:rsidRPr="00DC249A">
              <w:t>Humanitaire hulp</w:t>
            </w:r>
          </w:p>
        </w:tc>
        <w:tc>
          <w:tcPr>
            <w:tcW w:w="841" w:type="dxa"/>
            <w:shd w:val="clear" w:color="auto" w:fill="auto"/>
          </w:tcPr>
          <w:p w14:paraId="250192AA" w14:textId="77777777" w:rsidR="00097B3F" w:rsidRPr="00DC249A" w:rsidRDefault="009E2074" w:rsidP="009E2074">
            <w:pPr>
              <w:jc w:val="center"/>
            </w:pPr>
            <w:r>
              <w:t>+</w:t>
            </w:r>
          </w:p>
        </w:tc>
      </w:tr>
    </w:tbl>
    <w:p w14:paraId="250192B2" w14:textId="77777777" w:rsidR="00097B3F" w:rsidRPr="00DC249A" w:rsidRDefault="00097B3F" w:rsidP="00097B3F"/>
    <w:p w14:paraId="250192B3" w14:textId="77777777" w:rsidR="00746658" w:rsidRPr="00DC249A" w:rsidRDefault="00746658" w:rsidP="00097B3F"/>
    <w:sectPr w:rsidR="00746658" w:rsidRPr="00DC249A" w:rsidSect="00EE1B9E">
      <w:type w:val="continuous"/>
      <w:pgSz w:w="11906" w:h="16838" w:code="9"/>
      <w:pgMar w:top="2518" w:right="958" w:bottom="1077" w:left="3221" w:header="19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192B8" w14:textId="77777777" w:rsidR="00E73754" w:rsidRDefault="00E73754">
      <w:r>
        <w:separator/>
      </w:r>
    </w:p>
    <w:p w14:paraId="250192B9" w14:textId="77777777" w:rsidR="00E73754" w:rsidRDefault="00E73754"/>
    <w:p w14:paraId="250192BA" w14:textId="77777777" w:rsidR="00E73754" w:rsidRDefault="00E73754"/>
  </w:endnote>
  <w:endnote w:type="continuationSeparator" w:id="0">
    <w:p w14:paraId="250192BB" w14:textId="77777777" w:rsidR="00E73754" w:rsidRDefault="00E73754">
      <w:r>
        <w:continuationSeparator/>
      </w:r>
    </w:p>
    <w:p w14:paraId="250192BC" w14:textId="77777777" w:rsidR="00E73754" w:rsidRDefault="00E73754"/>
    <w:p w14:paraId="250192BD" w14:textId="77777777" w:rsidR="00E73754" w:rsidRDefault="00E73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652" w:type="dxa"/>
      <w:tblLayout w:type="fixed"/>
      <w:tblCellMar>
        <w:left w:w="0" w:type="dxa"/>
        <w:right w:w="0" w:type="dxa"/>
      </w:tblCellMar>
      <w:tblLook w:val="0000" w:firstRow="0" w:lastRow="0" w:firstColumn="0" w:lastColumn="0" w:noHBand="0" w:noVBand="0"/>
    </w:tblPr>
    <w:tblGrid>
      <w:gridCol w:w="6179"/>
      <w:gridCol w:w="1374"/>
      <w:gridCol w:w="99"/>
    </w:tblGrid>
    <w:tr w:rsidR="00E73754" w:rsidRPr="00785F18" w14:paraId="250192C6" w14:textId="77777777" w:rsidTr="003B518B">
      <w:trPr>
        <w:trHeight w:hRule="exact" w:val="240"/>
      </w:trPr>
      <w:tc>
        <w:tcPr>
          <w:tcW w:w="7752" w:type="dxa"/>
          <w:gridSpan w:val="3"/>
          <w:shd w:val="clear" w:color="auto" w:fill="auto"/>
        </w:tcPr>
        <w:p w14:paraId="250192C5" w14:textId="77777777" w:rsidR="00E73754" w:rsidRPr="00785F18" w:rsidRDefault="00E73754">
          <w:pPr>
            <w:spacing w:line="240" w:lineRule="auto"/>
          </w:pPr>
        </w:p>
      </w:tc>
    </w:tr>
    <w:tr w:rsidR="00E73754" w:rsidRPr="00785F18" w14:paraId="250192C9" w14:textId="77777777" w:rsidTr="003B518B">
      <w:trPr>
        <w:gridAfter w:val="1"/>
        <w:wAfter w:w="99" w:type="dxa"/>
        <w:trHeight w:hRule="exact" w:val="240"/>
      </w:trPr>
      <w:tc>
        <w:tcPr>
          <w:tcW w:w="6260" w:type="dxa"/>
          <w:shd w:val="clear" w:color="auto" w:fill="auto"/>
        </w:tcPr>
        <w:p w14:paraId="250192C7" w14:textId="77777777" w:rsidR="00E73754" w:rsidRPr="00785F18" w:rsidRDefault="0099091E" w:rsidP="003B518B">
          <w:pPr>
            <w:pStyle w:val="Huisstijl-Paginanummering"/>
            <w:rPr>
              <w:rStyle w:val="Huisstijl-Rubricering"/>
            </w:rPr>
          </w:pPr>
          <w:r>
            <w:fldChar w:fldCharType="begin"/>
          </w:r>
          <w:r>
            <w:instrText xml:space="preserve"> DOCPROPERTY  L_PAGE  \* MERGEFORMAT </w:instrText>
          </w:r>
          <w:r>
            <w:fldChar w:fldCharType="separate"/>
          </w:r>
          <w:r w:rsidR="00E73754">
            <w:t>Pagina</w:t>
          </w:r>
          <w:r>
            <w:fldChar w:fldCharType="end"/>
          </w:r>
          <w:r w:rsidR="00E73754" w:rsidRPr="00785F18">
            <w:t xml:space="preserve"> </w:t>
          </w:r>
          <w:r w:rsidR="00E73754">
            <w:fldChar w:fldCharType="begin"/>
          </w:r>
          <w:r w:rsidR="00E73754">
            <w:instrText xml:space="preserve"> PAGE   \* MERGEFORMAT </w:instrText>
          </w:r>
          <w:r w:rsidR="00E73754">
            <w:fldChar w:fldCharType="separate"/>
          </w:r>
          <w:r w:rsidR="00E73754">
            <w:t>16</w:t>
          </w:r>
          <w:r w:rsidR="00E73754">
            <w:fldChar w:fldCharType="end"/>
          </w:r>
          <w:r w:rsidR="00E73754" w:rsidRPr="00785F18">
            <w:t xml:space="preserve"> </w:t>
          </w:r>
          <w:r>
            <w:fldChar w:fldCharType="begin"/>
          </w:r>
          <w:r>
            <w:instrText xml:space="preserve"> DOCPROPERTY  L_PAGEOF  \* MERGEFORMAT </w:instrText>
          </w:r>
          <w:r>
            <w:fldChar w:fldCharType="separate"/>
          </w:r>
          <w:r w:rsidR="00E73754">
            <w:t>van</w:t>
          </w:r>
          <w:r>
            <w:fldChar w:fldCharType="end"/>
          </w:r>
          <w:r w:rsidR="00E73754" w:rsidRPr="00785F18">
            <w:t xml:space="preserve"> </w:t>
          </w:r>
          <w:r>
            <w:fldChar w:fldCharType="begin"/>
          </w:r>
          <w:r>
            <w:instrText xml:space="preserve"> NUMPAGES   \* MERGEFORMAT </w:instrText>
          </w:r>
          <w:r>
            <w:fldChar w:fldCharType="separate"/>
          </w:r>
          <w:r w:rsidR="00E73754">
            <w:t>16</w:t>
          </w:r>
          <w:r>
            <w:fldChar w:fldCharType="end"/>
          </w:r>
        </w:p>
      </w:tc>
      <w:tc>
        <w:tcPr>
          <w:tcW w:w="1392" w:type="dxa"/>
        </w:tcPr>
        <w:p w14:paraId="250192C8" w14:textId="77777777" w:rsidR="00E73754" w:rsidRPr="00785F18" w:rsidRDefault="00E73754" w:rsidP="003B518B">
          <w:pPr>
            <w:pStyle w:val="Huisstijl-Paginanummering"/>
            <w:jc w:val="right"/>
          </w:pPr>
        </w:p>
      </w:tc>
    </w:tr>
  </w:tbl>
  <w:p w14:paraId="250192CA" w14:textId="77777777" w:rsidR="00E73754" w:rsidRPr="00785F18" w:rsidRDefault="00E73754" w:rsidP="003B518B">
    <w:pPr>
      <w:spacing w:line="240"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E73754" w:rsidRPr="00785F18" w14:paraId="250192CD" w14:textId="77777777" w:rsidTr="003B518B">
      <w:trPr>
        <w:trHeight w:hRule="exact" w:val="240"/>
      </w:trPr>
      <w:tc>
        <w:tcPr>
          <w:tcW w:w="6260" w:type="dxa"/>
          <w:shd w:val="clear" w:color="auto" w:fill="auto"/>
        </w:tcPr>
        <w:p w14:paraId="250192CB" w14:textId="77777777" w:rsidR="00E73754" w:rsidRPr="00785F18" w:rsidRDefault="00E73754" w:rsidP="003B518B">
          <w:pPr>
            <w:rPr>
              <w:rStyle w:val="Huisstijl-Rubricering"/>
            </w:rPr>
          </w:pPr>
        </w:p>
      </w:tc>
      <w:tc>
        <w:tcPr>
          <w:tcW w:w="1392" w:type="dxa"/>
        </w:tcPr>
        <w:p w14:paraId="250192CC" w14:textId="77777777" w:rsidR="00E73754" w:rsidRPr="00785F18" w:rsidRDefault="0099091E" w:rsidP="003B518B">
          <w:pPr>
            <w:pStyle w:val="Huisstijl-Paginanummering"/>
            <w:jc w:val="right"/>
          </w:pPr>
          <w:r>
            <w:fldChar w:fldCharType="begin"/>
          </w:r>
          <w:r>
            <w:instrText xml:space="preserve"> DOCPROPERTY  L_PAGE  \* MERGEFORMAT </w:instrText>
          </w:r>
          <w:r>
            <w:fldChar w:fldCharType="separate"/>
          </w:r>
          <w:r w:rsidR="00E73754">
            <w:t>Pagina</w:t>
          </w:r>
          <w:r>
            <w:fldChar w:fldCharType="end"/>
          </w:r>
          <w:r w:rsidR="00E73754" w:rsidRPr="00785F18">
            <w:t xml:space="preserve"> </w:t>
          </w:r>
          <w:r w:rsidR="00E73754" w:rsidRPr="00A908F9">
            <w:rPr>
              <w:rStyle w:val="PageNumber"/>
              <w:noProof w:val="0"/>
              <w:szCs w:val="13"/>
            </w:rPr>
            <w:fldChar w:fldCharType="begin"/>
          </w:r>
          <w:r w:rsidR="00E73754" w:rsidRPr="00A908F9">
            <w:rPr>
              <w:rStyle w:val="PageNumber"/>
              <w:noProof w:val="0"/>
              <w:szCs w:val="13"/>
            </w:rPr>
            <w:instrText xml:space="preserve"> PAGE </w:instrText>
          </w:r>
          <w:r w:rsidR="00E73754" w:rsidRPr="00A908F9">
            <w:rPr>
              <w:rStyle w:val="PageNumber"/>
              <w:noProof w:val="0"/>
              <w:szCs w:val="13"/>
            </w:rPr>
            <w:fldChar w:fldCharType="separate"/>
          </w:r>
          <w:r>
            <w:rPr>
              <w:rStyle w:val="PageNumber"/>
              <w:szCs w:val="13"/>
            </w:rPr>
            <w:t>2</w:t>
          </w:r>
          <w:r w:rsidR="00E73754" w:rsidRPr="00A908F9">
            <w:rPr>
              <w:rStyle w:val="PageNumber"/>
              <w:noProof w:val="0"/>
              <w:szCs w:val="13"/>
            </w:rPr>
            <w:fldChar w:fldCharType="end"/>
          </w:r>
          <w:r w:rsidR="00E73754" w:rsidRPr="00785F18">
            <w:t xml:space="preserve"> </w:t>
          </w:r>
          <w:r>
            <w:fldChar w:fldCharType="begin"/>
          </w:r>
          <w:r>
            <w:instrText xml:space="preserve"> DOCPROPERTY  L_PAGEOF  \* MERGEFORMAT </w:instrText>
          </w:r>
          <w:r>
            <w:fldChar w:fldCharType="separate"/>
          </w:r>
          <w:r w:rsidR="00E73754">
            <w:t>van</w:t>
          </w:r>
          <w:r>
            <w:fldChar w:fldCharType="end"/>
          </w:r>
          <w:r w:rsidR="00E73754" w:rsidRPr="00785F18">
            <w:t xml:space="preserve"> </w:t>
          </w:r>
          <w:r>
            <w:fldChar w:fldCharType="begin"/>
          </w:r>
          <w:r>
            <w:instrText xml:space="preserve"> NUMPAGES   \* MERGEFORMAT </w:instrText>
          </w:r>
          <w:r>
            <w:fldChar w:fldCharType="separate"/>
          </w:r>
          <w:r>
            <w:t>3</w:t>
          </w:r>
          <w:r>
            <w:fldChar w:fldCharType="end"/>
          </w:r>
        </w:p>
      </w:tc>
    </w:tr>
  </w:tbl>
  <w:p w14:paraId="250192CE" w14:textId="77777777" w:rsidR="00E73754" w:rsidRPr="00785F18" w:rsidRDefault="00E73754" w:rsidP="003B518B">
    <w:pPr>
      <w:spacing w:line="240" w:lineRule="auto"/>
      <w:rPr>
        <w:sz w:val="2"/>
        <w:szCs w:val="2"/>
      </w:rPr>
    </w:pPr>
  </w:p>
  <w:p w14:paraId="250192CF" w14:textId="77777777" w:rsidR="00E73754" w:rsidRPr="00785F18" w:rsidRDefault="00E73754" w:rsidP="003B518B">
    <w:pP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260"/>
      <w:gridCol w:w="1392"/>
    </w:tblGrid>
    <w:tr w:rsidR="00E73754" w:rsidRPr="00785F18" w14:paraId="250192E1" w14:textId="77777777" w:rsidTr="00B06D4B">
      <w:trPr>
        <w:trHeight w:hRule="exact" w:val="240"/>
      </w:trPr>
      <w:tc>
        <w:tcPr>
          <w:tcW w:w="6260" w:type="dxa"/>
          <w:shd w:val="clear" w:color="auto" w:fill="auto"/>
        </w:tcPr>
        <w:p w14:paraId="250192DF" w14:textId="77777777" w:rsidR="00E73754" w:rsidRPr="00785F18" w:rsidRDefault="00E73754" w:rsidP="00B06D4B">
          <w:pPr>
            <w:rPr>
              <w:rStyle w:val="Huisstijl-Rubricering"/>
            </w:rPr>
          </w:pPr>
        </w:p>
      </w:tc>
      <w:tc>
        <w:tcPr>
          <w:tcW w:w="1392" w:type="dxa"/>
        </w:tcPr>
        <w:p w14:paraId="250192E0" w14:textId="77777777" w:rsidR="00E73754" w:rsidRPr="00785F18" w:rsidRDefault="0099091E" w:rsidP="00B06D4B">
          <w:pPr>
            <w:pStyle w:val="Huisstijl-Paginanummering"/>
            <w:jc w:val="right"/>
          </w:pPr>
          <w:r>
            <w:fldChar w:fldCharType="begin"/>
          </w:r>
          <w:r>
            <w:instrText xml:space="preserve"> DOCPROPERTY  L_PAGE  \* MERGEFORMAT </w:instrText>
          </w:r>
          <w:r>
            <w:fldChar w:fldCharType="separate"/>
          </w:r>
          <w:r w:rsidR="00E73754">
            <w:t>Pagina</w:t>
          </w:r>
          <w:r>
            <w:fldChar w:fldCharType="end"/>
          </w:r>
          <w:r w:rsidR="00E73754" w:rsidRPr="00785F18">
            <w:t xml:space="preserve"> </w:t>
          </w:r>
          <w:r w:rsidR="00E73754" w:rsidRPr="00A908F9">
            <w:rPr>
              <w:rStyle w:val="PageNumber"/>
              <w:noProof w:val="0"/>
              <w:szCs w:val="13"/>
            </w:rPr>
            <w:fldChar w:fldCharType="begin"/>
          </w:r>
          <w:r w:rsidR="00E73754" w:rsidRPr="00A908F9">
            <w:rPr>
              <w:rStyle w:val="PageNumber"/>
              <w:noProof w:val="0"/>
              <w:szCs w:val="13"/>
            </w:rPr>
            <w:instrText xml:space="preserve"> PAGE </w:instrText>
          </w:r>
          <w:r w:rsidR="00E73754" w:rsidRPr="00A908F9">
            <w:rPr>
              <w:rStyle w:val="PageNumber"/>
              <w:noProof w:val="0"/>
              <w:szCs w:val="13"/>
            </w:rPr>
            <w:fldChar w:fldCharType="separate"/>
          </w:r>
          <w:r>
            <w:rPr>
              <w:rStyle w:val="PageNumber"/>
              <w:szCs w:val="13"/>
            </w:rPr>
            <w:t>1</w:t>
          </w:r>
          <w:r w:rsidR="00E73754" w:rsidRPr="00A908F9">
            <w:rPr>
              <w:rStyle w:val="PageNumber"/>
              <w:noProof w:val="0"/>
              <w:szCs w:val="13"/>
            </w:rPr>
            <w:fldChar w:fldCharType="end"/>
          </w:r>
          <w:r w:rsidR="00E73754" w:rsidRPr="00785F18">
            <w:t xml:space="preserve"> </w:t>
          </w:r>
          <w:r>
            <w:fldChar w:fldCharType="begin"/>
          </w:r>
          <w:r>
            <w:instrText xml:space="preserve"> DOCPROPERTY  L_PAGEOF  \* MERGEFORMAT </w:instrText>
          </w:r>
          <w:r>
            <w:fldChar w:fldCharType="separate"/>
          </w:r>
          <w:r w:rsidR="00E73754">
            <w:t>van</w:t>
          </w:r>
          <w:r>
            <w:fldChar w:fldCharType="end"/>
          </w:r>
          <w:r w:rsidR="00E73754" w:rsidRPr="00785F18">
            <w:t xml:space="preserve"> </w:t>
          </w:r>
          <w:r>
            <w:fldChar w:fldCharType="begin"/>
          </w:r>
          <w:r>
            <w:instrText xml:space="preserve"> NUMPAGES   \* MERGEFORMAT </w:instrText>
          </w:r>
          <w:r>
            <w:fldChar w:fldCharType="separate"/>
          </w:r>
          <w:r>
            <w:t>3</w:t>
          </w:r>
          <w:r>
            <w:fldChar w:fldCharType="end"/>
          </w:r>
        </w:p>
      </w:tc>
    </w:tr>
  </w:tbl>
  <w:p w14:paraId="250192E2" w14:textId="77777777" w:rsidR="00E73754" w:rsidRPr="00785F18" w:rsidRDefault="00E73754" w:rsidP="00101F98">
    <w:pPr>
      <w:spacing w:line="240" w:lineRule="auto"/>
      <w:rPr>
        <w:sz w:val="2"/>
        <w:szCs w:val="2"/>
      </w:rPr>
    </w:pPr>
  </w:p>
  <w:p w14:paraId="250192E3" w14:textId="77777777" w:rsidR="00E73754" w:rsidRPr="00785F18" w:rsidRDefault="00E73754" w:rsidP="0039744C">
    <w:pP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192B4" w14:textId="77777777" w:rsidR="00E73754" w:rsidRPr="00B35331" w:rsidRDefault="00E73754" w:rsidP="00B35331">
      <w:pPr>
        <w:pStyle w:val="Footer"/>
      </w:pPr>
    </w:p>
  </w:footnote>
  <w:footnote w:type="continuationSeparator" w:id="0">
    <w:p w14:paraId="250192B5" w14:textId="77777777" w:rsidR="00E73754" w:rsidRDefault="00E73754">
      <w:r>
        <w:continuationSeparator/>
      </w:r>
    </w:p>
    <w:p w14:paraId="250192B6" w14:textId="77777777" w:rsidR="00E73754" w:rsidRDefault="00E73754"/>
    <w:p w14:paraId="250192B7" w14:textId="77777777" w:rsidR="00E73754" w:rsidRDefault="00E73754"/>
  </w:footnote>
  <w:footnote w:id="1">
    <w:p w14:paraId="250192EA" w14:textId="77777777" w:rsidR="00E73754" w:rsidRDefault="00E73754" w:rsidP="005150FC">
      <w:pPr>
        <w:pStyle w:val="FootnoteText"/>
      </w:pPr>
      <w:r>
        <w:rPr>
          <w:rStyle w:val="FootnoteReference"/>
        </w:rPr>
        <w:footnoteRef/>
      </w:r>
      <w:r>
        <w:t xml:space="preserve"> </w:t>
      </w:r>
      <w:r>
        <w:tab/>
        <w:t xml:space="preserve">Binnen MOPAN evalueert Nederland samen met 18 gelijkgezinde landen het functioneren van VN organisaties en Internationale Financiële Instellingen. Vanaf 2015 worden, per keer, in een tweejaarlijkse cyclus, ongeveer 13 organisaties doorgelicht op organisatorisch functioneren en ontwikkelingseffectiviteit. </w:t>
      </w:r>
    </w:p>
  </w:footnote>
  <w:footnote w:id="2">
    <w:p w14:paraId="250192F2" w14:textId="77777777" w:rsidR="00E73754" w:rsidRPr="00E73754" w:rsidRDefault="00E73754" w:rsidP="00662278">
      <w:pPr>
        <w:spacing w:line="240" w:lineRule="auto"/>
        <w:rPr>
          <w:i/>
          <w:sz w:val="13"/>
          <w:szCs w:val="13"/>
          <w:lang w:val="en-US"/>
        </w:rPr>
      </w:pPr>
      <w:r w:rsidRPr="00B23249">
        <w:rPr>
          <w:rStyle w:val="FootnoteReference"/>
          <w:sz w:val="13"/>
          <w:szCs w:val="13"/>
        </w:rPr>
        <w:footnoteRef/>
      </w:r>
      <w:r w:rsidRPr="00B23249">
        <w:rPr>
          <w:sz w:val="13"/>
          <w:szCs w:val="13"/>
          <w:lang w:val="en-US"/>
        </w:rPr>
        <w:t xml:space="preserve"> De FAO</w:t>
      </w:r>
      <w:r w:rsidRPr="00662278">
        <w:rPr>
          <w:sz w:val="13"/>
          <w:szCs w:val="13"/>
          <w:lang w:val="en-US"/>
        </w:rPr>
        <w:t xml:space="preserve"> gaf de volgende kanttekening bij deze </w:t>
      </w:r>
      <w:r>
        <w:rPr>
          <w:sz w:val="13"/>
          <w:szCs w:val="13"/>
          <w:lang w:val="en-US"/>
        </w:rPr>
        <w:t xml:space="preserve">cijfers mee: </w:t>
      </w:r>
      <w:r w:rsidRPr="00E73754">
        <w:rPr>
          <w:i/>
          <w:sz w:val="13"/>
          <w:szCs w:val="13"/>
          <w:lang w:val="en-US"/>
        </w:rPr>
        <w:t xml:space="preserve">“According to FAO official methodology determined by the Governing Bodies, voluntary contributions are counted at the moment the programme/project is declared operationally active. Current methodology also captures contributions to multidonor projects </w:t>
      </w:r>
      <w:proofErr w:type="gramStart"/>
      <w:r w:rsidRPr="00E73754">
        <w:rPr>
          <w:i/>
          <w:sz w:val="13"/>
          <w:szCs w:val="13"/>
          <w:lang w:val="en-US"/>
        </w:rPr>
        <w:t>separately,</w:t>
      </w:r>
      <w:proofErr w:type="gramEnd"/>
      <w:r w:rsidRPr="00E73754">
        <w:rPr>
          <w:i/>
          <w:sz w:val="13"/>
          <w:szCs w:val="13"/>
          <w:lang w:val="en-US"/>
        </w:rPr>
        <w:t xml:space="preserve"> therefore annual totals may differ from those tracked by the contributing partner.” </w:t>
      </w:r>
    </w:p>
    <w:p w14:paraId="250192F3" w14:textId="77777777" w:rsidR="00E73754" w:rsidRPr="00662278" w:rsidRDefault="00E73754">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92BE" w14:textId="77777777" w:rsidR="00E73754" w:rsidRPr="00785F18" w:rsidRDefault="00E73754">
    <w:pPr>
      <w:pStyle w:val="Header"/>
    </w:pPr>
  </w:p>
  <w:p w14:paraId="250192BF" w14:textId="77777777" w:rsidR="00E73754" w:rsidRPr="00785F18" w:rsidRDefault="00E73754"/>
  <w:p w14:paraId="250192C0" w14:textId="77777777" w:rsidR="00E73754" w:rsidRPr="00785F18" w:rsidRDefault="00E737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92C1" w14:textId="77777777" w:rsidR="00E73754" w:rsidRPr="00785F18" w:rsidRDefault="00E73754" w:rsidP="000C0FB6">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E73754" w:rsidRPr="008517DE" w14:paraId="250192C3" w14:textId="77777777" w:rsidTr="002E14E1">
      <w:trPr>
        <w:trHeight w:val="400"/>
      </w:trPr>
      <w:tc>
        <w:tcPr>
          <w:tcW w:w="7520" w:type="dxa"/>
          <w:shd w:val="clear" w:color="auto" w:fill="auto"/>
        </w:tcPr>
        <w:p w14:paraId="250192C2" w14:textId="77777777" w:rsidR="00E73754" w:rsidRPr="008517DE" w:rsidRDefault="00E73754" w:rsidP="002E14E1">
          <w:pPr>
            <w:adjustRightInd w:val="0"/>
            <w:spacing w:line="180" w:lineRule="exact"/>
            <w:rPr>
              <w:sz w:val="13"/>
              <w:lang w:val="en-GB"/>
            </w:rPr>
          </w:pPr>
          <w:r>
            <w:rPr>
              <w:rStyle w:val="Huisstijl-Koptekst"/>
            </w:rPr>
            <w:fldChar w:fldCharType="begin"/>
          </w:r>
          <w:r>
            <w:rPr>
              <w:rStyle w:val="Huisstijl-Koptekst"/>
            </w:rPr>
            <w:instrText xml:space="preserve"> Titel </w:instrText>
          </w:r>
          <w:r>
            <w:rPr>
              <w:rStyle w:val="Huisstijl-Koptekst"/>
            </w:rPr>
            <w:fldChar w:fldCharType="separate"/>
          </w:r>
          <w:r w:rsidRPr="00B36546">
            <w:t>Scorecard</w:t>
          </w:r>
          <w:r>
            <w:rPr>
              <w:rStyle w:val="Huisstijl-Koptekst"/>
            </w:rPr>
            <w:fldChar w:fldCharType="end"/>
          </w:r>
          <w:r w:rsidRPr="008517DE">
            <w:rPr>
              <w:rStyle w:val="Huisstijl-Koptekst"/>
              <w:lang w:val="en-GB"/>
            </w:rPr>
            <w:t xml:space="preserve"> | </w:t>
          </w:r>
          <w:r>
            <w:rPr>
              <w:rStyle w:val="Huisstijl-Koptekst"/>
            </w:rPr>
            <w:t>FAO</w:t>
          </w:r>
        </w:p>
      </w:tc>
    </w:tr>
  </w:tbl>
  <w:p w14:paraId="250192C4" w14:textId="77777777" w:rsidR="00E73754" w:rsidRPr="008517DE" w:rsidRDefault="00E73754" w:rsidP="000D7BB7">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92D0" w14:textId="77777777" w:rsidR="00E73754" w:rsidRPr="00785F18" w:rsidRDefault="00E73754" w:rsidP="006E263E">
    <w:r>
      <w:rPr>
        <w:noProof/>
      </w:rPr>
      <mc:AlternateContent>
        <mc:Choice Requires="wps">
          <w:drawing>
            <wp:anchor distT="0" distB="0" distL="114300" distR="114300" simplePos="0" relativeHeight="251657728" behindDoc="0" locked="0" layoutInCell="1" allowOverlap="1" wp14:anchorId="250192E8" wp14:editId="250192E9">
              <wp:simplePos x="0" y="0"/>
              <wp:positionH relativeFrom="column">
                <wp:posOffset>1386840</wp:posOffset>
              </wp:positionH>
              <wp:positionV relativeFrom="page">
                <wp:posOffset>-87630</wp:posOffset>
              </wp:positionV>
              <wp:extent cx="4025900" cy="174625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E73754" w14:paraId="250192FD" w14:textId="77777777">
                            <w:trPr>
                              <w:trHeight w:val="2636"/>
                            </w:trPr>
                            <w:tc>
                              <w:tcPr>
                                <w:tcW w:w="737" w:type="dxa"/>
                                <w:shd w:val="clear" w:color="auto" w:fill="auto"/>
                              </w:tcPr>
                              <w:p w14:paraId="250192FB" w14:textId="77777777" w:rsidR="00E73754" w:rsidRDefault="00E73754" w:rsidP="006E263E">
                                <w:pPr>
                                  <w:spacing w:line="240" w:lineRule="auto"/>
                                </w:pPr>
                                <w:r>
                                  <w:rPr>
                                    <w:noProof/>
                                  </w:rPr>
                                  <w:drawing>
                                    <wp:inline distT="0" distB="0" distL="0" distR="0" wp14:anchorId="250192FF" wp14:editId="25019300">
                                      <wp:extent cx="466725" cy="1581150"/>
                                      <wp:effectExtent l="19050" t="0" r="9525" b="0"/>
                                      <wp:docPr id="1"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725" cy="1581150"/>
                                              </a:xfrm>
                                              <a:prstGeom prst="rect">
                                                <a:avLst/>
                                              </a:prstGeom>
                                              <a:noFill/>
                                              <a:ln w="9525">
                                                <a:noFill/>
                                                <a:miter lim="800000"/>
                                                <a:headEnd/>
                                                <a:tailEnd/>
                                              </a:ln>
                                            </pic:spPr>
                                          </pic:pic>
                                        </a:graphicData>
                                      </a:graphic>
                                    </wp:inline>
                                  </w:drawing>
                                </w:r>
                              </w:p>
                            </w:tc>
                            <w:tc>
                              <w:tcPr>
                                <w:tcW w:w="5383" w:type="dxa"/>
                                <w:shd w:val="clear" w:color="auto" w:fill="auto"/>
                              </w:tcPr>
                              <w:p w14:paraId="250192FC" w14:textId="77777777" w:rsidR="00E73754" w:rsidRDefault="00E73754" w:rsidP="006E263E">
                                <w:pPr>
                                  <w:spacing w:line="240" w:lineRule="auto"/>
                                </w:pPr>
                                <w:r>
                                  <w:rPr>
                                    <w:noProof/>
                                  </w:rPr>
                                  <w:drawing>
                                    <wp:inline distT="0" distB="0" distL="0" distR="0" wp14:anchorId="25019301" wp14:editId="25019302">
                                      <wp:extent cx="2447925" cy="1657350"/>
                                      <wp:effectExtent l="19050" t="0" r="9525"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7925" cy="1657350"/>
                                              </a:xfrm>
                                              <a:prstGeom prst="rect">
                                                <a:avLst/>
                                              </a:prstGeom>
                                              <a:noFill/>
                                              <a:ln w="9525">
                                                <a:noFill/>
                                                <a:miter lim="800000"/>
                                                <a:headEnd/>
                                                <a:tailEnd/>
                                              </a:ln>
                                            </pic:spPr>
                                          </pic:pic>
                                        </a:graphicData>
                                      </a:graphic>
                                    </wp:inline>
                                  </w:drawing>
                                </w:r>
                              </w:p>
                            </w:tc>
                          </w:tr>
                        </w:tbl>
                        <w:p w14:paraId="250192FE" w14:textId="77777777" w:rsidR="00E73754" w:rsidRDefault="00E73754" w:rsidP="006E26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09.2pt;margin-top:-6.9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M6BtgIAALo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" filled="f" stroked="f">
              <v:textbox>
                <w:txbxContent>
                  <w:tbl>
                    <w:tblPr>
                      <w:tblW w:w="6120" w:type="dxa"/>
                      <w:tblLayout w:type="fixed"/>
                      <w:tblCellMar>
                        <w:left w:w="0" w:type="dxa"/>
                        <w:right w:w="0" w:type="dxa"/>
                      </w:tblCellMar>
                      <w:tblLook w:val="0000" w:firstRow="0" w:lastRow="0" w:firstColumn="0" w:lastColumn="0" w:noHBand="0" w:noVBand="0"/>
                    </w:tblPr>
                    <w:tblGrid>
                      <w:gridCol w:w="737"/>
                      <w:gridCol w:w="5383"/>
                    </w:tblGrid>
                    <w:tr w:rsidR="00E73754" w14:paraId="250192FD" w14:textId="77777777">
                      <w:trPr>
                        <w:trHeight w:val="2636"/>
                      </w:trPr>
                      <w:tc>
                        <w:tcPr>
                          <w:tcW w:w="737" w:type="dxa"/>
                          <w:shd w:val="clear" w:color="auto" w:fill="auto"/>
                        </w:tcPr>
                        <w:p w14:paraId="250192FB" w14:textId="77777777" w:rsidR="00E73754" w:rsidRDefault="00E73754" w:rsidP="006E263E">
                          <w:pPr>
                            <w:spacing w:line="240" w:lineRule="auto"/>
                          </w:pPr>
                          <w:r>
                            <w:rPr>
                              <w:noProof/>
                            </w:rPr>
                            <w:drawing>
                              <wp:inline distT="0" distB="0" distL="0" distR="0" wp14:anchorId="250192FF" wp14:editId="25019300">
                                <wp:extent cx="466725" cy="1581150"/>
                                <wp:effectExtent l="19050" t="0" r="9525" b="0"/>
                                <wp:docPr id="1" name="Afbeelding 1" descr="RO_Beeldmerk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_Beeldmerk_Zwart"/>
                                        <pic:cNvPicPr>
                                          <a:picLocks noChangeAspect="1" noChangeArrowheads="1"/>
                                        </pic:cNvPicPr>
                                      </pic:nvPicPr>
                                      <pic:blipFill>
                                        <a:blip r:embed="rId1"/>
                                        <a:srcRect/>
                                        <a:stretch>
                                          <a:fillRect/>
                                        </a:stretch>
                                      </pic:blipFill>
                                      <pic:spPr bwMode="auto">
                                        <a:xfrm>
                                          <a:off x="0" y="0"/>
                                          <a:ext cx="466725" cy="1581150"/>
                                        </a:xfrm>
                                        <a:prstGeom prst="rect">
                                          <a:avLst/>
                                        </a:prstGeom>
                                        <a:noFill/>
                                        <a:ln w="9525">
                                          <a:noFill/>
                                          <a:miter lim="800000"/>
                                          <a:headEnd/>
                                          <a:tailEnd/>
                                        </a:ln>
                                      </pic:spPr>
                                    </pic:pic>
                                  </a:graphicData>
                                </a:graphic>
                              </wp:inline>
                            </w:drawing>
                          </w:r>
                        </w:p>
                      </w:tc>
                      <w:tc>
                        <w:tcPr>
                          <w:tcW w:w="5383" w:type="dxa"/>
                          <w:shd w:val="clear" w:color="auto" w:fill="auto"/>
                        </w:tcPr>
                        <w:p w14:paraId="250192FC" w14:textId="77777777" w:rsidR="00E73754" w:rsidRDefault="00E73754" w:rsidP="006E263E">
                          <w:pPr>
                            <w:spacing w:line="240" w:lineRule="auto"/>
                          </w:pPr>
                          <w:r>
                            <w:rPr>
                              <w:noProof/>
                            </w:rPr>
                            <w:drawing>
                              <wp:inline distT="0" distB="0" distL="0" distR="0" wp14:anchorId="25019301" wp14:editId="25019302">
                                <wp:extent cx="2447925" cy="1657350"/>
                                <wp:effectExtent l="19050" t="0" r="9525" b="0"/>
                                <wp:docPr id="2" name="Afbeelding 2" descr="BZ_D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Z_Dutch"/>
                                        <pic:cNvPicPr>
                                          <a:picLocks noChangeAspect="1" noChangeArrowheads="1"/>
                                        </pic:cNvPicPr>
                                      </pic:nvPicPr>
                                      <pic:blipFill>
                                        <a:blip r:embed="rId2"/>
                                        <a:srcRect/>
                                        <a:stretch>
                                          <a:fillRect/>
                                        </a:stretch>
                                      </pic:blipFill>
                                      <pic:spPr bwMode="auto">
                                        <a:xfrm>
                                          <a:off x="0" y="0"/>
                                          <a:ext cx="2447925" cy="1657350"/>
                                        </a:xfrm>
                                        <a:prstGeom prst="rect">
                                          <a:avLst/>
                                        </a:prstGeom>
                                        <a:noFill/>
                                        <a:ln w="9525">
                                          <a:noFill/>
                                          <a:miter lim="800000"/>
                                          <a:headEnd/>
                                          <a:tailEnd/>
                                        </a:ln>
                                      </pic:spPr>
                                    </pic:pic>
                                  </a:graphicData>
                                </a:graphic>
                              </wp:inline>
                            </w:drawing>
                          </w:r>
                        </w:p>
                      </w:tc>
                    </w:tr>
                  </w:tbl>
                  <w:p w14:paraId="250192FE" w14:textId="77777777" w:rsidR="00E73754" w:rsidRDefault="00E73754" w:rsidP="006E263E"/>
                </w:txbxContent>
              </v:textbox>
              <w10:wrap anchory="page"/>
            </v:shape>
          </w:pict>
        </mc:Fallback>
      </mc:AlternateContent>
    </w:r>
  </w:p>
  <w:tbl>
    <w:tblPr>
      <w:tblW w:w="5640" w:type="dxa"/>
      <w:tblLayout w:type="fixed"/>
      <w:tblCellMar>
        <w:left w:w="0" w:type="dxa"/>
        <w:right w:w="0" w:type="dxa"/>
      </w:tblCellMar>
      <w:tblLook w:val="0000" w:firstRow="0" w:lastRow="0" w:firstColumn="0" w:lastColumn="0" w:noHBand="0" w:noVBand="0"/>
    </w:tblPr>
    <w:tblGrid>
      <w:gridCol w:w="5640"/>
    </w:tblGrid>
    <w:tr w:rsidR="00E73754" w:rsidRPr="00785F18" w14:paraId="250192D2" w14:textId="77777777" w:rsidTr="000A01F6">
      <w:trPr>
        <w:cantSplit/>
        <w:trHeight w:hRule="exact" w:val="3340"/>
      </w:trPr>
      <w:tc>
        <w:tcPr>
          <w:tcW w:w="5640" w:type="dxa"/>
          <w:shd w:val="clear" w:color="auto" w:fill="auto"/>
        </w:tcPr>
        <w:p w14:paraId="250192D1" w14:textId="77777777" w:rsidR="00E73754" w:rsidRPr="00785F18" w:rsidRDefault="00E73754" w:rsidP="00094B45">
          <w:pPr>
            <w:ind w:left="240" w:hanging="240"/>
          </w:pPr>
        </w:p>
      </w:tc>
    </w:tr>
    <w:tr w:rsidR="00E73754" w:rsidRPr="00B36546" w14:paraId="250192D7" w14:textId="77777777" w:rsidTr="007B0280">
      <w:trPr>
        <w:cantSplit/>
        <w:trHeight w:hRule="exact" w:val="1440"/>
      </w:trPr>
      <w:tc>
        <w:tcPr>
          <w:tcW w:w="5640" w:type="dxa"/>
          <w:shd w:val="clear" w:color="auto" w:fill="auto"/>
        </w:tcPr>
        <w:p w14:paraId="250192D3" w14:textId="77777777" w:rsidR="00E73754" w:rsidRPr="00785F18" w:rsidRDefault="00E73754" w:rsidP="000C0FB6">
          <w:pPr>
            <w:rPr>
              <w:rStyle w:val="Huisstijl-Rubricering"/>
              <w:smallCaps w:val="0"/>
            </w:rPr>
          </w:pPr>
        </w:p>
        <w:p w14:paraId="250192D4" w14:textId="77777777" w:rsidR="00E73754" w:rsidRPr="00785F18" w:rsidRDefault="00E73754" w:rsidP="000C0FB6">
          <w:pPr>
            <w:spacing w:line="180" w:lineRule="atLeast"/>
            <w:rPr>
              <w:rStyle w:val="Huisstijl-Rubricering"/>
              <w:smallCaps w:val="0"/>
            </w:rPr>
          </w:pPr>
        </w:p>
        <w:p w14:paraId="250192D5" w14:textId="77777777" w:rsidR="00E73754" w:rsidRPr="00B36546" w:rsidRDefault="00E73754" w:rsidP="00226FB3">
          <w:pPr>
            <w:pStyle w:val="Title"/>
            <w:rPr>
              <w:lang w:val="en-GB"/>
            </w:rPr>
          </w:pPr>
          <w:bookmarkStart w:id="5" w:name="titel"/>
          <w:r w:rsidRPr="00B36546">
            <w:t>Scorecard</w:t>
          </w:r>
          <w:bookmarkEnd w:id="5"/>
          <w:r>
            <w:t xml:space="preserve"> FAO</w:t>
          </w:r>
        </w:p>
        <w:p w14:paraId="250192D6" w14:textId="77777777" w:rsidR="00E73754" w:rsidRPr="00B36546" w:rsidRDefault="00E73754" w:rsidP="00B36546">
          <w:pPr>
            <w:tabs>
              <w:tab w:val="left" w:pos="3281"/>
            </w:tabs>
            <w:rPr>
              <w:lang w:val="en-GB"/>
            </w:rPr>
          </w:pPr>
          <w:r w:rsidRPr="00B36546">
            <w:rPr>
              <w:lang w:val="en-GB"/>
            </w:rPr>
            <w:tab/>
          </w:r>
        </w:p>
      </w:tc>
    </w:tr>
    <w:tr w:rsidR="00E73754" w:rsidRPr="00B36546" w14:paraId="250192D9" w14:textId="77777777" w:rsidTr="000A01F6">
      <w:trPr>
        <w:cantSplit/>
        <w:trHeight w:hRule="exact" w:val="240"/>
      </w:trPr>
      <w:tc>
        <w:tcPr>
          <w:tcW w:w="5640" w:type="dxa"/>
          <w:shd w:val="clear" w:color="auto" w:fill="auto"/>
        </w:tcPr>
        <w:p w14:paraId="250192D8" w14:textId="77777777" w:rsidR="00E73754" w:rsidRPr="00B36546" w:rsidRDefault="00E73754" w:rsidP="00B60860">
          <w:pPr>
            <w:rPr>
              <w:lang w:val="en-GB"/>
            </w:rPr>
          </w:pPr>
        </w:p>
      </w:tc>
    </w:tr>
    <w:tr w:rsidR="00E73754" w:rsidRPr="00B36546" w14:paraId="250192DB" w14:textId="77777777" w:rsidTr="000A01F6">
      <w:trPr>
        <w:cantSplit/>
        <w:trHeight w:hRule="exact" w:val="480"/>
      </w:trPr>
      <w:tc>
        <w:tcPr>
          <w:tcW w:w="5640" w:type="dxa"/>
          <w:shd w:val="clear" w:color="auto" w:fill="auto"/>
        </w:tcPr>
        <w:p w14:paraId="250192DA" w14:textId="77777777" w:rsidR="00E73754" w:rsidRPr="00B36546" w:rsidRDefault="00E73754" w:rsidP="00EF0ED5">
          <w:pPr>
            <w:rPr>
              <w:lang w:val="en-GB"/>
            </w:rPr>
          </w:pPr>
        </w:p>
      </w:tc>
    </w:tr>
  </w:tbl>
  <w:p w14:paraId="250192DC" w14:textId="2F000EE9" w:rsidR="00E73754" w:rsidRPr="00B36546" w:rsidRDefault="00E73754">
    <w:pPr>
      <w:rPr>
        <w:lang w:val="en-GB"/>
      </w:rPr>
    </w:pPr>
    <w:r>
      <w:rPr>
        <w:lang w:val="en-GB"/>
      </w:rPr>
      <w:t>Datum</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19 juni 2015</w:t>
    </w:r>
  </w:p>
  <w:p w14:paraId="250192DD" w14:textId="77777777" w:rsidR="00E73754" w:rsidRPr="00B36546" w:rsidRDefault="00E73754">
    <w:pPr>
      <w:rPr>
        <w:lang w:val="en-GB"/>
      </w:rPr>
    </w:pPr>
  </w:p>
  <w:p w14:paraId="250192DE" w14:textId="77777777" w:rsidR="00E73754" w:rsidRPr="00785F18" w:rsidRDefault="00E73754" w:rsidP="000602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92E4" w14:textId="77777777" w:rsidR="00E73754" w:rsidRPr="00785F18" w:rsidRDefault="00E73754" w:rsidP="00E51959">
    <w:pPr>
      <w:pStyle w:val="Header"/>
      <w:rPr>
        <w:rStyle w:val="Huisstijl-Koptekst"/>
        <w:sz w:val="18"/>
      </w:rPr>
    </w:pPr>
  </w:p>
  <w:tbl>
    <w:tblPr>
      <w:tblW w:w="7520" w:type="dxa"/>
      <w:tblLayout w:type="fixed"/>
      <w:tblCellMar>
        <w:left w:w="0" w:type="dxa"/>
        <w:right w:w="0" w:type="dxa"/>
      </w:tblCellMar>
      <w:tblLook w:val="0000" w:firstRow="0" w:lastRow="0" w:firstColumn="0" w:lastColumn="0" w:noHBand="0" w:noVBand="0"/>
    </w:tblPr>
    <w:tblGrid>
      <w:gridCol w:w="7520"/>
    </w:tblGrid>
    <w:tr w:rsidR="00E73754" w:rsidRPr="008517DE" w14:paraId="250192E6" w14:textId="77777777" w:rsidTr="00B06D4B">
      <w:trPr>
        <w:trHeight w:val="400"/>
      </w:trPr>
      <w:tc>
        <w:tcPr>
          <w:tcW w:w="7520" w:type="dxa"/>
          <w:shd w:val="clear" w:color="auto" w:fill="auto"/>
        </w:tcPr>
        <w:p w14:paraId="250192E5" w14:textId="77777777" w:rsidR="00E73754" w:rsidRPr="008517DE" w:rsidRDefault="0099091E" w:rsidP="00B06D4B">
          <w:pPr>
            <w:adjustRightInd w:val="0"/>
            <w:spacing w:line="180" w:lineRule="exact"/>
            <w:rPr>
              <w:sz w:val="13"/>
              <w:lang w:val="en-GB"/>
            </w:rPr>
          </w:pPr>
          <w:r>
            <w:fldChar w:fldCharType="begin"/>
          </w:r>
          <w:r>
            <w:instrText xml:space="preserve"> REF  titel  \* MERGEFORMAT </w:instrText>
          </w:r>
          <w:r>
            <w:fldChar w:fldCharType="separate"/>
          </w:r>
          <w:r w:rsidR="00E73754" w:rsidRPr="0051515E">
            <w:rPr>
              <w:rStyle w:val="Huisstijl-Koptekst"/>
              <w:sz w:val="18"/>
              <w:szCs w:val="18"/>
              <w:lang w:val="en-GB"/>
            </w:rPr>
            <w:t>Scorecard</w:t>
          </w:r>
          <w:r>
            <w:rPr>
              <w:rStyle w:val="Huisstijl-Koptekst"/>
              <w:sz w:val="18"/>
              <w:szCs w:val="18"/>
              <w:lang w:val="en-GB"/>
            </w:rPr>
            <w:fldChar w:fldCharType="end"/>
          </w:r>
          <w:r w:rsidR="00E73754" w:rsidRPr="007B163C">
            <w:rPr>
              <w:rStyle w:val="Huisstijl-Koptekst"/>
              <w:lang w:val="en-GB"/>
            </w:rPr>
            <w:t xml:space="preserve"> | </w:t>
          </w:r>
          <w:r w:rsidR="00E73754">
            <w:rPr>
              <w:rStyle w:val="Huisstijl-Koptekst"/>
              <w:lang w:val="en-GB"/>
            </w:rPr>
            <w:t>Organisatie</w:t>
          </w:r>
          <w:r w:rsidR="00E73754" w:rsidRPr="008517DE">
            <w:rPr>
              <w:sz w:val="13"/>
              <w:lang w:val="en-GB"/>
            </w:rPr>
            <w:t xml:space="preserve"> </w:t>
          </w:r>
        </w:p>
      </w:tc>
    </w:tr>
  </w:tbl>
  <w:p w14:paraId="250192E7" w14:textId="77777777" w:rsidR="00E73754" w:rsidRPr="008517DE" w:rsidRDefault="00E73754" w:rsidP="00E51959">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E521D6A"/>
    <w:lvl w:ilvl="0">
      <w:start w:val="1"/>
      <w:numFmt w:val="decimal"/>
      <w:pStyle w:val="ListNumber2"/>
      <w:lvlText w:val="%1"/>
      <w:lvlJc w:val="left"/>
      <w:pPr>
        <w:tabs>
          <w:tab w:val="num" w:pos="454"/>
        </w:tabs>
        <w:ind w:left="454" w:hanging="227"/>
      </w:pPr>
      <w:rPr>
        <w:rFonts w:hint="default"/>
        <w:color w:val="auto"/>
      </w:rPr>
    </w:lvl>
  </w:abstractNum>
  <w:abstractNum w:abstractNumId="1">
    <w:nsid w:val="03BB5F57"/>
    <w:multiLevelType w:val="multilevel"/>
    <w:tmpl w:val="5AEEDE88"/>
    <w:numStyleLink w:val="StyleBulleted"/>
  </w:abstractNum>
  <w:abstractNum w:abstractNumId="2">
    <w:nsid w:val="060B092F"/>
    <w:multiLevelType w:val="multilevel"/>
    <w:tmpl w:val="C6A2B8B4"/>
    <w:styleLink w:val="StyleNumbered"/>
    <w:lvl w:ilvl="0">
      <w:start w:val="1"/>
      <w:numFmt w:val="decimal"/>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bullet"/>
      <w:lvlText w:val="•"/>
      <w:lvlJc w:val="left"/>
      <w:pPr>
        <w:tabs>
          <w:tab w:val="num" w:pos="227"/>
        </w:tabs>
        <w:ind w:left="680" w:hanging="226"/>
      </w:pPr>
      <w:rPr>
        <w:rFonts w:ascii="Verdana" w:hAnsi="Verdana" w:hint="default"/>
        <w:color w:val="auto"/>
      </w:rPr>
    </w:lvl>
    <w:lvl w:ilvl="3">
      <w:start w:val="1"/>
      <w:numFmt w:val="bullet"/>
      <w:lvlText w:val="-"/>
      <w:lvlJc w:val="left"/>
      <w:pPr>
        <w:tabs>
          <w:tab w:val="num" w:pos="227"/>
        </w:tabs>
        <w:ind w:left="907" w:hanging="227"/>
      </w:pPr>
      <w:rPr>
        <w:rFonts w:ascii="Verdana" w:hAnsi="Verdana" w:hint="default"/>
        <w:color w:val="auto"/>
      </w:rPr>
    </w:lvl>
    <w:lvl w:ilvl="4">
      <w:start w:val="1"/>
      <w:numFmt w:val="bullet"/>
      <w:lvlText w:val="•"/>
      <w:lvlJc w:val="left"/>
      <w:pPr>
        <w:tabs>
          <w:tab w:val="num" w:pos="227"/>
        </w:tabs>
        <w:ind w:left="1134" w:hanging="227"/>
      </w:pPr>
      <w:rPr>
        <w:rFonts w:ascii="Verdana" w:hAnsi="Verdana" w:hint="default"/>
        <w:color w:val="auto"/>
      </w:rPr>
    </w:lvl>
    <w:lvl w:ilvl="5">
      <w:start w:val="1"/>
      <w:numFmt w:val="bullet"/>
      <w:lvlText w:val="-"/>
      <w:lvlJc w:val="left"/>
      <w:pPr>
        <w:tabs>
          <w:tab w:val="num" w:pos="227"/>
        </w:tabs>
        <w:ind w:left="1361" w:hanging="227"/>
      </w:pPr>
      <w:rPr>
        <w:rFonts w:ascii="Verdana" w:hAnsi="Verdana" w:hint="default"/>
        <w:color w:val="auto"/>
      </w:rPr>
    </w:lvl>
    <w:lvl w:ilvl="6">
      <w:start w:val="1"/>
      <w:numFmt w:val="bullet"/>
      <w:lvlText w:val="•"/>
      <w:lvlJc w:val="left"/>
      <w:pPr>
        <w:tabs>
          <w:tab w:val="num" w:pos="227"/>
        </w:tabs>
        <w:ind w:left="1588" w:hanging="227"/>
      </w:pPr>
      <w:rPr>
        <w:rFonts w:ascii="Verdana" w:hAnsi="Verdana" w:hint="default"/>
        <w:color w:val="auto"/>
      </w:rPr>
    </w:lvl>
    <w:lvl w:ilvl="7">
      <w:start w:val="1"/>
      <w:numFmt w:val="bullet"/>
      <w:lvlText w:val="-"/>
      <w:lvlJc w:val="left"/>
      <w:pPr>
        <w:tabs>
          <w:tab w:val="num" w:pos="227"/>
        </w:tabs>
        <w:ind w:left="1814" w:hanging="226"/>
      </w:pPr>
      <w:rPr>
        <w:rFonts w:ascii="Verdana" w:hAnsi="Verdana" w:hint="default"/>
        <w:color w:val="auto"/>
      </w:rPr>
    </w:lvl>
    <w:lvl w:ilvl="8">
      <w:start w:val="1"/>
      <w:numFmt w:val="bullet"/>
      <w:lvlText w:val="•"/>
      <w:lvlJc w:val="left"/>
      <w:pPr>
        <w:tabs>
          <w:tab w:val="num" w:pos="227"/>
        </w:tabs>
        <w:ind w:left="2041" w:hanging="227"/>
      </w:pPr>
      <w:rPr>
        <w:rFonts w:ascii="Verdana" w:hAnsi="Verdana" w:hint="default"/>
        <w:color w:val="auto"/>
      </w:rPr>
    </w:lvl>
  </w:abstractNum>
  <w:abstractNum w:abstractNumId="3">
    <w:nsid w:val="0A1B58B4"/>
    <w:multiLevelType w:val="hybridMultilevel"/>
    <w:tmpl w:val="995268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0E54B47"/>
    <w:multiLevelType w:val="multilevel"/>
    <w:tmpl w:val="6D5CBB06"/>
    <w:lvl w:ilvl="0">
      <w:start w:val="2"/>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5">
    <w:nsid w:val="13100EB3"/>
    <w:multiLevelType w:val="hybridMultilevel"/>
    <w:tmpl w:val="D514DF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623655D"/>
    <w:multiLevelType w:val="multilevel"/>
    <w:tmpl w:val="5AEEDE88"/>
    <w:numStyleLink w:val="StyleBulleted"/>
  </w:abstractNum>
  <w:abstractNum w:abstractNumId="7">
    <w:nsid w:val="177758AC"/>
    <w:multiLevelType w:val="hybridMultilevel"/>
    <w:tmpl w:val="10F4AC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A5A20BC"/>
    <w:multiLevelType w:val="multilevel"/>
    <w:tmpl w:val="5AEEDE88"/>
    <w:numStyleLink w:val="StyleBulleted"/>
  </w:abstractNum>
  <w:abstractNum w:abstractNumId="9">
    <w:nsid w:val="1E2809B5"/>
    <w:multiLevelType w:val="hybridMultilevel"/>
    <w:tmpl w:val="2B5816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1E793868"/>
    <w:multiLevelType w:val="hybridMultilevel"/>
    <w:tmpl w:val="B320437C"/>
    <w:lvl w:ilvl="0" w:tplc="04130001">
      <w:start w:val="1"/>
      <w:numFmt w:val="bullet"/>
      <w:lvlText w:val=""/>
      <w:lvlJc w:val="left"/>
      <w:pPr>
        <w:ind w:left="133" w:hanging="360"/>
      </w:pPr>
      <w:rPr>
        <w:rFonts w:ascii="Symbol" w:hAnsi="Symbol" w:hint="default"/>
      </w:rPr>
    </w:lvl>
    <w:lvl w:ilvl="1" w:tplc="04130003" w:tentative="1">
      <w:start w:val="1"/>
      <w:numFmt w:val="bullet"/>
      <w:lvlText w:val="o"/>
      <w:lvlJc w:val="left"/>
      <w:pPr>
        <w:ind w:left="853" w:hanging="360"/>
      </w:pPr>
      <w:rPr>
        <w:rFonts w:ascii="Courier New" w:hAnsi="Courier New" w:cs="Courier New" w:hint="default"/>
      </w:rPr>
    </w:lvl>
    <w:lvl w:ilvl="2" w:tplc="04130005" w:tentative="1">
      <w:start w:val="1"/>
      <w:numFmt w:val="bullet"/>
      <w:lvlText w:val=""/>
      <w:lvlJc w:val="left"/>
      <w:pPr>
        <w:ind w:left="1573" w:hanging="360"/>
      </w:pPr>
      <w:rPr>
        <w:rFonts w:ascii="Wingdings" w:hAnsi="Wingdings" w:hint="default"/>
      </w:rPr>
    </w:lvl>
    <w:lvl w:ilvl="3" w:tplc="04130001" w:tentative="1">
      <w:start w:val="1"/>
      <w:numFmt w:val="bullet"/>
      <w:lvlText w:val=""/>
      <w:lvlJc w:val="left"/>
      <w:pPr>
        <w:ind w:left="2293" w:hanging="360"/>
      </w:pPr>
      <w:rPr>
        <w:rFonts w:ascii="Symbol" w:hAnsi="Symbol" w:hint="default"/>
      </w:rPr>
    </w:lvl>
    <w:lvl w:ilvl="4" w:tplc="04130003" w:tentative="1">
      <w:start w:val="1"/>
      <w:numFmt w:val="bullet"/>
      <w:lvlText w:val="o"/>
      <w:lvlJc w:val="left"/>
      <w:pPr>
        <w:ind w:left="3013" w:hanging="360"/>
      </w:pPr>
      <w:rPr>
        <w:rFonts w:ascii="Courier New" w:hAnsi="Courier New" w:cs="Courier New" w:hint="default"/>
      </w:rPr>
    </w:lvl>
    <w:lvl w:ilvl="5" w:tplc="04130005" w:tentative="1">
      <w:start w:val="1"/>
      <w:numFmt w:val="bullet"/>
      <w:lvlText w:val=""/>
      <w:lvlJc w:val="left"/>
      <w:pPr>
        <w:ind w:left="3733" w:hanging="360"/>
      </w:pPr>
      <w:rPr>
        <w:rFonts w:ascii="Wingdings" w:hAnsi="Wingdings" w:hint="default"/>
      </w:rPr>
    </w:lvl>
    <w:lvl w:ilvl="6" w:tplc="04130001" w:tentative="1">
      <w:start w:val="1"/>
      <w:numFmt w:val="bullet"/>
      <w:lvlText w:val=""/>
      <w:lvlJc w:val="left"/>
      <w:pPr>
        <w:ind w:left="4453" w:hanging="360"/>
      </w:pPr>
      <w:rPr>
        <w:rFonts w:ascii="Symbol" w:hAnsi="Symbol" w:hint="default"/>
      </w:rPr>
    </w:lvl>
    <w:lvl w:ilvl="7" w:tplc="04130003" w:tentative="1">
      <w:start w:val="1"/>
      <w:numFmt w:val="bullet"/>
      <w:lvlText w:val="o"/>
      <w:lvlJc w:val="left"/>
      <w:pPr>
        <w:ind w:left="5173" w:hanging="360"/>
      </w:pPr>
      <w:rPr>
        <w:rFonts w:ascii="Courier New" w:hAnsi="Courier New" w:cs="Courier New" w:hint="default"/>
      </w:rPr>
    </w:lvl>
    <w:lvl w:ilvl="8" w:tplc="04130005" w:tentative="1">
      <w:start w:val="1"/>
      <w:numFmt w:val="bullet"/>
      <w:lvlText w:val=""/>
      <w:lvlJc w:val="left"/>
      <w:pPr>
        <w:ind w:left="5893" w:hanging="360"/>
      </w:pPr>
      <w:rPr>
        <w:rFonts w:ascii="Wingdings" w:hAnsi="Wingdings" w:hint="default"/>
      </w:rPr>
    </w:lvl>
  </w:abstractNum>
  <w:abstractNum w:abstractNumId="11">
    <w:nsid w:val="1F803251"/>
    <w:multiLevelType w:val="hybridMultilevel"/>
    <w:tmpl w:val="00308E16"/>
    <w:lvl w:ilvl="0" w:tplc="7CB8302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22F82FF2"/>
    <w:multiLevelType w:val="multilevel"/>
    <w:tmpl w:val="5AEEDE88"/>
    <w:numStyleLink w:val="StyleBulleted"/>
  </w:abstractNum>
  <w:abstractNum w:abstractNumId="13">
    <w:nsid w:val="25614042"/>
    <w:multiLevelType w:val="hybridMultilevel"/>
    <w:tmpl w:val="8976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20E7DDC"/>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5">
    <w:nsid w:val="342F354F"/>
    <w:multiLevelType w:val="multilevel"/>
    <w:tmpl w:val="94562EF6"/>
    <w:lvl w:ilvl="0">
      <w:start w:val="3"/>
      <w:numFmt w:val="decimal"/>
      <w:lvlText w:val="%1"/>
      <w:lvlJc w:val="left"/>
      <w:pPr>
        <w:ind w:left="360" w:hanging="360"/>
      </w:pPr>
      <w:rPr>
        <w:rFonts w:hint="default"/>
        <w:color w:val="FF0000"/>
      </w:rPr>
    </w:lvl>
    <w:lvl w:ilvl="1">
      <w:start w:val="7"/>
      <w:numFmt w:val="decimal"/>
      <w:lvlText w:val="%1.%2"/>
      <w:lvlJc w:val="left"/>
      <w:pPr>
        <w:ind w:left="-802" w:hanging="360"/>
      </w:pPr>
      <w:rPr>
        <w:rFonts w:hint="default"/>
        <w:color w:val="auto"/>
      </w:rPr>
    </w:lvl>
    <w:lvl w:ilvl="2">
      <w:start w:val="1"/>
      <w:numFmt w:val="decimal"/>
      <w:lvlText w:val="%1.%2.%3"/>
      <w:lvlJc w:val="left"/>
      <w:pPr>
        <w:ind w:left="-1604" w:hanging="720"/>
      </w:pPr>
      <w:rPr>
        <w:rFonts w:hint="default"/>
        <w:color w:val="FF0000"/>
      </w:rPr>
    </w:lvl>
    <w:lvl w:ilvl="3">
      <w:start w:val="1"/>
      <w:numFmt w:val="decimal"/>
      <w:lvlText w:val="%1.%2.%3.%4"/>
      <w:lvlJc w:val="left"/>
      <w:pPr>
        <w:ind w:left="-2406" w:hanging="1080"/>
      </w:pPr>
      <w:rPr>
        <w:rFonts w:hint="default"/>
        <w:color w:val="FF0000"/>
      </w:rPr>
    </w:lvl>
    <w:lvl w:ilvl="4">
      <w:start w:val="1"/>
      <w:numFmt w:val="decimal"/>
      <w:lvlText w:val="%1.%2.%3.%4.%5"/>
      <w:lvlJc w:val="left"/>
      <w:pPr>
        <w:ind w:left="-3568" w:hanging="1080"/>
      </w:pPr>
      <w:rPr>
        <w:rFonts w:hint="default"/>
        <w:color w:val="FF0000"/>
      </w:rPr>
    </w:lvl>
    <w:lvl w:ilvl="5">
      <w:start w:val="1"/>
      <w:numFmt w:val="decimal"/>
      <w:lvlText w:val="%1.%2.%3.%4.%5.%6"/>
      <w:lvlJc w:val="left"/>
      <w:pPr>
        <w:ind w:left="-4370" w:hanging="1440"/>
      </w:pPr>
      <w:rPr>
        <w:rFonts w:hint="default"/>
        <w:color w:val="FF0000"/>
      </w:rPr>
    </w:lvl>
    <w:lvl w:ilvl="6">
      <w:start w:val="1"/>
      <w:numFmt w:val="decimal"/>
      <w:lvlText w:val="%1.%2.%3.%4.%5.%6.%7"/>
      <w:lvlJc w:val="left"/>
      <w:pPr>
        <w:ind w:left="-5532" w:hanging="1440"/>
      </w:pPr>
      <w:rPr>
        <w:rFonts w:hint="default"/>
        <w:color w:val="FF0000"/>
      </w:rPr>
    </w:lvl>
    <w:lvl w:ilvl="7">
      <w:start w:val="1"/>
      <w:numFmt w:val="decimal"/>
      <w:lvlText w:val="%1.%2.%3.%4.%5.%6.%7.%8"/>
      <w:lvlJc w:val="left"/>
      <w:pPr>
        <w:ind w:left="-6334" w:hanging="1800"/>
      </w:pPr>
      <w:rPr>
        <w:rFonts w:hint="default"/>
        <w:color w:val="FF0000"/>
      </w:rPr>
    </w:lvl>
    <w:lvl w:ilvl="8">
      <w:start w:val="1"/>
      <w:numFmt w:val="decimal"/>
      <w:lvlText w:val="%1.%2.%3.%4.%5.%6.%7.%8.%9"/>
      <w:lvlJc w:val="left"/>
      <w:pPr>
        <w:ind w:left="-7136" w:hanging="2160"/>
      </w:pPr>
      <w:rPr>
        <w:rFonts w:hint="default"/>
        <w:color w:val="FF0000"/>
      </w:rPr>
    </w:lvl>
  </w:abstractNum>
  <w:abstractNum w:abstractNumId="16">
    <w:nsid w:val="372126F2"/>
    <w:multiLevelType w:val="multilevel"/>
    <w:tmpl w:val="5AEEDE88"/>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17">
    <w:nsid w:val="39F36539"/>
    <w:multiLevelType w:val="hybridMultilevel"/>
    <w:tmpl w:val="2F681B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ADC3C4A"/>
    <w:multiLevelType w:val="multilevel"/>
    <w:tmpl w:val="9F0C18F8"/>
    <w:lvl w:ilvl="0">
      <w:start w:val="1"/>
      <w:numFmt w:val="decimal"/>
      <w:pStyle w:val="ListNumber"/>
      <w:lvlText w:val="%1."/>
      <w:lvlJc w:val="left"/>
      <w:pPr>
        <w:tabs>
          <w:tab w:val="num" w:pos="227"/>
        </w:tabs>
        <w:ind w:left="227" w:hanging="227"/>
      </w:pPr>
      <w:rPr>
        <w:rFonts w:ascii="Verdana" w:hAnsi="Verdana" w:hint="default"/>
        <w:sz w:val="18"/>
      </w:rPr>
    </w:lvl>
    <w:lvl w:ilvl="1">
      <w:start w:val="1"/>
      <w:numFmt w:val="bullet"/>
      <w:lvlText w:val="-"/>
      <w:lvlJc w:val="left"/>
      <w:pPr>
        <w:tabs>
          <w:tab w:val="num" w:pos="227"/>
        </w:tabs>
        <w:ind w:left="454" w:hanging="227"/>
      </w:pPr>
      <w:rPr>
        <w:rFonts w:ascii="Verdana" w:hAnsi="Verdana" w:hint="default"/>
      </w:rPr>
    </w:lvl>
    <w:lvl w:ilvl="2">
      <w:start w:val="1"/>
      <w:numFmt w:val="lowerRoman"/>
      <w:lvlText w:val="%3."/>
      <w:lvlJc w:val="right"/>
      <w:pPr>
        <w:tabs>
          <w:tab w:val="num" w:pos="2520"/>
        </w:tabs>
        <w:ind w:left="2520" w:hanging="18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9">
    <w:nsid w:val="408335F4"/>
    <w:multiLevelType w:val="multilevel"/>
    <w:tmpl w:val="5AEEDE88"/>
    <w:numStyleLink w:val="StyleBulleted"/>
  </w:abstractNum>
  <w:abstractNum w:abstractNumId="20">
    <w:nsid w:val="4C6D2E8B"/>
    <w:multiLevelType w:val="multilevel"/>
    <w:tmpl w:val="723E1294"/>
    <w:lvl w:ilvl="0">
      <w:start w:val="4"/>
      <w:numFmt w:val="decimal"/>
      <w:lvlText w:val="%1"/>
      <w:lvlJc w:val="left"/>
      <w:pPr>
        <w:ind w:left="360" w:hanging="360"/>
      </w:pPr>
      <w:rPr>
        <w:rFonts w:hint="default"/>
      </w:rPr>
    </w:lvl>
    <w:lvl w:ilvl="1">
      <w:start w:val="2"/>
      <w:numFmt w:val="decimal"/>
      <w:lvlText w:val="%1.%2"/>
      <w:lvlJc w:val="left"/>
      <w:pPr>
        <w:ind w:left="-442" w:hanging="72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172" w:hanging="180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21">
    <w:nsid w:val="5D750EE7"/>
    <w:multiLevelType w:val="multilevel"/>
    <w:tmpl w:val="5AEEDE88"/>
    <w:numStyleLink w:val="StyleBulleted"/>
  </w:abstractNum>
  <w:abstractNum w:abstractNumId="22">
    <w:nsid w:val="5FD11CC6"/>
    <w:multiLevelType w:val="multilevel"/>
    <w:tmpl w:val="3F7A972E"/>
    <w:lvl w:ilvl="0">
      <w:start w:val="1"/>
      <w:numFmt w:val="decimal"/>
      <w:lvlText w:val="%1"/>
      <w:lvlJc w:val="left"/>
      <w:pPr>
        <w:tabs>
          <w:tab w:val="num" w:pos="360"/>
        </w:tabs>
        <w:ind w:left="360" w:hanging="1160"/>
      </w:pPr>
      <w:rPr>
        <w:rFonts w:ascii="Verdana" w:hAnsi="Verdana" w:hint="default"/>
        <w:b/>
        <w:i w:val="0"/>
        <w:sz w:val="18"/>
      </w:rPr>
    </w:lvl>
    <w:lvl w:ilvl="1">
      <w:start w:val="1"/>
      <w:numFmt w:val="decimal"/>
      <w:lvlText w:val="%1.%2"/>
      <w:lvlJc w:val="left"/>
      <w:pPr>
        <w:tabs>
          <w:tab w:val="num" w:pos="0"/>
        </w:tabs>
        <w:ind w:left="0" w:hanging="1160"/>
      </w:pPr>
      <w:rPr>
        <w:rFonts w:ascii="Verdana" w:hAnsi="Verdana" w:hint="default"/>
        <w:b w:val="0"/>
        <w:i w:val="0"/>
        <w:sz w:val="18"/>
      </w:rPr>
    </w:lvl>
    <w:lvl w:ilvl="2">
      <w:start w:val="1"/>
      <w:numFmt w:val="decimal"/>
      <w:lvlText w:val="%1.%2.%3"/>
      <w:lvlJc w:val="left"/>
      <w:pPr>
        <w:tabs>
          <w:tab w:val="num" w:pos="0"/>
        </w:tabs>
        <w:ind w:left="0" w:hanging="1160"/>
      </w:pPr>
      <w:rPr>
        <w:rFonts w:hint="default"/>
      </w:rPr>
    </w:lvl>
    <w:lvl w:ilvl="3">
      <w:start w:val="1"/>
      <w:numFmt w:val="decimal"/>
      <w:lvlText w:val="%1.%2.%3.%4"/>
      <w:lvlJc w:val="left"/>
      <w:pPr>
        <w:tabs>
          <w:tab w:val="num" w:pos="540"/>
        </w:tabs>
        <w:ind w:left="540" w:hanging="1160"/>
      </w:pPr>
      <w:rPr>
        <w:rFonts w:hint="default"/>
      </w:rPr>
    </w:lvl>
    <w:lvl w:ilvl="4">
      <w:start w:val="1"/>
      <w:numFmt w:val="decimal"/>
      <w:lvlText w:val="%1.%2.%3.%4.%5"/>
      <w:lvlJc w:val="left"/>
      <w:pPr>
        <w:tabs>
          <w:tab w:val="num" w:pos="388"/>
        </w:tabs>
        <w:ind w:left="388" w:hanging="1008"/>
      </w:pPr>
      <w:rPr>
        <w:rFonts w:hint="default"/>
      </w:rPr>
    </w:lvl>
    <w:lvl w:ilvl="5">
      <w:start w:val="1"/>
      <w:numFmt w:val="decimal"/>
      <w:pStyle w:val="Heading6"/>
      <w:lvlText w:val="%1.%2.%3.%4.%5.%6"/>
      <w:lvlJc w:val="left"/>
      <w:pPr>
        <w:tabs>
          <w:tab w:val="num" w:pos="532"/>
        </w:tabs>
        <w:ind w:left="532" w:hanging="1152"/>
      </w:pPr>
      <w:rPr>
        <w:rFonts w:hint="default"/>
      </w:rPr>
    </w:lvl>
    <w:lvl w:ilvl="6">
      <w:start w:val="1"/>
      <w:numFmt w:val="decimal"/>
      <w:pStyle w:val="Heading7"/>
      <w:lvlText w:val="%1.%2.%3.%4.%5.%6.%7"/>
      <w:lvlJc w:val="left"/>
      <w:pPr>
        <w:tabs>
          <w:tab w:val="num" w:pos="676"/>
        </w:tabs>
        <w:ind w:left="676" w:hanging="1296"/>
      </w:pPr>
      <w:rPr>
        <w:rFonts w:hint="default"/>
      </w:rPr>
    </w:lvl>
    <w:lvl w:ilvl="7">
      <w:start w:val="1"/>
      <w:numFmt w:val="decimal"/>
      <w:pStyle w:val="Heading8"/>
      <w:lvlText w:val="%8"/>
      <w:lvlJc w:val="left"/>
      <w:pPr>
        <w:tabs>
          <w:tab w:val="num" w:pos="820"/>
        </w:tabs>
        <w:ind w:left="820" w:hanging="1440"/>
      </w:pPr>
      <w:rPr>
        <w:rFonts w:hint="default"/>
      </w:rPr>
    </w:lvl>
    <w:lvl w:ilvl="8">
      <w:start w:val="1"/>
      <w:numFmt w:val="decimal"/>
      <w:pStyle w:val="Heading9"/>
      <w:lvlText w:val="%8.%9"/>
      <w:lvlJc w:val="left"/>
      <w:pPr>
        <w:tabs>
          <w:tab w:val="num" w:pos="964"/>
        </w:tabs>
        <w:ind w:left="964" w:hanging="1584"/>
      </w:pPr>
      <w:rPr>
        <w:rFonts w:hint="default"/>
      </w:rPr>
    </w:lvl>
  </w:abstractNum>
  <w:abstractNum w:abstractNumId="23">
    <w:nsid w:val="61153704"/>
    <w:multiLevelType w:val="hybridMultilevel"/>
    <w:tmpl w:val="B0FC3EC2"/>
    <w:lvl w:ilvl="0" w:tplc="04130001">
      <w:start w:val="1"/>
      <w:numFmt w:val="bullet"/>
      <w:lvlText w:val=""/>
      <w:lvlJc w:val="left"/>
      <w:pPr>
        <w:tabs>
          <w:tab w:val="num" w:pos="360"/>
        </w:tabs>
        <w:ind w:left="360" w:hanging="360"/>
      </w:pPr>
      <w:rPr>
        <w:rFonts w:ascii="Symbol" w:hAnsi="Symbol" w:hint="default"/>
        <w:color w:val="000000"/>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24">
    <w:nsid w:val="63404D5D"/>
    <w:multiLevelType w:val="multilevel"/>
    <w:tmpl w:val="5AEEDE88"/>
    <w:numStyleLink w:val="StyleBulleted"/>
  </w:abstractNum>
  <w:abstractNum w:abstractNumId="25">
    <w:nsid w:val="63A20AAC"/>
    <w:multiLevelType w:val="multilevel"/>
    <w:tmpl w:val="5AEEDE88"/>
    <w:numStyleLink w:val="StyleBulleted"/>
  </w:abstractNum>
  <w:abstractNum w:abstractNumId="26">
    <w:nsid w:val="65441EC1"/>
    <w:multiLevelType w:val="multilevel"/>
    <w:tmpl w:val="73E8F73E"/>
    <w:lvl w:ilvl="0">
      <w:start w:val="1"/>
      <w:numFmt w:val="bullet"/>
      <w:pStyle w:val="ListBullet"/>
      <w:lvlText w:val=""/>
      <w:lvlJc w:val="left"/>
      <w:pPr>
        <w:tabs>
          <w:tab w:val="num" w:pos="227"/>
        </w:tabs>
        <w:ind w:left="227" w:hanging="227"/>
      </w:pPr>
      <w:rPr>
        <w:rFonts w:ascii="Symbol" w:hAnsi="Symbol"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lowerRoman"/>
      <w:lvlText w:val="%3."/>
      <w:lvlJc w:val="right"/>
      <w:pPr>
        <w:tabs>
          <w:tab w:val="num" w:pos="2747"/>
        </w:tabs>
        <w:ind w:left="2747" w:hanging="180"/>
      </w:pPr>
      <w:rPr>
        <w:rFonts w:hint="default"/>
      </w:rPr>
    </w:lvl>
    <w:lvl w:ilvl="3">
      <w:start w:val="1"/>
      <w:numFmt w:val="decimal"/>
      <w:lvlText w:val="%4."/>
      <w:lvlJc w:val="left"/>
      <w:pPr>
        <w:tabs>
          <w:tab w:val="num" w:pos="3467"/>
        </w:tabs>
        <w:ind w:left="3467" w:hanging="360"/>
      </w:pPr>
      <w:rPr>
        <w:rFonts w:hint="default"/>
      </w:rPr>
    </w:lvl>
    <w:lvl w:ilvl="4">
      <w:start w:val="1"/>
      <w:numFmt w:val="lowerLetter"/>
      <w:lvlText w:val="%5."/>
      <w:lvlJc w:val="left"/>
      <w:pPr>
        <w:tabs>
          <w:tab w:val="num" w:pos="4187"/>
        </w:tabs>
        <w:ind w:left="4187" w:hanging="360"/>
      </w:pPr>
      <w:rPr>
        <w:rFonts w:hint="default"/>
      </w:rPr>
    </w:lvl>
    <w:lvl w:ilvl="5">
      <w:start w:val="1"/>
      <w:numFmt w:val="lowerRoman"/>
      <w:lvlText w:val="%6."/>
      <w:lvlJc w:val="right"/>
      <w:pPr>
        <w:tabs>
          <w:tab w:val="num" w:pos="4907"/>
        </w:tabs>
        <w:ind w:left="4907" w:hanging="180"/>
      </w:pPr>
      <w:rPr>
        <w:rFonts w:hint="default"/>
      </w:rPr>
    </w:lvl>
    <w:lvl w:ilvl="6">
      <w:start w:val="1"/>
      <w:numFmt w:val="decimal"/>
      <w:lvlText w:val="%7."/>
      <w:lvlJc w:val="left"/>
      <w:pPr>
        <w:tabs>
          <w:tab w:val="num" w:pos="5627"/>
        </w:tabs>
        <w:ind w:left="5627" w:hanging="360"/>
      </w:pPr>
      <w:rPr>
        <w:rFonts w:hint="default"/>
      </w:rPr>
    </w:lvl>
    <w:lvl w:ilvl="7">
      <w:start w:val="1"/>
      <w:numFmt w:val="lowerLetter"/>
      <w:lvlText w:val="%8."/>
      <w:lvlJc w:val="left"/>
      <w:pPr>
        <w:tabs>
          <w:tab w:val="num" w:pos="6347"/>
        </w:tabs>
        <w:ind w:left="6347" w:hanging="360"/>
      </w:pPr>
      <w:rPr>
        <w:rFonts w:hint="default"/>
      </w:rPr>
    </w:lvl>
    <w:lvl w:ilvl="8">
      <w:start w:val="1"/>
      <w:numFmt w:val="lowerRoman"/>
      <w:lvlText w:val="%9."/>
      <w:lvlJc w:val="right"/>
      <w:pPr>
        <w:tabs>
          <w:tab w:val="num" w:pos="7067"/>
        </w:tabs>
        <w:ind w:left="7067" w:hanging="180"/>
      </w:pPr>
      <w:rPr>
        <w:rFonts w:hint="default"/>
      </w:rPr>
    </w:lvl>
  </w:abstractNum>
  <w:abstractNum w:abstractNumId="27">
    <w:nsid w:val="6B696A63"/>
    <w:multiLevelType w:val="multilevel"/>
    <w:tmpl w:val="5AEEDE88"/>
    <w:styleLink w:val="StyleBulleted"/>
    <w:lvl w:ilvl="0">
      <w:start w:val="1"/>
      <w:numFmt w:val="bullet"/>
      <w:lvlText w:val="•"/>
      <w:lvlJc w:val="left"/>
      <w:pPr>
        <w:tabs>
          <w:tab w:val="num" w:pos="227"/>
        </w:tabs>
        <w:ind w:left="227" w:hanging="227"/>
      </w:pPr>
      <w:rPr>
        <w:rFonts w:ascii="Verdana" w:hAnsi="Verdana" w:hint="default"/>
        <w:color w:val="auto"/>
        <w:sz w:val="18"/>
      </w:rPr>
    </w:lvl>
    <w:lvl w:ilvl="1">
      <w:start w:val="1"/>
      <w:numFmt w:val="bullet"/>
      <w:lvlText w:val="-"/>
      <w:lvlJc w:val="left"/>
      <w:pPr>
        <w:tabs>
          <w:tab w:val="num" w:pos="227"/>
        </w:tabs>
        <w:ind w:left="454" w:hanging="227"/>
      </w:pPr>
      <w:rPr>
        <w:rFonts w:ascii="Verdana" w:hAnsi="Verdana" w:hint="default"/>
        <w:sz w:val="18"/>
      </w:rPr>
    </w:lvl>
    <w:lvl w:ilvl="2">
      <w:start w:val="1"/>
      <w:numFmt w:val="bullet"/>
      <w:lvlText w:val="•"/>
      <w:lvlJc w:val="left"/>
      <w:pPr>
        <w:tabs>
          <w:tab w:val="num" w:pos="227"/>
        </w:tabs>
        <w:ind w:left="680" w:hanging="226"/>
      </w:pPr>
      <w:rPr>
        <w:rFonts w:ascii="Verdana" w:hAnsi="Verdana" w:hint="default"/>
      </w:rPr>
    </w:lvl>
    <w:lvl w:ilvl="3">
      <w:start w:val="1"/>
      <w:numFmt w:val="bullet"/>
      <w:lvlText w:val="-"/>
      <w:lvlJc w:val="left"/>
      <w:pPr>
        <w:tabs>
          <w:tab w:val="num" w:pos="227"/>
        </w:tabs>
        <w:ind w:left="907" w:hanging="227"/>
      </w:pPr>
      <w:rPr>
        <w:rFonts w:ascii="Verdana" w:hAnsi="Verdana" w:hint="default"/>
      </w:rPr>
    </w:lvl>
    <w:lvl w:ilvl="4">
      <w:start w:val="1"/>
      <w:numFmt w:val="bullet"/>
      <w:lvlText w:val="•"/>
      <w:lvlJc w:val="left"/>
      <w:pPr>
        <w:tabs>
          <w:tab w:val="num" w:pos="227"/>
        </w:tabs>
        <w:ind w:left="1134" w:hanging="227"/>
      </w:pPr>
      <w:rPr>
        <w:rFonts w:ascii="Verdana" w:hAnsi="Verdana" w:hint="default"/>
      </w:rPr>
    </w:lvl>
    <w:lvl w:ilvl="5">
      <w:start w:val="1"/>
      <w:numFmt w:val="bullet"/>
      <w:lvlText w:val="-"/>
      <w:lvlJc w:val="left"/>
      <w:pPr>
        <w:tabs>
          <w:tab w:val="num" w:pos="227"/>
        </w:tabs>
        <w:ind w:left="1361" w:hanging="227"/>
      </w:pPr>
      <w:rPr>
        <w:rFonts w:ascii="Verdana" w:hAnsi="Verdana" w:hint="default"/>
      </w:rPr>
    </w:lvl>
    <w:lvl w:ilvl="6">
      <w:start w:val="1"/>
      <w:numFmt w:val="bullet"/>
      <w:lvlText w:val="•"/>
      <w:lvlJc w:val="left"/>
      <w:pPr>
        <w:tabs>
          <w:tab w:val="num" w:pos="227"/>
        </w:tabs>
        <w:ind w:left="1588" w:hanging="227"/>
      </w:pPr>
      <w:rPr>
        <w:rFonts w:ascii="Verdana" w:hAnsi="Verdana" w:hint="default"/>
      </w:rPr>
    </w:lvl>
    <w:lvl w:ilvl="7">
      <w:start w:val="1"/>
      <w:numFmt w:val="bullet"/>
      <w:lvlText w:val="-"/>
      <w:lvlJc w:val="left"/>
      <w:pPr>
        <w:tabs>
          <w:tab w:val="num" w:pos="227"/>
        </w:tabs>
        <w:ind w:left="1814" w:hanging="226"/>
      </w:pPr>
      <w:rPr>
        <w:rFonts w:ascii="Verdana" w:hAnsi="Verdana" w:hint="default"/>
      </w:rPr>
    </w:lvl>
    <w:lvl w:ilvl="8">
      <w:start w:val="1"/>
      <w:numFmt w:val="bullet"/>
      <w:lvlText w:val="•"/>
      <w:lvlJc w:val="left"/>
      <w:pPr>
        <w:tabs>
          <w:tab w:val="num" w:pos="227"/>
        </w:tabs>
        <w:ind w:left="2041" w:hanging="227"/>
      </w:pPr>
      <w:rPr>
        <w:rFonts w:ascii="Verdana" w:hAnsi="Verdana" w:hint="default"/>
      </w:rPr>
    </w:lvl>
  </w:abstractNum>
  <w:abstractNum w:abstractNumId="28">
    <w:nsid w:val="6D193965"/>
    <w:multiLevelType w:val="multilevel"/>
    <w:tmpl w:val="5AEEDE88"/>
    <w:numStyleLink w:val="StyleBulleted"/>
  </w:abstractNum>
  <w:abstractNum w:abstractNumId="29">
    <w:nsid w:val="6F1B2CBC"/>
    <w:multiLevelType w:val="multilevel"/>
    <w:tmpl w:val="5AEEDE88"/>
    <w:numStyleLink w:val="StyleBulleted"/>
  </w:abstractNum>
  <w:abstractNum w:abstractNumId="30">
    <w:nsid w:val="77555624"/>
    <w:multiLevelType w:val="multilevel"/>
    <w:tmpl w:val="53AC82DE"/>
    <w:lvl w:ilvl="0">
      <w:start w:val="3"/>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406" w:hanging="108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370" w:hanging="144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334" w:hanging="1800"/>
      </w:pPr>
      <w:rPr>
        <w:rFonts w:hint="default"/>
      </w:rPr>
    </w:lvl>
    <w:lvl w:ilvl="8">
      <w:start w:val="1"/>
      <w:numFmt w:val="decimal"/>
      <w:lvlText w:val="%1.%2.%3.%4.%5.%6.%7.%8.%9"/>
      <w:lvlJc w:val="left"/>
      <w:pPr>
        <w:ind w:left="-7136" w:hanging="2160"/>
      </w:pPr>
      <w:rPr>
        <w:rFonts w:hint="default"/>
      </w:rPr>
    </w:lvl>
  </w:abstractNum>
  <w:abstractNum w:abstractNumId="31">
    <w:nsid w:val="7AE14C9B"/>
    <w:multiLevelType w:val="hybridMultilevel"/>
    <w:tmpl w:val="267A61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18"/>
  </w:num>
  <w:num w:numId="4">
    <w:abstractNumId w:val="0"/>
  </w:num>
  <w:num w:numId="5">
    <w:abstractNumId w:val="27"/>
  </w:num>
  <w:num w:numId="6">
    <w:abstractNumId w:val="2"/>
  </w:num>
  <w:num w:numId="7">
    <w:abstractNumId w:val="11"/>
  </w:num>
  <w:num w:numId="8">
    <w:abstractNumId w:val="29"/>
  </w:num>
  <w:num w:numId="9">
    <w:abstractNumId w:val="25"/>
  </w:num>
  <w:num w:numId="10">
    <w:abstractNumId w:val="12"/>
  </w:num>
  <w:num w:numId="11">
    <w:abstractNumId w:val="6"/>
  </w:num>
  <w:num w:numId="12">
    <w:abstractNumId w:val="28"/>
  </w:num>
  <w:num w:numId="13">
    <w:abstractNumId w:val="16"/>
  </w:num>
  <w:num w:numId="14">
    <w:abstractNumId w:val="1"/>
  </w:num>
  <w:num w:numId="15">
    <w:abstractNumId w:val="8"/>
  </w:num>
  <w:num w:numId="16">
    <w:abstractNumId w:val="24"/>
  </w:num>
  <w:num w:numId="17">
    <w:abstractNumId w:val="19"/>
  </w:num>
  <w:num w:numId="18">
    <w:abstractNumId w:val="21"/>
  </w:num>
  <w:num w:numId="19">
    <w:abstractNumId w:val="14"/>
  </w:num>
  <w:num w:numId="20">
    <w:abstractNumId w:val="30"/>
  </w:num>
  <w:num w:numId="21">
    <w:abstractNumId w:val="4"/>
  </w:num>
  <w:num w:numId="22">
    <w:abstractNumId w:val="20"/>
  </w:num>
  <w:num w:numId="23">
    <w:abstractNumId w:val="31"/>
  </w:num>
  <w:num w:numId="24">
    <w:abstractNumId w:val="13"/>
  </w:num>
  <w:num w:numId="25">
    <w:abstractNumId w:val="13"/>
  </w:num>
  <w:num w:numId="26">
    <w:abstractNumId w:val="10"/>
  </w:num>
  <w:num w:numId="27">
    <w:abstractNumId w:val="9"/>
  </w:num>
  <w:num w:numId="28">
    <w:abstractNumId w:val="7"/>
  </w:num>
  <w:num w:numId="29">
    <w:abstractNumId w:val="5"/>
  </w:num>
  <w:num w:numId="30">
    <w:abstractNumId w:val="3"/>
  </w:num>
  <w:num w:numId="31">
    <w:abstractNumId w:val="17"/>
  </w:num>
  <w:num w:numId="32">
    <w:abstractNumId w:val="15"/>
  </w:num>
  <w:num w:numId="33">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25"/>
  <w:characterSpacingControl w:val="doNotCompress"/>
  <w:hdrShapeDefaults>
    <o:shapedefaults v:ext="edit" spidmax="2252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18"/>
    <w:rsid w:val="0000367D"/>
    <w:rsid w:val="0000392E"/>
    <w:rsid w:val="00003A32"/>
    <w:rsid w:val="00005884"/>
    <w:rsid w:val="00006E47"/>
    <w:rsid w:val="0001095C"/>
    <w:rsid w:val="000114F8"/>
    <w:rsid w:val="00013196"/>
    <w:rsid w:val="00020189"/>
    <w:rsid w:val="00020EE4"/>
    <w:rsid w:val="000227EB"/>
    <w:rsid w:val="000234D6"/>
    <w:rsid w:val="0002628D"/>
    <w:rsid w:val="00026447"/>
    <w:rsid w:val="0002695C"/>
    <w:rsid w:val="000304C1"/>
    <w:rsid w:val="00031268"/>
    <w:rsid w:val="00033419"/>
    <w:rsid w:val="00033426"/>
    <w:rsid w:val="00033950"/>
    <w:rsid w:val="00033E8D"/>
    <w:rsid w:val="00034A84"/>
    <w:rsid w:val="00035E67"/>
    <w:rsid w:val="0004192F"/>
    <w:rsid w:val="000422E7"/>
    <w:rsid w:val="00044809"/>
    <w:rsid w:val="00045A4F"/>
    <w:rsid w:val="00046866"/>
    <w:rsid w:val="00047318"/>
    <w:rsid w:val="0005061F"/>
    <w:rsid w:val="00050ABD"/>
    <w:rsid w:val="00050B6A"/>
    <w:rsid w:val="00051416"/>
    <w:rsid w:val="000559DE"/>
    <w:rsid w:val="00057B03"/>
    <w:rsid w:val="0006027D"/>
    <w:rsid w:val="000605A3"/>
    <w:rsid w:val="00066F2B"/>
    <w:rsid w:val="000705D1"/>
    <w:rsid w:val="00071F28"/>
    <w:rsid w:val="000766B7"/>
    <w:rsid w:val="00076FCC"/>
    <w:rsid w:val="00077900"/>
    <w:rsid w:val="00080AE8"/>
    <w:rsid w:val="00081825"/>
    <w:rsid w:val="0008255C"/>
    <w:rsid w:val="00082BB1"/>
    <w:rsid w:val="000842B5"/>
    <w:rsid w:val="000842F4"/>
    <w:rsid w:val="00084795"/>
    <w:rsid w:val="00085F22"/>
    <w:rsid w:val="0008640E"/>
    <w:rsid w:val="0008784B"/>
    <w:rsid w:val="00087FA0"/>
    <w:rsid w:val="000903DE"/>
    <w:rsid w:val="00090808"/>
    <w:rsid w:val="0009114D"/>
    <w:rsid w:val="000912C6"/>
    <w:rsid w:val="00091984"/>
    <w:rsid w:val="00093522"/>
    <w:rsid w:val="00094518"/>
    <w:rsid w:val="00094A14"/>
    <w:rsid w:val="00094B45"/>
    <w:rsid w:val="00096680"/>
    <w:rsid w:val="00097B3F"/>
    <w:rsid w:val="000A01F6"/>
    <w:rsid w:val="000A0BB1"/>
    <w:rsid w:val="000A22CF"/>
    <w:rsid w:val="000A27FF"/>
    <w:rsid w:val="000A2DF7"/>
    <w:rsid w:val="000A381C"/>
    <w:rsid w:val="000A3AF6"/>
    <w:rsid w:val="000B2A0F"/>
    <w:rsid w:val="000B477F"/>
    <w:rsid w:val="000B64F8"/>
    <w:rsid w:val="000B7281"/>
    <w:rsid w:val="000B73BA"/>
    <w:rsid w:val="000C05BF"/>
    <w:rsid w:val="000C0757"/>
    <w:rsid w:val="000C07A1"/>
    <w:rsid w:val="000C082E"/>
    <w:rsid w:val="000C0FB6"/>
    <w:rsid w:val="000C3F40"/>
    <w:rsid w:val="000C4044"/>
    <w:rsid w:val="000C43A2"/>
    <w:rsid w:val="000C4679"/>
    <w:rsid w:val="000C521E"/>
    <w:rsid w:val="000C575D"/>
    <w:rsid w:val="000C5E4F"/>
    <w:rsid w:val="000C6EED"/>
    <w:rsid w:val="000D2C16"/>
    <w:rsid w:val="000D3986"/>
    <w:rsid w:val="000D5B62"/>
    <w:rsid w:val="000D7BB7"/>
    <w:rsid w:val="000E0F98"/>
    <w:rsid w:val="000E15AA"/>
    <w:rsid w:val="000E3A1B"/>
    <w:rsid w:val="000F03D7"/>
    <w:rsid w:val="000F1533"/>
    <w:rsid w:val="000F1A72"/>
    <w:rsid w:val="000F2632"/>
    <w:rsid w:val="000F46A7"/>
    <w:rsid w:val="000F4B53"/>
    <w:rsid w:val="000F6168"/>
    <w:rsid w:val="00101F98"/>
    <w:rsid w:val="00102DFB"/>
    <w:rsid w:val="001031E7"/>
    <w:rsid w:val="001069BA"/>
    <w:rsid w:val="00112889"/>
    <w:rsid w:val="00116E2A"/>
    <w:rsid w:val="001210BF"/>
    <w:rsid w:val="00121AD6"/>
    <w:rsid w:val="00122BDB"/>
    <w:rsid w:val="00123082"/>
    <w:rsid w:val="00123704"/>
    <w:rsid w:val="00124B64"/>
    <w:rsid w:val="00125028"/>
    <w:rsid w:val="00125154"/>
    <w:rsid w:val="00125A07"/>
    <w:rsid w:val="001270C7"/>
    <w:rsid w:val="00130DA2"/>
    <w:rsid w:val="00134D07"/>
    <w:rsid w:val="00136130"/>
    <w:rsid w:val="00136D94"/>
    <w:rsid w:val="001408DE"/>
    <w:rsid w:val="00142259"/>
    <w:rsid w:val="00142628"/>
    <w:rsid w:val="001429A1"/>
    <w:rsid w:val="00142BCD"/>
    <w:rsid w:val="00144379"/>
    <w:rsid w:val="00146457"/>
    <w:rsid w:val="0014786A"/>
    <w:rsid w:val="001516A4"/>
    <w:rsid w:val="00154AD8"/>
    <w:rsid w:val="00163F42"/>
    <w:rsid w:val="00163F5B"/>
    <w:rsid w:val="00163FA2"/>
    <w:rsid w:val="00164384"/>
    <w:rsid w:val="00164D75"/>
    <w:rsid w:val="00165BCE"/>
    <w:rsid w:val="00166242"/>
    <w:rsid w:val="00167F79"/>
    <w:rsid w:val="00171AFC"/>
    <w:rsid w:val="001739A0"/>
    <w:rsid w:val="001802CA"/>
    <w:rsid w:val="00181629"/>
    <w:rsid w:val="00181A35"/>
    <w:rsid w:val="00182C7C"/>
    <w:rsid w:val="00183CBA"/>
    <w:rsid w:val="00183FB1"/>
    <w:rsid w:val="00185576"/>
    <w:rsid w:val="00185951"/>
    <w:rsid w:val="00191587"/>
    <w:rsid w:val="00192687"/>
    <w:rsid w:val="0019336F"/>
    <w:rsid w:val="00193994"/>
    <w:rsid w:val="00194809"/>
    <w:rsid w:val="001952F9"/>
    <w:rsid w:val="00195B13"/>
    <w:rsid w:val="001A2505"/>
    <w:rsid w:val="001A4CE3"/>
    <w:rsid w:val="001A5422"/>
    <w:rsid w:val="001B0189"/>
    <w:rsid w:val="001B01D9"/>
    <w:rsid w:val="001B4BBA"/>
    <w:rsid w:val="001B5DC5"/>
    <w:rsid w:val="001B793F"/>
    <w:rsid w:val="001B7D7E"/>
    <w:rsid w:val="001C1AF8"/>
    <w:rsid w:val="001C3DBE"/>
    <w:rsid w:val="001C3DE6"/>
    <w:rsid w:val="001C47F8"/>
    <w:rsid w:val="001C6550"/>
    <w:rsid w:val="001C793E"/>
    <w:rsid w:val="001D0371"/>
    <w:rsid w:val="001D0FB6"/>
    <w:rsid w:val="001D288C"/>
    <w:rsid w:val="001D5178"/>
    <w:rsid w:val="001D7F60"/>
    <w:rsid w:val="001E1E35"/>
    <w:rsid w:val="001E34C6"/>
    <w:rsid w:val="001E5581"/>
    <w:rsid w:val="001E5B8E"/>
    <w:rsid w:val="001E73BA"/>
    <w:rsid w:val="001F0250"/>
    <w:rsid w:val="001F0D75"/>
    <w:rsid w:val="001F1472"/>
    <w:rsid w:val="001F2538"/>
    <w:rsid w:val="001F3AD3"/>
    <w:rsid w:val="001F4D72"/>
    <w:rsid w:val="001F562C"/>
    <w:rsid w:val="001F583B"/>
    <w:rsid w:val="001F6340"/>
    <w:rsid w:val="00200AE7"/>
    <w:rsid w:val="0020719A"/>
    <w:rsid w:val="00210629"/>
    <w:rsid w:val="00211122"/>
    <w:rsid w:val="002121BE"/>
    <w:rsid w:val="0021384A"/>
    <w:rsid w:val="00216302"/>
    <w:rsid w:val="002165AB"/>
    <w:rsid w:val="00216ADD"/>
    <w:rsid w:val="002212B1"/>
    <w:rsid w:val="00221806"/>
    <w:rsid w:val="002222A2"/>
    <w:rsid w:val="0022295F"/>
    <w:rsid w:val="00223E42"/>
    <w:rsid w:val="00226FB3"/>
    <w:rsid w:val="00234DF4"/>
    <w:rsid w:val="00234F48"/>
    <w:rsid w:val="0024163C"/>
    <w:rsid w:val="00242356"/>
    <w:rsid w:val="002428E3"/>
    <w:rsid w:val="00244EC3"/>
    <w:rsid w:val="00247458"/>
    <w:rsid w:val="00254103"/>
    <w:rsid w:val="002551EC"/>
    <w:rsid w:val="002579E2"/>
    <w:rsid w:val="00260BAF"/>
    <w:rsid w:val="002633CA"/>
    <w:rsid w:val="002634F9"/>
    <w:rsid w:val="002644F5"/>
    <w:rsid w:val="00264CB9"/>
    <w:rsid w:val="002650F7"/>
    <w:rsid w:val="00266018"/>
    <w:rsid w:val="00267BA5"/>
    <w:rsid w:val="0027051F"/>
    <w:rsid w:val="002731C3"/>
    <w:rsid w:val="002733CD"/>
    <w:rsid w:val="0027471C"/>
    <w:rsid w:val="00277143"/>
    <w:rsid w:val="002803F3"/>
    <w:rsid w:val="00280CF7"/>
    <w:rsid w:val="00280F74"/>
    <w:rsid w:val="00281846"/>
    <w:rsid w:val="00284E0D"/>
    <w:rsid w:val="00286998"/>
    <w:rsid w:val="002874CC"/>
    <w:rsid w:val="00290320"/>
    <w:rsid w:val="00290657"/>
    <w:rsid w:val="002912E8"/>
    <w:rsid w:val="002957DE"/>
    <w:rsid w:val="00296115"/>
    <w:rsid w:val="00297320"/>
    <w:rsid w:val="002A149F"/>
    <w:rsid w:val="002A1CB5"/>
    <w:rsid w:val="002A3124"/>
    <w:rsid w:val="002A5261"/>
    <w:rsid w:val="002B05F7"/>
    <w:rsid w:val="002B0F2F"/>
    <w:rsid w:val="002B153C"/>
    <w:rsid w:val="002B76D0"/>
    <w:rsid w:val="002C2320"/>
    <w:rsid w:val="002C45B0"/>
    <w:rsid w:val="002C6064"/>
    <w:rsid w:val="002C6A05"/>
    <w:rsid w:val="002C7285"/>
    <w:rsid w:val="002C7362"/>
    <w:rsid w:val="002C75D9"/>
    <w:rsid w:val="002C77AF"/>
    <w:rsid w:val="002D1801"/>
    <w:rsid w:val="002D237A"/>
    <w:rsid w:val="002D3129"/>
    <w:rsid w:val="002D317B"/>
    <w:rsid w:val="002D6BF5"/>
    <w:rsid w:val="002D70F3"/>
    <w:rsid w:val="002E05CA"/>
    <w:rsid w:val="002E0F69"/>
    <w:rsid w:val="002E14DF"/>
    <w:rsid w:val="002E14E1"/>
    <w:rsid w:val="002E184D"/>
    <w:rsid w:val="002E1FAD"/>
    <w:rsid w:val="002E44D1"/>
    <w:rsid w:val="002E572E"/>
    <w:rsid w:val="002E7941"/>
    <w:rsid w:val="002F047D"/>
    <w:rsid w:val="002F35DC"/>
    <w:rsid w:val="002F55F2"/>
    <w:rsid w:val="002F56DD"/>
    <w:rsid w:val="002F5E6C"/>
    <w:rsid w:val="002F6CE5"/>
    <w:rsid w:val="002F7070"/>
    <w:rsid w:val="0030018C"/>
    <w:rsid w:val="00301BCC"/>
    <w:rsid w:val="0030201A"/>
    <w:rsid w:val="00302C0A"/>
    <w:rsid w:val="00303724"/>
    <w:rsid w:val="003051CC"/>
    <w:rsid w:val="00306B7E"/>
    <w:rsid w:val="00307981"/>
    <w:rsid w:val="00311D97"/>
    <w:rsid w:val="00312597"/>
    <w:rsid w:val="003125FB"/>
    <w:rsid w:val="003139A4"/>
    <w:rsid w:val="003141DF"/>
    <w:rsid w:val="00326699"/>
    <w:rsid w:val="0033173E"/>
    <w:rsid w:val="00331B8E"/>
    <w:rsid w:val="0033207E"/>
    <w:rsid w:val="00333036"/>
    <w:rsid w:val="003331DA"/>
    <w:rsid w:val="00334334"/>
    <w:rsid w:val="00335F89"/>
    <w:rsid w:val="0034120C"/>
    <w:rsid w:val="003412ED"/>
    <w:rsid w:val="00341585"/>
    <w:rsid w:val="00342938"/>
    <w:rsid w:val="00343F24"/>
    <w:rsid w:val="00346019"/>
    <w:rsid w:val="003477DF"/>
    <w:rsid w:val="00350DC8"/>
    <w:rsid w:val="00353D56"/>
    <w:rsid w:val="003554B8"/>
    <w:rsid w:val="00355575"/>
    <w:rsid w:val="003555BF"/>
    <w:rsid w:val="0036223B"/>
    <w:rsid w:val="0036252A"/>
    <w:rsid w:val="003646BF"/>
    <w:rsid w:val="00364D9D"/>
    <w:rsid w:val="003668AB"/>
    <w:rsid w:val="00371603"/>
    <w:rsid w:val="0037209D"/>
    <w:rsid w:val="003735B9"/>
    <w:rsid w:val="003737A8"/>
    <w:rsid w:val="0037461E"/>
    <w:rsid w:val="00374748"/>
    <w:rsid w:val="00381DEB"/>
    <w:rsid w:val="00383906"/>
    <w:rsid w:val="00383DA1"/>
    <w:rsid w:val="00387E90"/>
    <w:rsid w:val="003912B4"/>
    <w:rsid w:val="0039160C"/>
    <w:rsid w:val="00392007"/>
    <w:rsid w:val="0039660F"/>
    <w:rsid w:val="0039741E"/>
    <w:rsid w:val="0039744C"/>
    <w:rsid w:val="00397C46"/>
    <w:rsid w:val="003A06C8"/>
    <w:rsid w:val="003A0D7C"/>
    <w:rsid w:val="003A1E73"/>
    <w:rsid w:val="003A32D7"/>
    <w:rsid w:val="003A38B2"/>
    <w:rsid w:val="003A41B5"/>
    <w:rsid w:val="003A65E8"/>
    <w:rsid w:val="003A74F5"/>
    <w:rsid w:val="003A7CA6"/>
    <w:rsid w:val="003B40BE"/>
    <w:rsid w:val="003B4CB4"/>
    <w:rsid w:val="003B518B"/>
    <w:rsid w:val="003B58E3"/>
    <w:rsid w:val="003B7612"/>
    <w:rsid w:val="003B7EE7"/>
    <w:rsid w:val="003C18C0"/>
    <w:rsid w:val="003C5BF4"/>
    <w:rsid w:val="003C6ADC"/>
    <w:rsid w:val="003C7467"/>
    <w:rsid w:val="003D244F"/>
    <w:rsid w:val="003D39EC"/>
    <w:rsid w:val="003D3E27"/>
    <w:rsid w:val="003D5452"/>
    <w:rsid w:val="003D6943"/>
    <w:rsid w:val="003D78F6"/>
    <w:rsid w:val="003E0D8B"/>
    <w:rsid w:val="003E3DD5"/>
    <w:rsid w:val="003E55D6"/>
    <w:rsid w:val="003E6FCE"/>
    <w:rsid w:val="003E713E"/>
    <w:rsid w:val="003E7BF8"/>
    <w:rsid w:val="003E7ECF"/>
    <w:rsid w:val="003F0833"/>
    <w:rsid w:val="003F0B8C"/>
    <w:rsid w:val="003F1ECD"/>
    <w:rsid w:val="003F2C0B"/>
    <w:rsid w:val="003F350F"/>
    <w:rsid w:val="003F44B7"/>
    <w:rsid w:val="003F44C7"/>
    <w:rsid w:val="003F75A0"/>
    <w:rsid w:val="00400F1C"/>
    <w:rsid w:val="004016D1"/>
    <w:rsid w:val="0040306E"/>
    <w:rsid w:val="00404B4E"/>
    <w:rsid w:val="00406AF7"/>
    <w:rsid w:val="004075F2"/>
    <w:rsid w:val="00410DE8"/>
    <w:rsid w:val="00411100"/>
    <w:rsid w:val="004111DA"/>
    <w:rsid w:val="00412635"/>
    <w:rsid w:val="00413D48"/>
    <w:rsid w:val="004213B0"/>
    <w:rsid w:val="00422FEE"/>
    <w:rsid w:val="00430CBE"/>
    <w:rsid w:val="004374FA"/>
    <w:rsid w:val="00441AC2"/>
    <w:rsid w:val="004425A0"/>
    <w:rsid w:val="00444592"/>
    <w:rsid w:val="00445FEE"/>
    <w:rsid w:val="0044678E"/>
    <w:rsid w:val="004469C1"/>
    <w:rsid w:val="00447E60"/>
    <w:rsid w:val="0045061E"/>
    <w:rsid w:val="004510AC"/>
    <w:rsid w:val="004520E4"/>
    <w:rsid w:val="004528F1"/>
    <w:rsid w:val="00452BCD"/>
    <w:rsid w:val="00453A1E"/>
    <w:rsid w:val="00454EC1"/>
    <w:rsid w:val="00456A79"/>
    <w:rsid w:val="00456B63"/>
    <w:rsid w:val="0046002C"/>
    <w:rsid w:val="00460E7F"/>
    <w:rsid w:val="0046218D"/>
    <w:rsid w:val="00463FDE"/>
    <w:rsid w:val="0046457D"/>
    <w:rsid w:val="00465138"/>
    <w:rsid w:val="004655AB"/>
    <w:rsid w:val="004659CD"/>
    <w:rsid w:val="00467D2E"/>
    <w:rsid w:val="00470830"/>
    <w:rsid w:val="004726E9"/>
    <w:rsid w:val="00473B74"/>
    <w:rsid w:val="00476808"/>
    <w:rsid w:val="00476C91"/>
    <w:rsid w:val="0048181B"/>
    <w:rsid w:val="00483F0B"/>
    <w:rsid w:val="00484913"/>
    <w:rsid w:val="00486000"/>
    <w:rsid w:val="004867E2"/>
    <w:rsid w:val="00487527"/>
    <w:rsid w:val="00492A5E"/>
    <w:rsid w:val="004956ED"/>
    <w:rsid w:val="004A5672"/>
    <w:rsid w:val="004A5F55"/>
    <w:rsid w:val="004A7BAF"/>
    <w:rsid w:val="004B02EC"/>
    <w:rsid w:val="004B1DF4"/>
    <w:rsid w:val="004B30C6"/>
    <w:rsid w:val="004B5465"/>
    <w:rsid w:val="004B68F5"/>
    <w:rsid w:val="004B7506"/>
    <w:rsid w:val="004C1744"/>
    <w:rsid w:val="004C4242"/>
    <w:rsid w:val="004C6647"/>
    <w:rsid w:val="004C7FE0"/>
    <w:rsid w:val="004D07B2"/>
    <w:rsid w:val="004D106D"/>
    <w:rsid w:val="004D1C3B"/>
    <w:rsid w:val="004D2AB0"/>
    <w:rsid w:val="004D2E94"/>
    <w:rsid w:val="004D372F"/>
    <w:rsid w:val="004D403F"/>
    <w:rsid w:val="004D4757"/>
    <w:rsid w:val="004D5643"/>
    <w:rsid w:val="004D6440"/>
    <w:rsid w:val="004E022E"/>
    <w:rsid w:val="004E13BE"/>
    <w:rsid w:val="004E271E"/>
    <w:rsid w:val="004E32F0"/>
    <w:rsid w:val="004E4EE9"/>
    <w:rsid w:val="004E60C0"/>
    <w:rsid w:val="004E7715"/>
    <w:rsid w:val="004F24F9"/>
    <w:rsid w:val="004F252B"/>
    <w:rsid w:val="004F391C"/>
    <w:rsid w:val="004F4285"/>
    <w:rsid w:val="004F5098"/>
    <w:rsid w:val="004F680B"/>
    <w:rsid w:val="004F6950"/>
    <w:rsid w:val="005000BD"/>
    <w:rsid w:val="00502AF4"/>
    <w:rsid w:val="00504EC6"/>
    <w:rsid w:val="005059B4"/>
    <w:rsid w:val="00505E80"/>
    <w:rsid w:val="00507B8D"/>
    <w:rsid w:val="00510633"/>
    <w:rsid w:val="00512A53"/>
    <w:rsid w:val="00513024"/>
    <w:rsid w:val="00514729"/>
    <w:rsid w:val="005150FC"/>
    <w:rsid w:val="0051515E"/>
    <w:rsid w:val="00516022"/>
    <w:rsid w:val="005166D1"/>
    <w:rsid w:val="00521CEE"/>
    <w:rsid w:val="00523F8B"/>
    <w:rsid w:val="00524D65"/>
    <w:rsid w:val="00526E66"/>
    <w:rsid w:val="00526EC4"/>
    <w:rsid w:val="00530233"/>
    <w:rsid w:val="00532172"/>
    <w:rsid w:val="00532596"/>
    <w:rsid w:val="00533EDA"/>
    <w:rsid w:val="00534880"/>
    <w:rsid w:val="0053789D"/>
    <w:rsid w:val="005415F2"/>
    <w:rsid w:val="005452CC"/>
    <w:rsid w:val="005466EF"/>
    <w:rsid w:val="005469CE"/>
    <w:rsid w:val="005477C5"/>
    <w:rsid w:val="00547CB3"/>
    <w:rsid w:val="005505A1"/>
    <w:rsid w:val="005506A2"/>
    <w:rsid w:val="005530A7"/>
    <w:rsid w:val="005546E2"/>
    <w:rsid w:val="00554727"/>
    <w:rsid w:val="005553AD"/>
    <w:rsid w:val="005557A8"/>
    <w:rsid w:val="00556D2C"/>
    <w:rsid w:val="0055776D"/>
    <w:rsid w:val="005607C4"/>
    <w:rsid w:val="005624A7"/>
    <w:rsid w:val="0056454C"/>
    <w:rsid w:val="005652E2"/>
    <w:rsid w:val="00573041"/>
    <w:rsid w:val="0057402A"/>
    <w:rsid w:val="005749A5"/>
    <w:rsid w:val="00584568"/>
    <w:rsid w:val="005903FB"/>
    <w:rsid w:val="00593255"/>
    <w:rsid w:val="005936CB"/>
    <w:rsid w:val="00593B69"/>
    <w:rsid w:val="005943F9"/>
    <w:rsid w:val="0059530B"/>
    <w:rsid w:val="0059680A"/>
    <w:rsid w:val="00597340"/>
    <w:rsid w:val="00597477"/>
    <w:rsid w:val="005A03A3"/>
    <w:rsid w:val="005A1D89"/>
    <w:rsid w:val="005A463A"/>
    <w:rsid w:val="005A6ADB"/>
    <w:rsid w:val="005A79E3"/>
    <w:rsid w:val="005B0ADD"/>
    <w:rsid w:val="005B36E0"/>
    <w:rsid w:val="005B4F97"/>
    <w:rsid w:val="005B6A16"/>
    <w:rsid w:val="005B77E3"/>
    <w:rsid w:val="005C164B"/>
    <w:rsid w:val="005C1A3A"/>
    <w:rsid w:val="005C22DD"/>
    <w:rsid w:val="005C3FE0"/>
    <w:rsid w:val="005C400C"/>
    <w:rsid w:val="005C4A83"/>
    <w:rsid w:val="005C5C0F"/>
    <w:rsid w:val="005C7308"/>
    <w:rsid w:val="005C740C"/>
    <w:rsid w:val="005C79BA"/>
    <w:rsid w:val="005D0300"/>
    <w:rsid w:val="005D25EE"/>
    <w:rsid w:val="005D3322"/>
    <w:rsid w:val="005D6886"/>
    <w:rsid w:val="005E25D4"/>
    <w:rsid w:val="005E6236"/>
    <w:rsid w:val="005F0E31"/>
    <w:rsid w:val="005F23DB"/>
    <w:rsid w:val="005F2F08"/>
    <w:rsid w:val="005F3C85"/>
    <w:rsid w:val="005F431D"/>
    <w:rsid w:val="005F4FE7"/>
    <w:rsid w:val="005F55C9"/>
    <w:rsid w:val="005F6F0B"/>
    <w:rsid w:val="00600777"/>
    <w:rsid w:val="00600DBE"/>
    <w:rsid w:val="00602145"/>
    <w:rsid w:val="00604859"/>
    <w:rsid w:val="006048F4"/>
    <w:rsid w:val="00604F46"/>
    <w:rsid w:val="006064E1"/>
    <w:rsid w:val="0060660A"/>
    <w:rsid w:val="00610AAA"/>
    <w:rsid w:val="00611CB0"/>
    <w:rsid w:val="00612294"/>
    <w:rsid w:val="006123B1"/>
    <w:rsid w:val="00613D07"/>
    <w:rsid w:val="006144B7"/>
    <w:rsid w:val="0061509D"/>
    <w:rsid w:val="006154C6"/>
    <w:rsid w:val="00615DAA"/>
    <w:rsid w:val="00617313"/>
    <w:rsid w:val="00617A44"/>
    <w:rsid w:val="00625CD0"/>
    <w:rsid w:val="00625EB1"/>
    <w:rsid w:val="00626FC4"/>
    <w:rsid w:val="006271BD"/>
    <w:rsid w:val="00627A86"/>
    <w:rsid w:val="006316B8"/>
    <w:rsid w:val="00631889"/>
    <w:rsid w:val="00632896"/>
    <w:rsid w:val="006329A1"/>
    <w:rsid w:val="0063304D"/>
    <w:rsid w:val="00633D2B"/>
    <w:rsid w:val="00634A3C"/>
    <w:rsid w:val="00635DE3"/>
    <w:rsid w:val="00636AFD"/>
    <w:rsid w:val="00645EC4"/>
    <w:rsid w:val="006469F6"/>
    <w:rsid w:val="00646E47"/>
    <w:rsid w:val="00651441"/>
    <w:rsid w:val="006522A0"/>
    <w:rsid w:val="0065281C"/>
    <w:rsid w:val="0065433A"/>
    <w:rsid w:val="006565D2"/>
    <w:rsid w:val="006569DB"/>
    <w:rsid w:val="00656C96"/>
    <w:rsid w:val="00657247"/>
    <w:rsid w:val="006614C4"/>
    <w:rsid w:val="00661591"/>
    <w:rsid w:val="00662125"/>
    <w:rsid w:val="00662278"/>
    <w:rsid w:val="006629FA"/>
    <w:rsid w:val="00663E9A"/>
    <w:rsid w:val="0066632F"/>
    <w:rsid w:val="006665E1"/>
    <w:rsid w:val="00667BAB"/>
    <w:rsid w:val="0067057E"/>
    <w:rsid w:val="00670DD3"/>
    <w:rsid w:val="006711DA"/>
    <w:rsid w:val="0067329B"/>
    <w:rsid w:val="00676FCE"/>
    <w:rsid w:val="0068182A"/>
    <w:rsid w:val="00681B2D"/>
    <w:rsid w:val="00682AFC"/>
    <w:rsid w:val="0069047B"/>
    <w:rsid w:val="00690DCA"/>
    <w:rsid w:val="00691046"/>
    <w:rsid w:val="00692E7B"/>
    <w:rsid w:val="0069317D"/>
    <w:rsid w:val="006956A1"/>
    <w:rsid w:val="0069702B"/>
    <w:rsid w:val="006A4DB5"/>
    <w:rsid w:val="006A52D6"/>
    <w:rsid w:val="006A5B81"/>
    <w:rsid w:val="006A6FA2"/>
    <w:rsid w:val="006A73B3"/>
    <w:rsid w:val="006A78DD"/>
    <w:rsid w:val="006B021E"/>
    <w:rsid w:val="006B03AF"/>
    <w:rsid w:val="006B0D67"/>
    <w:rsid w:val="006B2292"/>
    <w:rsid w:val="006B329D"/>
    <w:rsid w:val="006B3A5E"/>
    <w:rsid w:val="006C1EB0"/>
    <w:rsid w:val="006C2535"/>
    <w:rsid w:val="006C3A41"/>
    <w:rsid w:val="006C5413"/>
    <w:rsid w:val="006C65A1"/>
    <w:rsid w:val="006C6C62"/>
    <w:rsid w:val="006D3256"/>
    <w:rsid w:val="006D3813"/>
    <w:rsid w:val="006D46E9"/>
    <w:rsid w:val="006D4B0D"/>
    <w:rsid w:val="006D5DC2"/>
    <w:rsid w:val="006D60B4"/>
    <w:rsid w:val="006D75E1"/>
    <w:rsid w:val="006E263E"/>
    <w:rsid w:val="006E3546"/>
    <w:rsid w:val="006E38C3"/>
    <w:rsid w:val="006E4D97"/>
    <w:rsid w:val="006E7216"/>
    <w:rsid w:val="006F0F93"/>
    <w:rsid w:val="006F17B6"/>
    <w:rsid w:val="006F35FA"/>
    <w:rsid w:val="00703AEF"/>
    <w:rsid w:val="00704CCA"/>
    <w:rsid w:val="0070543F"/>
    <w:rsid w:val="00705BC0"/>
    <w:rsid w:val="00705C87"/>
    <w:rsid w:val="00707E10"/>
    <w:rsid w:val="00707EA6"/>
    <w:rsid w:val="00710978"/>
    <w:rsid w:val="00713044"/>
    <w:rsid w:val="00713F74"/>
    <w:rsid w:val="007146F0"/>
    <w:rsid w:val="00715237"/>
    <w:rsid w:val="00715F39"/>
    <w:rsid w:val="00716F76"/>
    <w:rsid w:val="00720573"/>
    <w:rsid w:val="0072120E"/>
    <w:rsid w:val="00722F4B"/>
    <w:rsid w:val="007230FA"/>
    <w:rsid w:val="00724101"/>
    <w:rsid w:val="00724B04"/>
    <w:rsid w:val="007254A5"/>
    <w:rsid w:val="00725748"/>
    <w:rsid w:val="00730D14"/>
    <w:rsid w:val="00734374"/>
    <w:rsid w:val="00735496"/>
    <w:rsid w:val="00736D0D"/>
    <w:rsid w:val="0073720D"/>
    <w:rsid w:val="007402E0"/>
    <w:rsid w:val="007418AE"/>
    <w:rsid w:val="00742AB9"/>
    <w:rsid w:val="00743337"/>
    <w:rsid w:val="00743F09"/>
    <w:rsid w:val="00746658"/>
    <w:rsid w:val="00750A91"/>
    <w:rsid w:val="00750E82"/>
    <w:rsid w:val="00751CF9"/>
    <w:rsid w:val="0075240B"/>
    <w:rsid w:val="0075368B"/>
    <w:rsid w:val="00754176"/>
    <w:rsid w:val="00754666"/>
    <w:rsid w:val="00754FBF"/>
    <w:rsid w:val="00756754"/>
    <w:rsid w:val="00757005"/>
    <w:rsid w:val="0076016D"/>
    <w:rsid w:val="007606CE"/>
    <w:rsid w:val="0076380F"/>
    <w:rsid w:val="0077029E"/>
    <w:rsid w:val="0077048E"/>
    <w:rsid w:val="00770864"/>
    <w:rsid w:val="007724AB"/>
    <w:rsid w:val="00774B22"/>
    <w:rsid w:val="00775344"/>
    <w:rsid w:val="00775D8A"/>
    <w:rsid w:val="007777DF"/>
    <w:rsid w:val="00781CED"/>
    <w:rsid w:val="007831C7"/>
    <w:rsid w:val="00783559"/>
    <w:rsid w:val="00783B2B"/>
    <w:rsid w:val="0078554C"/>
    <w:rsid w:val="00785F18"/>
    <w:rsid w:val="00786500"/>
    <w:rsid w:val="00786645"/>
    <w:rsid w:val="00786698"/>
    <w:rsid w:val="0079029D"/>
    <w:rsid w:val="00797FB1"/>
    <w:rsid w:val="007A3BEE"/>
    <w:rsid w:val="007A4105"/>
    <w:rsid w:val="007A474C"/>
    <w:rsid w:val="007B0280"/>
    <w:rsid w:val="007B163C"/>
    <w:rsid w:val="007B2BC2"/>
    <w:rsid w:val="007B54BC"/>
    <w:rsid w:val="007B6E9D"/>
    <w:rsid w:val="007C0CE8"/>
    <w:rsid w:val="007C406E"/>
    <w:rsid w:val="007C66A9"/>
    <w:rsid w:val="007C7F09"/>
    <w:rsid w:val="007D08AB"/>
    <w:rsid w:val="007D135D"/>
    <w:rsid w:val="007D25B4"/>
    <w:rsid w:val="007D2C22"/>
    <w:rsid w:val="007D4803"/>
    <w:rsid w:val="007D5658"/>
    <w:rsid w:val="007D6565"/>
    <w:rsid w:val="007D6C15"/>
    <w:rsid w:val="007E1149"/>
    <w:rsid w:val="007E2C0D"/>
    <w:rsid w:val="007E33F7"/>
    <w:rsid w:val="007E435C"/>
    <w:rsid w:val="007E6BE6"/>
    <w:rsid w:val="007E7476"/>
    <w:rsid w:val="007F100C"/>
    <w:rsid w:val="007F428E"/>
    <w:rsid w:val="007F74ED"/>
    <w:rsid w:val="007F7731"/>
    <w:rsid w:val="0080096E"/>
    <w:rsid w:val="008050E6"/>
    <w:rsid w:val="00807805"/>
    <w:rsid w:val="00810CFA"/>
    <w:rsid w:val="00811392"/>
    <w:rsid w:val="00811983"/>
    <w:rsid w:val="00812028"/>
    <w:rsid w:val="00814D03"/>
    <w:rsid w:val="0081537D"/>
    <w:rsid w:val="00816074"/>
    <w:rsid w:val="00820F4D"/>
    <w:rsid w:val="00821C4F"/>
    <w:rsid w:val="00824629"/>
    <w:rsid w:val="0083178B"/>
    <w:rsid w:val="00832311"/>
    <w:rsid w:val="00833695"/>
    <w:rsid w:val="00834F99"/>
    <w:rsid w:val="008364EF"/>
    <w:rsid w:val="00836F35"/>
    <w:rsid w:val="0083788B"/>
    <w:rsid w:val="00837C66"/>
    <w:rsid w:val="008407B5"/>
    <w:rsid w:val="00842A21"/>
    <w:rsid w:val="00842CD8"/>
    <w:rsid w:val="00850A26"/>
    <w:rsid w:val="008517DE"/>
    <w:rsid w:val="00851BC3"/>
    <w:rsid w:val="008520D8"/>
    <w:rsid w:val="008525B2"/>
    <w:rsid w:val="008530B2"/>
    <w:rsid w:val="008553C7"/>
    <w:rsid w:val="00857770"/>
    <w:rsid w:val="00857FEB"/>
    <w:rsid w:val="00860B95"/>
    <w:rsid w:val="008616E0"/>
    <w:rsid w:val="00862050"/>
    <w:rsid w:val="008624AD"/>
    <w:rsid w:val="008624F0"/>
    <w:rsid w:val="008646B0"/>
    <w:rsid w:val="00864B45"/>
    <w:rsid w:val="008666D2"/>
    <w:rsid w:val="00871B05"/>
    <w:rsid w:val="008720EB"/>
    <w:rsid w:val="008735BA"/>
    <w:rsid w:val="00873E5C"/>
    <w:rsid w:val="008753FC"/>
    <w:rsid w:val="008777AA"/>
    <w:rsid w:val="008802A6"/>
    <w:rsid w:val="00880A18"/>
    <w:rsid w:val="008812FB"/>
    <w:rsid w:val="00882814"/>
    <w:rsid w:val="00886E97"/>
    <w:rsid w:val="00891692"/>
    <w:rsid w:val="00892002"/>
    <w:rsid w:val="008934AE"/>
    <w:rsid w:val="008934E6"/>
    <w:rsid w:val="008A46A9"/>
    <w:rsid w:val="008A5A3F"/>
    <w:rsid w:val="008A702B"/>
    <w:rsid w:val="008A7174"/>
    <w:rsid w:val="008B1BE5"/>
    <w:rsid w:val="008B378C"/>
    <w:rsid w:val="008B3929"/>
    <w:rsid w:val="008B3C2F"/>
    <w:rsid w:val="008B4118"/>
    <w:rsid w:val="008B4208"/>
    <w:rsid w:val="008B45D6"/>
    <w:rsid w:val="008B4CB3"/>
    <w:rsid w:val="008B54B2"/>
    <w:rsid w:val="008B731A"/>
    <w:rsid w:val="008C1C96"/>
    <w:rsid w:val="008C2425"/>
    <w:rsid w:val="008C2444"/>
    <w:rsid w:val="008C3F57"/>
    <w:rsid w:val="008C46FD"/>
    <w:rsid w:val="008C5B1C"/>
    <w:rsid w:val="008C67AF"/>
    <w:rsid w:val="008C78FD"/>
    <w:rsid w:val="008C7F9E"/>
    <w:rsid w:val="008D0EBE"/>
    <w:rsid w:val="008D2355"/>
    <w:rsid w:val="008D3CEA"/>
    <w:rsid w:val="008D5B01"/>
    <w:rsid w:val="008E1C34"/>
    <w:rsid w:val="008E22BC"/>
    <w:rsid w:val="008E35E2"/>
    <w:rsid w:val="008E5F59"/>
    <w:rsid w:val="008E7AC3"/>
    <w:rsid w:val="008F0C84"/>
    <w:rsid w:val="008F1B70"/>
    <w:rsid w:val="008F2143"/>
    <w:rsid w:val="008F4A8D"/>
    <w:rsid w:val="00901121"/>
    <w:rsid w:val="00901DEF"/>
    <w:rsid w:val="00902FF2"/>
    <w:rsid w:val="00905B6D"/>
    <w:rsid w:val="0090647C"/>
    <w:rsid w:val="0090651A"/>
    <w:rsid w:val="00910642"/>
    <w:rsid w:val="009160BB"/>
    <w:rsid w:val="009166AD"/>
    <w:rsid w:val="00917821"/>
    <w:rsid w:val="00917BAC"/>
    <w:rsid w:val="00921A22"/>
    <w:rsid w:val="009311C8"/>
    <w:rsid w:val="00933376"/>
    <w:rsid w:val="009336FC"/>
    <w:rsid w:val="00937CE6"/>
    <w:rsid w:val="00940C5F"/>
    <w:rsid w:val="00942355"/>
    <w:rsid w:val="00943F25"/>
    <w:rsid w:val="00944F01"/>
    <w:rsid w:val="00946D29"/>
    <w:rsid w:val="00947E41"/>
    <w:rsid w:val="0095050D"/>
    <w:rsid w:val="009513C2"/>
    <w:rsid w:val="0095259F"/>
    <w:rsid w:val="009534EF"/>
    <w:rsid w:val="0095352B"/>
    <w:rsid w:val="00955A7F"/>
    <w:rsid w:val="0095748C"/>
    <w:rsid w:val="0096143B"/>
    <w:rsid w:val="00961C28"/>
    <w:rsid w:val="00961FA7"/>
    <w:rsid w:val="009627A5"/>
    <w:rsid w:val="00962C56"/>
    <w:rsid w:val="00964BBF"/>
    <w:rsid w:val="00964F30"/>
    <w:rsid w:val="009668DE"/>
    <w:rsid w:val="00967346"/>
    <w:rsid w:val="009711D9"/>
    <w:rsid w:val="009718F9"/>
    <w:rsid w:val="00975112"/>
    <w:rsid w:val="00975202"/>
    <w:rsid w:val="009753D7"/>
    <w:rsid w:val="00975AB3"/>
    <w:rsid w:val="00975F50"/>
    <w:rsid w:val="00977002"/>
    <w:rsid w:val="009774C4"/>
    <w:rsid w:val="009811DF"/>
    <w:rsid w:val="00982B90"/>
    <w:rsid w:val="00982E82"/>
    <w:rsid w:val="00983333"/>
    <w:rsid w:val="00983A7C"/>
    <w:rsid w:val="00984D7B"/>
    <w:rsid w:val="0099091E"/>
    <w:rsid w:val="00991B5F"/>
    <w:rsid w:val="00991C2E"/>
    <w:rsid w:val="00997999"/>
    <w:rsid w:val="009A0347"/>
    <w:rsid w:val="009A0FF6"/>
    <w:rsid w:val="009A15FA"/>
    <w:rsid w:val="009A342B"/>
    <w:rsid w:val="009A3B71"/>
    <w:rsid w:val="009A3CA0"/>
    <w:rsid w:val="009A542C"/>
    <w:rsid w:val="009A61BC"/>
    <w:rsid w:val="009A6527"/>
    <w:rsid w:val="009A676D"/>
    <w:rsid w:val="009A727A"/>
    <w:rsid w:val="009B1466"/>
    <w:rsid w:val="009B24B7"/>
    <w:rsid w:val="009B41E7"/>
    <w:rsid w:val="009B424D"/>
    <w:rsid w:val="009B57FB"/>
    <w:rsid w:val="009B7709"/>
    <w:rsid w:val="009C1AC6"/>
    <w:rsid w:val="009C1C75"/>
    <w:rsid w:val="009C37AE"/>
    <w:rsid w:val="009C42BC"/>
    <w:rsid w:val="009C4AAC"/>
    <w:rsid w:val="009C4F04"/>
    <w:rsid w:val="009C692B"/>
    <w:rsid w:val="009D277F"/>
    <w:rsid w:val="009D7120"/>
    <w:rsid w:val="009D7DFA"/>
    <w:rsid w:val="009E0144"/>
    <w:rsid w:val="009E042D"/>
    <w:rsid w:val="009E1B8B"/>
    <w:rsid w:val="009E2074"/>
    <w:rsid w:val="009E37E6"/>
    <w:rsid w:val="009E584D"/>
    <w:rsid w:val="009E6427"/>
    <w:rsid w:val="009E71C1"/>
    <w:rsid w:val="009F3851"/>
    <w:rsid w:val="00A02980"/>
    <w:rsid w:val="00A043B4"/>
    <w:rsid w:val="00A06827"/>
    <w:rsid w:val="00A07737"/>
    <w:rsid w:val="00A07D00"/>
    <w:rsid w:val="00A10614"/>
    <w:rsid w:val="00A10E98"/>
    <w:rsid w:val="00A12458"/>
    <w:rsid w:val="00A140D0"/>
    <w:rsid w:val="00A149C1"/>
    <w:rsid w:val="00A14A93"/>
    <w:rsid w:val="00A167EA"/>
    <w:rsid w:val="00A2172A"/>
    <w:rsid w:val="00A21B3B"/>
    <w:rsid w:val="00A2455B"/>
    <w:rsid w:val="00A245B7"/>
    <w:rsid w:val="00A25B4A"/>
    <w:rsid w:val="00A26B22"/>
    <w:rsid w:val="00A27328"/>
    <w:rsid w:val="00A277F9"/>
    <w:rsid w:val="00A30E68"/>
    <w:rsid w:val="00A31885"/>
    <w:rsid w:val="00A34AA0"/>
    <w:rsid w:val="00A35B30"/>
    <w:rsid w:val="00A373C4"/>
    <w:rsid w:val="00A37B8E"/>
    <w:rsid w:val="00A41EFC"/>
    <w:rsid w:val="00A42690"/>
    <w:rsid w:val="00A4371E"/>
    <w:rsid w:val="00A47733"/>
    <w:rsid w:val="00A511CD"/>
    <w:rsid w:val="00A56946"/>
    <w:rsid w:val="00A578D8"/>
    <w:rsid w:val="00A61759"/>
    <w:rsid w:val="00A64A23"/>
    <w:rsid w:val="00A65FF9"/>
    <w:rsid w:val="00A666DC"/>
    <w:rsid w:val="00A70E93"/>
    <w:rsid w:val="00A74DEC"/>
    <w:rsid w:val="00A757AB"/>
    <w:rsid w:val="00A76D10"/>
    <w:rsid w:val="00A76DC7"/>
    <w:rsid w:val="00A77D7A"/>
    <w:rsid w:val="00A84B60"/>
    <w:rsid w:val="00A84E68"/>
    <w:rsid w:val="00A84F62"/>
    <w:rsid w:val="00A8630D"/>
    <w:rsid w:val="00A87B6C"/>
    <w:rsid w:val="00A908F9"/>
    <w:rsid w:val="00A91B1B"/>
    <w:rsid w:val="00A91D6C"/>
    <w:rsid w:val="00A9351D"/>
    <w:rsid w:val="00A94A09"/>
    <w:rsid w:val="00A967EE"/>
    <w:rsid w:val="00AA4277"/>
    <w:rsid w:val="00AA4D58"/>
    <w:rsid w:val="00AA5B94"/>
    <w:rsid w:val="00AA6265"/>
    <w:rsid w:val="00AA6C30"/>
    <w:rsid w:val="00AB0459"/>
    <w:rsid w:val="00AB436C"/>
    <w:rsid w:val="00AB4880"/>
    <w:rsid w:val="00AB5963"/>
    <w:rsid w:val="00AB762B"/>
    <w:rsid w:val="00AB78E0"/>
    <w:rsid w:val="00AC0810"/>
    <w:rsid w:val="00AC0B3D"/>
    <w:rsid w:val="00AC1ED1"/>
    <w:rsid w:val="00AC211D"/>
    <w:rsid w:val="00AC3701"/>
    <w:rsid w:val="00AC49D8"/>
    <w:rsid w:val="00AC523C"/>
    <w:rsid w:val="00AC567F"/>
    <w:rsid w:val="00AD0CCB"/>
    <w:rsid w:val="00AD161E"/>
    <w:rsid w:val="00AD24CE"/>
    <w:rsid w:val="00AD279E"/>
    <w:rsid w:val="00AD2B89"/>
    <w:rsid w:val="00AD3A3C"/>
    <w:rsid w:val="00AD460B"/>
    <w:rsid w:val="00AD5C2E"/>
    <w:rsid w:val="00AE11B7"/>
    <w:rsid w:val="00AE1D85"/>
    <w:rsid w:val="00AE4E07"/>
    <w:rsid w:val="00AE5230"/>
    <w:rsid w:val="00AE5901"/>
    <w:rsid w:val="00AE77B6"/>
    <w:rsid w:val="00AF0612"/>
    <w:rsid w:val="00AF0888"/>
    <w:rsid w:val="00AF0F29"/>
    <w:rsid w:val="00AF19A2"/>
    <w:rsid w:val="00AF2170"/>
    <w:rsid w:val="00AF36B0"/>
    <w:rsid w:val="00AF612D"/>
    <w:rsid w:val="00AF7F47"/>
    <w:rsid w:val="00B00A55"/>
    <w:rsid w:val="00B00D45"/>
    <w:rsid w:val="00B00F22"/>
    <w:rsid w:val="00B06444"/>
    <w:rsid w:val="00B0686B"/>
    <w:rsid w:val="00B06C4D"/>
    <w:rsid w:val="00B06D4B"/>
    <w:rsid w:val="00B201ED"/>
    <w:rsid w:val="00B214B2"/>
    <w:rsid w:val="00B23249"/>
    <w:rsid w:val="00B24584"/>
    <w:rsid w:val="00B24C4A"/>
    <w:rsid w:val="00B25CD9"/>
    <w:rsid w:val="00B26CCF"/>
    <w:rsid w:val="00B30004"/>
    <w:rsid w:val="00B30353"/>
    <w:rsid w:val="00B316B9"/>
    <w:rsid w:val="00B34C1E"/>
    <w:rsid w:val="00B35331"/>
    <w:rsid w:val="00B35DD4"/>
    <w:rsid w:val="00B36546"/>
    <w:rsid w:val="00B424BA"/>
    <w:rsid w:val="00B464BB"/>
    <w:rsid w:val="00B51544"/>
    <w:rsid w:val="00B531DD"/>
    <w:rsid w:val="00B5342E"/>
    <w:rsid w:val="00B54564"/>
    <w:rsid w:val="00B55390"/>
    <w:rsid w:val="00B56A07"/>
    <w:rsid w:val="00B56D45"/>
    <w:rsid w:val="00B572E8"/>
    <w:rsid w:val="00B603B4"/>
    <w:rsid w:val="00B60860"/>
    <w:rsid w:val="00B60A59"/>
    <w:rsid w:val="00B645D2"/>
    <w:rsid w:val="00B67E6B"/>
    <w:rsid w:val="00B717B0"/>
    <w:rsid w:val="00B71DC2"/>
    <w:rsid w:val="00B73546"/>
    <w:rsid w:val="00B74DD5"/>
    <w:rsid w:val="00B74F88"/>
    <w:rsid w:val="00B76565"/>
    <w:rsid w:val="00B76A6E"/>
    <w:rsid w:val="00B84A83"/>
    <w:rsid w:val="00B879C7"/>
    <w:rsid w:val="00B90D3F"/>
    <w:rsid w:val="00B925BC"/>
    <w:rsid w:val="00B93893"/>
    <w:rsid w:val="00B95E58"/>
    <w:rsid w:val="00B95FC2"/>
    <w:rsid w:val="00B979F2"/>
    <w:rsid w:val="00B97DCD"/>
    <w:rsid w:val="00BA06AC"/>
    <w:rsid w:val="00BA1B1C"/>
    <w:rsid w:val="00BA2CB0"/>
    <w:rsid w:val="00BA374D"/>
    <w:rsid w:val="00BA537F"/>
    <w:rsid w:val="00BA5E9E"/>
    <w:rsid w:val="00BA770E"/>
    <w:rsid w:val="00BA7A60"/>
    <w:rsid w:val="00BA7EDA"/>
    <w:rsid w:val="00BB11E1"/>
    <w:rsid w:val="00BB1594"/>
    <w:rsid w:val="00BB1670"/>
    <w:rsid w:val="00BB2BC0"/>
    <w:rsid w:val="00BB6DA1"/>
    <w:rsid w:val="00BB7ABD"/>
    <w:rsid w:val="00BB7EB7"/>
    <w:rsid w:val="00BC02E9"/>
    <w:rsid w:val="00BC0A80"/>
    <w:rsid w:val="00BC12A3"/>
    <w:rsid w:val="00BC3B53"/>
    <w:rsid w:val="00BC4A98"/>
    <w:rsid w:val="00BC4D64"/>
    <w:rsid w:val="00BC56F5"/>
    <w:rsid w:val="00BC7D8C"/>
    <w:rsid w:val="00BD0F12"/>
    <w:rsid w:val="00BD4929"/>
    <w:rsid w:val="00BD7AE6"/>
    <w:rsid w:val="00BE0B32"/>
    <w:rsid w:val="00BE1F53"/>
    <w:rsid w:val="00BE2497"/>
    <w:rsid w:val="00BE32BA"/>
    <w:rsid w:val="00BE458E"/>
    <w:rsid w:val="00BE5564"/>
    <w:rsid w:val="00BF1365"/>
    <w:rsid w:val="00BF1451"/>
    <w:rsid w:val="00BF2B59"/>
    <w:rsid w:val="00BF2C4F"/>
    <w:rsid w:val="00BF37A3"/>
    <w:rsid w:val="00BF3D01"/>
    <w:rsid w:val="00BF5B51"/>
    <w:rsid w:val="00C008E2"/>
    <w:rsid w:val="00C00B67"/>
    <w:rsid w:val="00C01061"/>
    <w:rsid w:val="00C010DC"/>
    <w:rsid w:val="00C067C1"/>
    <w:rsid w:val="00C10869"/>
    <w:rsid w:val="00C117E2"/>
    <w:rsid w:val="00C12C00"/>
    <w:rsid w:val="00C12E90"/>
    <w:rsid w:val="00C1320B"/>
    <w:rsid w:val="00C147F7"/>
    <w:rsid w:val="00C14CC1"/>
    <w:rsid w:val="00C206F1"/>
    <w:rsid w:val="00C26035"/>
    <w:rsid w:val="00C26079"/>
    <w:rsid w:val="00C27206"/>
    <w:rsid w:val="00C30AC1"/>
    <w:rsid w:val="00C3189F"/>
    <w:rsid w:val="00C3256E"/>
    <w:rsid w:val="00C33340"/>
    <w:rsid w:val="00C35A91"/>
    <w:rsid w:val="00C371A6"/>
    <w:rsid w:val="00C40C60"/>
    <w:rsid w:val="00C458C9"/>
    <w:rsid w:val="00C46B84"/>
    <w:rsid w:val="00C50ECF"/>
    <w:rsid w:val="00C52281"/>
    <w:rsid w:val="00C52E42"/>
    <w:rsid w:val="00C53426"/>
    <w:rsid w:val="00C54FEA"/>
    <w:rsid w:val="00C55E5A"/>
    <w:rsid w:val="00C56BE8"/>
    <w:rsid w:val="00C60E49"/>
    <w:rsid w:val="00C62A0B"/>
    <w:rsid w:val="00C63108"/>
    <w:rsid w:val="00C6537C"/>
    <w:rsid w:val="00C666E4"/>
    <w:rsid w:val="00C80887"/>
    <w:rsid w:val="00C812F7"/>
    <w:rsid w:val="00C833B6"/>
    <w:rsid w:val="00C855A8"/>
    <w:rsid w:val="00C85838"/>
    <w:rsid w:val="00C876B7"/>
    <w:rsid w:val="00C90846"/>
    <w:rsid w:val="00C91B2C"/>
    <w:rsid w:val="00C93B39"/>
    <w:rsid w:val="00C95961"/>
    <w:rsid w:val="00C967F9"/>
    <w:rsid w:val="00CA0A69"/>
    <w:rsid w:val="00CA0E76"/>
    <w:rsid w:val="00CA473C"/>
    <w:rsid w:val="00CA47D3"/>
    <w:rsid w:val="00CA52E3"/>
    <w:rsid w:val="00CA53DE"/>
    <w:rsid w:val="00CA58C3"/>
    <w:rsid w:val="00CA5BC9"/>
    <w:rsid w:val="00CA6A55"/>
    <w:rsid w:val="00CA6DEF"/>
    <w:rsid w:val="00CB1BBD"/>
    <w:rsid w:val="00CB3777"/>
    <w:rsid w:val="00CB5A73"/>
    <w:rsid w:val="00CC0BB4"/>
    <w:rsid w:val="00CC12DF"/>
    <w:rsid w:val="00CC4D8D"/>
    <w:rsid w:val="00CC63E0"/>
    <w:rsid w:val="00CC6FDD"/>
    <w:rsid w:val="00CD1689"/>
    <w:rsid w:val="00CD2492"/>
    <w:rsid w:val="00CD39D1"/>
    <w:rsid w:val="00CD47BA"/>
    <w:rsid w:val="00CD5427"/>
    <w:rsid w:val="00CD604A"/>
    <w:rsid w:val="00CD61F7"/>
    <w:rsid w:val="00CD6791"/>
    <w:rsid w:val="00CE15C4"/>
    <w:rsid w:val="00CE2E6A"/>
    <w:rsid w:val="00CE2EA9"/>
    <w:rsid w:val="00CE6D64"/>
    <w:rsid w:val="00CE74D9"/>
    <w:rsid w:val="00CF053F"/>
    <w:rsid w:val="00CF0A55"/>
    <w:rsid w:val="00CF301C"/>
    <w:rsid w:val="00CF7C8B"/>
    <w:rsid w:val="00D00180"/>
    <w:rsid w:val="00D00404"/>
    <w:rsid w:val="00D00793"/>
    <w:rsid w:val="00D01D15"/>
    <w:rsid w:val="00D04083"/>
    <w:rsid w:val="00D078E1"/>
    <w:rsid w:val="00D102D2"/>
    <w:rsid w:val="00D10AEF"/>
    <w:rsid w:val="00D12A7F"/>
    <w:rsid w:val="00D131D6"/>
    <w:rsid w:val="00D135BA"/>
    <w:rsid w:val="00D17A1D"/>
    <w:rsid w:val="00D20C77"/>
    <w:rsid w:val="00D2102D"/>
    <w:rsid w:val="00D218AC"/>
    <w:rsid w:val="00D221A6"/>
    <w:rsid w:val="00D232A2"/>
    <w:rsid w:val="00D23522"/>
    <w:rsid w:val="00D25C90"/>
    <w:rsid w:val="00D25F5C"/>
    <w:rsid w:val="00D26196"/>
    <w:rsid w:val="00D279AE"/>
    <w:rsid w:val="00D30900"/>
    <w:rsid w:val="00D30F08"/>
    <w:rsid w:val="00D31C61"/>
    <w:rsid w:val="00D323BE"/>
    <w:rsid w:val="00D365C5"/>
    <w:rsid w:val="00D36C95"/>
    <w:rsid w:val="00D405AB"/>
    <w:rsid w:val="00D41280"/>
    <w:rsid w:val="00D43528"/>
    <w:rsid w:val="00D45EB0"/>
    <w:rsid w:val="00D47AE0"/>
    <w:rsid w:val="00D5423B"/>
    <w:rsid w:val="00D54F4E"/>
    <w:rsid w:val="00D55865"/>
    <w:rsid w:val="00D56274"/>
    <w:rsid w:val="00D60BA4"/>
    <w:rsid w:val="00D61E03"/>
    <w:rsid w:val="00D62F23"/>
    <w:rsid w:val="00D6528F"/>
    <w:rsid w:val="00D711A5"/>
    <w:rsid w:val="00D72421"/>
    <w:rsid w:val="00D73F97"/>
    <w:rsid w:val="00D745A7"/>
    <w:rsid w:val="00D74D0A"/>
    <w:rsid w:val="00D767FA"/>
    <w:rsid w:val="00D80CCE"/>
    <w:rsid w:val="00D81D90"/>
    <w:rsid w:val="00D82202"/>
    <w:rsid w:val="00D85A93"/>
    <w:rsid w:val="00D87FF1"/>
    <w:rsid w:val="00D92483"/>
    <w:rsid w:val="00D92633"/>
    <w:rsid w:val="00D93CE9"/>
    <w:rsid w:val="00D951CB"/>
    <w:rsid w:val="00DA11ED"/>
    <w:rsid w:val="00DA2288"/>
    <w:rsid w:val="00DA243E"/>
    <w:rsid w:val="00DA298C"/>
    <w:rsid w:val="00DB02B1"/>
    <w:rsid w:val="00DB030C"/>
    <w:rsid w:val="00DB2280"/>
    <w:rsid w:val="00DB403F"/>
    <w:rsid w:val="00DB485E"/>
    <w:rsid w:val="00DB4A3A"/>
    <w:rsid w:val="00DC2000"/>
    <w:rsid w:val="00DC249A"/>
    <w:rsid w:val="00DC6E11"/>
    <w:rsid w:val="00DD1B91"/>
    <w:rsid w:val="00DD368B"/>
    <w:rsid w:val="00DD4486"/>
    <w:rsid w:val="00DD6CD0"/>
    <w:rsid w:val="00DD6E29"/>
    <w:rsid w:val="00DE343C"/>
    <w:rsid w:val="00DE575C"/>
    <w:rsid w:val="00DE578A"/>
    <w:rsid w:val="00DE5D8B"/>
    <w:rsid w:val="00DE6AC5"/>
    <w:rsid w:val="00DE6E7E"/>
    <w:rsid w:val="00DE7DDA"/>
    <w:rsid w:val="00DF1D1E"/>
    <w:rsid w:val="00DF2583"/>
    <w:rsid w:val="00DF54D9"/>
    <w:rsid w:val="00DF6973"/>
    <w:rsid w:val="00DF79E9"/>
    <w:rsid w:val="00E00687"/>
    <w:rsid w:val="00E008CB"/>
    <w:rsid w:val="00E021C8"/>
    <w:rsid w:val="00E03D32"/>
    <w:rsid w:val="00E03E8B"/>
    <w:rsid w:val="00E04465"/>
    <w:rsid w:val="00E05FDB"/>
    <w:rsid w:val="00E10DC6"/>
    <w:rsid w:val="00E11F8E"/>
    <w:rsid w:val="00E12B7F"/>
    <w:rsid w:val="00E145EA"/>
    <w:rsid w:val="00E17944"/>
    <w:rsid w:val="00E17BC5"/>
    <w:rsid w:val="00E22722"/>
    <w:rsid w:val="00E2347F"/>
    <w:rsid w:val="00E234E3"/>
    <w:rsid w:val="00E276B2"/>
    <w:rsid w:val="00E33FD4"/>
    <w:rsid w:val="00E3596E"/>
    <w:rsid w:val="00E364EF"/>
    <w:rsid w:val="00E36A2B"/>
    <w:rsid w:val="00E426A4"/>
    <w:rsid w:val="00E42D22"/>
    <w:rsid w:val="00E4573C"/>
    <w:rsid w:val="00E458E2"/>
    <w:rsid w:val="00E466F2"/>
    <w:rsid w:val="00E50A17"/>
    <w:rsid w:val="00E51959"/>
    <w:rsid w:val="00E56899"/>
    <w:rsid w:val="00E56ADD"/>
    <w:rsid w:val="00E575BA"/>
    <w:rsid w:val="00E5788D"/>
    <w:rsid w:val="00E62286"/>
    <w:rsid w:val="00E634B6"/>
    <w:rsid w:val="00E634E3"/>
    <w:rsid w:val="00E645B1"/>
    <w:rsid w:val="00E6586E"/>
    <w:rsid w:val="00E659A6"/>
    <w:rsid w:val="00E724F5"/>
    <w:rsid w:val="00E73754"/>
    <w:rsid w:val="00E75C19"/>
    <w:rsid w:val="00E77F85"/>
    <w:rsid w:val="00E80F31"/>
    <w:rsid w:val="00E82965"/>
    <w:rsid w:val="00E85102"/>
    <w:rsid w:val="00E8592D"/>
    <w:rsid w:val="00E86633"/>
    <w:rsid w:val="00E876A6"/>
    <w:rsid w:val="00E90E60"/>
    <w:rsid w:val="00E9497F"/>
    <w:rsid w:val="00E96D0E"/>
    <w:rsid w:val="00EA14C5"/>
    <w:rsid w:val="00EA1765"/>
    <w:rsid w:val="00EA26EF"/>
    <w:rsid w:val="00EA3241"/>
    <w:rsid w:val="00EA3B5F"/>
    <w:rsid w:val="00EA5786"/>
    <w:rsid w:val="00EA615D"/>
    <w:rsid w:val="00EA75C1"/>
    <w:rsid w:val="00EA7B10"/>
    <w:rsid w:val="00EB141A"/>
    <w:rsid w:val="00EB2DEB"/>
    <w:rsid w:val="00EB40BD"/>
    <w:rsid w:val="00EB6D1A"/>
    <w:rsid w:val="00EB7038"/>
    <w:rsid w:val="00EB7550"/>
    <w:rsid w:val="00EB7C2E"/>
    <w:rsid w:val="00EC0F04"/>
    <w:rsid w:val="00EC1309"/>
    <w:rsid w:val="00EC237D"/>
    <w:rsid w:val="00EC306C"/>
    <w:rsid w:val="00EC3951"/>
    <w:rsid w:val="00EC5F70"/>
    <w:rsid w:val="00EC6AAB"/>
    <w:rsid w:val="00EC6F2A"/>
    <w:rsid w:val="00ED2F32"/>
    <w:rsid w:val="00ED4248"/>
    <w:rsid w:val="00ED60CA"/>
    <w:rsid w:val="00ED64EF"/>
    <w:rsid w:val="00EE0EC3"/>
    <w:rsid w:val="00EE1819"/>
    <w:rsid w:val="00EE1A75"/>
    <w:rsid w:val="00EE1B9E"/>
    <w:rsid w:val="00EE1DC0"/>
    <w:rsid w:val="00EE4A1F"/>
    <w:rsid w:val="00EE53EA"/>
    <w:rsid w:val="00EE7E08"/>
    <w:rsid w:val="00EF009A"/>
    <w:rsid w:val="00EF0ED5"/>
    <w:rsid w:val="00EF1B5A"/>
    <w:rsid w:val="00EF2CCA"/>
    <w:rsid w:val="00EF61AC"/>
    <w:rsid w:val="00EF791D"/>
    <w:rsid w:val="00F01325"/>
    <w:rsid w:val="00F017B1"/>
    <w:rsid w:val="00F01BA1"/>
    <w:rsid w:val="00F028DF"/>
    <w:rsid w:val="00F03E1B"/>
    <w:rsid w:val="00F04D64"/>
    <w:rsid w:val="00F057E0"/>
    <w:rsid w:val="00F067FE"/>
    <w:rsid w:val="00F10ADF"/>
    <w:rsid w:val="00F13F47"/>
    <w:rsid w:val="00F16EBD"/>
    <w:rsid w:val="00F214D5"/>
    <w:rsid w:val="00F229EF"/>
    <w:rsid w:val="00F22C62"/>
    <w:rsid w:val="00F24A31"/>
    <w:rsid w:val="00F24E4E"/>
    <w:rsid w:val="00F258E6"/>
    <w:rsid w:val="00F26059"/>
    <w:rsid w:val="00F2608D"/>
    <w:rsid w:val="00F343DA"/>
    <w:rsid w:val="00F359F8"/>
    <w:rsid w:val="00F3652C"/>
    <w:rsid w:val="00F36803"/>
    <w:rsid w:val="00F43D1A"/>
    <w:rsid w:val="00F43E8A"/>
    <w:rsid w:val="00F46AA1"/>
    <w:rsid w:val="00F47235"/>
    <w:rsid w:val="00F47A9A"/>
    <w:rsid w:val="00F50C75"/>
    <w:rsid w:val="00F51771"/>
    <w:rsid w:val="00F53F91"/>
    <w:rsid w:val="00F56255"/>
    <w:rsid w:val="00F57321"/>
    <w:rsid w:val="00F57CD4"/>
    <w:rsid w:val="00F613E9"/>
    <w:rsid w:val="00F6168C"/>
    <w:rsid w:val="00F61A72"/>
    <w:rsid w:val="00F62D1F"/>
    <w:rsid w:val="00F6371E"/>
    <w:rsid w:val="00F63E0E"/>
    <w:rsid w:val="00F65DE4"/>
    <w:rsid w:val="00F66F13"/>
    <w:rsid w:val="00F71D4E"/>
    <w:rsid w:val="00F74073"/>
    <w:rsid w:val="00F74D7D"/>
    <w:rsid w:val="00F7614E"/>
    <w:rsid w:val="00F77453"/>
    <w:rsid w:val="00F80853"/>
    <w:rsid w:val="00F80F82"/>
    <w:rsid w:val="00F81A04"/>
    <w:rsid w:val="00F84116"/>
    <w:rsid w:val="00F8524E"/>
    <w:rsid w:val="00F8778E"/>
    <w:rsid w:val="00F87D67"/>
    <w:rsid w:val="00F87D80"/>
    <w:rsid w:val="00F90E04"/>
    <w:rsid w:val="00F9189A"/>
    <w:rsid w:val="00F928C5"/>
    <w:rsid w:val="00F95080"/>
    <w:rsid w:val="00F96A69"/>
    <w:rsid w:val="00FA1759"/>
    <w:rsid w:val="00FA277B"/>
    <w:rsid w:val="00FA3B7B"/>
    <w:rsid w:val="00FA6534"/>
    <w:rsid w:val="00FB06ED"/>
    <w:rsid w:val="00FB76DB"/>
    <w:rsid w:val="00FC084D"/>
    <w:rsid w:val="00FC36AB"/>
    <w:rsid w:val="00FC3F21"/>
    <w:rsid w:val="00FC57BE"/>
    <w:rsid w:val="00FC6AB4"/>
    <w:rsid w:val="00FC6EC6"/>
    <w:rsid w:val="00FD09E3"/>
    <w:rsid w:val="00FD1727"/>
    <w:rsid w:val="00FD21EE"/>
    <w:rsid w:val="00FD2798"/>
    <w:rsid w:val="00FD2A72"/>
    <w:rsid w:val="00FD5819"/>
    <w:rsid w:val="00FE15EB"/>
    <w:rsid w:val="00FE1BB7"/>
    <w:rsid w:val="00FE4F08"/>
    <w:rsid w:val="00FE5C0A"/>
    <w:rsid w:val="00FE64E4"/>
    <w:rsid w:val="00FF0D35"/>
    <w:rsid w:val="00FF0DF2"/>
    <w:rsid w:val="00FF3A5A"/>
    <w:rsid w:val="00FF6E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14:docId w14:val="25019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character" w:customStyle="1" w:styleId="st">
    <w:name w:val="st"/>
    <w:rsid w:val="00FA3B7B"/>
  </w:style>
  <w:style w:type="paragraph" w:styleId="BodyText2">
    <w:name w:val="Body Text 2"/>
    <w:basedOn w:val="Normal"/>
    <w:link w:val="BodyText2Char"/>
    <w:rsid w:val="00FA3B7B"/>
    <w:pPr>
      <w:spacing w:after="120" w:line="480" w:lineRule="auto"/>
    </w:pPr>
  </w:style>
  <w:style w:type="character" w:customStyle="1" w:styleId="BodyText2Char">
    <w:name w:val="Body Text 2 Char"/>
    <w:link w:val="BodyText2"/>
    <w:rsid w:val="00FA3B7B"/>
    <w:rPr>
      <w:rFonts w:ascii="Verdana" w:hAnsi="Verdana"/>
      <w:sz w:val="18"/>
      <w:szCs w:val="24"/>
      <w:lang w:eastAsia="nl-NL"/>
    </w:rPr>
  </w:style>
  <w:style w:type="paragraph" w:styleId="CommentSubject">
    <w:name w:val="annotation subject"/>
    <w:basedOn w:val="CommentText"/>
    <w:next w:val="CommentText"/>
    <w:link w:val="CommentSubjectChar"/>
    <w:rsid w:val="00975AB3"/>
    <w:rPr>
      <w:b/>
      <w:bCs/>
    </w:rPr>
  </w:style>
  <w:style w:type="character" w:customStyle="1" w:styleId="CommentTextChar">
    <w:name w:val="Comment Text Char"/>
    <w:link w:val="CommentText"/>
    <w:semiHidden/>
    <w:rsid w:val="00975AB3"/>
    <w:rPr>
      <w:rFonts w:ascii="Verdana" w:hAnsi="Verdana"/>
    </w:rPr>
  </w:style>
  <w:style w:type="character" w:customStyle="1" w:styleId="CommentSubjectChar">
    <w:name w:val="Comment Subject Char"/>
    <w:link w:val="CommentSubject"/>
    <w:rsid w:val="00975AB3"/>
    <w:rPr>
      <w:rFonts w:ascii="Verdana" w:hAnsi="Verdana"/>
      <w:b/>
      <w:bCs/>
    </w:rPr>
  </w:style>
  <w:style w:type="paragraph" w:styleId="ListParagraph">
    <w:name w:val="List Paragraph"/>
    <w:basedOn w:val="Normal"/>
    <w:uiPriority w:val="99"/>
    <w:qFormat/>
    <w:rsid w:val="00C855A8"/>
    <w:pPr>
      <w:spacing w:line="240" w:lineRule="auto"/>
      <w:ind w:left="720" w:hanging="357"/>
      <w:contextualSpacing/>
      <w:jc w:val="both"/>
    </w:pPr>
    <w:rPr>
      <w:rFonts w:ascii="Cambria" w:eastAsia="MS Mincho" w:hAnsi="Cambri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98"/>
    <w:pPr>
      <w:spacing w:line="240" w:lineRule="atLeast"/>
    </w:pPr>
    <w:rPr>
      <w:rFonts w:ascii="Verdana" w:hAnsi="Verdana"/>
      <w:sz w:val="18"/>
      <w:szCs w:val="24"/>
    </w:rPr>
  </w:style>
  <w:style w:type="paragraph" w:styleId="Heading1">
    <w:name w:val="heading 1"/>
    <w:basedOn w:val="Normal"/>
    <w:next w:val="Normal"/>
    <w:qFormat/>
    <w:rsid w:val="009627A5"/>
    <w:pPr>
      <w:pageBreakBefore/>
      <w:widowControl w:val="0"/>
      <w:spacing w:after="700" w:line="300" w:lineRule="atLeast"/>
      <w:contextualSpacing/>
      <w:outlineLvl w:val="0"/>
    </w:pPr>
    <w:rPr>
      <w:rFonts w:cs="Arial"/>
      <w:bCs/>
      <w:kern w:val="32"/>
      <w:sz w:val="24"/>
      <w:szCs w:val="18"/>
    </w:rPr>
  </w:style>
  <w:style w:type="paragraph" w:styleId="Heading2">
    <w:name w:val="heading 2"/>
    <w:basedOn w:val="Heading1"/>
    <w:next w:val="Normal"/>
    <w:link w:val="Heading2Char"/>
    <w:qFormat/>
    <w:rsid w:val="009627A5"/>
    <w:pPr>
      <w:keepNext/>
      <w:pageBreakBefore w:val="0"/>
      <w:spacing w:before="200" w:after="0"/>
      <w:outlineLvl w:val="1"/>
    </w:pPr>
    <w:rPr>
      <w:b/>
      <w:bCs w:val="0"/>
      <w:iCs/>
      <w:sz w:val="18"/>
      <w:szCs w:val="28"/>
    </w:rPr>
  </w:style>
  <w:style w:type="paragraph" w:styleId="Heading3">
    <w:name w:val="heading 3"/>
    <w:basedOn w:val="Heading1"/>
    <w:next w:val="Normal"/>
    <w:qFormat/>
    <w:rsid w:val="009627A5"/>
    <w:pPr>
      <w:keepNext/>
      <w:pageBreakBefore w:val="0"/>
      <w:spacing w:before="240" w:after="0" w:line="240" w:lineRule="atLeast"/>
      <w:contextualSpacing w:val="0"/>
      <w:outlineLvl w:val="2"/>
    </w:pPr>
    <w:rPr>
      <w:bCs w:val="0"/>
      <w:i/>
      <w:sz w:val="18"/>
      <w:szCs w:val="26"/>
    </w:rPr>
  </w:style>
  <w:style w:type="paragraph" w:styleId="Heading4">
    <w:name w:val="heading 4"/>
    <w:basedOn w:val="Heading1"/>
    <w:next w:val="Normal"/>
    <w:qFormat/>
    <w:rsid w:val="009627A5"/>
    <w:pPr>
      <w:keepNext/>
      <w:pageBreakBefore w:val="0"/>
      <w:spacing w:before="240" w:after="0" w:line="240" w:lineRule="atLeast"/>
      <w:contextualSpacing w:val="0"/>
      <w:outlineLvl w:val="3"/>
    </w:pPr>
    <w:rPr>
      <w:bCs w:val="0"/>
      <w:sz w:val="18"/>
      <w:szCs w:val="28"/>
    </w:rPr>
  </w:style>
  <w:style w:type="paragraph" w:styleId="Heading5">
    <w:name w:val="heading 5"/>
    <w:basedOn w:val="Normal"/>
    <w:next w:val="Normal"/>
    <w:qFormat/>
    <w:rsid w:val="009627A5"/>
    <w:pPr>
      <w:spacing w:before="240" w:after="60"/>
      <w:outlineLvl w:val="4"/>
    </w:pPr>
    <w:rPr>
      <w:b/>
      <w:bCs/>
      <w:i/>
      <w:iCs/>
      <w:sz w:val="26"/>
      <w:szCs w:val="26"/>
    </w:rPr>
  </w:style>
  <w:style w:type="paragraph" w:styleId="Heading6">
    <w:name w:val="heading 6"/>
    <w:basedOn w:val="Normal"/>
    <w:next w:val="Normal"/>
    <w:qFormat/>
    <w:rsid w:val="00F26059"/>
    <w:pPr>
      <w:numPr>
        <w:ilvl w:val="5"/>
        <w:numId w:val="1"/>
      </w:numPr>
      <w:spacing w:before="240" w:after="60"/>
      <w:outlineLvl w:val="5"/>
    </w:pPr>
    <w:rPr>
      <w:b/>
      <w:bCs/>
      <w:szCs w:val="22"/>
    </w:rPr>
  </w:style>
  <w:style w:type="paragraph" w:styleId="Heading7">
    <w:name w:val="heading 7"/>
    <w:basedOn w:val="Normal"/>
    <w:next w:val="Normal"/>
    <w:qFormat/>
    <w:rsid w:val="00F26059"/>
    <w:pPr>
      <w:numPr>
        <w:ilvl w:val="6"/>
        <w:numId w:val="1"/>
      </w:numPr>
      <w:spacing w:before="240" w:after="60"/>
      <w:outlineLvl w:val="6"/>
    </w:pPr>
    <w:rPr>
      <w:sz w:val="24"/>
    </w:rPr>
  </w:style>
  <w:style w:type="paragraph" w:styleId="Heading8">
    <w:name w:val="heading 8"/>
    <w:basedOn w:val="Normal"/>
    <w:next w:val="Normal"/>
    <w:qFormat/>
    <w:rsid w:val="00F26059"/>
    <w:pPr>
      <w:numPr>
        <w:ilvl w:val="7"/>
        <w:numId w:val="1"/>
      </w:numPr>
      <w:spacing w:before="240" w:after="60"/>
      <w:outlineLvl w:val="7"/>
    </w:pPr>
    <w:rPr>
      <w:i/>
      <w:iCs/>
      <w:sz w:val="24"/>
    </w:rPr>
  </w:style>
  <w:style w:type="paragraph" w:styleId="Heading9">
    <w:name w:val="heading 9"/>
    <w:basedOn w:val="Normal"/>
    <w:next w:val="Normal"/>
    <w:qFormat/>
    <w:rsid w:val="00FF0DF2"/>
    <w:pPr>
      <w:numPr>
        <w:ilvl w:val="8"/>
        <w:numId w:val="1"/>
      </w:numPr>
      <w:spacing w:before="240" w:after="60"/>
      <w:outlineLvl w:val="8"/>
    </w:pPr>
    <w:rPr>
      <w:rFonts w:cs="Arial"/>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Inhoudsopgave">
    <w:name w:val="Kop-Inhoudsopgave"/>
    <w:basedOn w:val="Kopzondernummering"/>
    <w:next w:val="Normal"/>
    <w:rsid w:val="009627A5"/>
  </w:style>
  <w:style w:type="paragraph" w:customStyle="1" w:styleId="Kopzondernummering">
    <w:name w:val="Kop zonder nummering"/>
    <w:basedOn w:val="Normal"/>
    <w:next w:val="Normal"/>
    <w:rsid w:val="009627A5"/>
    <w:pPr>
      <w:spacing w:after="700" w:line="300" w:lineRule="atLeast"/>
      <w:contextualSpacing/>
    </w:pPr>
    <w:rPr>
      <w:sz w:val="24"/>
    </w:rPr>
  </w:style>
  <w:style w:type="character" w:styleId="Hyperlink">
    <w:name w:val="Hyperlink"/>
    <w:rsid w:val="009627A5"/>
    <w:rPr>
      <w:rFonts w:ascii="Verdana" w:hAnsi="Verdana"/>
      <w:color w:val="000000"/>
      <w:u w:val="single"/>
    </w:rPr>
  </w:style>
  <w:style w:type="character" w:customStyle="1" w:styleId="ListNumber2Char">
    <w:name w:val="List Number 2 Char"/>
    <w:link w:val="ListNumber2"/>
    <w:rsid w:val="003C18C0"/>
    <w:rPr>
      <w:rFonts w:ascii="Verdana" w:hAnsi="Verdana"/>
      <w:sz w:val="18"/>
      <w:szCs w:val="24"/>
    </w:rPr>
  </w:style>
  <w:style w:type="paragraph" w:styleId="ListNumber2">
    <w:name w:val="List Number 2"/>
    <w:basedOn w:val="Normal"/>
    <w:link w:val="ListNumber2Char"/>
    <w:rsid w:val="009627A5"/>
    <w:pPr>
      <w:numPr>
        <w:numId w:val="4"/>
      </w:numPr>
    </w:pPr>
  </w:style>
  <w:style w:type="paragraph" w:styleId="TOC1">
    <w:name w:val="toc 1"/>
    <w:basedOn w:val="Normal"/>
    <w:next w:val="Normal"/>
    <w:uiPriority w:val="39"/>
    <w:rsid w:val="007724AB"/>
  </w:style>
  <w:style w:type="paragraph" w:customStyle="1" w:styleId="Huisstijl-Paginanummering">
    <w:name w:val="Huisstijl-Paginanummering"/>
    <w:basedOn w:val="Normal"/>
    <w:rsid w:val="009627A5"/>
    <w:pPr>
      <w:spacing w:line="180" w:lineRule="exact"/>
    </w:pPr>
    <w:rPr>
      <w:noProof/>
      <w:sz w:val="13"/>
    </w:rPr>
  </w:style>
  <w:style w:type="character" w:customStyle="1" w:styleId="ListNumberChar">
    <w:name w:val="List Number Char"/>
    <w:link w:val="ListNumber"/>
    <w:rsid w:val="003C18C0"/>
    <w:rPr>
      <w:rFonts w:ascii="Verdana" w:hAnsi="Verdana"/>
      <w:sz w:val="18"/>
      <w:szCs w:val="24"/>
    </w:rPr>
  </w:style>
  <w:style w:type="paragraph" w:styleId="ListNumber">
    <w:name w:val="List Number"/>
    <w:basedOn w:val="Normal"/>
    <w:link w:val="ListNumberChar"/>
    <w:rsid w:val="009627A5"/>
    <w:pPr>
      <w:numPr>
        <w:numId w:val="3"/>
      </w:numPr>
    </w:pPr>
  </w:style>
  <w:style w:type="character" w:customStyle="1" w:styleId="Huisstijl-Koptekst">
    <w:name w:val="Huisstijl-Koptekst"/>
    <w:rsid w:val="009627A5"/>
    <w:rPr>
      <w:rFonts w:ascii="Verdana" w:hAnsi="Verdana"/>
      <w:dstrike w:val="0"/>
      <w:sz w:val="13"/>
      <w:vertAlign w:val="baseline"/>
    </w:rPr>
  </w:style>
  <w:style w:type="paragraph" w:styleId="Header">
    <w:name w:val="header"/>
    <w:basedOn w:val="Normal"/>
    <w:rsid w:val="009627A5"/>
    <w:pPr>
      <w:tabs>
        <w:tab w:val="center" w:pos="4536"/>
        <w:tab w:val="right" w:pos="9072"/>
      </w:tabs>
    </w:pPr>
  </w:style>
  <w:style w:type="paragraph" w:styleId="Footer">
    <w:name w:val="footer"/>
    <w:basedOn w:val="Normal"/>
    <w:rsid w:val="009627A5"/>
    <w:pPr>
      <w:tabs>
        <w:tab w:val="center" w:pos="4536"/>
        <w:tab w:val="right" w:pos="9072"/>
      </w:tabs>
    </w:pPr>
  </w:style>
  <w:style w:type="paragraph" w:styleId="ListBullet2">
    <w:name w:val="List Bullet 2"/>
    <w:basedOn w:val="Normal"/>
    <w:rsid w:val="008F2143"/>
    <w:pPr>
      <w:tabs>
        <w:tab w:val="num" w:pos="-31680"/>
      </w:tabs>
      <w:ind w:left="454" w:hanging="227"/>
    </w:pPr>
    <w:rPr>
      <w:noProof/>
    </w:rPr>
  </w:style>
  <w:style w:type="paragraph" w:styleId="ListBullet">
    <w:name w:val="List Bullet"/>
    <w:basedOn w:val="Normal"/>
    <w:rsid w:val="009627A5"/>
    <w:pPr>
      <w:numPr>
        <w:numId w:val="2"/>
      </w:numPr>
    </w:pPr>
  </w:style>
  <w:style w:type="paragraph" w:styleId="Subtitle">
    <w:name w:val="Subtitle"/>
    <w:basedOn w:val="Normal"/>
    <w:next w:val="Normal"/>
    <w:link w:val="SubtitleChar"/>
    <w:qFormat/>
    <w:rsid w:val="009627A5"/>
    <w:pPr>
      <w:spacing w:line="320" w:lineRule="atLeast"/>
      <w:outlineLvl w:val="1"/>
    </w:pPr>
    <w:rPr>
      <w:sz w:val="24"/>
    </w:rPr>
  </w:style>
  <w:style w:type="paragraph" w:styleId="Title">
    <w:name w:val="Title"/>
    <w:basedOn w:val="Normal"/>
    <w:qFormat/>
    <w:rsid w:val="009627A5"/>
    <w:pPr>
      <w:spacing w:line="320" w:lineRule="atLeast"/>
      <w:outlineLvl w:val="0"/>
    </w:pPr>
    <w:rPr>
      <w:rFonts w:cs="Arial"/>
      <w:b/>
      <w:bCs/>
      <w:kern w:val="28"/>
      <w:sz w:val="24"/>
      <w:szCs w:val="32"/>
    </w:rPr>
  </w:style>
  <w:style w:type="character" w:customStyle="1" w:styleId="Huisstijl-Rubricering">
    <w:name w:val="Huisstijl-Rubricering"/>
    <w:rsid w:val="009627A5"/>
    <w:rPr>
      <w:rFonts w:ascii="Verdana" w:hAnsi="Verdana"/>
      <w:b/>
      <w:smallCaps/>
      <w:dstrike w:val="0"/>
      <w:sz w:val="13"/>
      <w:vertAlign w:val="baseline"/>
    </w:rPr>
  </w:style>
  <w:style w:type="paragraph" w:styleId="TOC2">
    <w:name w:val="toc 2"/>
    <w:basedOn w:val="TOC1"/>
    <w:next w:val="Normal"/>
    <w:autoRedefine/>
    <w:uiPriority w:val="39"/>
    <w:rsid w:val="000842B5"/>
    <w:pPr>
      <w:tabs>
        <w:tab w:val="right" w:leader="dot" w:pos="7716"/>
      </w:tabs>
      <w:spacing w:before="240"/>
      <w:ind w:hanging="1162"/>
    </w:pPr>
    <w:rPr>
      <w:b/>
      <w:noProof/>
    </w:rPr>
  </w:style>
  <w:style w:type="paragraph" w:styleId="NormalWeb">
    <w:name w:val="Normal (Web)"/>
    <w:basedOn w:val="Normal"/>
    <w:rsid w:val="009627A5"/>
  </w:style>
  <w:style w:type="paragraph" w:styleId="TOC3">
    <w:name w:val="toc 3"/>
    <w:basedOn w:val="TOC2"/>
    <w:next w:val="Normal"/>
    <w:uiPriority w:val="39"/>
    <w:rsid w:val="007724AB"/>
    <w:pPr>
      <w:spacing w:before="0"/>
    </w:pPr>
    <w:rPr>
      <w:b w:val="0"/>
    </w:rPr>
  </w:style>
  <w:style w:type="paragraph" w:customStyle="1" w:styleId="Huisstijl-TabelTitel">
    <w:name w:val="Huisstijl-TabelTitel"/>
    <w:basedOn w:val="Normal"/>
    <w:next w:val="Normal"/>
    <w:rsid w:val="009627A5"/>
    <w:rPr>
      <w:b/>
      <w:sz w:val="14"/>
    </w:rPr>
  </w:style>
  <w:style w:type="paragraph" w:customStyle="1" w:styleId="Huisstijl-Bijschrift">
    <w:name w:val="Huisstijl-Bijschrift"/>
    <w:basedOn w:val="Normal"/>
    <w:next w:val="Normal"/>
    <w:rsid w:val="009627A5"/>
    <w:rPr>
      <w:i/>
    </w:rPr>
  </w:style>
  <w:style w:type="table" w:styleId="TableGrid">
    <w:name w:val="Table Grid"/>
    <w:basedOn w:val="TableNormal"/>
    <w:rsid w:val="009627A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uisstijl-Tabel">
    <w:name w:val="Huisstijl-Tabel"/>
    <w:basedOn w:val="TableNormal"/>
    <w:rsid w:val="009627A5"/>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20" w:type="dxa"/>
        <w:left w:w="60" w:type="dxa"/>
        <w:bottom w:w="12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rsid w:val="009627A5"/>
    <w:rPr>
      <w:b w:val="0"/>
    </w:rPr>
  </w:style>
  <w:style w:type="paragraph" w:styleId="TOC4">
    <w:name w:val="toc 4"/>
    <w:basedOn w:val="TOC3"/>
    <w:next w:val="Normal"/>
    <w:semiHidden/>
    <w:rsid w:val="007724AB"/>
  </w:style>
  <w:style w:type="paragraph" w:styleId="TOC5">
    <w:name w:val="toc 5"/>
    <w:basedOn w:val="Normal"/>
    <w:next w:val="Normal"/>
    <w:autoRedefine/>
    <w:semiHidden/>
    <w:rsid w:val="007724AB"/>
    <w:pPr>
      <w:ind w:left="720"/>
    </w:pPr>
  </w:style>
  <w:style w:type="paragraph" w:styleId="FootnoteText">
    <w:name w:val="footnote text"/>
    <w:basedOn w:val="Normal"/>
    <w:link w:val="FootnoteTextChar"/>
    <w:semiHidden/>
    <w:rsid w:val="00646E47"/>
    <w:pPr>
      <w:tabs>
        <w:tab w:val="left" w:pos="600"/>
      </w:tabs>
      <w:spacing w:line="180" w:lineRule="atLeast"/>
      <w:ind w:left="240" w:hanging="240"/>
    </w:pPr>
    <w:rPr>
      <w:sz w:val="13"/>
      <w:szCs w:val="20"/>
    </w:rPr>
  </w:style>
  <w:style w:type="character" w:styleId="FootnoteReference">
    <w:name w:val="footnote reference"/>
    <w:semiHidden/>
    <w:rsid w:val="00646E47"/>
    <w:rPr>
      <w:vertAlign w:val="superscript"/>
    </w:rPr>
  </w:style>
  <w:style w:type="paragraph" w:styleId="EndnoteText">
    <w:name w:val="endnote text"/>
    <w:basedOn w:val="Normal"/>
    <w:semiHidden/>
    <w:rsid w:val="00646E47"/>
    <w:rPr>
      <w:sz w:val="20"/>
      <w:szCs w:val="20"/>
    </w:rPr>
  </w:style>
  <w:style w:type="character" w:styleId="EndnoteReference">
    <w:name w:val="endnote reference"/>
    <w:semiHidden/>
    <w:rsid w:val="00646E47"/>
    <w:rPr>
      <w:vertAlign w:val="superscript"/>
    </w:rPr>
  </w:style>
  <w:style w:type="paragraph" w:customStyle="1" w:styleId="Bestandsnaam">
    <w:name w:val="Bestandsnaam"/>
    <w:basedOn w:val="Header"/>
    <w:rsid w:val="009627A5"/>
    <w:pPr>
      <w:tabs>
        <w:tab w:val="clear" w:pos="4536"/>
        <w:tab w:val="clear" w:pos="9072"/>
        <w:tab w:val="center" w:pos="4153"/>
        <w:tab w:val="right" w:pos="8306"/>
      </w:tabs>
      <w:spacing w:line="280" w:lineRule="exact"/>
    </w:pPr>
    <w:rPr>
      <w:rFonts w:ascii="Times New Roman" w:hAnsi="Times New Roman"/>
      <w:sz w:val="16"/>
      <w:szCs w:val="20"/>
      <w:lang w:eastAsia="en-US"/>
    </w:rPr>
  </w:style>
  <w:style w:type="paragraph" w:customStyle="1" w:styleId="Huisstijl-Adres">
    <w:name w:val="Huisstijl-Adres"/>
    <w:basedOn w:val="Normal"/>
    <w:rsid w:val="009627A5"/>
    <w:pPr>
      <w:tabs>
        <w:tab w:val="left" w:pos="192"/>
      </w:tabs>
      <w:adjustRightInd w:val="0"/>
      <w:spacing w:after="90" w:line="180" w:lineRule="exact"/>
    </w:pPr>
    <w:rPr>
      <w:rFonts w:cs="Verdana"/>
      <w:noProof/>
      <w:sz w:val="13"/>
      <w:szCs w:val="13"/>
    </w:rPr>
  </w:style>
  <w:style w:type="paragraph" w:customStyle="1" w:styleId="Huisstijl-Gegeven">
    <w:name w:val="Huisstijl-Gegeven"/>
    <w:basedOn w:val="Normal"/>
    <w:link w:val="Huisstijl-GegevenCharChar"/>
    <w:rsid w:val="009627A5"/>
    <w:pPr>
      <w:spacing w:after="92" w:line="180" w:lineRule="exact"/>
    </w:pPr>
    <w:rPr>
      <w:noProof/>
      <w:sz w:val="13"/>
    </w:rPr>
  </w:style>
  <w:style w:type="character" w:customStyle="1" w:styleId="Huisstijl-GegevenCharChar">
    <w:name w:val="Huisstijl-Gegeven Char Char"/>
    <w:link w:val="Huisstijl-Gegeven"/>
    <w:rsid w:val="009627A5"/>
    <w:rPr>
      <w:rFonts w:ascii="Verdana" w:hAnsi="Verdana"/>
      <w:noProof/>
      <w:sz w:val="13"/>
      <w:szCs w:val="24"/>
      <w:lang w:val="nl-NL" w:eastAsia="nl-NL" w:bidi="ar-SA"/>
    </w:rPr>
  </w:style>
  <w:style w:type="paragraph" w:customStyle="1" w:styleId="Huisstijl-KixCode">
    <w:name w:val="Huisstijl-KixCode"/>
    <w:basedOn w:val="Normal"/>
    <w:rsid w:val="009627A5"/>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627A5"/>
    <w:pPr>
      <w:spacing w:after="0"/>
    </w:pPr>
    <w:rPr>
      <w:b/>
    </w:rPr>
  </w:style>
  <w:style w:type="paragraph" w:customStyle="1" w:styleId="Huisstijl-NAW">
    <w:name w:val="Huisstijl-NAW"/>
    <w:basedOn w:val="Normal"/>
    <w:rsid w:val="009627A5"/>
    <w:pPr>
      <w:adjustRightInd w:val="0"/>
    </w:pPr>
    <w:rPr>
      <w:rFonts w:cs="Verdana"/>
      <w:noProof/>
      <w:szCs w:val="18"/>
    </w:rPr>
  </w:style>
  <w:style w:type="paragraph" w:customStyle="1" w:styleId="Huisstijl-Retouradres">
    <w:name w:val="Huisstijl-Retouradres"/>
    <w:basedOn w:val="Normal"/>
    <w:rsid w:val="009627A5"/>
    <w:pPr>
      <w:spacing w:line="180" w:lineRule="exact"/>
    </w:pPr>
    <w:rPr>
      <w:noProof/>
      <w:sz w:val="13"/>
    </w:rPr>
  </w:style>
  <w:style w:type="paragraph" w:customStyle="1" w:styleId="Huisstijl-Voorwaarden">
    <w:name w:val="Huisstijl-Voorwaarden"/>
    <w:basedOn w:val="Normal"/>
    <w:rsid w:val="009627A5"/>
    <w:pPr>
      <w:spacing w:line="180" w:lineRule="exact"/>
    </w:pPr>
    <w:rPr>
      <w:i/>
      <w:noProof/>
      <w:sz w:val="13"/>
    </w:rPr>
  </w:style>
  <w:style w:type="paragraph" w:customStyle="1" w:styleId="Minuut">
    <w:name w:val="Minuut"/>
    <w:basedOn w:val="Normal"/>
    <w:rsid w:val="009627A5"/>
    <w:pPr>
      <w:spacing w:line="280" w:lineRule="exact"/>
    </w:pPr>
    <w:rPr>
      <w:rFonts w:ascii="Times New Roman" w:hAnsi="Times New Roman"/>
      <w:b/>
      <w:sz w:val="20"/>
      <w:szCs w:val="20"/>
      <w:lang w:eastAsia="en-US"/>
    </w:rPr>
  </w:style>
  <w:style w:type="numbering" w:customStyle="1" w:styleId="StyleBulleted">
    <w:name w:val="Style Bulleted"/>
    <w:basedOn w:val="NoList"/>
    <w:rsid w:val="009627A5"/>
    <w:pPr>
      <w:numPr>
        <w:numId w:val="5"/>
      </w:numPr>
    </w:pPr>
  </w:style>
  <w:style w:type="numbering" w:customStyle="1" w:styleId="StyleNumbered">
    <w:name w:val="Style Numbered"/>
    <w:basedOn w:val="NoList"/>
    <w:rsid w:val="009627A5"/>
    <w:pPr>
      <w:numPr>
        <w:numId w:val="6"/>
      </w:numPr>
    </w:pPr>
  </w:style>
  <w:style w:type="paragraph" w:styleId="DocumentMap">
    <w:name w:val="Document Map"/>
    <w:basedOn w:val="Normal"/>
    <w:semiHidden/>
    <w:rsid w:val="003E713E"/>
    <w:pPr>
      <w:shd w:val="clear" w:color="auto" w:fill="000080"/>
    </w:pPr>
    <w:rPr>
      <w:rFonts w:ascii="Tahoma" w:hAnsi="Tahoma" w:cs="Tahoma"/>
      <w:sz w:val="20"/>
      <w:szCs w:val="20"/>
    </w:rPr>
  </w:style>
  <w:style w:type="paragraph" w:customStyle="1" w:styleId="Table">
    <w:name w:val="Table"/>
    <w:basedOn w:val="Normal"/>
    <w:rsid w:val="00470830"/>
    <w:pPr>
      <w:spacing w:line="280" w:lineRule="atLeast"/>
    </w:pPr>
    <w:rPr>
      <w:rFonts w:ascii="Times New Roman" w:hAnsi="Times New Roman"/>
      <w:sz w:val="22"/>
      <w:szCs w:val="20"/>
      <w:lang w:val="fr-FR" w:eastAsia="en-US" w:bidi="he-IL"/>
    </w:rPr>
  </w:style>
  <w:style w:type="paragraph" w:styleId="Caption">
    <w:name w:val="caption"/>
    <w:basedOn w:val="Normal"/>
    <w:next w:val="Normal"/>
    <w:qFormat/>
    <w:rsid w:val="00646E47"/>
    <w:rPr>
      <w:b/>
      <w:bCs/>
      <w:szCs w:val="20"/>
    </w:rPr>
  </w:style>
  <w:style w:type="paragraph" w:customStyle="1" w:styleId="Huisstijl-Adres2">
    <w:name w:val="Huisstijl-Adres2"/>
    <w:basedOn w:val="Huisstijl-Adres"/>
    <w:rsid w:val="00646E47"/>
    <w:pPr>
      <w:spacing w:after="0"/>
    </w:pPr>
  </w:style>
  <w:style w:type="paragraph" w:styleId="BodyText">
    <w:name w:val="Body Text"/>
    <w:basedOn w:val="Normal"/>
    <w:rsid w:val="00B56D45"/>
    <w:pPr>
      <w:spacing w:after="120"/>
    </w:pPr>
  </w:style>
  <w:style w:type="character" w:customStyle="1" w:styleId="SubtitleChar">
    <w:name w:val="Subtitle Char"/>
    <w:link w:val="Subtitle"/>
    <w:rsid w:val="008517DE"/>
    <w:rPr>
      <w:rFonts w:ascii="Verdana" w:hAnsi="Verdana"/>
      <w:sz w:val="24"/>
      <w:szCs w:val="24"/>
      <w:lang w:val="nl-NL" w:eastAsia="nl-NL" w:bidi="ar-SA"/>
    </w:rPr>
  </w:style>
  <w:style w:type="character" w:styleId="PageNumber">
    <w:name w:val="page number"/>
    <w:basedOn w:val="DefaultParagraphFont"/>
    <w:rsid w:val="009E1B8B"/>
  </w:style>
  <w:style w:type="character" w:styleId="CommentReference">
    <w:name w:val="annotation reference"/>
    <w:semiHidden/>
    <w:rsid w:val="008777AA"/>
    <w:rPr>
      <w:sz w:val="16"/>
      <w:szCs w:val="16"/>
    </w:rPr>
  </w:style>
  <w:style w:type="paragraph" w:styleId="CommentText">
    <w:name w:val="annotation text"/>
    <w:basedOn w:val="Normal"/>
    <w:link w:val="CommentTextChar"/>
    <w:semiHidden/>
    <w:rsid w:val="008777AA"/>
    <w:rPr>
      <w:sz w:val="20"/>
      <w:szCs w:val="20"/>
    </w:rPr>
  </w:style>
  <w:style w:type="paragraph" w:styleId="BalloonText">
    <w:name w:val="Balloon Text"/>
    <w:basedOn w:val="Normal"/>
    <w:semiHidden/>
    <w:rsid w:val="008777AA"/>
    <w:rPr>
      <w:rFonts w:ascii="Tahoma" w:hAnsi="Tahoma" w:cs="Tahoma"/>
      <w:sz w:val="16"/>
      <w:szCs w:val="16"/>
    </w:rPr>
  </w:style>
  <w:style w:type="character" w:customStyle="1" w:styleId="FootnoteTextChar">
    <w:name w:val="Footnote Text Char"/>
    <w:link w:val="FootnoteText"/>
    <w:semiHidden/>
    <w:rsid w:val="005150FC"/>
    <w:rPr>
      <w:rFonts w:ascii="Verdana" w:hAnsi="Verdana"/>
      <w:sz w:val="13"/>
    </w:rPr>
  </w:style>
  <w:style w:type="paragraph" w:styleId="PlainText">
    <w:name w:val="Plain Text"/>
    <w:basedOn w:val="Normal"/>
    <w:link w:val="PlainTextChar"/>
    <w:uiPriority w:val="99"/>
    <w:unhideWhenUsed/>
    <w:rsid w:val="00033E8D"/>
    <w:pPr>
      <w:spacing w:line="240" w:lineRule="auto"/>
    </w:pPr>
    <w:rPr>
      <w:rFonts w:ascii="Calibri" w:eastAsia="Calibri" w:hAnsi="Calibri"/>
      <w:sz w:val="22"/>
      <w:szCs w:val="21"/>
      <w:lang w:eastAsia="en-US"/>
    </w:rPr>
  </w:style>
  <w:style w:type="character" w:customStyle="1" w:styleId="PlainTextChar">
    <w:name w:val="Plain Text Char"/>
    <w:link w:val="PlainText"/>
    <w:uiPriority w:val="99"/>
    <w:rsid w:val="00033E8D"/>
    <w:rPr>
      <w:rFonts w:ascii="Calibri" w:eastAsia="Calibri" w:hAnsi="Calibri"/>
      <w:sz w:val="22"/>
      <w:szCs w:val="21"/>
      <w:lang w:eastAsia="en-US"/>
    </w:rPr>
  </w:style>
  <w:style w:type="character" w:customStyle="1" w:styleId="Heading2Char">
    <w:name w:val="Heading 2 Char"/>
    <w:link w:val="Heading2"/>
    <w:rsid w:val="005749A5"/>
    <w:rPr>
      <w:rFonts w:ascii="Verdana" w:hAnsi="Verdana" w:cs="Arial"/>
      <w:b/>
      <w:iCs/>
      <w:kern w:val="32"/>
      <w:sz w:val="18"/>
      <w:szCs w:val="28"/>
    </w:rPr>
  </w:style>
  <w:style w:type="character" w:customStyle="1" w:styleId="st">
    <w:name w:val="st"/>
    <w:rsid w:val="00FA3B7B"/>
  </w:style>
  <w:style w:type="paragraph" w:styleId="BodyText2">
    <w:name w:val="Body Text 2"/>
    <w:basedOn w:val="Normal"/>
    <w:link w:val="BodyText2Char"/>
    <w:rsid w:val="00FA3B7B"/>
    <w:pPr>
      <w:spacing w:after="120" w:line="480" w:lineRule="auto"/>
    </w:pPr>
  </w:style>
  <w:style w:type="character" w:customStyle="1" w:styleId="BodyText2Char">
    <w:name w:val="Body Text 2 Char"/>
    <w:link w:val="BodyText2"/>
    <w:rsid w:val="00FA3B7B"/>
    <w:rPr>
      <w:rFonts w:ascii="Verdana" w:hAnsi="Verdana"/>
      <w:sz w:val="18"/>
      <w:szCs w:val="24"/>
      <w:lang w:eastAsia="nl-NL"/>
    </w:rPr>
  </w:style>
  <w:style w:type="paragraph" w:styleId="CommentSubject">
    <w:name w:val="annotation subject"/>
    <w:basedOn w:val="CommentText"/>
    <w:next w:val="CommentText"/>
    <w:link w:val="CommentSubjectChar"/>
    <w:rsid w:val="00975AB3"/>
    <w:rPr>
      <w:b/>
      <w:bCs/>
    </w:rPr>
  </w:style>
  <w:style w:type="character" w:customStyle="1" w:styleId="CommentTextChar">
    <w:name w:val="Comment Text Char"/>
    <w:link w:val="CommentText"/>
    <w:semiHidden/>
    <w:rsid w:val="00975AB3"/>
    <w:rPr>
      <w:rFonts w:ascii="Verdana" w:hAnsi="Verdana"/>
    </w:rPr>
  </w:style>
  <w:style w:type="character" w:customStyle="1" w:styleId="CommentSubjectChar">
    <w:name w:val="Comment Subject Char"/>
    <w:link w:val="CommentSubject"/>
    <w:rsid w:val="00975AB3"/>
    <w:rPr>
      <w:rFonts w:ascii="Verdana" w:hAnsi="Verdana"/>
      <w:b/>
      <w:bCs/>
    </w:rPr>
  </w:style>
  <w:style w:type="paragraph" w:styleId="ListParagraph">
    <w:name w:val="List Paragraph"/>
    <w:basedOn w:val="Normal"/>
    <w:uiPriority w:val="99"/>
    <w:qFormat/>
    <w:rsid w:val="00C855A8"/>
    <w:pPr>
      <w:spacing w:line="240" w:lineRule="auto"/>
      <w:ind w:left="720" w:hanging="357"/>
      <w:contextualSpacing/>
      <w:jc w:val="both"/>
    </w:pPr>
    <w:rPr>
      <w:rFonts w:ascii="Cambria" w:eastAsia="MS Mincho" w:hAnsi="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418116">
      <w:bodyDiv w:val="1"/>
      <w:marLeft w:val="0"/>
      <w:marRight w:val="0"/>
      <w:marTop w:val="0"/>
      <w:marBottom w:val="0"/>
      <w:divBdr>
        <w:top w:val="none" w:sz="0" w:space="0" w:color="auto"/>
        <w:left w:val="none" w:sz="0" w:space="0" w:color="auto"/>
        <w:bottom w:val="none" w:sz="0" w:space="0" w:color="auto"/>
        <w:right w:val="none" w:sz="0" w:space="0" w:color="auto"/>
      </w:divBdr>
      <w:divsChild>
        <w:div w:id="1338772541">
          <w:marLeft w:val="0"/>
          <w:marRight w:val="0"/>
          <w:marTop w:val="0"/>
          <w:marBottom w:val="0"/>
          <w:divBdr>
            <w:top w:val="none" w:sz="0" w:space="0" w:color="auto"/>
            <w:left w:val="none" w:sz="0" w:space="0" w:color="auto"/>
            <w:bottom w:val="none" w:sz="0" w:space="0" w:color="auto"/>
            <w:right w:val="none" w:sz="0" w:space="0" w:color="auto"/>
          </w:divBdr>
          <w:divsChild>
            <w:div w:id="1635256463">
              <w:marLeft w:val="0"/>
              <w:marRight w:val="0"/>
              <w:marTop w:val="0"/>
              <w:marBottom w:val="0"/>
              <w:divBdr>
                <w:top w:val="none" w:sz="0" w:space="0" w:color="auto"/>
                <w:left w:val="none" w:sz="0" w:space="0" w:color="auto"/>
                <w:bottom w:val="none" w:sz="0" w:space="0" w:color="auto"/>
                <w:right w:val="none" w:sz="0" w:space="0" w:color="auto"/>
              </w:divBdr>
              <w:divsChild>
                <w:div w:id="1782603038">
                  <w:marLeft w:val="0"/>
                  <w:marRight w:val="0"/>
                  <w:marTop w:val="0"/>
                  <w:marBottom w:val="0"/>
                  <w:divBdr>
                    <w:top w:val="none" w:sz="0" w:space="0" w:color="auto"/>
                    <w:left w:val="none" w:sz="0" w:space="0" w:color="auto"/>
                    <w:bottom w:val="none" w:sz="0" w:space="0" w:color="auto"/>
                    <w:right w:val="none" w:sz="0" w:space="0" w:color="auto"/>
                  </w:divBdr>
                  <w:divsChild>
                    <w:div w:id="2140297729">
                      <w:marLeft w:val="0"/>
                      <w:marRight w:val="0"/>
                      <w:marTop w:val="0"/>
                      <w:marBottom w:val="0"/>
                      <w:divBdr>
                        <w:top w:val="none" w:sz="0" w:space="0" w:color="auto"/>
                        <w:left w:val="none" w:sz="0" w:space="0" w:color="auto"/>
                        <w:bottom w:val="none" w:sz="0" w:space="0" w:color="auto"/>
                        <w:right w:val="none" w:sz="0" w:space="0" w:color="auto"/>
                      </w:divBdr>
                      <w:divsChild>
                        <w:div w:id="682589243">
                          <w:marLeft w:val="0"/>
                          <w:marRight w:val="0"/>
                          <w:marTop w:val="0"/>
                          <w:marBottom w:val="0"/>
                          <w:divBdr>
                            <w:top w:val="none" w:sz="0" w:space="0" w:color="auto"/>
                            <w:left w:val="none" w:sz="0" w:space="0" w:color="auto"/>
                            <w:bottom w:val="none" w:sz="0" w:space="0" w:color="auto"/>
                            <w:right w:val="none" w:sz="0" w:space="0" w:color="auto"/>
                          </w:divBdr>
                          <w:divsChild>
                            <w:div w:id="1519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421627">
      <w:bodyDiv w:val="1"/>
      <w:marLeft w:val="0"/>
      <w:marRight w:val="0"/>
      <w:marTop w:val="0"/>
      <w:marBottom w:val="0"/>
      <w:divBdr>
        <w:top w:val="none" w:sz="0" w:space="0" w:color="auto"/>
        <w:left w:val="none" w:sz="0" w:space="0" w:color="auto"/>
        <w:bottom w:val="none" w:sz="0" w:space="0" w:color="auto"/>
        <w:right w:val="none" w:sz="0" w:space="0" w:color="auto"/>
      </w:divBdr>
    </w:div>
    <w:div w:id="1305233491">
      <w:bodyDiv w:val="1"/>
      <w:marLeft w:val="0"/>
      <w:marRight w:val="0"/>
      <w:marTop w:val="0"/>
      <w:marBottom w:val="0"/>
      <w:divBdr>
        <w:top w:val="none" w:sz="0" w:space="0" w:color="auto"/>
        <w:left w:val="none" w:sz="0" w:space="0" w:color="auto"/>
        <w:bottom w:val="none" w:sz="0" w:space="0" w:color="auto"/>
        <w:right w:val="none" w:sz="0" w:space="0" w:color="auto"/>
      </w:divBdr>
    </w:div>
    <w:div w:id="1627278130">
      <w:bodyDiv w:val="1"/>
      <w:marLeft w:val="0"/>
      <w:marRight w:val="0"/>
      <w:marTop w:val="0"/>
      <w:marBottom w:val="0"/>
      <w:divBdr>
        <w:top w:val="none" w:sz="0" w:space="0" w:color="auto"/>
        <w:left w:val="none" w:sz="0" w:space="0" w:color="auto"/>
        <w:bottom w:val="none" w:sz="0" w:space="0" w:color="auto"/>
        <w:right w:val="none" w:sz="0" w:space="0" w:color="auto"/>
      </w:divBdr>
    </w:div>
    <w:div w:id="1642494586">
      <w:bodyDiv w:val="1"/>
      <w:marLeft w:val="0"/>
      <w:marRight w:val="0"/>
      <w:marTop w:val="0"/>
      <w:marBottom w:val="0"/>
      <w:divBdr>
        <w:top w:val="none" w:sz="0" w:space="0" w:color="auto"/>
        <w:left w:val="none" w:sz="0" w:space="0" w:color="auto"/>
        <w:bottom w:val="none" w:sz="0" w:space="0" w:color="auto"/>
        <w:right w:val="none" w:sz="0" w:space="0" w:color="auto"/>
      </w:divBdr>
    </w:div>
    <w:div w:id="208557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office\Template\Buza-Common\Repor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A6D4983D28D84FAF1C285E1CA84D71" ma:contentTypeVersion="0" ma:contentTypeDescription="Create a new document." ma:contentTypeScope="" ma:versionID="4bd9914d6a4265ebcb6fd51965d705b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8917F-372D-422E-90B8-090F423307C0}">
  <ds:schemaRefs>
    <ds:schemaRef ds:uri="http://schemas.microsoft.com/sharepoint/v3/contenttype/forms"/>
  </ds:schemaRefs>
</ds:datastoreItem>
</file>

<file path=customXml/itemProps2.xml><?xml version="1.0" encoding="utf-8"?>
<ds:datastoreItem xmlns:ds="http://schemas.openxmlformats.org/officeDocument/2006/customXml" ds:itemID="{FD277FB2-4A0C-43F0-BF67-F8D1D7A79B23}">
  <ds:schemaRef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4322A349-E5B5-4F5F-A840-515E10870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C57DF7-E396-49E0-BC45-A664EC8F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0</TotalTime>
  <Pages>3</Pages>
  <Words>5997</Words>
  <Characters>32987</Characters>
  <Application>Microsoft Office Word</Application>
  <DocSecurity>0</DocSecurity>
  <Lines>274</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Algemene Aanwijzingen</vt:lpstr>
      <vt:lpstr>Algemene Aanwijzingen</vt:lpstr>
    </vt:vector>
  </TitlesOfParts>
  <Company>Ministerie van Buitenlandse Zaken</Company>
  <LinksUpToDate>false</LinksUpToDate>
  <CharactersWithSpaces>38907</CharactersWithSpaces>
  <SharedDoc>false</SharedDoc>
  <HLinks>
    <vt:vector size="36" baseType="variant">
      <vt:variant>
        <vt:i4>65627</vt:i4>
      </vt:variant>
      <vt:variant>
        <vt:i4>15</vt:i4>
      </vt:variant>
      <vt:variant>
        <vt:i4>0</vt:i4>
      </vt:variant>
      <vt:variant>
        <vt:i4>5</vt:i4>
      </vt:variant>
      <vt:variant>
        <vt:lpwstr>http://www.fao.org/evaluation/en/</vt:lpwstr>
      </vt:variant>
      <vt:variant>
        <vt:lpwstr/>
      </vt:variant>
      <vt:variant>
        <vt:i4>7405607</vt:i4>
      </vt:variant>
      <vt:variant>
        <vt:i4>12</vt:i4>
      </vt:variant>
      <vt:variant>
        <vt:i4>0</vt:i4>
      </vt:variant>
      <vt:variant>
        <vt:i4>5</vt:i4>
      </vt:variant>
      <vt:variant>
        <vt:lpwstr>http://www.fao.org/about/strategic-planning/en/</vt:lpwstr>
      </vt:variant>
      <vt:variant>
        <vt:lpwstr/>
      </vt:variant>
      <vt:variant>
        <vt:i4>7405607</vt:i4>
      </vt:variant>
      <vt:variant>
        <vt:i4>9</vt:i4>
      </vt:variant>
      <vt:variant>
        <vt:i4>0</vt:i4>
      </vt:variant>
      <vt:variant>
        <vt:i4>5</vt:i4>
      </vt:variant>
      <vt:variant>
        <vt:lpwstr>http://www.fao.org/about/strategic-planning/en/</vt:lpwstr>
      </vt:variant>
      <vt:variant>
        <vt:lpwstr/>
      </vt:variant>
      <vt:variant>
        <vt:i4>2687096</vt:i4>
      </vt:variant>
      <vt:variant>
        <vt:i4>6</vt:i4>
      </vt:variant>
      <vt:variant>
        <vt:i4>0</vt:i4>
      </vt:variant>
      <vt:variant>
        <vt:i4>5</vt:i4>
      </vt:variant>
      <vt:variant>
        <vt:lpwstr>http://www.fao.org/news/story/en/item/276762/icode/</vt:lpwstr>
      </vt:variant>
      <vt:variant>
        <vt:lpwstr/>
      </vt:variant>
      <vt:variant>
        <vt:i4>7274538</vt:i4>
      </vt:variant>
      <vt:variant>
        <vt:i4>3</vt:i4>
      </vt:variant>
      <vt:variant>
        <vt:i4>0</vt:i4>
      </vt:variant>
      <vt:variant>
        <vt:i4>5</vt:i4>
      </vt:variant>
      <vt:variant>
        <vt:lpwstr>http://www.fao.org/about/who-we-are/worldwide-offices/en/</vt:lpwstr>
      </vt:variant>
      <vt:variant>
        <vt:lpwstr>c207632</vt:lpwstr>
      </vt:variant>
      <vt:variant>
        <vt:i4>1179661</vt:i4>
      </vt:variant>
      <vt:variant>
        <vt:i4>0</vt:i4>
      </vt:variant>
      <vt:variant>
        <vt:i4>0</vt:i4>
      </vt:variant>
      <vt:variant>
        <vt:i4>5</vt:i4>
      </vt:variant>
      <vt:variant>
        <vt:lpwstr>http://www.fao.org/unfao/govbodies/gsbhome/conference/en/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Aanwijzingen</dc:title>
  <dc:creator>Han Huiskamp</dc:creator>
  <cp:lastModifiedBy>Elmar Lasse Smid</cp:lastModifiedBy>
  <cp:revision>3</cp:revision>
  <cp:lastPrinted>2015-05-20T14:35:00Z</cp:lastPrinted>
  <dcterms:created xsi:type="dcterms:W3CDTF">2015-06-18T15:09:00Z</dcterms:created>
  <dcterms:modified xsi:type="dcterms:W3CDTF">2015-06-19T09:22:00Z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_DATE">
    <vt:lpwstr>Datum</vt:lpwstr>
  </property>
  <property fmtid="{D5CDD505-2E9C-101B-9397-08002B2CF9AE}" pid="3" name="L_PLACE">
    <vt:lpwstr>Plaats</vt:lpwstr>
  </property>
  <property fmtid="{D5CDD505-2E9C-101B-9397-08002B2CF9AE}" pid="4" name="SIG_DIR">
    <vt:lpwstr>Directie Verenigde Naties en Internationale Financiële Instellingen</vt:lpwstr>
  </property>
  <property fmtid="{D5CDD505-2E9C-101B-9397-08002B2CF9AE}" pid="5" name="SIG_DEP">
    <vt:lpwstr>Sociaal Economische VN Zaken</vt:lpwstr>
  </property>
  <property fmtid="{D5CDD505-2E9C-101B-9397-08002B2CF9AE}" pid="6" name="SIG_PHONE">
    <vt:lpwstr>+31 (0)70- 3484194</vt:lpwstr>
  </property>
  <property fmtid="{D5CDD505-2E9C-101B-9397-08002B2CF9AE}" pid="7" name="L_AUTHOR">
    <vt:lpwstr>Redacteur(en):</vt:lpwstr>
  </property>
  <property fmtid="{D5CDD505-2E9C-101B-9397-08002B2CF9AE}" pid="8" name="L_CONTACT">
    <vt:lpwstr>Opgesteld door</vt:lpwstr>
  </property>
  <property fmtid="{D5CDD505-2E9C-101B-9397-08002B2CF9AE}" pid="9" name="L_TOC">
    <vt:lpwstr>Inhoudsopgave</vt:lpwstr>
  </property>
  <property fmtid="{D5CDD505-2E9C-101B-9397-08002B2CF9AE}" pid="10" name="L_PAGE">
    <vt:lpwstr>Pagina</vt:lpwstr>
  </property>
  <property fmtid="{D5CDD505-2E9C-101B-9397-08002B2CF9AE}" pid="11" name="L_PAGEOF">
    <vt:lpwstr>van</vt:lpwstr>
  </property>
  <property fmtid="{D5CDD505-2E9C-101B-9397-08002B2CF9AE}" pid="12" name="L_ENCLOSURES">
    <vt:lpwstr>Bijlage(n)</vt:lpwstr>
  </property>
  <property fmtid="{D5CDD505-2E9C-101B-9397-08002B2CF9AE}" pid="13" name="L_CITY">
    <vt:lpwstr>Plaats</vt:lpwstr>
  </property>
  <property fmtid="{D5CDD505-2E9C-101B-9397-08002B2CF9AE}" pid="14" name="BZ_Language">
    <vt:lpwstr>Dutch</vt:lpwstr>
  </property>
  <property fmtid="{D5CDD505-2E9C-101B-9397-08002B2CF9AE}" pid="15" name="SIG_NAME">
    <vt:lpwstr>Han Huiskamp</vt:lpwstr>
  </property>
  <property fmtid="{D5CDD505-2E9C-101B-9397-08002B2CF9AE}" pid="16" name="SIG_FUNCTION">
    <vt:lpwstr>Beleidsmedewerker</vt:lpwstr>
  </property>
  <property fmtid="{D5CDD505-2E9C-101B-9397-08002B2CF9AE}" pid="17" name="SIG_SENDER">
    <vt:lpwstr>Han Huiskamp</vt:lpwstr>
  </property>
  <property fmtid="{D5CDD505-2E9C-101B-9397-08002B2CF9AE}" pid="18" name="SIG_CdP">
    <vt:lpwstr>unknown CdP</vt:lpwstr>
  </property>
  <property fmtid="{D5CDD505-2E9C-101B-9397-08002B2CF9AE}" pid="19" name="ContentTypeId">
    <vt:lpwstr>0x01010044A6D4983D28D84FAF1C285E1CA84D71</vt:lpwstr>
  </property>
</Properties>
</file>