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315A1E">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W13.15.0061/III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20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C7CB4" w:rsidRDefault="00614FA4">
              <w:r>
                <w:t>Bij Kabinetsmissive van 9 maart 2015, no.2015000385, heeft Uwe Majesteit, op voordracht van de Staatssecretaris van Volksgezondheid, Welzijn en Sport, mede namens de Staatssecretaris van Veiligheid en Justitie en de Minister van Binnenlandse Zaken en Koninkrijksrelaties, bij de Afdeling advisering van de Raad van State ter overweging aanhangig gemaakt het voorstel van wet houdende wijziging van de Invoeringswet openbare lichamen Bonaire, Sint Eustatius en Saba in verband met het wettelijk regelen van kwaliteitseisen voor de jeugdzorg op Bonaire, Sint Eustatius en Saba en het toezicht en de handhaving hiervan door de inspectie jeugdzorg, met memorie van toelichting.</w:t>
              </w:r>
            </w:p>
          </w:sdtContent>
        </w:sdt>
        <w:p w:rsidRPr="00831363" w:rsidR="00CE4655" w:rsidP="003C7608" w:rsidRDefault="00CE4655"/>
        <w:sdt>
          <w:sdtPr>
            <w:alias w:val="VrijeTekst1"/>
            <w:tag w:val="VrijeTekst1"/>
            <w:id w:val="-437221631"/>
            <w:lock w:val="sdtLocked"/>
          </w:sdtPr>
          <w:sdtEndPr/>
          <w:sdtContent>
            <w:p w:rsidR="00DE35C9" w:rsidP="00FF035E" w:rsidRDefault="00614FA4">
              <w:r>
                <w:t>Met dit voorstel wordt een wettelijke grondslag gecreëerd voor het toezicht op de kwaliteit van de jeugdzorg op Bonaire, Sint Eustatius en Saba door de Inspectie jeugdzorg (IJZ). Voorts bevat het voorstel regels met betrekking tot de inhoud van de jeugdzorg in Caribisch Nederland en is onder andere een grondslag voor verwerking van (bijzondere) persoonsgegevens in het kader van de toezichtstaak van de inspectie opgenomen.</w:t>
              </w:r>
            </w:p>
            <w:p w:rsidR="00FA5574" w:rsidP="00FF035E" w:rsidRDefault="00315A1E"/>
            <w:p w:rsidR="003A46E6" w:rsidP="00FF035E" w:rsidRDefault="00614FA4">
              <w:r>
                <w:t xml:space="preserve">De Afdeling advisering van de Raad van State adviseert het voorstel naar de Tweede Kamer te zenden, </w:t>
              </w:r>
              <w:r w:rsidRPr="00FA5574">
                <w:rPr>
                  <w:rFonts w:eastAsia="Calibri"/>
                  <w:szCs w:val="22"/>
                </w:rPr>
                <w:t xml:space="preserve">maar acht op onderdelen een nadere motivering of aanpassing van het voorstel </w:t>
              </w:r>
              <w:r>
                <w:rPr>
                  <w:rFonts w:eastAsia="Calibri"/>
                  <w:szCs w:val="22"/>
                </w:rPr>
                <w:t>a</w:t>
              </w:r>
              <w:r w:rsidRPr="00FA5574">
                <w:rPr>
                  <w:rFonts w:eastAsia="Calibri"/>
                  <w:szCs w:val="22"/>
                </w:rPr>
                <w:t>angewezen.</w:t>
              </w:r>
              <w:r>
                <w:rPr>
                  <w:rFonts w:eastAsia="Calibri"/>
                  <w:szCs w:val="22"/>
                </w:rPr>
                <w:t xml:space="preserve"> D</w:t>
              </w:r>
              <w:r w:rsidRPr="00FA5574">
                <w:rPr>
                  <w:rFonts w:eastAsia="Calibri"/>
                  <w:szCs w:val="22"/>
                </w:rPr>
                <w:t xml:space="preserve">e Afdeling </w:t>
              </w:r>
              <w:r>
                <w:rPr>
                  <w:rFonts w:eastAsia="Calibri"/>
                  <w:szCs w:val="22"/>
                </w:rPr>
                <w:t xml:space="preserve">adviseert onder andere </w:t>
              </w:r>
              <w:r w:rsidRPr="00FA5574">
                <w:rPr>
                  <w:rFonts w:eastAsia="Calibri"/>
                  <w:szCs w:val="22"/>
                </w:rPr>
                <w:t xml:space="preserve">de verwerking van persoonsgegevens in het licht van artikel 8 </w:t>
              </w:r>
              <w:r>
                <w:rPr>
                  <w:szCs w:val="22"/>
                </w:rPr>
                <w:t>Europees Verdrag tot bescherming van de rechten van de mens (</w:t>
              </w:r>
              <w:r w:rsidRPr="00FA5574">
                <w:rPr>
                  <w:rFonts w:eastAsia="Calibri"/>
                  <w:szCs w:val="22"/>
                </w:rPr>
                <w:t>EVRM</w:t>
              </w:r>
              <w:r>
                <w:rPr>
                  <w:rFonts w:eastAsia="Calibri"/>
                  <w:szCs w:val="22"/>
                </w:rPr>
                <w:t>)</w:t>
              </w:r>
              <w:r w:rsidRPr="00FA5574">
                <w:rPr>
                  <w:rFonts w:eastAsia="Calibri"/>
                  <w:szCs w:val="22"/>
                </w:rPr>
                <w:t xml:space="preserve"> </w:t>
              </w:r>
              <w:r>
                <w:rPr>
                  <w:rFonts w:eastAsia="Calibri"/>
                  <w:szCs w:val="22"/>
                </w:rPr>
                <w:t xml:space="preserve">en de Wet bescherming persoonsgegevens (Wbp) en Wet bescherming persoonsgegevens BES (Wbp BES) </w:t>
              </w:r>
              <w:r w:rsidRPr="00FA5574">
                <w:rPr>
                  <w:rFonts w:eastAsia="Calibri"/>
                  <w:szCs w:val="22"/>
                </w:rPr>
                <w:t>nader te motiveren</w:t>
              </w:r>
              <w:r>
                <w:rPr>
                  <w:rFonts w:eastAsia="Calibri"/>
                  <w:szCs w:val="22"/>
                </w:rPr>
                <w:t>.</w:t>
              </w:r>
              <w:r w:rsidRPr="00FA5574">
                <w:rPr>
                  <w:rFonts w:eastAsia="Calibri"/>
                  <w:szCs w:val="22"/>
                </w:rPr>
                <w:t xml:space="preserve"> </w:t>
              </w:r>
            </w:p>
            <w:p w:rsidR="00C22345" w:rsidP="00DE35C9" w:rsidRDefault="00315A1E"/>
            <w:p w:rsidR="00F84B1F" w:rsidP="000D2663" w:rsidRDefault="00614FA4">
              <w:pPr>
                <w:pStyle w:val="Lijstalinea"/>
                <w:numPr>
                  <w:ilvl w:val="0"/>
                  <w:numId w:val="3"/>
                </w:numPr>
                <w:ind w:left="426" w:hanging="426"/>
                <w:rPr>
                  <w:u w:val="single"/>
                </w:rPr>
              </w:pPr>
              <w:r w:rsidRPr="00C10CFE">
                <w:tab/>
              </w:r>
              <w:r w:rsidRPr="00A15021">
                <w:rPr>
                  <w:u w:val="single"/>
                </w:rPr>
                <w:t>Verwerking van persoonsgegevens</w:t>
              </w:r>
            </w:p>
            <w:p w:rsidRPr="00A15021" w:rsidR="00F84B1F" w:rsidP="00F84B1F" w:rsidRDefault="00315A1E">
              <w:pPr>
                <w:pStyle w:val="Lijstalinea"/>
                <w:tabs>
                  <w:tab w:val="left" w:pos="284"/>
                </w:tabs>
                <w:ind w:left="0"/>
                <w:rPr>
                  <w:u w:val="single"/>
                </w:rPr>
              </w:pPr>
            </w:p>
            <w:p w:rsidR="00136324" w:rsidRDefault="00614FA4">
              <w:pPr>
                <w:tabs>
                  <w:tab w:val="left" w:pos="709"/>
                </w:tabs>
                <w:rPr>
                  <w:szCs w:val="22"/>
                </w:rPr>
              </w:pPr>
              <w:r>
                <w:rPr>
                  <w:szCs w:val="22"/>
                </w:rPr>
                <w:t>De voorgestelde artikelen 18.4.7d en 18.4.7h hebben beide deels betrekking op de verwerking van (bijzondere) persoonsgegevens. Deze gegevensverwerking impliceert een inbreuk op het recht op bescherming van de persoonlijke levenssfeer als bedoeld in artikel 10 van de Grondwet en artikel 8 EVRM. Een dergelijke inbreuk moet bij wet zijn voorzien en noodzakelijk zijn in een democratische samenleving en voorts moet voldaan zijn aan de eisen van proportionaliteit en subsidiariteit. Daarnaast moet zijn voldaan aan de eisen die voortvloeien uit het nationaal juridische kader. In dit geval betreft dat primair de Wet beschermingspersoonsgegevens BES (Wbp BES).</w:t>
              </w:r>
              <w:r>
                <w:rPr>
                  <w:rStyle w:val="Voetnootmarkering"/>
                  <w:szCs w:val="22"/>
                </w:rPr>
                <w:footnoteReference w:id="1"/>
              </w:r>
              <w:r>
                <w:rPr>
                  <w:szCs w:val="22"/>
                </w:rPr>
                <w:t xml:space="preserve"> De Afdeling maakt de volgende opmerkingen.</w:t>
              </w:r>
            </w:p>
            <w:p w:rsidR="00136324" w:rsidP="00136324" w:rsidRDefault="00315A1E">
              <w:pPr>
                <w:tabs>
                  <w:tab w:val="left" w:pos="709"/>
                </w:tabs>
                <w:rPr>
                  <w:szCs w:val="22"/>
                </w:rPr>
              </w:pPr>
            </w:p>
            <w:p w:rsidRPr="00136324" w:rsidR="00E12C2B" w:rsidP="00136324" w:rsidRDefault="00614FA4">
              <w:pPr>
                <w:tabs>
                  <w:tab w:val="left" w:pos="709"/>
                </w:tabs>
                <w:rPr>
                  <w:szCs w:val="22"/>
                </w:rPr>
              </w:pPr>
              <w:r>
                <w:rPr>
                  <w:szCs w:val="22"/>
                </w:rPr>
                <w:t>a.</w:t>
              </w:r>
              <w:r>
                <w:rPr>
                  <w:szCs w:val="22"/>
                </w:rPr>
                <w:tab/>
              </w:r>
              <w:r w:rsidRPr="00E12C2B">
                <w:t xml:space="preserve">De toelichting bij het voorgestelde artikel 18.4.7h </w:t>
              </w:r>
              <w:r>
                <w:t xml:space="preserve">gaat </w:t>
              </w:r>
              <w:r w:rsidRPr="00E12C2B">
                <w:t>niet in op de</w:t>
              </w:r>
              <w:r>
                <w:t xml:space="preserve"> </w:t>
              </w:r>
              <w:r w:rsidRPr="00E12C2B">
                <w:t xml:space="preserve">verhouding van de voorgestelde bepaling tot artikel 8 van het EVRM. </w:t>
              </w:r>
            </w:p>
            <w:p w:rsidR="00E12C2B" w:rsidRDefault="00614FA4">
              <w:pPr>
                <w:tabs>
                  <w:tab w:val="left" w:pos="709"/>
                </w:tabs>
              </w:pPr>
              <w:r w:rsidRPr="00E12C2B">
                <w:t>Wat betreft het nationale juridische kader voor gegevensverwerking wordt slechts volstaan met een korte verwijzing naar een aspect van Wbp BE</w:t>
              </w:r>
              <w:r>
                <w:t>S</w:t>
              </w:r>
              <w:r w:rsidRPr="00E12C2B">
                <w:t xml:space="preserve"> en een verwijzing naar een bepaling uit de Jeugdwet.</w:t>
              </w:r>
              <w:r>
                <w:rPr>
                  <w:rStyle w:val="Voetnootmarkering"/>
                </w:rPr>
                <w:footnoteReference w:id="2"/>
              </w:r>
              <w:r w:rsidRPr="00E12C2B">
                <w:t xml:space="preserve"> </w:t>
              </w:r>
            </w:p>
            <w:p w:rsidR="00136324" w:rsidRDefault="00614FA4">
              <w:pPr>
                <w:tabs>
                  <w:tab w:val="left" w:pos="709"/>
                </w:tabs>
              </w:pPr>
              <w:r>
                <w:lastRenderedPageBreak/>
                <w:t xml:space="preserve">Een motivering voor de inbreuk op de persoonlijke levenssfeer is temeer noodzakelijk, omdat ook bijzondere persoonsgegevens verwerkt kunnen worden. Verwerking daarvan is op grond van artikel 16 Wbp BES in beginsel verboden, tenzij op een van de gronden in die wet genoemd. In dit verband speelt ook de vraag of de algemene grondslag voor de gegevensverwerking (een doelmatige en doeltreffende uitvoering van de toezichthoudende taken) voor de verwerking van bijzondere persoonsgegevens toereikend is. </w:t>
              </w:r>
              <w:r w:rsidRPr="00E12C2B">
                <w:t xml:space="preserve">De Afdeling wijst er in dit verband </w:t>
              </w:r>
              <w:r>
                <w:t xml:space="preserve">voorts </w:t>
              </w:r>
              <w:r w:rsidRPr="00E12C2B">
                <w:t>op dat een toelichting zelfstandig leesbaar dient te zijn en dat niet kan worden volstaan met een verwijzing naar andere wetsartikelen</w:t>
              </w:r>
              <w:r>
                <w:t xml:space="preserve"> dan wel parlementaire stukken.</w:t>
              </w:r>
            </w:p>
            <w:p w:rsidR="00136324" w:rsidP="00136324" w:rsidRDefault="00315A1E">
              <w:pPr>
                <w:tabs>
                  <w:tab w:val="left" w:pos="709"/>
                </w:tabs>
              </w:pPr>
            </w:p>
            <w:p w:rsidR="00F84B1F" w:rsidP="00136324" w:rsidRDefault="00614FA4">
              <w:pPr>
                <w:tabs>
                  <w:tab w:val="left" w:pos="709"/>
                </w:tabs>
              </w:pPr>
              <w:r>
                <w:t>b.</w:t>
              </w:r>
              <w:r>
                <w:tab/>
              </w:r>
              <w:r w:rsidRPr="00E12C2B">
                <w:t>In de toelichting bij het voorgestelde artikel 18.4.7d wordt wel ingegaan op de verhouding tot artikel 8 van het EVRM, maar niet op de verhouding tot het nationale juridische kader.</w:t>
              </w:r>
              <w:r>
                <w:t xml:space="preserve"> Ook hier geldt dat bijzondere persoonsgegevens verwerkt kunnen worden, hetgeen in beginsel niet is toegestaan. </w:t>
              </w:r>
            </w:p>
            <w:p w:rsidR="00BD3915" w:rsidRDefault="00315A1E">
              <w:pPr>
                <w:tabs>
                  <w:tab w:val="left" w:pos="709"/>
                </w:tabs>
              </w:pPr>
            </w:p>
            <w:p w:rsidR="00B40C7B" w:rsidRDefault="00614FA4">
              <w:pPr>
                <w:rPr>
                  <w:szCs w:val="22"/>
                </w:rPr>
              </w:pPr>
              <w:r>
                <w:rPr>
                  <w:szCs w:val="22"/>
                </w:rPr>
                <w:t xml:space="preserve">De Afdeling adviseert in de toelichting op de bovenstaande punten in te gaan en de voorgestelde inbreuk op de persoonlijke levenssfeer nader te motiveren. Daarbij moet zowel worden ingegaan op de verhouding tot het relevante internationale recht als op de verhouding tot primair de Wbp BES. </w:t>
              </w:r>
            </w:p>
            <w:p w:rsidR="00F84B1F" w:rsidP="00DE35C9" w:rsidRDefault="00315A1E"/>
            <w:p w:rsidR="00C10ADD" w:rsidP="00F84B1F" w:rsidRDefault="00614FA4">
              <w:pPr>
                <w:pStyle w:val="Lijstalinea"/>
                <w:numPr>
                  <w:ilvl w:val="0"/>
                  <w:numId w:val="4"/>
                </w:numPr>
                <w:tabs>
                  <w:tab w:val="left" w:pos="284"/>
                </w:tabs>
                <w:ind w:left="0" w:firstLine="0"/>
                <w:rPr>
                  <w:u w:val="single"/>
                </w:rPr>
              </w:pPr>
              <w:r w:rsidRPr="00C10CFE">
                <w:tab/>
              </w:r>
              <w:r w:rsidRPr="00C10CFE">
                <w:rPr>
                  <w:u w:val="single"/>
                </w:rPr>
                <w:t xml:space="preserve">Geheimhoudingsplicht </w:t>
              </w:r>
              <w:r>
                <w:rPr>
                  <w:u w:val="single"/>
                </w:rPr>
                <w:t>ambtenaren IJZ</w:t>
              </w:r>
            </w:p>
            <w:p w:rsidRPr="00C10CFE" w:rsidR="009E3265" w:rsidP="009E3265" w:rsidRDefault="00315A1E">
              <w:pPr>
                <w:pStyle w:val="Lijstalinea"/>
                <w:tabs>
                  <w:tab w:val="left" w:pos="284"/>
                </w:tabs>
                <w:ind w:left="0"/>
                <w:rPr>
                  <w:u w:val="single"/>
                </w:rPr>
              </w:pPr>
            </w:p>
            <w:p w:rsidR="00DE14C4" w:rsidP="00C10ADD" w:rsidRDefault="00614FA4">
              <w:pPr>
                <w:pStyle w:val="Lijstalinea"/>
                <w:tabs>
                  <w:tab w:val="left" w:pos="284"/>
                </w:tabs>
                <w:ind w:left="0"/>
              </w:pPr>
              <w:r>
                <w:t>In het voorstel is voor aanbieders van jeugdzorg en (gezins)voogdij-instellingen een meldplicht opgenomen voor calamiteiten en geweld bij de verlening van jeugdzorg of (gezins)voogdij.</w:t>
              </w:r>
              <w:r>
                <w:rPr>
                  <w:rStyle w:val="Voetnootmarkering"/>
                </w:rPr>
                <w:footnoteReference w:id="3"/>
              </w:r>
              <w:r>
                <w:t xml:space="preserve"> Bij en naar aanleiding van een dergelijke melding verstrekken de jeugdzorgaanbieder en de (gezins)voogdij-instelling aan de toezichthouder de gegevens die voor het onderzoek van de melding noodzakelijk zijn. Dit kunnen persoonsgegevens, gegevens betreffende de gezondheid en andere bijzondere persoonsgegevens betreffen. Daartoe kunnen onder het beroepsgeheim van de beroepsbeoefenaar vallende gegevens behoren.</w:t>
              </w:r>
            </w:p>
            <w:p w:rsidR="00243A7A" w:rsidP="00243A7A" w:rsidRDefault="00614FA4">
              <w:pPr>
                <w:pStyle w:val="Lijstalinea"/>
                <w:tabs>
                  <w:tab w:val="left" w:pos="284"/>
                </w:tabs>
                <w:ind w:left="0"/>
              </w:pPr>
              <w:r>
                <w:t xml:space="preserve">De Afdeling merkt op dat ten aanzien van de gegevens die de ambtenaren van de IJZ </w:t>
              </w:r>
              <w:r w:rsidRPr="000D2663">
                <w:t>in het kader van een</w:t>
              </w:r>
              <w:r w:rsidRPr="00937754">
                <w:t xml:space="preserve"> </w:t>
              </w:r>
              <w:r w:rsidRPr="000D2663">
                <w:t>melding</w:t>
              </w:r>
              <w:r>
                <w:t xml:space="preserve"> onder zich krijgen, een geheimhoudingsplicht voor die ambtenaren in het voorstel ontbreekt. Zij acht een dergelijke plicht noodzakelijk voor het waarborgen van de geheimhouding.   </w:t>
              </w:r>
            </w:p>
            <w:p w:rsidR="005B5963" w:rsidP="00C10ADD" w:rsidRDefault="00614FA4">
              <w:pPr>
                <w:pStyle w:val="Lijstalinea"/>
                <w:tabs>
                  <w:tab w:val="left" w:pos="284"/>
                </w:tabs>
                <w:ind w:left="0"/>
              </w:pPr>
              <w:r>
                <w:t xml:space="preserve">De Afdeling wijst er in dit verband op dat een vergelijkbare meldplicht is opgenomen in artikel 25 van het wetsvoorstel </w:t>
              </w:r>
              <w:r w:rsidRPr="00CE6850">
                <w:t>Wet kwaliteit, klachten en geschillen</w:t>
              </w:r>
              <w:r>
                <w:t xml:space="preserve"> zorg (Wkkgz)</w:t>
              </w:r>
              <w:r>
                <w:rPr>
                  <w:rStyle w:val="Voetnootmarkering"/>
                </w:rPr>
                <w:footnoteReference w:id="4"/>
              </w:r>
              <w:r>
                <w:t xml:space="preserve">, waarbij calamiteiten en geweld in de zorgrelatie gemeld moeten worden bij de Inspectie voor de gezondheidszorg (IGZ). Teneinde te waarborgen dat de tot het beroepsgeheim van de zorgverlener behorende gegevens die in het kader van een melding in het bezit van de IGZ zijn gekomen, geheim blijven, ook binnen beperkte kring en ook als de cliënt intussen is overleden, is voor de IGZ in artikel 25, derde lid, van het wetsvoorstel Wkkgz een expliciete geheimhoudingsplicht opgenomen. </w:t>
              </w:r>
            </w:p>
            <w:p w:rsidR="0031089B" w:rsidP="00F93AB8" w:rsidRDefault="00614FA4">
              <w:r>
                <w:t xml:space="preserve">De Afdeling adviseert in het voorgestelde artikel 18.4.7d te voorzien in een geheimhoudingsplicht voor de ambtenaren van de IJZ, analoog aan het voorgestelde artikel 25, derde lid, van het wetsvoorstel </w:t>
              </w:r>
              <w:r w:rsidRPr="00CE6850">
                <w:t>W</w:t>
              </w:r>
              <w:r>
                <w:t>kkgz.</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14FA4">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C7CB4" w:rsidRDefault="00614FA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W13.15.0061</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145DF4" w:rsidP="00145DF4" w:rsidRDefault="00614FA4">
              <w:pPr>
                <w:pStyle w:val="Lijstalinea"/>
                <w:numPr>
                  <w:ilvl w:val="0"/>
                  <w:numId w:val="5"/>
                </w:numPr>
                <w:tabs>
                  <w:tab w:val="left" w:pos="284"/>
                </w:tabs>
                <w:ind w:left="0" w:firstLine="0"/>
              </w:pPr>
              <w:r>
                <w:t xml:space="preserve">In het wetsvoorstel consequent het begrip ‘jeugdzorgaanbieder’ dan wel </w:t>
              </w:r>
              <w:r>
                <w:tab/>
                <w:t xml:space="preserve">‘aanbieder van jeugdzorg’ hanteren. </w:t>
              </w:r>
            </w:p>
            <w:p w:rsidR="00145DF4" w:rsidP="00145DF4" w:rsidRDefault="00614FA4">
              <w:pPr>
                <w:pStyle w:val="Lijstalinea"/>
                <w:numPr>
                  <w:ilvl w:val="0"/>
                  <w:numId w:val="5"/>
                </w:numPr>
                <w:tabs>
                  <w:tab w:val="left" w:pos="284"/>
                </w:tabs>
                <w:ind w:left="0" w:firstLine="0"/>
              </w:pPr>
              <w:r>
                <w:t xml:space="preserve">In artikel I, onderdeel A, artikel 18.4.7a, de definitie van ‘jeugdige’ vanaf ‘en </w:t>
              </w:r>
              <w:r>
                <w:tab/>
                <w:t>voor wie‘ met het oog op de leesbaarheid vormgeven als een opsomming.</w:t>
              </w:r>
            </w:p>
            <w:p w:rsidR="002E27C9" w:rsidP="00145DF4" w:rsidRDefault="00614FA4">
              <w:pPr>
                <w:pStyle w:val="Lijstalinea"/>
                <w:numPr>
                  <w:ilvl w:val="0"/>
                  <w:numId w:val="5"/>
                </w:numPr>
                <w:tabs>
                  <w:tab w:val="left" w:pos="284"/>
                </w:tabs>
                <w:ind w:left="0" w:firstLine="0"/>
              </w:pPr>
              <w:r w:rsidRPr="002E27C9">
                <w:t>In artikel I, onderdeel A, artikel 18.4.7a, de definitie van ‘jeugdige’</w:t>
              </w:r>
              <w:r>
                <w:t xml:space="preserve"> ten aanzien </w:t>
              </w:r>
              <w:r>
                <w:tab/>
                <w:t xml:space="preserve">van een persoon die de leeftijd van achttien jaar doch niet de leeftijd van </w:t>
              </w:r>
              <w:r>
                <w:tab/>
                <w:t xml:space="preserve">drieëntwintig heeft bereikt volledig laten aansluiten bij de definitie met </w:t>
              </w:r>
              <w:r>
                <w:tab/>
                <w:t xml:space="preserve">betrekking tot de bedoelde categorie uit de Jeugdwet dan wel de Wet op de </w:t>
              </w:r>
              <w:r>
                <w:tab/>
                <w:t xml:space="preserve">jeugdzorg en in de toelichting verduidelijken waarom bij de gekozen definitie is </w:t>
              </w:r>
              <w:r>
                <w:tab/>
                <w:t xml:space="preserve">aangesloten. </w:t>
              </w:r>
            </w:p>
            <w:p w:rsidR="00897BE4" w:rsidP="000D2663" w:rsidRDefault="00614FA4">
              <w:pPr>
                <w:pStyle w:val="Lijstalinea"/>
                <w:numPr>
                  <w:ilvl w:val="0"/>
                  <w:numId w:val="5"/>
                </w:numPr>
                <w:tabs>
                  <w:tab w:val="left" w:pos="284"/>
                </w:tabs>
                <w:ind w:left="284" w:hanging="284"/>
              </w:pPr>
              <w:r>
                <w:t xml:space="preserve">In artikel I, onderdeel A, artikel 18.4.7a, in de definitie van ‘jeugdzorg’ de zinsnede ‘, met uitzondering van pleegouders’ achterwege laten.  </w:t>
              </w:r>
            </w:p>
            <w:p w:rsidR="00DB1C5F" w:rsidP="00145DF4" w:rsidRDefault="00614FA4">
              <w:pPr>
                <w:pStyle w:val="Lijstalinea"/>
                <w:numPr>
                  <w:ilvl w:val="0"/>
                  <w:numId w:val="5"/>
                </w:numPr>
                <w:tabs>
                  <w:tab w:val="left" w:pos="284"/>
                </w:tabs>
                <w:ind w:left="0" w:firstLine="0"/>
              </w:pPr>
              <w:r>
                <w:t xml:space="preserve">Artikel I, onderdeel A, artikel 18.4.7e, eerste lid, met het oog op leesbaarheid </w:t>
              </w:r>
              <w:r>
                <w:tab/>
                <w:t>vormgeven als een opsomming.</w:t>
              </w:r>
            </w:p>
            <w:p w:rsidR="00145DF4" w:rsidP="00145DF4" w:rsidRDefault="00614FA4">
              <w:pPr>
                <w:pStyle w:val="Lijstalinea"/>
                <w:numPr>
                  <w:ilvl w:val="0"/>
                  <w:numId w:val="5"/>
                </w:numPr>
                <w:tabs>
                  <w:tab w:val="left" w:pos="284"/>
                </w:tabs>
                <w:ind w:left="0" w:firstLine="0"/>
              </w:pPr>
              <w:r>
                <w:t xml:space="preserve">In artikel I, onderdeel B, artikel 18.4.11, eerste lid, de verwijzing naar titel 5.4 </w:t>
              </w:r>
              <w:r>
                <w:tab/>
                <w:t xml:space="preserve">van de Algemene wet bestuursrecht (bestuurlijke boete) schrappen, omdat het </w:t>
              </w:r>
              <w:r>
                <w:tab/>
                <w:t>voorstel niet voorziet in de bevoegdheid om een bestuurlijke boete op te leggen.</w:t>
              </w:r>
            </w:p>
            <w:p w:rsidR="00DB1C5F" w:rsidP="00145DF4" w:rsidRDefault="00614FA4">
              <w:pPr>
                <w:pStyle w:val="Lijstalinea"/>
                <w:numPr>
                  <w:ilvl w:val="0"/>
                  <w:numId w:val="5"/>
                </w:numPr>
                <w:tabs>
                  <w:tab w:val="left" w:pos="284"/>
                </w:tabs>
                <w:ind w:left="0" w:firstLine="0"/>
              </w:pPr>
              <w:r>
                <w:t xml:space="preserve">In artikel I, onderdeel B, artikel 18.4.11, tweede lid, de verwijzing naar artikel </w:t>
              </w:r>
              <w:r>
                <w:tab/>
                <w:t xml:space="preserve">18.4.7d wijzigen in artikel 18.4.7e. </w:t>
              </w:r>
            </w:p>
          </w:sdtContent>
        </w:sdt>
        <w:p w:rsidR="00C50D4F" w:rsidP="005841EA" w:rsidRDefault="00315A1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8D" w:rsidRDefault="00614FA4" w:rsidP="005B3E03">
      <w:r>
        <w:separator/>
      </w:r>
    </w:p>
    <w:p w:rsidR="007E308D" w:rsidRDefault="00315A1E"/>
  </w:endnote>
  <w:endnote w:type="continuationSeparator" w:id="0">
    <w:p w:rsidR="007E308D" w:rsidRDefault="00614FA4" w:rsidP="005B3E03">
      <w:r>
        <w:continuationSeparator/>
      </w:r>
    </w:p>
    <w:p w:rsidR="007E308D" w:rsidRDefault="00315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315A1E">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8D" w:rsidRDefault="00614FA4" w:rsidP="005B3E03">
      <w:r>
        <w:separator/>
      </w:r>
    </w:p>
    <w:p w:rsidR="007E308D" w:rsidRDefault="00315A1E"/>
  </w:footnote>
  <w:footnote w:type="continuationSeparator" w:id="0">
    <w:p w:rsidR="007E308D" w:rsidRDefault="00614FA4" w:rsidP="005B3E03">
      <w:r>
        <w:continuationSeparator/>
      </w:r>
    </w:p>
    <w:p w:rsidR="007E308D" w:rsidRDefault="00315A1E"/>
  </w:footnote>
  <w:footnote w:id="1">
    <w:p w:rsidR="00E32081" w:rsidRDefault="00614FA4" w:rsidP="00E32081">
      <w:pPr>
        <w:pStyle w:val="Voetnoottekst"/>
      </w:pPr>
      <w:r>
        <w:rPr>
          <w:rStyle w:val="Voetnootmarkering"/>
        </w:rPr>
        <w:footnoteRef/>
      </w:r>
      <w:r>
        <w:t xml:space="preserve"> </w:t>
      </w:r>
      <w:r>
        <w:tab/>
        <w:t xml:space="preserve">In dit verband wijst de Afdeling erop dat de Wbp BES van toepassing is voor zover de verwerking op Bonaire, </w:t>
      </w:r>
      <w:r w:rsidRPr="00074E7D">
        <w:t xml:space="preserve">Sint Eustatius </w:t>
      </w:r>
      <w:r>
        <w:t>of</w:t>
      </w:r>
      <w:r w:rsidRPr="00074E7D">
        <w:t xml:space="preserve"> Saba</w:t>
      </w:r>
      <w:r>
        <w:t xml:space="preserve"> plaatsheeft. Bij verwerking van persoonsgegevens in Nederland is de Wbp van toepassing. </w:t>
      </w:r>
    </w:p>
  </w:footnote>
  <w:footnote w:id="2">
    <w:p w:rsidR="00CA7041" w:rsidRDefault="00614FA4">
      <w:pPr>
        <w:pStyle w:val="Voetnoottekst"/>
      </w:pPr>
      <w:r>
        <w:rPr>
          <w:rStyle w:val="Voetnootmarkering"/>
        </w:rPr>
        <w:footnoteRef/>
      </w:r>
      <w:r>
        <w:t xml:space="preserve"> </w:t>
      </w:r>
      <w:r>
        <w:tab/>
        <w:t>A</w:t>
      </w:r>
      <w:r w:rsidRPr="00CA7041">
        <w:t>rtikel 9.2, derde lid, van de Jeugdwet</w:t>
      </w:r>
      <w:r>
        <w:t>.</w:t>
      </w:r>
    </w:p>
  </w:footnote>
  <w:footnote w:id="3">
    <w:p w:rsidR="000E51CB" w:rsidRDefault="00614FA4">
      <w:pPr>
        <w:pStyle w:val="Voetnoottekst"/>
      </w:pPr>
      <w:r>
        <w:rPr>
          <w:rStyle w:val="Voetnootmarkering"/>
        </w:rPr>
        <w:footnoteRef/>
      </w:r>
      <w:r>
        <w:t xml:space="preserve"> </w:t>
      </w:r>
      <w:r>
        <w:tab/>
        <w:t>H</w:t>
      </w:r>
      <w:r w:rsidRPr="000E51CB">
        <w:t>et voorgestelde artikel 18.4.7d</w:t>
      </w:r>
      <w:r>
        <w:t>.</w:t>
      </w:r>
    </w:p>
  </w:footnote>
  <w:footnote w:id="4">
    <w:p w:rsidR="003040B4" w:rsidRDefault="00614FA4" w:rsidP="003040B4">
      <w:pPr>
        <w:pStyle w:val="Voetnoottekst"/>
      </w:pPr>
      <w:r>
        <w:rPr>
          <w:rStyle w:val="Voetnootmarkering"/>
        </w:rPr>
        <w:footnoteRef/>
      </w:r>
      <w:r>
        <w:tab/>
        <w:t>Kamerstukken I 2012/13, 32 402, 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30319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14FA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30319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315A1E">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30319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15A1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23E"/>
    <w:multiLevelType w:val="hybridMultilevel"/>
    <w:tmpl w:val="EBC210B2"/>
    <w:lvl w:ilvl="0" w:tplc="861E92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BA337D"/>
    <w:multiLevelType w:val="hybridMultilevel"/>
    <w:tmpl w:val="33EA1ED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2A4B4D"/>
    <w:multiLevelType w:val="hybridMultilevel"/>
    <w:tmpl w:val="8CD2B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3665BA7"/>
    <w:multiLevelType w:val="hybridMultilevel"/>
    <w:tmpl w:val="1DD257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F451732"/>
    <w:multiLevelType w:val="hybridMultilevel"/>
    <w:tmpl w:val="9AD448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72548E2"/>
    <w:multiLevelType w:val="hybridMultilevel"/>
    <w:tmpl w:val="99E21774"/>
    <w:lvl w:ilvl="0" w:tplc="83DCF73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5E404BA"/>
    <w:multiLevelType w:val="hybridMultilevel"/>
    <w:tmpl w:val="277E8852"/>
    <w:lvl w:ilvl="0" w:tplc="8AAEBCD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0319B"/>
    <w:rsid w:val="0031280A"/>
    <w:rsid w:val="00315A1E"/>
    <w:rsid w:val="00365EF8"/>
    <w:rsid w:val="003706AD"/>
    <w:rsid w:val="0037367E"/>
    <w:rsid w:val="003C7608"/>
    <w:rsid w:val="00411DBC"/>
    <w:rsid w:val="00554D49"/>
    <w:rsid w:val="005841EA"/>
    <w:rsid w:val="005E41CC"/>
    <w:rsid w:val="00614FA4"/>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65E9B"/>
    <w:rsid w:val="00B82659"/>
    <w:rsid w:val="00B97BA6"/>
    <w:rsid w:val="00C5066A"/>
    <w:rsid w:val="00C50D4F"/>
    <w:rsid w:val="00C5589A"/>
    <w:rsid w:val="00C93CC0"/>
    <w:rsid w:val="00C94D31"/>
    <w:rsid w:val="00CA109A"/>
    <w:rsid w:val="00CE4655"/>
    <w:rsid w:val="00D2526B"/>
    <w:rsid w:val="00D92754"/>
    <w:rsid w:val="00DB6AF4"/>
    <w:rsid w:val="00DC7CB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BB504A"/>
    <w:rPr>
      <w:vertAlign w:val="superscript"/>
    </w:rPr>
  </w:style>
  <w:style w:type="character" w:styleId="Nadruk">
    <w:name w:val="Emphasis"/>
    <w:uiPriority w:val="20"/>
    <w:qFormat/>
    <w:rsid w:val="008470A2"/>
    <w:rPr>
      <w:i/>
      <w:iCs/>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A47264"/>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3040B4"/>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BB504A"/>
    <w:rPr>
      <w:vertAlign w:val="superscript"/>
    </w:rPr>
  </w:style>
  <w:style w:type="character" w:styleId="Nadruk">
    <w:name w:val="Emphasis"/>
    <w:uiPriority w:val="20"/>
    <w:qFormat/>
    <w:rsid w:val="008470A2"/>
    <w:rPr>
      <w:i/>
      <w:iCs/>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A47264"/>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3040B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549FB"/>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49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1161</ap:Words>
  <ap:Characters>6389</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2015-04-20T07:38:00.0000000Z</lastPrinted>
  <dcterms:created xsi:type="dcterms:W3CDTF">2015-06-23T10:35:00.0000000Z</dcterms:created>
  <dcterms:modified xsi:type="dcterms:W3CDTF">2015-06-23T10:35:00.0000000Z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0x010100003E432ED90A7A4594297F05C9AF11BC</vt:lpwstr>
  </property>
</Properties>
</file>