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84ED7" w:rsidR="0046756A" w:rsidP="007C30E5" w:rsidRDefault="0046756A">
      <w:pPr>
        <w:spacing w:line="260" w:lineRule="atLeast"/>
        <w:outlineLvl w:val="0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D84ED7">
        <w:rPr>
          <w:rFonts w:ascii="Verdana" w:hAnsi="Verdana" w:eastAsia="Calibri" w:cs="Calibri"/>
          <w:b/>
          <w:sz w:val="18"/>
          <w:szCs w:val="18"/>
          <w:lang w:eastAsia="zh-CN" w:bidi="hi-IN"/>
        </w:rPr>
        <w:t>Bijlage 1</w:t>
      </w:r>
      <w:r w:rsidR="00D84ED7">
        <w:rPr>
          <w:rFonts w:ascii="Verdana" w:hAnsi="Verdana" w:eastAsia="Calibri" w:cs="Calibri"/>
          <w:b/>
          <w:sz w:val="18"/>
          <w:szCs w:val="18"/>
          <w:lang w:eastAsia="zh-CN" w:bidi="hi-IN"/>
        </w:rPr>
        <w:t xml:space="preserve"> bij brief </w:t>
      </w:r>
      <w:r w:rsidRPr="00D84ED7" w:rsidR="00D84ED7">
        <w:rPr>
          <w:rFonts w:ascii="Verdana" w:hAnsi="Verdana"/>
          <w:b/>
          <w:sz w:val="18"/>
          <w:szCs w:val="18"/>
        </w:rPr>
        <w:t>Reactie op notitie ‘Evaluatie kwaliteit suppletoire begrotingswetten</w:t>
      </w:r>
    </w:p>
    <w:p w:rsidR="0046756A" w:rsidP="007C30E5" w:rsidRDefault="0046756A">
      <w:pPr>
        <w:spacing w:line="260" w:lineRule="atLeast"/>
        <w:outlineLvl w:val="0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</w:p>
    <w:p w:rsidRPr="006F7A6E" w:rsidR="002C1114" w:rsidP="007C30E5" w:rsidRDefault="002C1114">
      <w:pPr>
        <w:spacing w:line="260" w:lineRule="atLeast"/>
        <w:outlineLvl w:val="0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6F7A6E">
        <w:rPr>
          <w:rFonts w:ascii="Verdana" w:hAnsi="Verdana" w:eastAsia="Calibri" w:cs="Calibri"/>
          <w:b/>
          <w:sz w:val="18"/>
          <w:szCs w:val="18"/>
          <w:lang w:eastAsia="zh-CN" w:bidi="hi-IN"/>
        </w:rPr>
        <w:t>Aanbeveling 1</w:t>
      </w:r>
    </w:p>
    <w:p w:rsidR="00BB0F1D" w:rsidP="007C30E5" w:rsidRDefault="000E0B82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Volgens de </w:t>
      </w:r>
      <w:r w:rsidR="003F75BE">
        <w:rPr>
          <w:rFonts w:ascii="Verdana" w:hAnsi="Verdana" w:eastAsia="Calibri" w:cs="Calibri"/>
          <w:sz w:val="18"/>
          <w:szCs w:val="18"/>
          <w:lang w:eastAsia="zh-CN" w:bidi="hi-IN"/>
        </w:rPr>
        <w:t xml:space="preserve">huidige 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>Rijksbegrotingvoorschriften moeten a</w:t>
      </w:r>
      <w:r w:rsidRPr="00D73535">
        <w:rPr>
          <w:rFonts w:ascii="Verdana" w:hAnsi="Verdana"/>
          <w:sz w:val="18"/>
          <w:szCs w:val="18"/>
        </w:rPr>
        <w:t xml:space="preserve">lle beleidsmatig relevante mutaties op </w:t>
      </w:r>
      <w:r>
        <w:rPr>
          <w:rFonts w:ascii="Verdana" w:hAnsi="Verdana"/>
          <w:sz w:val="18"/>
          <w:szCs w:val="18"/>
        </w:rPr>
        <w:t xml:space="preserve">het niveau van het </w:t>
      </w:r>
      <w:r w:rsidRPr="00D73535">
        <w:rPr>
          <w:rFonts w:ascii="Verdana" w:hAnsi="Verdana"/>
          <w:sz w:val="18"/>
          <w:szCs w:val="18"/>
        </w:rPr>
        <w:t>artikelonderdeel en op het niveau van de fin</w:t>
      </w:r>
      <w:r>
        <w:rPr>
          <w:rFonts w:ascii="Verdana" w:hAnsi="Verdana"/>
          <w:sz w:val="18"/>
          <w:szCs w:val="18"/>
        </w:rPr>
        <w:t>anciële instrumenten zichtbaar worden g</w:t>
      </w:r>
      <w:r w:rsidRPr="00D73535">
        <w:rPr>
          <w:rFonts w:ascii="Verdana" w:hAnsi="Verdana"/>
          <w:sz w:val="18"/>
          <w:szCs w:val="18"/>
        </w:rPr>
        <w:t>emaakt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de suppletoire begrotingswetten 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en waar zinvol en relevant ook worden toegelicht. </w:t>
      </w:r>
    </w:p>
    <w:p w:rsidR="009D7538" w:rsidP="007C30E5" w:rsidRDefault="000E0B82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Departementen 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geven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nu 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>zelf invulling aan de vraag wat zij ‘beleidsmatig relevant’ achten</w:t>
      </w:r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>. I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n de suppletoire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begrotings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wet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wordt vervolgens a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angegeven welke norm is gehanteerd bij het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toelichten van </w:t>
      </w:r>
      <w:r w:rsidRPr="00D73535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mutaties.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Hierdoor ontstaan verschillen 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de toelichtingen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tussen de suppletoire begrotingswetten van de ministeries.</w:t>
      </w:r>
    </w:p>
    <w:p w:rsidRPr="00685C83" w:rsidR="00213659" w:rsidP="007C30E5" w:rsidRDefault="00D73535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U </w:t>
      </w:r>
      <w:r w:rsidRPr="00685C83" w:rsidR="004F49BF">
        <w:rPr>
          <w:rFonts w:ascii="Verdana" w:hAnsi="Verdana" w:eastAsia="Calibri" w:cs="Calibri"/>
          <w:sz w:val="18"/>
          <w:szCs w:val="18"/>
          <w:lang w:eastAsia="zh-CN" w:bidi="hi-IN"/>
        </w:rPr>
        <w:t>oppert</w:t>
      </w:r>
      <w:r w:rsidRPr="00685C83" w:rsidR="0021365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het hanteren van </w:t>
      </w:r>
      <w:r w:rsidR="00080CBD">
        <w:rPr>
          <w:rFonts w:ascii="Verdana" w:hAnsi="Verdana" w:eastAsia="Calibri" w:cs="Calibri"/>
          <w:sz w:val="18"/>
          <w:szCs w:val="18"/>
          <w:lang w:eastAsia="zh-CN" w:bidi="hi-IN"/>
        </w:rPr>
        <w:t xml:space="preserve">uniforme </w:t>
      </w:r>
      <w:r w:rsidRPr="00685C83" w:rsidR="00213659">
        <w:rPr>
          <w:rFonts w:ascii="Verdana" w:hAnsi="Verdana" w:eastAsia="Calibri" w:cs="Calibri"/>
          <w:sz w:val="18"/>
          <w:szCs w:val="18"/>
          <w:lang w:eastAsia="zh-CN" w:bidi="hi-IN"/>
        </w:rPr>
        <w:t xml:space="preserve">ondergrenzen voor het toelichten van </w:t>
      </w:r>
      <w:r w:rsidR="00775BDF">
        <w:rPr>
          <w:rFonts w:ascii="Verdana" w:hAnsi="Verdana" w:eastAsia="Calibri" w:cs="Calibri"/>
          <w:sz w:val="18"/>
          <w:szCs w:val="18"/>
          <w:lang w:eastAsia="zh-CN" w:bidi="hi-IN"/>
        </w:rPr>
        <w:t>begrotings</w:t>
      </w:r>
      <w:r w:rsidRPr="00685C83" w:rsidR="00213659">
        <w:rPr>
          <w:rFonts w:ascii="Verdana" w:hAnsi="Verdana" w:eastAsia="Calibri" w:cs="Calibri"/>
          <w:sz w:val="18"/>
          <w:szCs w:val="18"/>
          <w:lang w:eastAsia="zh-CN" w:bidi="hi-IN"/>
        </w:rPr>
        <w:t>mutaties</w:t>
      </w:r>
      <w:r w:rsidRPr="00685C83"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Pr="00685C83" w:rsidR="006F7A6E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suppletoire begrotingswetten </w:t>
      </w:r>
      <w:r w:rsidRPr="00685C83" w:rsidR="0050693B">
        <w:rPr>
          <w:rFonts w:ascii="Verdana" w:hAnsi="Verdana" w:eastAsia="Calibri" w:cs="Calibri"/>
          <w:sz w:val="18"/>
          <w:szCs w:val="18"/>
          <w:lang w:eastAsia="zh-CN" w:bidi="hi-IN"/>
        </w:rPr>
        <w:t>en u</w:t>
      </w:r>
      <w:r w:rsidRPr="00685C83" w:rsidR="0021365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stelt voor te </w:t>
      </w: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>onderzoeken of</w:t>
      </w:r>
      <w:r w:rsidRPr="00685C83" w:rsidR="0021365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de bij het Infrastructuurfonds en Deltafonds gehanteerde methodiek van ondergrenzen kan worden toegepast bij andere ministeries</w:t>
      </w: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. </w:t>
      </w:r>
    </w:p>
    <w:p w:rsidR="00213659" w:rsidP="007C30E5" w:rsidRDefault="00213659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Pr="0011143C" w:rsidR="006F7A6E" w:rsidP="007C30E5" w:rsidRDefault="006F7A6E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11143C">
        <w:rPr>
          <w:rFonts w:ascii="Verdana" w:hAnsi="Verdana" w:eastAsia="Calibri" w:cs="Calibri"/>
          <w:b/>
          <w:sz w:val="18"/>
          <w:szCs w:val="18"/>
          <w:lang w:eastAsia="zh-CN" w:bidi="hi-IN"/>
        </w:rPr>
        <w:t>Reactie op aanbeveling 1</w:t>
      </w:r>
    </w:p>
    <w:p w:rsidR="002A7D26" w:rsidP="007C30E5" w:rsidRDefault="00A23A88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="00D7552B">
        <w:rPr>
          <w:rFonts w:ascii="Verdana" w:hAnsi="Verdana" w:eastAsia="Calibri" w:cs="Calibri"/>
          <w:sz w:val="18"/>
          <w:szCs w:val="18"/>
          <w:lang w:eastAsia="zh-CN" w:bidi="hi-IN"/>
        </w:rPr>
        <w:t>uniformiteit</w:t>
      </w:r>
      <w:r w:rsidRPr="00D73535"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van </w:t>
      </w:r>
      <w:r w:rsidR="00D7552B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Pr="00D73535"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suppletoire </w:t>
      </w:r>
      <w:r w:rsidR="002D25D1">
        <w:rPr>
          <w:rFonts w:ascii="Verdana" w:hAnsi="Verdana" w:eastAsia="Calibri" w:cs="Calibri"/>
          <w:sz w:val="18"/>
          <w:szCs w:val="18"/>
          <w:lang w:eastAsia="zh-CN" w:bidi="hi-IN"/>
        </w:rPr>
        <w:t>begrotings</w:t>
      </w:r>
      <w:r w:rsidRPr="00D73535"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wetten </w:t>
      </w:r>
      <w:r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kan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inderdaad </w:t>
      </w:r>
      <w:r w:rsidR="0050693B">
        <w:rPr>
          <w:rFonts w:ascii="Verdana" w:hAnsi="Verdana" w:eastAsia="Calibri" w:cs="Calibri"/>
          <w:sz w:val="18"/>
          <w:szCs w:val="18"/>
          <w:lang w:eastAsia="zh-CN" w:bidi="hi-IN"/>
        </w:rPr>
        <w:t xml:space="preserve">worden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verbeterd. </w:t>
      </w:r>
      <w:r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Voor </w:t>
      </w:r>
      <w:r w:rsidR="009D7538">
        <w:rPr>
          <w:rFonts w:ascii="Verdana" w:hAnsi="Verdana" w:eastAsia="Calibri" w:cs="Calibri"/>
          <w:sz w:val="18"/>
          <w:szCs w:val="18"/>
          <w:lang w:eastAsia="zh-CN" w:bidi="hi-IN"/>
        </w:rPr>
        <w:t xml:space="preserve">het uitoefenen van uw controletaak is van belang dat </w:t>
      </w:r>
      <w:r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="002D25D1">
        <w:rPr>
          <w:rFonts w:ascii="Verdana" w:hAnsi="Verdana" w:eastAsia="Calibri" w:cs="Calibri"/>
          <w:sz w:val="18"/>
          <w:szCs w:val="18"/>
          <w:lang w:eastAsia="zh-CN" w:bidi="hi-IN"/>
        </w:rPr>
        <w:t>suppletoire begrotingswet</w:t>
      </w:r>
      <w:r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ten inzichtelijk en transparant zijn. </w:t>
      </w:r>
      <w:r w:rsidR="002D25D1">
        <w:rPr>
          <w:rFonts w:ascii="Verdana" w:hAnsi="Verdana" w:eastAsia="Calibri" w:cs="Calibri"/>
          <w:sz w:val="18"/>
          <w:szCs w:val="18"/>
          <w:lang w:eastAsia="zh-CN" w:bidi="hi-IN"/>
        </w:rPr>
        <w:t>Anderzijds moet voorkomen worden dat de leesbaarheid van de suppletoire begrotingswetten in het geding komt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 xml:space="preserve"> wanneer</w:t>
      </w:r>
      <w:r w:rsidR="002D25D1">
        <w:rPr>
          <w:rFonts w:ascii="Verdana" w:hAnsi="Verdana" w:eastAsia="Calibri" w:cs="Calibri"/>
          <w:sz w:val="18"/>
          <w:szCs w:val="18"/>
          <w:lang w:eastAsia="zh-CN" w:bidi="hi-IN"/>
        </w:rPr>
        <w:t xml:space="preserve"> allerlei kleine mutaties worden toegelicht</w:t>
      </w:r>
      <w:r w:rsidR="00C57692">
        <w:rPr>
          <w:rFonts w:ascii="Verdana" w:hAnsi="Verdana" w:eastAsia="Calibri" w:cs="Calibri"/>
          <w:sz w:val="18"/>
          <w:szCs w:val="18"/>
          <w:lang w:eastAsia="zh-CN" w:bidi="hi-IN"/>
        </w:rPr>
        <w:t xml:space="preserve"> en 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 xml:space="preserve">dat </w:t>
      </w:r>
      <w:r w:rsidR="00C57692">
        <w:rPr>
          <w:rFonts w:ascii="Verdana" w:hAnsi="Verdana" w:eastAsia="Calibri" w:cs="Calibri"/>
          <w:sz w:val="18"/>
          <w:szCs w:val="18"/>
          <w:lang w:eastAsia="zh-CN" w:bidi="hi-IN"/>
        </w:rPr>
        <w:t>de administratieve lasten voor de departementen te hoog worden</w:t>
      </w:r>
      <w:r w:rsidR="002D25D1">
        <w:rPr>
          <w:rFonts w:ascii="Verdana" w:hAnsi="Verdana" w:eastAsia="Calibri" w:cs="Calibri"/>
          <w:sz w:val="18"/>
          <w:szCs w:val="18"/>
          <w:lang w:eastAsia="zh-CN" w:bidi="hi-IN"/>
        </w:rPr>
        <w:t xml:space="preserve">.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 xml:space="preserve">methode die </w:t>
      </w:r>
      <w:r w:rsidRPr="00D73535" w:rsidR="00884DA8">
        <w:rPr>
          <w:rFonts w:ascii="Verdana" w:hAnsi="Verdana" w:eastAsia="Calibri" w:cs="Calibri"/>
          <w:sz w:val="18"/>
          <w:szCs w:val="18"/>
          <w:lang w:eastAsia="zh-CN" w:bidi="hi-IN"/>
        </w:rPr>
        <w:t xml:space="preserve">bij het Infrastructuurfonds en Deltafonds 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 xml:space="preserve">wordt </w:t>
      </w:r>
      <w:r w:rsidRPr="00D73535" w:rsidR="00884DA8">
        <w:rPr>
          <w:rFonts w:ascii="Verdana" w:hAnsi="Verdana" w:eastAsia="Calibri" w:cs="Calibri"/>
          <w:sz w:val="18"/>
          <w:szCs w:val="18"/>
          <w:lang w:eastAsia="zh-CN" w:bidi="hi-IN"/>
        </w:rPr>
        <w:t xml:space="preserve">gehanteerd 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 xml:space="preserve">is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daarom </w:t>
      </w:r>
      <w:r w:rsidRPr="00D73535" w:rsidR="00884DA8">
        <w:rPr>
          <w:rFonts w:ascii="Verdana" w:hAnsi="Verdana" w:eastAsia="Calibri" w:cs="Calibri"/>
          <w:sz w:val="18"/>
          <w:szCs w:val="18"/>
          <w:lang w:eastAsia="zh-CN" w:bidi="hi-IN"/>
        </w:rPr>
        <w:t>minder geschikt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>.</w:t>
      </w:r>
      <w:r w:rsidRPr="00D73535" w:rsidR="00884DA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</w:p>
    <w:p w:rsidR="004D690A" w:rsidP="007C30E5" w:rsidRDefault="004D690A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="00580427" w:rsidP="007C30E5" w:rsidRDefault="00BB0F1D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A23A88">
        <w:rPr>
          <w:rFonts w:ascii="Verdana" w:hAnsi="Verdana" w:eastAsia="Calibri" w:cs="Calibri"/>
          <w:sz w:val="18"/>
          <w:szCs w:val="18"/>
          <w:lang w:eastAsia="zh-CN" w:bidi="hi-IN"/>
        </w:rPr>
        <w:t>In de suppletoire begrotingswet worden</w:t>
      </w: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c</w:t>
      </w:r>
      <w:r w:rsidRPr="00FC3D5E" w:rsidR="00080CBD">
        <w:rPr>
          <w:rFonts w:ascii="Verdana" w:hAnsi="Verdana" w:eastAsia="Calibri" w:cs="Calibri"/>
          <w:i/>
          <w:sz w:val="18"/>
          <w:szCs w:val="18"/>
          <w:lang w:eastAsia="zh-CN" w:bidi="hi-IN"/>
        </w:rPr>
        <w:t>ijfermatig</w:t>
      </w:r>
      <w:r w:rsidR="00080CBD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461509">
        <w:rPr>
          <w:rFonts w:ascii="Verdana" w:hAnsi="Verdana" w:eastAsia="Calibri" w:cs="Calibri"/>
          <w:sz w:val="18"/>
          <w:szCs w:val="18"/>
          <w:lang w:eastAsia="zh-CN" w:bidi="hi-IN"/>
        </w:rPr>
        <w:t>de</w:t>
      </w:r>
      <w:r w:rsidR="007C30E5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mutaties </w:t>
      </w:r>
      <w:r w:rsidR="00477D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per begrotingsartikel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zichtbaar gemaakt </w:t>
      </w:r>
      <w:r w:rsidRPr="004D690A"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de tabel budgettaire gevolgen </w:t>
      </w:r>
      <w:r w:rsidR="000D7B6C">
        <w:rPr>
          <w:rFonts w:ascii="Verdana" w:hAnsi="Verdana" w:eastAsia="Calibri" w:cs="Calibri"/>
          <w:sz w:val="18"/>
          <w:szCs w:val="18"/>
          <w:lang w:eastAsia="zh-CN" w:bidi="hi-IN"/>
        </w:rPr>
        <w:t xml:space="preserve">van beleid.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Daarbij houdt de</w:t>
      </w:r>
      <w:r w:rsidR="00580427">
        <w:rPr>
          <w:rFonts w:ascii="Verdana" w:hAnsi="Verdana" w:eastAsia="Calibri" w:cs="Calibri"/>
          <w:sz w:val="18"/>
          <w:szCs w:val="18"/>
          <w:lang w:eastAsia="zh-CN" w:bidi="hi-IN"/>
        </w:rPr>
        <w:t>ze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DF7C3E">
        <w:rPr>
          <w:rFonts w:ascii="Verdana" w:hAnsi="Verdana" w:eastAsia="Calibri" w:cs="Calibri"/>
          <w:sz w:val="18"/>
          <w:szCs w:val="18"/>
          <w:lang w:eastAsia="zh-CN" w:bidi="hi-IN"/>
        </w:rPr>
        <w:t xml:space="preserve">tabel budgettaire gevolgen van beleid </w:t>
      </w:r>
      <w:r w:rsidR="000E0B82">
        <w:rPr>
          <w:rFonts w:ascii="Verdana" w:hAnsi="Verdana" w:eastAsia="Calibri" w:cs="Calibri"/>
          <w:sz w:val="18"/>
          <w:szCs w:val="18"/>
          <w:lang w:eastAsia="zh-CN" w:bidi="hi-IN"/>
        </w:rPr>
        <w:t>dez</w:t>
      </w:r>
      <w:r w:rsidRPr="000D7B6C" w:rsidR="00DF7C3E">
        <w:rPr>
          <w:rFonts w:ascii="Verdana" w:hAnsi="Verdana" w:eastAsia="Calibri" w:cs="Calibri"/>
          <w:sz w:val="18"/>
          <w:szCs w:val="18"/>
          <w:lang w:eastAsia="zh-CN" w:bidi="hi-IN"/>
        </w:rPr>
        <w:t xml:space="preserve">elfde structuur aan als de </w:t>
      </w:r>
      <w:r w:rsidR="00DF7C3E">
        <w:rPr>
          <w:rFonts w:ascii="Verdana" w:hAnsi="Verdana" w:eastAsia="Calibri" w:cs="Calibri"/>
          <w:sz w:val="18"/>
          <w:szCs w:val="18"/>
          <w:lang w:eastAsia="zh-CN" w:bidi="hi-IN"/>
        </w:rPr>
        <w:t xml:space="preserve">tabel </w:t>
      </w:r>
      <w:r w:rsidRPr="000D7B6C" w:rsidR="00DF7C3E">
        <w:rPr>
          <w:rFonts w:ascii="Verdana" w:hAnsi="Verdana" w:eastAsia="Calibri" w:cs="Calibri"/>
          <w:sz w:val="18"/>
          <w:szCs w:val="18"/>
          <w:lang w:eastAsia="zh-CN" w:bidi="hi-IN"/>
        </w:rPr>
        <w:t xml:space="preserve">budgettaire gevolgen van beleid </w:t>
      </w:r>
      <w:r w:rsidR="00DF7C3E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</w:t>
      </w:r>
      <w:r w:rsidRPr="000D7B6C" w:rsidR="00DF7C3E">
        <w:rPr>
          <w:rFonts w:ascii="Verdana" w:hAnsi="Verdana" w:eastAsia="Calibri" w:cs="Calibri"/>
          <w:sz w:val="18"/>
          <w:szCs w:val="18"/>
          <w:lang w:eastAsia="zh-CN" w:bidi="hi-IN"/>
        </w:rPr>
        <w:t>de ontwerpbegroting.</w:t>
      </w:r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0D7B6C">
        <w:rPr>
          <w:rFonts w:ascii="Verdana" w:hAnsi="Verdana" w:eastAsia="Calibri" w:cs="Calibri"/>
          <w:sz w:val="18"/>
          <w:szCs w:val="18"/>
          <w:lang w:eastAsia="zh-CN" w:bidi="hi-IN"/>
        </w:rPr>
        <w:t>I</w:t>
      </w:r>
      <w:r w:rsidRPr="004D690A" w:rsidR="000D7B6C">
        <w:rPr>
          <w:rFonts w:ascii="Verdana" w:hAnsi="Verdana" w:eastAsia="Calibri" w:cs="Calibri"/>
          <w:sz w:val="18"/>
          <w:szCs w:val="18"/>
          <w:lang w:eastAsia="zh-CN" w:bidi="hi-IN"/>
        </w:rPr>
        <w:t>n aansluiting op de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ze</w:t>
      </w:r>
      <w:r w:rsidRPr="004D690A" w:rsidR="000D7B6C">
        <w:rPr>
          <w:rFonts w:ascii="Verdana" w:hAnsi="Verdana" w:eastAsia="Calibri" w:cs="Calibri"/>
          <w:sz w:val="18"/>
          <w:szCs w:val="18"/>
          <w:lang w:eastAsia="zh-CN" w:bidi="hi-IN"/>
        </w:rPr>
        <w:t xml:space="preserve"> tabel </w:t>
      </w:r>
      <w:r w:rsidR="000D7B6C">
        <w:rPr>
          <w:rFonts w:ascii="Verdana" w:hAnsi="Verdana" w:eastAsia="Calibri" w:cs="Calibri"/>
          <w:sz w:val="18"/>
          <w:szCs w:val="18"/>
          <w:lang w:eastAsia="zh-CN" w:bidi="hi-IN"/>
        </w:rPr>
        <w:t xml:space="preserve">worden mutaties </w:t>
      </w:r>
      <w:r w:rsidR="0011143C">
        <w:rPr>
          <w:rFonts w:ascii="Verdana" w:hAnsi="Verdana" w:eastAsia="Calibri" w:cs="Calibri"/>
          <w:sz w:val="18"/>
          <w:szCs w:val="18"/>
          <w:lang w:eastAsia="zh-CN" w:bidi="hi-IN"/>
        </w:rPr>
        <w:t xml:space="preserve">op het niveau van financieel instrumenten </w:t>
      </w:r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 xml:space="preserve">(en eventueel op </w:t>
      </w:r>
      <w:proofErr w:type="spellStart"/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>artikelonderdeelniveau</w:t>
      </w:r>
      <w:proofErr w:type="spellEnd"/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 xml:space="preserve">) </w:t>
      </w:r>
      <w:r w:rsidRPr="002372AA" w:rsidR="002372AA">
        <w:rPr>
          <w:rFonts w:ascii="Verdana" w:hAnsi="Verdana" w:eastAsia="Calibri" w:cs="Calibri"/>
          <w:i/>
          <w:sz w:val="18"/>
          <w:szCs w:val="18"/>
          <w:lang w:eastAsia="zh-CN" w:bidi="hi-IN"/>
        </w:rPr>
        <w:t>toegelicht.</w:t>
      </w:r>
    </w:p>
    <w:p w:rsidR="00580427" w:rsidP="007C30E5" w:rsidRDefault="00580427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Bij de uitwerking van het rijksbreed voorstel </w:t>
      </w:r>
      <w:r w:rsidR="00EE107A">
        <w:rPr>
          <w:rFonts w:ascii="Verdana" w:hAnsi="Verdana" w:eastAsia="Calibri" w:cs="Calibri"/>
          <w:sz w:val="18"/>
          <w:szCs w:val="18"/>
          <w:lang w:eastAsia="zh-CN" w:bidi="hi-IN"/>
        </w:rPr>
        <w:t>voor de toelichting bij mutaties</w:t>
      </w:r>
      <w:r w:rsidR="0046150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zijn de volgende uitgangspunten gehanteerd:</w:t>
      </w:r>
    </w:p>
    <w:p w:rsidR="000F1488" w:rsidRDefault="00580427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Hoe kleiner het begrotingsartikel, hoe lager de ondergrens</w:t>
      </w:r>
      <w:r w:rsidR="00EE107A">
        <w:rPr>
          <w:rFonts w:ascii="Verdana" w:hAnsi="Verdana" w:eastAsia="Calibri" w:cs="Calibri"/>
          <w:sz w:val="18"/>
          <w:szCs w:val="18"/>
          <w:lang w:eastAsia="zh-CN" w:bidi="hi-IN"/>
        </w:rPr>
        <w:t>;</w:t>
      </w:r>
    </w:p>
    <w:p w:rsidR="000F1488" w:rsidRDefault="00EE107A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Er is een onderscheid tussen beleidsmatige en technische mutaties;</w:t>
      </w:r>
    </w:p>
    <w:p w:rsidR="000F1488" w:rsidRDefault="00EE107A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Voor de beleidsmatige mutaties geldt een lagere ondergrens;</w:t>
      </w:r>
    </w:p>
    <w:p w:rsidR="000F1488" w:rsidRDefault="00EE107A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Voor technische mutaties geldt een hogere ondergrens, maar worden wel </w:t>
      </w:r>
      <w:r w:rsidR="00E52646">
        <w:rPr>
          <w:rFonts w:ascii="Verdana" w:hAnsi="Verdana" w:eastAsia="Calibri" w:cs="Calibri"/>
          <w:sz w:val="18"/>
          <w:szCs w:val="18"/>
          <w:lang w:eastAsia="zh-CN" w:bidi="hi-IN"/>
        </w:rPr>
        <w:t>– overeenkomstig het verzoek van de Kamer (zie aanbeveling 2) toegelicht</w:t>
      </w:r>
      <w:r w:rsidR="00461509">
        <w:rPr>
          <w:rFonts w:ascii="Verdana" w:hAnsi="Verdana" w:eastAsia="Calibri" w:cs="Calibri"/>
          <w:sz w:val="18"/>
          <w:szCs w:val="18"/>
          <w:lang w:eastAsia="zh-CN" w:bidi="hi-IN"/>
        </w:rPr>
        <w:t>;</w:t>
      </w:r>
    </w:p>
    <w:p w:rsidR="00461509" w:rsidRDefault="00461509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Het voorstel dient praktisch uitvoerbaar te zijn</w:t>
      </w:r>
      <w:r w:rsidR="00183237">
        <w:rPr>
          <w:rFonts w:ascii="Verdana" w:hAnsi="Verdana" w:eastAsia="Calibri" w:cs="Calibri"/>
          <w:sz w:val="18"/>
          <w:szCs w:val="18"/>
          <w:lang w:eastAsia="zh-CN" w:bidi="hi-IN"/>
        </w:rPr>
        <w:t xml:space="preserve"> en recht doen aan de verschillen bij de departementen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>.</w:t>
      </w:r>
    </w:p>
    <w:p w:rsidR="008F0EFF" w:rsidP="007C30E5" w:rsidRDefault="000D7B6C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</w:p>
    <w:p w:rsidR="00080CBD" w:rsidP="007C30E5" w:rsidRDefault="00EE107A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Op basis van deze uitgangspunten is m</w:t>
      </w:r>
      <w:r w:rsidRPr="004D690A"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ijn </w:t>
      </w:r>
      <w:r w:rsidRPr="004D690A" w:rsidR="00FA767D">
        <w:rPr>
          <w:rFonts w:ascii="Verdana" w:hAnsi="Verdana" w:eastAsia="Calibri" w:cs="Calibri"/>
          <w:sz w:val="18"/>
          <w:szCs w:val="18"/>
          <w:lang w:eastAsia="zh-CN" w:bidi="hi-IN"/>
        </w:rPr>
        <w:t xml:space="preserve">voorstel </w:t>
      </w:r>
      <w:r w:rsidRPr="004D690A"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om </w:t>
      </w:r>
      <w:r w:rsidR="00A71655">
        <w:rPr>
          <w:rFonts w:ascii="Verdana" w:hAnsi="Verdana" w:eastAsia="Calibri" w:cs="Calibri"/>
          <w:sz w:val="18"/>
          <w:szCs w:val="18"/>
          <w:lang w:eastAsia="zh-CN" w:bidi="hi-IN"/>
        </w:rPr>
        <w:t xml:space="preserve">voor het </w:t>
      </w:r>
      <w:r w:rsidRPr="00FC3D5E" w:rsidR="00A71655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toelichten van </w:t>
      </w:r>
      <w:r w:rsidRPr="00FC3D5E" w:rsidR="004D690A">
        <w:rPr>
          <w:rFonts w:ascii="Verdana" w:hAnsi="Verdana" w:eastAsia="Calibri" w:cs="Calibri"/>
          <w:i/>
          <w:sz w:val="18"/>
          <w:szCs w:val="18"/>
          <w:lang w:eastAsia="zh-CN" w:bidi="hi-IN"/>
        </w:rPr>
        <w:t>de</w:t>
      </w:r>
      <w:r w:rsidRPr="00FC3D5E" w:rsidR="00A71655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mutaties</w:t>
      </w:r>
      <w:r w:rsidR="00A71655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>op het niveau van financieel instrumenten (en eventueel op artikelonderdeel</w:t>
      </w:r>
      <w:r w:rsidR="009D753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8F0EFF">
        <w:rPr>
          <w:rFonts w:ascii="Verdana" w:hAnsi="Verdana" w:eastAsia="Calibri" w:cs="Calibri"/>
          <w:sz w:val="18"/>
          <w:szCs w:val="18"/>
          <w:lang w:eastAsia="zh-CN" w:bidi="hi-IN"/>
        </w:rPr>
        <w:t>niveau)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A71655">
        <w:rPr>
          <w:rFonts w:ascii="Verdana" w:hAnsi="Verdana" w:eastAsia="Calibri" w:cs="Calibri"/>
          <w:sz w:val="18"/>
          <w:szCs w:val="18"/>
          <w:lang w:eastAsia="zh-CN" w:bidi="hi-IN"/>
        </w:rPr>
        <w:t>de</w:t>
      </w:r>
      <w:r w:rsidRPr="004D690A"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 volgende </w:t>
      </w:r>
      <w:r w:rsidR="00DF7C3E">
        <w:rPr>
          <w:rFonts w:ascii="Verdana" w:hAnsi="Verdana" w:eastAsia="Calibri" w:cs="Calibri"/>
          <w:sz w:val="18"/>
          <w:szCs w:val="18"/>
          <w:lang w:eastAsia="zh-CN" w:bidi="hi-IN"/>
        </w:rPr>
        <w:t>ondergrenzen</w:t>
      </w:r>
      <w:r w:rsidRPr="004D690A" w:rsidR="004D690A">
        <w:rPr>
          <w:rFonts w:ascii="Verdana" w:hAnsi="Verdana" w:eastAsia="Calibri" w:cs="Calibri"/>
          <w:sz w:val="18"/>
          <w:szCs w:val="18"/>
          <w:lang w:eastAsia="zh-CN" w:bidi="hi-IN"/>
        </w:rPr>
        <w:t xml:space="preserve"> te </w:t>
      </w:r>
      <w:r w:rsidRPr="004D690A" w:rsidR="004B063F">
        <w:rPr>
          <w:rFonts w:ascii="Verdana" w:hAnsi="Verdana" w:eastAsia="Calibri" w:cs="Calibri"/>
          <w:sz w:val="18"/>
          <w:szCs w:val="18"/>
          <w:lang w:eastAsia="zh-CN" w:bidi="hi-IN"/>
        </w:rPr>
        <w:t>hanteren</w:t>
      </w:r>
      <w:r w:rsidR="004B063F">
        <w:rPr>
          <w:rFonts w:ascii="Verdana" w:hAnsi="Verdana" w:eastAsia="Calibri" w:cs="Calibri"/>
          <w:sz w:val="18"/>
          <w:szCs w:val="18"/>
          <w:lang w:eastAsia="zh-CN" w:bidi="hi-IN"/>
        </w:rPr>
        <w:t>:</w:t>
      </w:r>
    </w:p>
    <w:p w:rsidR="005046C8" w:rsidP="007C30E5" w:rsidRDefault="005046C8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2552"/>
        <w:gridCol w:w="2552"/>
      </w:tblGrid>
      <w:tr w:rsidR="007C30E5" w:rsidTr="007C30E5"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Omvang begrotingsartikel (stand ontwerpbegroting) in mln. €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Beleidsmatige mutaties</w:t>
            </w:r>
          </w:p>
          <w:p w:rsidR="007C30E5" w:rsidP="00326D61" w:rsidRDefault="00326D61">
            <w:pPr>
              <w:spacing w:line="260" w:lineRule="atLeast"/>
              <w:rPr>
                <w:rFonts w:ascii="Verdana" w:hAnsi="Verdana" w:cs="Calibri" w:eastAsia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o</w:t>
            </w:r>
            <w:r w:rsidR="007C30E5">
              <w:rPr>
                <w:rFonts w:ascii="Verdana" w:hAnsi="Verdana"/>
                <w:i/>
                <w:iCs/>
                <w:sz w:val="18"/>
                <w:szCs w:val="18"/>
              </w:rPr>
              <w:t>ndergrens in mln. €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Technische mutaties</w:t>
            </w:r>
          </w:p>
          <w:p w:rsidR="007C30E5" w:rsidP="00326D61" w:rsidRDefault="00326D61">
            <w:pPr>
              <w:spacing w:line="260" w:lineRule="atLeast"/>
              <w:rPr>
                <w:rFonts w:ascii="Verdana" w:hAnsi="Verdana" w:cs="Calibri" w:eastAsia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o</w:t>
            </w:r>
            <w:r w:rsidR="007C30E5">
              <w:rPr>
                <w:rFonts w:ascii="Verdana" w:hAnsi="Verdana"/>
                <w:i/>
                <w:iCs/>
                <w:sz w:val="18"/>
                <w:szCs w:val="18"/>
              </w:rPr>
              <w:t>ndergrens in mln. €</w:t>
            </w:r>
          </w:p>
        </w:tc>
      </w:tr>
      <w:tr w:rsidR="007C30E5" w:rsidTr="007C30E5"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&lt; 50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C30E5" w:rsidTr="007C30E5"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≥ 50 &lt; 200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7C30E5" w:rsidTr="007C30E5"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≥ 200 &lt; 1000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7C30E5" w:rsidTr="007C30E5"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≥ 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E5" w:rsidRDefault="007C30E5">
            <w:pPr>
              <w:spacing w:line="260" w:lineRule="atLeast"/>
              <w:rPr>
                <w:rFonts w:ascii="Verdana" w:hAnsi="Verdana" w:cs="Calibri" w:eastAsia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</w:tbl>
    <w:p w:rsidR="007C30E5" w:rsidP="007C30E5" w:rsidRDefault="007C30E5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="005046C8" w:rsidP="005046C8" w:rsidRDefault="00EE107A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Daarnaast geldt dat b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>eleidsmatige mutaties</w:t>
      </w:r>
      <w:r w:rsidRPr="00D73535"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die kleiner zijn </w:t>
      </w:r>
      <w:r w:rsidR="009D7538">
        <w:rPr>
          <w:rFonts w:ascii="Verdana" w:hAnsi="Verdana" w:eastAsia="Calibri" w:cs="Calibri"/>
          <w:sz w:val="18"/>
          <w:szCs w:val="18"/>
          <w:lang w:eastAsia="zh-CN" w:bidi="hi-IN"/>
        </w:rPr>
        <w:t xml:space="preserve">dan bovengenoemde ondergrenzen </w:t>
      </w:r>
      <w:r w:rsidR="00326D61">
        <w:rPr>
          <w:rFonts w:ascii="Verdana" w:hAnsi="Verdana" w:eastAsia="Calibri" w:cs="Calibri"/>
          <w:sz w:val="18"/>
          <w:szCs w:val="18"/>
          <w:lang w:eastAsia="zh-CN" w:bidi="hi-IN"/>
        </w:rPr>
        <w:t>ook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326D61">
        <w:rPr>
          <w:rFonts w:ascii="Verdana" w:hAnsi="Verdana" w:eastAsia="Calibri" w:cs="Calibri"/>
          <w:sz w:val="18"/>
          <w:szCs w:val="18"/>
          <w:lang w:eastAsia="zh-CN" w:bidi="hi-IN"/>
        </w:rPr>
        <w:t>w</w:t>
      </w:r>
      <w:r w:rsidRPr="00D73535" w:rsidR="00326D61">
        <w:rPr>
          <w:rFonts w:ascii="Verdana" w:hAnsi="Verdana" w:eastAsia="Calibri" w:cs="Calibri"/>
          <w:sz w:val="18"/>
          <w:szCs w:val="18"/>
          <w:lang w:eastAsia="zh-CN" w:bidi="hi-IN"/>
        </w:rPr>
        <w:t xml:space="preserve">orden </w:t>
      </w:r>
      <w:r w:rsidRPr="00D73535" w:rsidR="005046C8">
        <w:rPr>
          <w:rFonts w:ascii="Verdana" w:hAnsi="Verdana" w:eastAsia="Calibri" w:cs="Calibri"/>
          <w:sz w:val="18"/>
          <w:szCs w:val="18"/>
          <w:lang w:eastAsia="zh-CN" w:bidi="hi-IN"/>
        </w:rPr>
        <w:t>toegelicht indien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deze mutaties </w:t>
      </w:r>
      <w:r w:rsidRPr="00D73535" w:rsidR="005046C8">
        <w:rPr>
          <w:rFonts w:ascii="Verdana" w:hAnsi="Verdana" w:eastAsia="Calibri" w:cs="Calibri"/>
          <w:sz w:val="18"/>
          <w:szCs w:val="18"/>
          <w:lang w:eastAsia="zh-CN" w:bidi="hi-IN"/>
        </w:rPr>
        <w:t>politiek relevant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zijn</w:t>
      </w:r>
      <w:r w:rsidRPr="00D73535"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. 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Ik ben voornemens deze norm in de </w:t>
      </w:r>
      <w:r w:rsidR="00C9549D">
        <w:rPr>
          <w:rFonts w:ascii="Verdana" w:hAnsi="Verdana" w:eastAsia="Calibri" w:cs="Calibri"/>
          <w:sz w:val="18"/>
          <w:szCs w:val="18"/>
          <w:lang w:eastAsia="zh-CN" w:bidi="hi-IN"/>
        </w:rPr>
        <w:t>Rijksbegrotingvoorschriften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2016 op te nemen.</w:t>
      </w:r>
    </w:p>
    <w:p w:rsidR="00CC0612" w:rsidP="007C30E5" w:rsidRDefault="00CC0612">
      <w:pPr>
        <w:spacing w:line="260" w:lineRule="atLeast"/>
        <w:rPr>
          <w:rFonts w:ascii="Verdana" w:hAnsi="Verdana" w:eastAsia="Calibri" w:cs="Calibri"/>
          <w:i/>
          <w:sz w:val="18"/>
          <w:szCs w:val="18"/>
          <w:lang w:eastAsia="zh-CN" w:bidi="hi-IN"/>
        </w:rPr>
      </w:pPr>
    </w:p>
    <w:p w:rsidR="005046C8" w:rsidP="007C30E5" w:rsidRDefault="000E0B82">
      <w:pPr>
        <w:spacing w:line="260" w:lineRule="atLeast"/>
        <w:rPr>
          <w:rFonts w:ascii="Verdana" w:hAnsi="Verdana" w:eastAsia="Calibri" w:cs="Calibri"/>
          <w:i/>
          <w:sz w:val="18"/>
          <w:szCs w:val="18"/>
          <w:lang w:eastAsia="zh-CN" w:bidi="hi-IN"/>
        </w:rPr>
      </w:pPr>
      <w:r w:rsidRPr="00FC3D5E">
        <w:rPr>
          <w:rFonts w:ascii="Verdana" w:hAnsi="Verdana" w:eastAsia="Calibri" w:cs="Calibri"/>
          <w:i/>
          <w:sz w:val="18"/>
          <w:szCs w:val="18"/>
          <w:lang w:eastAsia="zh-CN" w:bidi="hi-IN"/>
        </w:rPr>
        <w:lastRenderedPageBreak/>
        <w:t>Voorbeeld. Bij een begrotings</w:t>
      </w:r>
      <w:r w:rsidRPr="00FC3D5E" w:rsidR="002E5D57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artikel met een omvang van </w:t>
      </w:r>
      <w:r w:rsidRPr="00FC3D5E" w:rsidR="00E841C0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110 </w:t>
      </w:r>
      <w:r w:rsidR="005046C8">
        <w:rPr>
          <w:rFonts w:ascii="Verdana" w:hAnsi="Verdana" w:eastAsia="Calibri" w:cs="Calibri"/>
          <w:i/>
          <w:sz w:val="18"/>
          <w:szCs w:val="18"/>
          <w:lang w:eastAsia="zh-CN" w:bidi="hi-IN"/>
        </w:rPr>
        <w:t>miljoen euro</w:t>
      </w:r>
      <w:r w:rsidRPr="00FC3D5E" w:rsidR="00E841C0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(stand ontwerpbegroting)</w:t>
      </w:r>
      <w:r w:rsidR="005046C8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doet zich in de 1</w:t>
      </w:r>
      <w:r w:rsidRPr="005046C8" w:rsidR="005046C8">
        <w:rPr>
          <w:rFonts w:ascii="Verdana" w:hAnsi="Verdana" w:eastAsia="Calibri" w:cs="Calibri"/>
          <w:i/>
          <w:sz w:val="18"/>
          <w:szCs w:val="18"/>
          <w:vertAlign w:val="superscript"/>
          <w:lang w:eastAsia="zh-CN" w:bidi="hi-IN"/>
        </w:rPr>
        <w:t>e</w:t>
      </w:r>
      <w:r w:rsidR="005046C8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suppletoire begroting op het instrument subsidies een</w:t>
      </w:r>
      <w:r w:rsidR="00184AB6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</w:t>
      </w:r>
      <w:r w:rsidR="005046C8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mutatie voor van 3 miljoen euro en een mutatie van 1,8 miljoen euro op instrument bijdrage aan agentschappen. </w:t>
      </w:r>
    </w:p>
    <w:p w:rsidR="002E5D57" w:rsidP="007C30E5" w:rsidRDefault="005046C8">
      <w:pPr>
        <w:spacing w:line="260" w:lineRule="atLeast"/>
        <w:rPr>
          <w:rFonts w:ascii="Verdana" w:hAnsi="Verdana" w:eastAsia="Calibri" w:cs="Calibri"/>
          <w:i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>In bovenstaande tabel zien we dat bij begrotingsartikelen</w:t>
      </w:r>
      <w:r w:rsidR="009C3461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</w:t>
      </w: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>tussen 50 en 200 miljoen de mutaties groter dan of gelijk aan € 2 miljoen moeten worden toegelicht. In de 1</w:t>
      </w:r>
      <w:r w:rsidRPr="005046C8">
        <w:rPr>
          <w:rFonts w:ascii="Verdana" w:hAnsi="Verdana" w:eastAsia="Calibri" w:cs="Calibri"/>
          <w:i/>
          <w:sz w:val="18"/>
          <w:szCs w:val="18"/>
          <w:vertAlign w:val="superscript"/>
          <w:lang w:eastAsia="zh-CN" w:bidi="hi-IN"/>
        </w:rPr>
        <w:t>e</w:t>
      </w: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 suppletoire begroting zal </w:t>
      </w:r>
      <w:r w:rsidR="006563B0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worden toegelicht wat </w:t>
      </w: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de aard en oorzaak van de mutatie van 3 miljoen euro </w:t>
      </w:r>
      <w:r w:rsidR="006563B0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is </w:t>
      </w:r>
      <w:r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bij het instrument subsidies. </w:t>
      </w:r>
      <w:r w:rsidR="004B063F">
        <w:rPr>
          <w:rFonts w:ascii="Verdana" w:hAnsi="Verdana" w:eastAsia="Calibri" w:cs="Calibri"/>
          <w:i/>
          <w:sz w:val="18"/>
          <w:szCs w:val="18"/>
          <w:lang w:eastAsia="zh-CN" w:bidi="hi-IN"/>
        </w:rPr>
        <w:t xml:space="preserve">De mutatie van 1,8 miljoen op het instrument bijdrage aan agentschappen is kleiner dan de ondergrens en zal dus niet worden toegelicht. </w:t>
      </w:r>
    </w:p>
    <w:p w:rsidR="00461509" w:rsidP="007C30E5" w:rsidRDefault="00461509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</w:p>
    <w:p w:rsidRPr="000B37DC" w:rsidR="001D4A96" w:rsidP="007C30E5" w:rsidRDefault="000B37DC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0B37DC">
        <w:rPr>
          <w:rFonts w:ascii="Verdana" w:hAnsi="Verdana" w:eastAsia="Calibri" w:cs="Calibri"/>
          <w:b/>
          <w:sz w:val="18"/>
          <w:szCs w:val="18"/>
          <w:lang w:eastAsia="zh-CN" w:bidi="hi-IN"/>
        </w:rPr>
        <w:t>Aanbeveling 2</w:t>
      </w:r>
    </w:p>
    <w:p w:rsidR="009D7538" w:rsidP="007C30E5" w:rsidRDefault="00076C4C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Pr="00685C83" w:rsidR="001D4A96">
        <w:rPr>
          <w:rFonts w:ascii="Verdana" w:hAnsi="Verdana" w:eastAsia="Calibri" w:cs="Calibri"/>
          <w:sz w:val="18"/>
          <w:szCs w:val="18"/>
          <w:lang w:eastAsia="zh-CN" w:bidi="hi-IN"/>
        </w:rPr>
        <w:t xml:space="preserve">suppletoire </w:t>
      </w: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>begrotings</w:t>
      </w:r>
      <w:r w:rsidRPr="00685C83" w:rsidR="001D4A96">
        <w:rPr>
          <w:rFonts w:ascii="Verdana" w:hAnsi="Verdana" w:eastAsia="Calibri" w:cs="Calibri"/>
          <w:sz w:val="18"/>
          <w:szCs w:val="18"/>
          <w:lang w:eastAsia="zh-CN" w:bidi="hi-IN"/>
        </w:rPr>
        <w:t xml:space="preserve">wetten </w:t>
      </w:r>
      <w:r w:rsidRPr="00685C83" w:rsidR="004F49BF">
        <w:rPr>
          <w:rFonts w:ascii="Verdana" w:hAnsi="Verdana" w:eastAsia="Calibri" w:cs="Calibri"/>
          <w:sz w:val="18"/>
          <w:szCs w:val="18"/>
          <w:lang w:eastAsia="zh-CN" w:bidi="hi-IN"/>
        </w:rPr>
        <w:t xml:space="preserve">bevatten naast beleidsmatige mutaties ook </w:t>
      </w:r>
      <w:r w:rsidRPr="00685C83" w:rsidR="001D4A96">
        <w:rPr>
          <w:rFonts w:ascii="Verdana" w:hAnsi="Verdana" w:eastAsia="Calibri" w:cs="Calibri"/>
          <w:sz w:val="18"/>
          <w:szCs w:val="18"/>
          <w:lang w:eastAsia="zh-CN" w:bidi="hi-IN"/>
        </w:rPr>
        <w:t>technische mutaties</w:t>
      </w:r>
      <w:r w:rsidRPr="00685C83" w:rsidR="004F49BF">
        <w:rPr>
          <w:rFonts w:ascii="Verdana" w:hAnsi="Verdana" w:eastAsia="Calibri" w:cs="Calibri"/>
          <w:sz w:val="18"/>
          <w:szCs w:val="18"/>
          <w:lang w:eastAsia="zh-CN" w:bidi="hi-IN"/>
        </w:rPr>
        <w:t>.</w:t>
      </w:r>
      <w:r w:rsidRPr="00685C83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</w:p>
    <w:p w:rsidR="00AE01F7" w:rsidP="007C30E5" w:rsidRDefault="00710B09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U geeft aan dat het voor Kamerleden niet altijd </w:t>
      </w:r>
      <w:r w:rsidRPr="00685C83"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mogelijk is om te </w:t>
      </w: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beoordelen </w:t>
      </w:r>
      <w:r w:rsidRPr="00685C83"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of </w:t>
      </w:r>
      <w:r w:rsidRPr="00685C83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kwalificatie ‘technische mutatie’ terecht is. </w:t>
      </w:r>
      <w:r w:rsidRPr="00685C83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U beveelt </w:t>
      </w:r>
      <w:r w:rsidRPr="00685C83" w:rsidR="00AE01F7">
        <w:rPr>
          <w:rFonts w:ascii="Verdana" w:hAnsi="Verdana" w:eastAsia="Calibri" w:cs="Calibri"/>
          <w:sz w:val="18"/>
          <w:szCs w:val="18"/>
          <w:lang w:eastAsia="zh-CN" w:bidi="hi-IN"/>
        </w:rPr>
        <w:t xml:space="preserve">daarom </w:t>
      </w:r>
      <w:r w:rsidRPr="00685C83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aan </w:t>
      </w:r>
      <w:r w:rsidRPr="00685C83" w:rsidR="001D4A96">
        <w:rPr>
          <w:rFonts w:ascii="Verdana" w:hAnsi="Verdana" w:eastAsia="Calibri" w:cs="Calibri"/>
          <w:sz w:val="18"/>
          <w:szCs w:val="18"/>
          <w:lang w:eastAsia="zh-CN" w:bidi="hi-IN"/>
        </w:rPr>
        <w:t xml:space="preserve">om bij substantiële technische mutaties via een korte toelichting </w:t>
      </w:r>
      <w:r w:rsidRPr="00685C83" w:rsidR="00CA5BD8">
        <w:rPr>
          <w:rFonts w:ascii="Verdana" w:hAnsi="Verdana" w:eastAsia="Calibri" w:cs="Calibri"/>
          <w:sz w:val="18"/>
          <w:szCs w:val="18"/>
          <w:lang w:eastAsia="zh-CN" w:bidi="hi-IN"/>
        </w:rPr>
        <w:t xml:space="preserve">aan te geven </w:t>
      </w:r>
      <w:r w:rsidRPr="00685C83" w:rsidR="001D4A96">
        <w:rPr>
          <w:rFonts w:ascii="Verdana" w:hAnsi="Verdana" w:eastAsia="Calibri" w:cs="Calibri"/>
          <w:sz w:val="18"/>
          <w:szCs w:val="18"/>
          <w:lang w:eastAsia="zh-CN" w:bidi="hi-IN"/>
        </w:rPr>
        <w:t xml:space="preserve">waarom het een technische mutatie betreft. </w:t>
      </w:r>
    </w:p>
    <w:p w:rsidR="00184AB6" w:rsidP="007C30E5" w:rsidRDefault="00184AB6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Pr="00741310" w:rsidR="009C3461" w:rsidP="009C3461" w:rsidRDefault="009C3461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741310">
        <w:rPr>
          <w:rFonts w:ascii="Verdana" w:hAnsi="Verdana" w:eastAsia="Calibri" w:cs="Calibri"/>
          <w:b/>
          <w:sz w:val="18"/>
          <w:szCs w:val="18"/>
          <w:lang w:eastAsia="zh-CN" w:bidi="hi-IN"/>
        </w:rPr>
        <w:t>Aanbeveling 5</w:t>
      </w:r>
    </w:p>
    <w:p w:rsidR="009C3461" w:rsidP="009C3461" w:rsidRDefault="009C3461">
      <w:pPr>
        <w:spacing w:line="260" w:lineRule="atLeast"/>
        <w:rPr>
          <w:rFonts w:ascii="Verdana" w:hAnsi="Verdana" w:eastAsia="Calibri"/>
          <w:sz w:val="18"/>
          <w:szCs w:val="18"/>
          <w:lang w:eastAsia="zh-CN" w:bidi="hi-IN"/>
        </w:rPr>
      </w:pPr>
      <w:r w:rsidRPr="00D73535">
        <w:rPr>
          <w:rFonts w:ascii="Verdana" w:hAnsi="Verdana" w:eastAsia="Calibri"/>
          <w:sz w:val="18"/>
          <w:szCs w:val="18"/>
          <w:lang w:eastAsia="zh-CN" w:bidi="hi-IN"/>
        </w:rPr>
        <w:t>U vraagt aandacht voor de kwaliteit van de toelichtingen in de sup</w:t>
      </w:r>
      <w:r w:rsidRPr="00D73535">
        <w:rPr>
          <w:rFonts w:ascii="Verdana" w:hAnsi="Verdana" w:eastAsia="Calibri"/>
          <w:sz w:val="18"/>
          <w:szCs w:val="18"/>
          <w:lang w:eastAsia="zh-CN" w:bidi="hi-IN"/>
        </w:rPr>
        <w:softHyphen/>
        <w:t xml:space="preserve">pletoire begrotingswetten. </w:t>
      </w:r>
    </w:p>
    <w:p w:rsidRPr="00D73535" w:rsidR="009C3461" w:rsidP="007C30E5" w:rsidRDefault="009C3461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Pr="0011143C" w:rsidR="000B37DC" w:rsidP="007C30E5" w:rsidRDefault="000B37DC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11143C">
        <w:rPr>
          <w:rFonts w:ascii="Verdana" w:hAnsi="Verdana" w:eastAsia="Calibri" w:cs="Calibri"/>
          <w:b/>
          <w:sz w:val="18"/>
          <w:szCs w:val="18"/>
          <w:lang w:eastAsia="zh-CN" w:bidi="hi-IN"/>
        </w:rPr>
        <w:t>Reactie op aanbeveling 2</w:t>
      </w:r>
      <w:r w:rsidR="009C3461">
        <w:rPr>
          <w:rFonts w:ascii="Verdana" w:hAnsi="Verdana" w:eastAsia="Calibri" w:cs="Calibri"/>
          <w:b/>
          <w:sz w:val="18"/>
          <w:szCs w:val="18"/>
          <w:lang w:eastAsia="zh-CN" w:bidi="hi-IN"/>
        </w:rPr>
        <w:t xml:space="preserve"> en 5</w:t>
      </w:r>
    </w:p>
    <w:p w:rsidR="00CA5BD8" w:rsidP="007C30E5" w:rsidRDefault="00A23A88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Het kabinet zal meer </w:t>
      </w:r>
      <w:r w:rsidRPr="00D73535" w:rsidR="00CA5BD8">
        <w:rPr>
          <w:rFonts w:ascii="Verdana" w:hAnsi="Verdana" w:eastAsia="Calibri" w:cs="Calibri"/>
          <w:sz w:val="18"/>
          <w:szCs w:val="18"/>
          <w:lang w:eastAsia="zh-CN" w:bidi="hi-IN"/>
        </w:rPr>
        <w:t>aandacht besteden aan het formuleren van begrijpelijke toelichtingen</w:t>
      </w:r>
      <w:r w:rsidR="00E841C0">
        <w:rPr>
          <w:rFonts w:ascii="Verdana" w:hAnsi="Verdana" w:eastAsia="Calibri" w:cs="Calibri"/>
          <w:sz w:val="18"/>
          <w:szCs w:val="18"/>
          <w:lang w:eastAsia="zh-CN" w:bidi="hi-IN"/>
        </w:rPr>
        <w:t>.</w:t>
      </w:r>
      <w:r w:rsidRPr="00D73535" w:rsidR="00E841C0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Pr="00D73535" w:rsidR="00F257FB">
        <w:rPr>
          <w:rFonts w:ascii="Verdana" w:hAnsi="Verdana" w:eastAsia="Calibri" w:cs="Calibri"/>
          <w:sz w:val="18"/>
          <w:szCs w:val="18"/>
          <w:lang w:eastAsia="zh-CN" w:bidi="hi-IN"/>
        </w:rPr>
        <w:t>Dit geldt ook voor de technische mutaties</w:t>
      </w:r>
      <w:r w:rsidR="00F8388D">
        <w:rPr>
          <w:rFonts w:ascii="Verdana" w:hAnsi="Verdana" w:eastAsia="Calibri" w:cs="Calibri"/>
          <w:sz w:val="18"/>
          <w:szCs w:val="18"/>
          <w:lang w:eastAsia="zh-CN" w:bidi="hi-IN"/>
        </w:rPr>
        <w:t xml:space="preserve">. In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="00F8388D">
        <w:rPr>
          <w:rFonts w:ascii="Verdana" w:hAnsi="Verdana" w:eastAsia="Calibri" w:cs="Calibri"/>
          <w:sz w:val="18"/>
          <w:szCs w:val="18"/>
          <w:lang w:eastAsia="zh-CN" w:bidi="hi-IN"/>
        </w:rPr>
        <w:t xml:space="preserve">reactie op aanbeveling 1 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wordt aangegeven </w:t>
      </w:r>
      <w:r w:rsidR="00F8388D">
        <w:rPr>
          <w:rFonts w:ascii="Verdana" w:hAnsi="Verdana" w:eastAsia="Calibri" w:cs="Calibri"/>
          <w:sz w:val="18"/>
          <w:szCs w:val="18"/>
          <w:lang w:eastAsia="zh-CN" w:bidi="hi-IN"/>
        </w:rPr>
        <w:t xml:space="preserve">welke </w:t>
      </w:r>
      <w:r w:rsidR="009D7538">
        <w:rPr>
          <w:rFonts w:ascii="Verdana" w:hAnsi="Verdana" w:eastAsia="Calibri" w:cs="Calibri"/>
          <w:sz w:val="18"/>
          <w:szCs w:val="18"/>
          <w:lang w:eastAsia="zh-CN" w:bidi="hi-IN"/>
        </w:rPr>
        <w:t xml:space="preserve">beleidsmatige en </w:t>
      </w:r>
      <w:r w:rsidR="00F8388D">
        <w:rPr>
          <w:rFonts w:ascii="Verdana" w:hAnsi="Verdana" w:eastAsia="Calibri" w:cs="Calibri"/>
          <w:sz w:val="18"/>
          <w:szCs w:val="18"/>
          <w:lang w:eastAsia="zh-CN" w:bidi="hi-IN"/>
        </w:rPr>
        <w:t>technische mutaties dienen te worden toegelicht. H</w:t>
      </w:r>
      <w:r w:rsidRPr="00D73535" w:rsidR="00F8388D">
        <w:rPr>
          <w:rFonts w:ascii="Verdana" w:hAnsi="Verdana" w:eastAsia="Calibri" w:cs="Calibri"/>
          <w:sz w:val="18"/>
          <w:szCs w:val="18"/>
          <w:lang w:eastAsia="zh-CN" w:bidi="hi-IN"/>
        </w:rPr>
        <w:t>et ministerie van Financiën zal hier bij de toetsing van suppletoire begrotingen op toezien</w:t>
      </w:r>
      <w:r w:rsidR="00F8388D">
        <w:rPr>
          <w:rFonts w:ascii="Verdana" w:hAnsi="Verdana" w:eastAsia="Calibri" w:cs="Calibri"/>
          <w:sz w:val="18"/>
          <w:szCs w:val="18"/>
          <w:lang w:eastAsia="zh-CN" w:bidi="hi-IN"/>
        </w:rPr>
        <w:t xml:space="preserve">. </w:t>
      </w:r>
      <w:r w:rsidR="0016198C">
        <w:rPr>
          <w:rFonts w:ascii="Verdana" w:hAnsi="Verdana" w:eastAsia="Calibri" w:cs="Calibri"/>
          <w:sz w:val="18"/>
          <w:szCs w:val="18"/>
          <w:lang w:eastAsia="zh-CN" w:bidi="hi-IN"/>
        </w:rPr>
        <w:t xml:space="preserve">Maar dat neemt niet weg dat de oorzaak van technische mutatie ingewikkeld kan zijn en niet altijd eenvoudig in </w:t>
      </w:r>
      <w:r w:rsidR="00477D83">
        <w:rPr>
          <w:rFonts w:ascii="Verdana" w:hAnsi="Verdana" w:eastAsia="Calibri" w:cs="Calibri"/>
          <w:sz w:val="18"/>
          <w:szCs w:val="18"/>
          <w:lang w:eastAsia="zh-CN" w:bidi="hi-IN"/>
        </w:rPr>
        <w:t>enkele</w:t>
      </w:r>
      <w:r w:rsidR="0016198C">
        <w:rPr>
          <w:rFonts w:ascii="Verdana" w:hAnsi="Verdana" w:eastAsia="Calibri" w:cs="Calibri"/>
          <w:sz w:val="18"/>
          <w:szCs w:val="18"/>
          <w:lang w:eastAsia="zh-CN" w:bidi="hi-IN"/>
        </w:rPr>
        <w:t xml:space="preserve"> zinnen te </w:t>
      </w:r>
      <w:r w:rsidR="00F639AC">
        <w:rPr>
          <w:rFonts w:ascii="Verdana" w:hAnsi="Verdana" w:eastAsia="Calibri" w:cs="Calibri"/>
          <w:sz w:val="18"/>
          <w:szCs w:val="18"/>
          <w:lang w:eastAsia="zh-CN" w:bidi="hi-IN"/>
        </w:rPr>
        <w:t>beschrijven</w:t>
      </w:r>
      <w:r w:rsidR="0016198C">
        <w:rPr>
          <w:rFonts w:ascii="Verdana" w:hAnsi="Verdana" w:eastAsia="Calibri" w:cs="Calibri"/>
          <w:sz w:val="18"/>
          <w:szCs w:val="18"/>
          <w:lang w:eastAsia="zh-CN" w:bidi="hi-IN"/>
        </w:rPr>
        <w:t xml:space="preserve"> is.</w:t>
      </w:r>
      <w:r w:rsidR="005046C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</w:p>
    <w:p w:rsidRPr="00D73535" w:rsidR="001B08E6" w:rsidP="007C30E5" w:rsidRDefault="001B08E6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Pr="000B37DC" w:rsidR="00CA5BD8" w:rsidP="007C30E5" w:rsidRDefault="00CA5BD8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0B37DC">
        <w:rPr>
          <w:rFonts w:ascii="Verdana" w:hAnsi="Verdana" w:eastAsia="Calibri" w:cs="Calibri"/>
          <w:b/>
          <w:sz w:val="18"/>
          <w:szCs w:val="18"/>
          <w:lang w:eastAsia="zh-CN" w:bidi="hi-IN"/>
        </w:rPr>
        <w:t>Aanbeveling 3</w:t>
      </w:r>
    </w:p>
    <w:p w:rsidRPr="00B5016C" w:rsidR="00CA5BD8" w:rsidP="00141A63" w:rsidRDefault="00AE01F7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  <w:r w:rsidRPr="00B5016C">
        <w:rPr>
          <w:rFonts w:ascii="Verdana" w:hAnsi="Verdana" w:eastAsia="Calibri" w:cs="Calibri"/>
          <w:sz w:val="18"/>
          <w:szCs w:val="18"/>
          <w:lang w:eastAsia="zh-CN" w:bidi="hi-IN"/>
        </w:rPr>
        <w:t xml:space="preserve">U beveelt aan </w:t>
      </w:r>
      <w:r w:rsidRPr="00B5016C" w:rsidR="00494B75">
        <w:rPr>
          <w:rFonts w:ascii="Verdana" w:hAnsi="Verdana" w:eastAsia="Calibri" w:cs="Calibri"/>
          <w:sz w:val="18"/>
          <w:szCs w:val="18"/>
          <w:lang w:eastAsia="zh-CN" w:bidi="hi-IN"/>
        </w:rPr>
        <w:t>om in de suppletoire begrotingswet</w:t>
      </w:r>
      <w:r w:rsidRPr="00B5016C" w:rsidR="00076C4C">
        <w:rPr>
          <w:rFonts w:ascii="Verdana" w:hAnsi="Verdana" w:eastAsia="Calibri" w:cs="Calibri"/>
          <w:sz w:val="18"/>
          <w:szCs w:val="18"/>
          <w:lang w:eastAsia="zh-CN" w:bidi="hi-IN"/>
        </w:rPr>
        <w:t xml:space="preserve">ten het </w:t>
      </w:r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 xml:space="preserve">overzichtsmodel </w:t>
      </w:r>
      <w:r w:rsidRPr="00B5016C" w:rsidR="00076C4C">
        <w:rPr>
          <w:rFonts w:ascii="Verdana" w:hAnsi="Verdana" w:eastAsia="Calibri" w:cs="Calibri"/>
          <w:sz w:val="18"/>
          <w:szCs w:val="18"/>
          <w:lang w:eastAsia="zh-CN" w:bidi="hi-IN"/>
        </w:rPr>
        <w:t>te</w:t>
      </w:r>
      <w:r w:rsidRPr="00B5016C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Pr="00B5016C" w:rsidR="00076C4C">
        <w:rPr>
          <w:rFonts w:ascii="Verdana" w:hAnsi="Verdana" w:eastAsia="Calibri" w:cs="Calibri"/>
          <w:sz w:val="18"/>
          <w:szCs w:val="18"/>
          <w:lang w:eastAsia="zh-CN" w:bidi="hi-IN"/>
        </w:rPr>
        <w:t xml:space="preserve">hanteren dat </w:t>
      </w:r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 xml:space="preserve">het ministerie van </w:t>
      </w:r>
      <w:proofErr w:type="spellStart"/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>I</w:t>
      </w:r>
      <w:r w:rsidR="009D7538">
        <w:rPr>
          <w:rFonts w:ascii="Verdana" w:hAnsi="Verdana" w:eastAsia="Calibri" w:cs="Calibri"/>
          <w:sz w:val="18"/>
          <w:szCs w:val="18"/>
          <w:lang w:eastAsia="zh-CN" w:bidi="hi-IN"/>
        </w:rPr>
        <w:t>en</w:t>
      </w:r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>M</w:t>
      </w:r>
      <w:proofErr w:type="spellEnd"/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 xml:space="preserve"> gebruik</w:t>
      </w:r>
      <w:r w:rsidRPr="00B5016C" w:rsidR="00076C4C">
        <w:rPr>
          <w:rFonts w:ascii="Verdana" w:hAnsi="Verdana" w:eastAsia="Calibri" w:cs="Calibri"/>
          <w:sz w:val="18"/>
          <w:szCs w:val="18"/>
          <w:lang w:eastAsia="zh-CN" w:bidi="hi-IN"/>
        </w:rPr>
        <w:t>t. In dit overzicht</w:t>
      </w:r>
      <w:r w:rsidRPr="00B5016C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worden de mutaties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 in de eerste suppletoire begroting</w:t>
      </w:r>
      <w:r w:rsidRPr="00B5016C"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uitgesplitst in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Pr="00B5016C" w:rsidR="00CA5BD8">
        <w:rPr>
          <w:rFonts w:ascii="Verdana" w:hAnsi="Verdana" w:eastAsia="Calibri" w:cs="Calibri"/>
          <w:sz w:val="18"/>
          <w:szCs w:val="18"/>
          <w:lang w:eastAsia="zh-CN" w:bidi="hi-IN"/>
        </w:rPr>
        <w:t xml:space="preserve">mutaties </w:t>
      </w:r>
      <w:r w:rsidR="00B5016C">
        <w:rPr>
          <w:rFonts w:ascii="Verdana" w:hAnsi="Verdana" w:eastAsia="Calibri" w:cs="Calibri"/>
          <w:sz w:val="18"/>
          <w:szCs w:val="18"/>
          <w:lang w:eastAsia="zh-CN" w:bidi="hi-IN"/>
        </w:rPr>
        <w:t xml:space="preserve">n.a.v. 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nota van wijziging </w:t>
      </w:r>
      <w:r w:rsidRPr="00B5016C">
        <w:rPr>
          <w:rFonts w:ascii="Verdana" w:hAnsi="Verdana" w:eastAsia="Calibri" w:cs="Calibri"/>
          <w:sz w:val="18"/>
          <w:szCs w:val="18"/>
          <w:lang w:eastAsia="zh-CN" w:bidi="hi-IN"/>
        </w:rPr>
        <w:t>/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>amendement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/ incidentele suppletoire begroting en 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mutaties </w:t>
      </w:r>
      <w:r w:rsidRPr="00B5016C" w:rsidR="003235BB">
        <w:rPr>
          <w:rFonts w:ascii="Verdana" w:hAnsi="Verdana" w:eastAsia="Calibri" w:cs="Calibri"/>
          <w:sz w:val="18"/>
          <w:szCs w:val="18"/>
          <w:lang w:eastAsia="zh-CN" w:bidi="hi-IN"/>
        </w:rPr>
        <w:t>eerste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suppletoire begroting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>. En worden de mutaties in de 2</w:t>
      </w:r>
      <w:r w:rsidRPr="00141A63" w:rsidR="00141A63">
        <w:rPr>
          <w:rFonts w:ascii="Verdana" w:hAnsi="Verdana" w:eastAsia="Calibri" w:cs="Calibri"/>
          <w:sz w:val="18"/>
          <w:szCs w:val="18"/>
          <w:vertAlign w:val="superscript"/>
          <w:lang w:eastAsia="zh-CN" w:bidi="hi-IN"/>
        </w:rPr>
        <w:t>e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 suppletoire begroting </w:t>
      </w:r>
      <w:r w:rsidR="00700A4D">
        <w:rPr>
          <w:rFonts w:ascii="Verdana" w:hAnsi="Verdana" w:eastAsia="Calibri" w:cs="Calibri"/>
          <w:sz w:val="18"/>
          <w:szCs w:val="18"/>
          <w:lang w:eastAsia="zh-CN" w:bidi="hi-IN"/>
        </w:rPr>
        <w:t xml:space="preserve">uitgesplitst 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mutaties </w:t>
      </w:r>
      <w:r w:rsidR="00530599">
        <w:rPr>
          <w:rFonts w:ascii="Verdana" w:hAnsi="Verdana" w:eastAsia="Calibri" w:cs="Calibri"/>
          <w:sz w:val="18"/>
          <w:szCs w:val="18"/>
          <w:lang w:eastAsia="zh-CN" w:bidi="hi-IN"/>
        </w:rPr>
        <w:t xml:space="preserve">die </w:t>
      </w:r>
      <w:r w:rsidR="004B063F">
        <w:rPr>
          <w:rFonts w:ascii="Verdana" w:hAnsi="Verdana" w:eastAsia="Calibri" w:cs="Calibri"/>
          <w:sz w:val="18"/>
          <w:szCs w:val="18"/>
          <w:lang w:eastAsia="zh-CN" w:bidi="hi-IN"/>
        </w:rPr>
        <w:t>al</w:t>
      </w:r>
      <w:r w:rsidR="0053059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bij miljoenennota</w:t>
      </w:r>
      <w:r w:rsidR="009C3461">
        <w:rPr>
          <w:rFonts w:ascii="Verdana" w:hAnsi="Verdana" w:eastAsia="Calibri" w:cs="Calibri"/>
          <w:sz w:val="18"/>
          <w:szCs w:val="18"/>
          <w:lang w:eastAsia="zh-CN" w:bidi="hi-IN"/>
        </w:rPr>
        <w:t xml:space="preserve">/ 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>begroting</w:t>
      </w:r>
      <w:r w:rsidR="00530599"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 xml:space="preserve">t+1 </w:t>
      </w:r>
      <w:r w:rsidR="00530599">
        <w:rPr>
          <w:rFonts w:ascii="Verdana" w:hAnsi="Verdana" w:eastAsia="Calibri" w:cs="Calibri"/>
          <w:sz w:val="18"/>
          <w:szCs w:val="18"/>
          <w:lang w:eastAsia="zh-CN" w:bidi="hi-IN"/>
        </w:rPr>
        <w:t xml:space="preserve">zijn gemeld </w:t>
      </w:r>
      <w:r w:rsidR="00141A63">
        <w:rPr>
          <w:rFonts w:ascii="Verdana" w:hAnsi="Verdana" w:eastAsia="Calibri" w:cs="Calibri"/>
          <w:sz w:val="18"/>
          <w:szCs w:val="18"/>
          <w:lang w:eastAsia="zh-CN" w:bidi="hi-IN"/>
        </w:rPr>
        <w:t xml:space="preserve">en </w:t>
      </w:r>
      <w:r w:rsidR="00530599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 xml:space="preserve">overige 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mutaties </w:t>
      </w:r>
      <w:r w:rsidRPr="00B5016C" w:rsidR="003235BB">
        <w:rPr>
          <w:rFonts w:ascii="Verdana" w:hAnsi="Verdana" w:eastAsia="Calibri" w:cs="Calibri"/>
          <w:sz w:val="18"/>
          <w:szCs w:val="18"/>
          <w:lang w:eastAsia="zh-CN" w:bidi="hi-IN"/>
        </w:rPr>
        <w:t>tweede</w:t>
      </w:r>
      <w:r w:rsidRPr="00B5016C" w:rsidR="00F257FB">
        <w:rPr>
          <w:rFonts w:ascii="Verdana" w:hAnsi="Verdana" w:eastAsia="Calibri" w:cs="Calibri"/>
          <w:sz w:val="18"/>
          <w:szCs w:val="18"/>
          <w:lang w:eastAsia="zh-CN" w:bidi="hi-IN"/>
        </w:rPr>
        <w:t xml:space="preserve"> suppletoire begroting. </w:t>
      </w:r>
    </w:p>
    <w:p w:rsidR="003235BB" w:rsidP="007C30E5" w:rsidRDefault="003235BB">
      <w:pPr>
        <w:spacing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p w:rsidRPr="0011143C" w:rsidR="000B37DC" w:rsidP="007C30E5" w:rsidRDefault="000B37DC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11143C">
        <w:rPr>
          <w:rFonts w:ascii="Verdana" w:hAnsi="Verdana" w:eastAsia="Calibri" w:cs="Calibri"/>
          <w:b/>
          <w:sz w:val="18"/>
          <w:szCs w:val="18"/>
          <w:lang w:eastAsia="zh-CN" w:bidi="hi-IN"/>
        </w:rPr>
        <w:t>Reactie op aanbeveling 3</w:t>
      </w:r>
    </w:p>
    <w:p w:rsidR="003235BB" w:rsidP="007C30E5" w:rsidRDefault="00AE01F7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 w:eastAsia="Calibri" w:cs="Calibri"/>
          <w:sz w:val="18"/>
          <w:szCs w:val="18"/>
          <w:lang w:eastAsia="zh-CN" w:bidi="hi-IN"/>
        </w:rPr>
        <w:t>In de eerste suppletoire begroting word</w:t>
      </w:r>
      <w:r w:rsidR="00184AB6">
        <w:rPr>
          <w:rFonts w:ascii="Verdana" w:hAnsi="Verdana" w:eastAsia="Calibri" w:cs="Calibri"/>
          <w:sz w:val="18"/>
          <w:szCs w:val="18"/>
          <w:lang w:eastAsia="zh-CN" w:bidi="hi-IN"/>
        </w:rPr>
        <w:t>en</w:t>
      </w:r>
      <w:r>
        <w:rPr>
          <w:rFonts w:ascii="Verdana" w:hAnsi="Verdana" w:eastAsia="Calibri" w:cs="Calibri"/>
          <w:sz w:val="18"/>
          <w:szCs w:val="18"/>
          <w:lang w:eastAsia="zh-CN" w:bidi="hi-IN"/>
        </w:rPr>
        <w:t xml:space="preserve"> </w:t>
      </w:r>
      <w:r w:rsidR="00FC3D5E">
        <w:rPr>
          <w:rFonts w:ascii="Verdana" w:hAnsi="Verdana" w:eastAsia="Calibri" w:cs="Calibri"/>
          <w:sz w:val="18"/>
          <w:szCs w:val="18"/>
          <w:lang w:eastAsia="zh-CN" w:bidi="hi-IN"/>
        </w:rPr>
        <w:t xml:space="preserve">in de tabel budgettaire gevolgen van beleid </w:t>
      </w:r>
      <w:r w:rsidR="003235BB">
        <w:rPr>
          <w:rFonts w:ascii="Verdana" w:hAnsi="Verdana" w:eastAsia="Calibri" w:cs="Calibri"/>
          <w:sz w:val="18"/>
          <w:szCs w:val="18"/>
          <w:lang w:eastAsia="zh-CN" w:bidi="hi-IN"/>
        </w:rPr>
        <w:t xml:space="preserve">de mutaties ten opzichte van de ontwerpbegroting </w:t>
      </w:r>
      <w:r w:rsidRPr="00D73535" w:rsidR="003235BB">
        <w:rPr>
          <w:rFonts w:ascii="Verdana" w:hAnsi="Verdana"/>
          <w:sz w:val="18"/>
          <w:szCs w:val="18"/>
        </w:rPr>
        <w:t>die bij een nota van wijziging, amendement of een incidentele suppletoire begroting zijn aangebracht</w:t>
      </w:r>
      <w:r w:rsidR="003235BB">
        <w:rPr>
          <w:rFonts w:ascii="Verdana" w:hAnsi="Verdana"/>
          <w:sz w:val="18"/>
          <w:szCs w:val="18"/>
        </w:rPr>
        <w:t xml:space="preserve"> </w:t>
      </w:r>
      <w:r w:rsidR="00D22F6C">
        <w:rPr>
          <w:rFonts w:ascii="Verdana" w:hAnsi="Verdana"/>
          <w:sz w:val="18"/>
          <w:szCs w:val="18"/>
        </w:rPr>
        <w:t>al</w:t>
      </w:r>
      <w:r w:rsidR="003235BB">
        <w:rPr>
          <w:rFonts w:ascii="Verdana" w:hAnsi="Verdana"/>
          <w:sz w:val="18"/>
          <w:szCs w:val="18"/>
        </w:rPr>
        <w:t xml:space="preserve"> apart gepresenteerd van de mutaties eerste suppletoire begroting. Aanpassing van de </w:t>
      </w:r>
      <w:r w:rsidR="00C57692">
        <w:rPr>
          <w:rFonts w:ascii="Verdana" w:hAnsi="Verdana"/>
          <w:sz w:val="18"/>
          <w:szCs w:val="18"/>
        </w:rPr>
        <w:t>R</w:t>
      </w:r>
      <w:r w:rsidR="0020066D">
        <w:rPr>
          <w:rFonts w:ascii="Verdana" w:hAnsi="Verdana"/>
          <w:sz w:val="18"/>
          <w:szCs w:val="18"/>
        </w:rPr>
        <w:t>ijksbegrotingvoorschriften</w:t>
      </w:r>
      <w:r w:rsidR="003235BB">
        <w:rPr>
          <w:rFonts w:ascii="Verdana" w:hAnsi="Verdana"/>
          <w:sz w:val="18"/>
          <w:szCs w:val="18"/>
        </w:rPr>
        <w:t xml:space="preserve"> is</w:t>
      </w:r>
      <w:r w:rsidR="00703334">
        <w:rPr>
          <w:rFonts w:ascii="Verdana" w:hAnsi="Verdana"/>
          <w:sz w:val="18"/>
          <w:szCs w:val="18"/>
        </w:rPr>
        <w:t xml:space="preserve"> hiervoor</w:t>
      </w:r>
      <w:r w:rsidR="003235BB">
        <w:rPr>
          <w:rFonts w:ascii="Verdana" w:hAnsi="Verdana"/>
          <w:sz w:val="18"/>
          <w:szCs w:val="18"/>
        </w:rPr>
        <w:t xml:space="preserve"> </w:t>
      </w:r>
      <w:r w:rsidR="000F0E3F">
        <w:rPr>
          <w:rFonts w:ascii="Verdana" w:hAnsi="Verdana"/>
          <w:sz w:val="18"/>
          <w:szCs w:val="18"/>
        </w:rPr>
        <w:t xml:space="preserve">dus </w:t>
      </w:r>
      <w:r w:rsidR="003235BB">
        <w:rPr>
          <w:rFonts w:ascii="Verdana" w:hAnsi="Verdana"/>
          <w:sz w:val="18"/>
          <w:szCs w:val="18"/>
        </w:rPr>
        <w:t>niet nodig.</w:t>
      </w:r>
    </w:p>
    <w:p w:rsidR="003235BB" w:rsidP="007C30E5" w:rsidRDefault="003235BB">
      <w:pPr>
        <w:spacing w:line="260" w:lineRule="atLeast"/>
        <w:rPr>
          <w:rFonts w:ascii="Verdana" w:hAnsi="Verdana"/>
          <w:sz w:val="18"/>
          <w:szCs w:val="18"/>
        </w:rPr>
      </w:pPr>
    </w:p>
    <w:p w:rsidRPr="00D73535" w:rsidR="00E73C47" w:rsidP="007C30E5" w:rsidRDefault="003235BB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r w:rsidR="001D2652">
        <w:rPr>
          <w:rFonts w:ascii="Verdana" w:hAnsi="Verdana"/>
          <w:sz w:val="18"/>
          <w:szCs w:val="18"/>
        </w:rPr>
        <w:t xml:space="preserve">de </w:t>
      </w:r>
      <w:r w:rsidR="00184AB6">
        <w:rPr>
          <w:rFonts w:ascii="Verdana" w:hAnsi="Verdana"/>
          <w:sz w:val="18"/>
          <w:szCs w:val="18"/>
        </w:rPr>
        <w:t>Rijksbegrotingvoorschriften</w:t>
      </w:r>
      <w:r w:rsidR="001D2652">
        <w:rPr>
          <w:rFonts w:ascii="Verdana" w:hAnsi="Verdana"/>
          <w:sz w:val="18"/>
          <w:szCs w:val="18"/>
        </w:rPr>
        <w:t xml:space="preserve"> </w:t>
      </w:r>
      <w:r w:rsidR="009D7538">
        <w:rPr>
          <w:rFonts w:ascii="Verdana" w:hAnsi="Verdana"/>
          <w:sz w:val="18"/>
          <w:szCs w:val="18"/>
        </w:rPr>
        <w:t xml:space="preserve">wordt </w:t>
      </w:r>
      <w:r w:rsidR="001D2652">
        <w:rPr>
          <w:rFonts w:ascii="Verdana" w:hAnsi="Verdana"/>
          <w:sz w:val="18"/>
          <w:szCs w:val="18"/>
        </w:rPr>
        <w:t xml:space="preserve">voor </w:t>
      </w:r>
      <w:r>
        <w:rPr>
          <w:rFonts w:ascii="Verdana" w:hAnsi="Verdana"/>
          <w:sz w:val="18"/>
          <w:szCs w:val="18"/>
        </w:rPr>
        <w:t xml:space="preserve">de tweede suppletoire begrotingswet </w:t>
      </w:r>
      <w:r w:rsidR="00FC3D5E">
        <w:rPr>
          <w:rFonts w:ascii="Verdana" w:hAnsi="Verdana"/>
          <w:sz w:val="18"/>
          <w:szCs w:val="18"/>
        </w:rPr>
        <w:t xml:space="preserve">in de tabel budgettaire gevolgen van beleid </w:t>
      </w:r>
      <w:r w:rsidR="00B5016C">
        <w:rPr>
          <w:rFonts w:ascii="Verdana" w:hAnsi="Verdana"/>
          <w:sz w:val="18"/>
          <w:szCs w:val="18"/>
        </w:rPr>
        <w:t xml:space="preserve">nu </w:t>
      </w:r>
      <w:r>
        <w:rPr>
          <w:rFonts w:ascii="Verdana" w:hAnsi="Verdana"/>
          <w:sz w:val="18"/>
          <w:szCs w:val="18"/>
        </w:rPr>
        <w:t xml:space="preserve">geen </w:t>
      </w:r>
      <w:r w:rsidR="00184AB6">
        <w:rPr>
          <w:rFonts w:ascii="Verdana" w:hAnsi="Verdana"/>
          <w:sz w:val="18"/>
          <w:szCs w:val="18"/>
        </w:rPr>
        <w:t>onderverdeling</w:t>
      </w:r>
      <w:r>
        <w:rPr>
          <w:rFonts w:ascii="Verdana" w:hAnsi="Verdana"/>
          <w:sz w:val="18"/>
          <w:szCs w:val="18"/>
        </w:rPr>
        <w:t xml:space="preserve"> gemaakt tussen </w:t>
      </w:r>
      <w:r w:rsidRPr="00D73535">
        <w:rPr>
          <w:rFonts w:ascii="Verdana" w:hAnsi="Verdana"/>
          <w:sz w:val="18"/>
          <w:szCs w:val="18"/>
        </w:rPr>
        <w:t xml:space="preserve">de mutaties </w:t>
      </w:r>
      <w:r w:rsidR="000F388E">
        <w:rPr>
          <w:rFonts w:ascii="Verdana" w:hAnsi="Verdana"/>
          <w:sz w:val="18"/>
          <w:szCs w:val="18"/>
        </w:rPr>
        <w:t xml:space="preserve">die al bij </w:t>
      </w:r>
      <w:r w:rsidR="004B063F">
        <w:rPr>
          <w:rFonts w:ascii="Verdana" w:hAnsi="Verdana"/>
          <w:sz w:val="18"/>
          <w:szCs w:val="18"/>
        </w:rPr>
        <w:t>m</w:t>
      </w:r>
      <w:r w:rsidRPr="00D73535" w:rsidR="004B063F">
        <w:rPr>
          <w:rFonts w:ascii="Verdana" w:hAnsi="Verdana"/>
          <w:sz w:val="18"/>
          <w:szCs w:val="18"/>
        </w:rPr>
        <w:t>iljoenennota</w:t>
      </w:r>
      <w:r w:rsidR="004B063F">
        <w:rPr>
          <w:rFonts w:ascii="Verdana" w:hAnsi="Verdana"/>
          <w:sz w:val="18"/>
          <w:szCs w:val="18"/>
        </w:rPr>
        <w:t>/begroting</w:t>
      </w:r>
      <w:r w:rsidRPr="00D73535" w:rsidR="004B063F">
        <w:rPr>
          <w:rFonts w:ascii="Verdana" w:hAnsi="Verdana"/>
          <w:sz w:val="18"/>
          <w:szCs w:val="18"/>
        </w:rPr>
        <w:t xml:space="preserve"> </w:t>
      </w:r>
      <w:r w:rsidR="009C3461">
        <w:rPr>
          <w:rFonts w:ascii="Verdana" w:hAnsi="Verdana"/>
          <w:sz w:val="18"/>
          <w:szCs w:val="18"/>
        </w:rPr>
        <w:t xml:space="preserve">t+1 </w:t>
      </w:r>
      <w:r w:rsidR="000F388E">
        <w:rPr>
          <w:rFonts w:ascii="Verdana" w:hAnsi="Verdana"/>
          <w:sz w:val="18"/>
          <w:szCs w:val="18"/>
        </w:rPr>
        <w:t xml:space="preserve">zijn gemeld </w:t>
      </w:r>
      <w:r w:rsidRPr="00D73535">
        <w:rPr>
          <w:rFonts w:ascii="Verdana" w:hAnsi="Verdana"/>
          <w:sz w:val="18"/>
          <w:szCs w:val="18"/>
        </w:rPr>
        <w:t xml:space="preserve">en de </w:t>
      </w:r>
      <w:r w:rsidR="009C3461">
        <w:rPr>
          <w:rFonts w:ascii="Verdana" w:hAnsi="Verdana"/>
          <w:sz w:val="18"/>
          <w:szCs w:val="18"/>
        </w:rPr>
        <w:t xml:space="preserve">overige </w:t>
      </w:r>
      <w:r w:rsidRPr="00D73535">
        <w:rPr>
          <w:rFonts w:ascii="Verdana" w:hAnsi="Verdana"/>
          <w:sz w:val="18"/>
          <w:szCs w:val="18"/>
        </w:rPr>
        <w:t>mutaties</w:t>
      </w:r>
      <w:r w:rsidR="009C3461">
        <w:rPr>
          <w:rFonts w:ascii="Verdana" w:hAnsi="Verdana"/>
          <w:sz w:val="18"/>
          <w:szCs w:val="18"/>
        </w:rPr>
        <w:t>.</w:t>
      </w:r>
      <w:r w:rsidR="009D75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Het model dat het ministerie van </w:t>
      </w:r>
      <w:proofErr w:type="spellStart"/>
      <w:r>
        <w:rPr>
          <w:rFonts w:ascii="Verdana" w:hAnsi="Verdana"/>
          <w:sz w:val="18"/>
          <w:szCs w:val="18"/>
        </w:rPr>
        <w:t>IenM</w:t>
      </w:r>
      <w:proofErr w:type="spellEnd"/>
      <w:r>
        <w:rPr>
          <w:rFonts w:ascii="Verdana" w:hAnsi="Verdana"/>
          <w:sz w:val="18"/>
          <w:szCs w:val="18"/>
        </w:rPr>
        <w:t xml:space="preserve"> hanteert voorziet daar wel in. </w:t>
      </w:r>
      <w:r w:rsidRPr="00D73535" w:rsidR="00E73C47">
        <w:rPr>
          <w:rFonts w:ascii="Verdana" w:hAnsi="Verdana"/>
          <w:sz w:val="18"/>
          <w:szCs w:val="18"/>
        </w:rPr>
        <w:t xml:space="preserve">Ik </w:t>
      </w:r>
      <w:r w:rsidR="00FC3D5E">
        <w:rPr>
          <w:rFonts w:ascii="Verdana" w:hAnsi="Verdana"/>
          <w:sz w:val="18"/>
          <w:szCs w:val="18"/>
        </w:rPr>
        <w:t xml:space="preserve">neem uw aanbeveling over en </w:t>
      </w:r>
      <w:r w:rsidRPr="00D73535" w:rsidR="00E73C47">
        <w:rPr>
          <w:rFonts w:ascii="Verdana" w:hAnsi="Verdana"/>
          <w:sz w:val="18"/>
          <w:szCs w:val="18"/>
        </w:rPr>
        <w:t xml:space="preserve">zal </w:t>
      </w:r>
      <w:r w:rsidR="005046C8">
        <w:rPr>
          <w:rFonts w:ascii="Verdana" w:hAnsi="Verdana"/>
          <w:sz w:val="18"/>
          <w:szCs w:val="18"/>
        </w:rPr>
        <w:t xml:space="preserve">dit verwerken in </w:t>
      </w:r>
      <w:r w:rsidRPr="00D73535" w:rsidR="00E73C47">
        <w:rPr>
          <w:rFonts w:ascii="Verdana" w:hAnsi="Verdana"/>
          <w:sz w:val="18"/>
          <w:szCs w:val="18"/>
        </w:rPr>
        <w:t xml:space="preserve">de </w:t>
      </w:r>
      <w:r w:rsidR="00BD50CD">
        <w:rPr>
          <w:rFonts w:ascii="Verdana" w:hAnsi="Verdana"/>
          <w:sz w:val="18"/>
          <w:szCs w:val="18"/>
        </w:rPr>
        <w:t>R</w:t>
      </w:r>
      <w:r w:rsidRPr="00D73535" w:rsidR="0020066D">
        <w:rPr>
          <w:rFonts w:ascii="Verdana" w:hAnsi="Verdana"/>
          <w:sz w:val="18"/>
          <w:szCs w:val="18"/>
        </w:rPr>
        <w:t>ijksbegrotingvoorschriften</w:t>
      </w:r>
      <w:r w:rsidRPr="00D73535" w:rsidR="00E73C47">
        <w:rPr>
          <w:rFonts w:ascii="Verdana" w:hAnsi="Verdana"/>
          <w:sz w:val="18"/>
          <w:szCs w:val="18"/>
        </w:rPr>
        <w:t xml:space="preserve"> </w:t>
      </w:r>
      <w:r w:rsidR="005046C8">
        <w:rPr>
          <w:rFonts w:ascii="Verdana" w:hAnsi="Verdana"/>
          <w:sz w:val="18"/>
          <w:szCs w:val="18"/>
        </w:rPr>
        <w:t>2016</w:t>
      </w:r>
      <w:r w:rsidRPr="00D73535" w:rsidR="00E73C47">
        <w:rPr>
          <w:rFonts w:ascii="Verdana" w:hAnsi="Verdana"/>
          <w:sz w:val="18"/>
          <w:szCs w:val="18"/>
        </w:rPr>
        <w:t xml:space="preserve">. </w:t>
      </w:r>
    </w:p>
    <w:p w:rsidR="00457CBC" w:rsidP="007C30E5" w:rsidRDefault="00457CBC">
      <w:pPr>
        <w:pStyle w:val="Normaalweb"/>
        <w:spacing w:before="0" w:beforeAutospacing="0" w:after="0" w:afterAutospacing="0" w:line="260" w:lineRule="atLeast"/>
        <w:rPr>
          <w:rFonts w:ascii="Verdana" w:hAnsi="Verdana"/>
          <w:sz w:val="18"/>
          <w:szCs w:val="18"/>
        </w:rPr>
      </w:pPr>
    </w:p>
    <w:p w:rsidRPr="00685C83" w:rsidR="00457CBC" w:rsidP="007C30E5" w:rsidRDefault="00457CBC">
      <w:pPr>
        <w:spacing w:line="260" w:lineRule="atLeast"/>
        <w:rPr>
          <w:rFonts w:ascii="Verdana" w:hAnsi="Verdana" w:eastAsia="Calibri" w:cs="Calibri"/>
          <w:b/>
          <w:sz w:val="18"/>
          <w:szCs w:val="18"/>
          <w:lang w:eastAsia="zh-CN" w:bidi="hi-IN"/>
        </w:rPr>
      </w:pPr>
      <w:r w:rsidRPr="00685C83">
        <w:rPr>
          <w:rFonts w:ascii="Verdana" w:hAnsi="Verdana" w:eastAsia="Calibri" w:cs="Calibri"/>
          <w:b/>
          <w:sz w:val="18"/>
          <w:szCs w:val="18"/>
          <w:lang w:eastAsia="zh-CN" w:bidi="hi-IN"/>
        </w:rPr>
        <w:t>Aanbeveling 4</w:t>
      </w:r>
    </w:p>
    <w:p w:rsidRPr="00D73535" w:rsidR="00457CBC" w:rsidP="007C30E5" w:rsidRDefault="00BD50CD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verzoekt</w:t>
      </w:r>
      <w:r w:rsidRPr="00D73535" w:rsidR="00457CBC">
        <w:rPr>
          <w:rFonts w:ascii="Verdana" w:hAnsi="Verdana"/>
          <w:sz w:val="18"/>
          <w:szCs w:val="18"/>
        </w:rPr>
        <w:t xml:space="preserve"> om bij agentschappen</w:t>
      </w:r>
      <w:r>
        <w:rPr>
          <w:rFonts w:ascii="Verdana" w:hAnsi="Verdana"/>
          <w:sz w:val="18"/>
          <w:szCs w:val="18"/>
        </w:rPr>
        <w:t>,</w:t>
      </w:r>
      <w:r w:rsidRPr="00D73535" w:rsidR="00457CBC">
        <w:rPr>
          <w:rFonts w:ascii="Verdana" w:hAnsi="Verdana"/>
          <w:sz w:val="18"/>
          <w:szCs w:val="18"/>
        </w:rPr>
        <w:t xml:space="preserve"> die vanuit verschillende begrotingsartikelen gevoed worden</w:t>
      </w:r>
      <w:r>
        <w:rPr>
          <w:rFonts w:ascii="Verdana" w:hAnsi="Verdana"/>
          <w:sz w:val="18"/>
          <w:szCs w:val="18"/>
        </w:rPr>
        <w:t>,</w:t>
      </w:r>
      <w:r w:rsidRPr="00D73535" w:rsidR="00457CBC">
        <w:rPr>
          <w:rFonts w:ascii="Verdana" w:hAnsi="Verdana"/>
          <w:sz w:val="18"/>
          <w:szCs w:val="18"/>
        </w:rPr>
        <w:t xml:space="preserve"> een extra bijlage in de suppletoire </w:t>
      </w:r>
      <w:r>
        <w:rPr>
          <w:rFonts w:ascii="Verdana" w:hAnsi="Verdana"/>
          <w:sz w:val="18"/>
          <w:szCs w:val="18"/>
        </w:rPr>
        <w:t>begrotings</w:t>
      </w:r>
      <w:r w:rsidRPr="00D73535" w:rsidR="00457CBC">
        <w:rPr>
          <w:rFonts w:ascii="Verdana" w:hAnsi="Verdana"/>
          <w:sz w:val="18"/>
          <w:szCs w:val="18"/>
        </w:rPr>
        <w:t xml:space="preserve">wet op te nemen. In deze bijlage neemt het agentschap dan de totale mutatie op inclusief </w:t>
      </w:r>
      <w:r w:rsidR="00685C83">
        <w:rPr>
          <w:rFonts w:ascii="Verdana" w:hAnsi="Verdana"/>
          <w:sz w:val="18"/>
          <w:szCs w:val="18"/>
        </w:rPr>
        <w:t xml:space="preserve">een </w:t>
      </w:r>
      <w:r w:rsidRPr="00D73535" w:rsidR="00457CBC">
        <w:rPr>
          <w:rFonts w:ascii="Verdana" w:hAnsi="Verdana"/>
          <w:sz w:val="18"/>
          <w:szCs w:val="18"/>
        </w:rPr>
        <w:t xml:space="preserve">toelichting. </w:t>
      </w:r>
    </w:p>
    <w:p w:rsidR="00457CBC" w:rsidP="007C30E5" w:rsidRDefault="00457CBC">
      <w:pPr>
        <w:spacing w:line="260" w:lineRule="atLeast"/>
        <w:rPr>
          <w:rFonts w:ascii="Verdana" w:hAnsi="Verdana"/>
          <w:sz w:val="18"/>
          <w:szCs w:val="18"/>
        </w:rPr>
      </w:pPr>
    </w:p>
    <w:p w:rsidR="00461509" w:rsidP="007C30E5" w:rsidRDefault="00461509">
      <w:pPr>
        <w:spacing w:line="260" w:lineRule="atLeast"/>
        <w:rPr>
          <w:rFonts w:ascii="Verdana" w:hAnsi="Verdana"/>
          <w:sz w:val="18"/>
          <w:szCs w:val="18"/>
        </w:rPr>
      </w:pPr>
    </w:p>
    <w:p w:rsidR="00461509" w:rsidP="007C30E5" w:rsidRDefault="00461509">
      <w:pPr>
        <w:spacing w:line="260" w:lineRule="atLeast"/>
        <w:rPr>
          <w:rFonts w:ascii="Verdana" w:hAnsi="Verdana"/>
          <w:sz w:val="18"/>
          <w:szCs w:val="18"/>
        </w:rPr>
      </w:pPr>
    </w:p>
    <w:p w:rsidRPr="00D73535" w:rsidR="00461509" w:rsidP="007C30E5" w:rsidRDefault="00461509">
      <w:pPr>
        <w:spacing w:line="260" w:lineRule="atLeast"/>
        <w:rPr>
          <w:rFonts w:ascii="Verdana" w:hAnsi="Verdana"/>
          <w:sz w:val="18"/>
          <w:szCs w:val="18"/>
        </w:rPr>
      </w:pPr>
    </w:p>
    <w:p w:rsidRPr="00141A63" w:rsidR="00685C83" w:rsidP="00FA767D" w:rsidRDefault="00685C83">
      <w:pPr>
        <w:spacing w:line="260" w:lineRule="atLeast"/>
        <w:rPr>
          <w:rFonts w:ascii="Verdana" w:hAnsi="Verdana"/>
          <w:b/>
          <w:sz w:val="18"/>
          <w:szCs w:val="18"/>
        </w:rPr>
      </w:pPr>
      <w:r w:rsidRPr="00141A63">
        <w:rPr>
          <w:rFonts w:ascii="Verdana" w:hAnsi="Verdana"/>
          <w:b/>
          <w:sz w:val="18"/>
          <w:szCs w:val="18"/>
        </w:rPr>
        <w:t>Reactie op aanbeveling 4</w:t>
      </w:r>
    </w:p>
    <w:p w:rsidR="00C05570" w:rsidP="00FA767D" w:rsidRDefault="00A925B0">
      <w:pPr>
        <w:spacing w:line="260" w:lineRule="atLeast"/>
        <w:rPr>
          <w:rFonts w:ascii="Verdana" w:hAnsi="Verdana"/>
          <w:sz w:val="18"/>
          <w:szCs w:val="18"/>
        </w:rPr>
      </w:pPr>
      <w:r w:rsidRPr="00A925B0">
        <w:rPr>
          <w:rFonts w:ascii="Verdana" w:hAnsi="Verdana"/>
          <w:sz w:val="18"/>
          <w:szCs w:val="18"/>
        </w:rPr>
        <w:t xml:space="preserve">Een </w:t>
      </w:r>
      <w:r>
        <w:rPr>
          <w:rFonts w:ascii="Verdana" w:hAnsi="Verdana"/>
          <w:sz w:val="18"/>
          <w:szCs w:val="18"/>
        </w:rPr>
        <w:t xml:space="preserve">mutatie in de bijdrage aan een agentschap wordt </w:t>
      </w:r>
      <w:r w:rsidR="00D22F6C">
        <w:rPr>
          <w:rFonts w:ascii="Verdana" w:hAnsi="Verdana"/>
          <w:sz w:val="18"/>
          <w:szCs w:val="18"/>
        </w:rPr>
        <w:t>al</w:t>
      </w:r>
      <w:r w:rsidR="00B9720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aan de </w:t>
      </w:r>
      <w:r w:rsidR="00B97209">
        <w:rPr>
          <w:rFonts w:ascii="Verdana" w:hAnsi="Verdana"/>
          <w:sz w:val="18"/>
          <w:szCs w:val="18"/>
        </w:rPr>
        <w:t>kant</w:t>
      </w:r>
      <w:r>
        <w:rPr>
          <w:rFonts w:ascii="Verdana" w:hAnsi="Verdana"/>
          <w:sz w:val="18"/>
          <w:szCs w:val="18"/>
        </w:rPr>
        <w:t xml:space="preserve"> van het (moeder)departement zichtbaar gemaakt </w:t>
      </w:r>
      <w:r w:rsidR="00B97209">
        <w:rPr>
          <w:rFonts w:ascii="Verdana" w:hAnsi="Verdana"/>
          <w:sz w:val="18"/>
          <w:szCs w:val="18"/>
        </w:rPr>
        <w:t xml:space="preserve">in de suppletoire begrotingswet </w:t>
      </w:r>
      <w:r>
        <w:rPr>
          <w:rFonts w:ascii="Verdana" w:hAnsi="Verdana"/>
          <w:sz w:val="18"/>
          <w:szCs w:val="18"/>
        </w:rPr>
        <w:t xml:space="preserve">en </w:t>
      </w:r>
      <w:r w:rsidR="00F53C86">
        <w:rPr>
          <w:rFonts w:ascii="Verdana" w:hAnsi="Verdana"/>
          <w:sz w:val="18"/>
          <w:szCs w:val="18"/>
        </w:rPr>
        <w:t xml:space="preserve">toegelicht indien </w:t>
      </w:r>
      <w:r w:rsidR="00F53C86">
        <w:rPr>
          <w:rFonts w:ascii="Verdana" w:hAnsi="Verdana" w:eastAsia="Calibri" w:cs="Calibri"/>
          <w:sz w:val="18"/>
          <w:szCs w:val="18"/>
          <w:lang w:eastAsia="zh-CN" w:bidi="hi-IN"/>
        </w:rPr>
        <w:t xml:space="preserve">die voldoet aan de </w:t>
      </w:r>
      <w:r w:rsidRPr="00FA767D" w:rsidR="009D7538">
        <w:rPr>
          <w:rFonts w:ascii="Verdana" w:hAnsi="Verdana"/>
          <w:sz w:val="18"/>
          <w:szCs w:val="18"/>
        </w:rPr>
        <w:t xml:space="preserve">ondergrenzen </w:t>
      </w:r>
      <w:r w:rsidRPr="00FA767D" w:rsidR="00F53C86">
        <w:rPr>
          <w:rFonts w:ascii="Verdana" w:hAnsi="Verdana"/>
          <w:sz w:val="18"/>
          <w:szCs w:val="18"/>
        </w:rPr>
        <w:t xml:space="preserve">zoals vermeld in mijn reactie op aanbeveling 1. </w:t>
      </w:r>
      <w:r w:rsidR="00C05570">
        <w:rPr>
          <w:rFonts w:ascii="Verdana" w:hAnsi="Verdana"/>
          <w:sz w:val="18"/>
          <w:szCs w:val="18"/>
        </w:rPr>
        <w:t xml:space="preserve">Net als de Kamer ben ik van mening dat mutaties bij agentschappen ook goed toegelicht moeten worden. </w:t>
      </w:r>
    </w:p>
    <w:p w:rsidRPr="00FA767D" w:rsidR="00FA767D" w:rsidP="00FA767D" w:rsidRDefault="00FA767D">
      <w:pPr>
        <w:spacing w:line="260" w:lineRule="atLeast"/>
        <w:rPr>
          <w:rFonts w:ascii="Verdana" w:hAnsi="Verdana"/>
          <w:sz w:val="18"/>
          <w:szCs w:val="18"/>
        </w:rPr>
      </w:pPr>
      <w:r w:rsidRPr="00FA767D">
        <w:rPr>
          <w:rFonts w:ascii="Verdana" w:hAnsi="Verdana"/>
          <w:sz w:val="18"/>
          <w:szCs w:val="18"/>
        </w:rPr>
        <w:t>De informatie die u hier vraagt is al beschikbaar waardoor een extra bijlage niet nodig is</w:t>
      </w:r>
      <w:r w:rsidR="00DD4C18">
        <w:rPr>
          <w:rFonts w:ascii="Verdana" w:hAnsi="Verdana"/>
          <w:sz w:val="18"/>
          <w:szCs w:val="18"/>
        </w:rPr>
        <w:t>.</w:t>
      </w:r>
      <w:r w:rsidRPr="00FA767D">
        <w:rPr>
          <w:rFonts w:ascii="Verdana" w:hAnsi="Verdana"/>
          <w:sz w:val="18"/>
          <w:szCs w:val="18"/>
        </w:rPr>
        <w:t xml:space="preserve"> De</w:t>
      </w:r>
      <w:r w:rsidR="00DD4C18">
        <w:rPr>
          <w:rFonts w:ascii="Verdana" w:hAnsi="Verdana"/>
          <w:sz w:val="18"/>
          <w:szCs w:val="18"/>
        </w:rPr>
        <w:t xml:space="preserve"> Rijksbegrotingvoorschriften </w:t>
      </w:r>
      <w:r w:rsidRPr="00FA767D">
        <w:rPr>
          <w:rFonts w:ascii="Verdana" w:hAnsi="Verdana"/>
          <w:sz w:val="18"/>
          <w:szCs w:val="18"/>
        </w:rPr>
        <w:t xml:space="preserve">vereisen het apart opnemen van mutaties </w:t>
      </w:r>
      <w:r w:rsidR="00FD0BA8">
        <w:rPr>
          <w:rFonts w:ascii="Verdana" w:hAnsi="Verdana"/>
          <w:sz w:val="18"/>
          <w:szCs w:val="18"/>
        </w:rPr>
        <w:t>bij</w:t>
      </w:r>
      <w:r w:rsidRPr="00FA767D">
        <w:rPr>
          <w:rFonts w:ascii="Verdana" w:hAnsi="Verdana"/>
          <w:sz w:val="18"/>
          <w:szCs w:val="18"/>
        </w:rPr>
        <w:t xml:space="preserve"> een agentschap, inclusief toelichting, wanneer de cumulatieve mutaties &gt; € 20 </w:t>
      </w:r>
      <w:r w:rsidR="00DD4C18">
        <w:rPr>
          <w:rFonts w:ascii="Verdana" w:hAnsi="Verdana"/>
          <w:sz w:val="18"/>
          <w:szCs w:val="18"/>
        </w:rPr>
        <w:t>miljoen</w:t>
      </w:r>
      <w:r w:rsidRPr="00FA767D">
        <w:rPr>
          <w:rFonts w:ascii="Verdana" w:hAnsi="Verdana"/>
          <w:sz w:val="18"/>
          <w:szCs w:val="18"/>
        </w:rPr>
        <w:t xml:space="preserve"> bedragen of &gt; 5% afwijken ten opzichte van de oorspronkelijk vastgestelde begroting. Wanneer hiervan sprake is dient er in de suppletoire begrotingen een aparte </w:t>
      </w:r>
      <w:proofErr w:type="spellStart"/>
      <w:r w:rsidRPr="00FA767D">
        <w:rPr>
          <w:rFonts w:ascii="Verdana" w:hAnsi="Verdana"/>
          <w:sz w:val="18"/>
          <w:szCs w:val="18"/>
        </w:rPr>
        <w:t>agentschapsparagraaf</w:t>
      </w:r>
      <w:proofErr w:type="spellEnd"/>
      <w:r w:rsidRPr="00FA767D">
        <w:rPr>
          <w:rFonts w:ascii="Verdana" w:hAnsi="Verdana"/>
          <w:sz w:val="18"/>
          <w:szCs w:val="18"/>
        </w:rPr>
        <w:t xml:space="preserve"> te worden opgenomen gelijksoortig aan de </w:t>
      </w:r>
      <w:proofErr w:type="spellStart"/>
      <w:r w:rsidRPr="00FA767D">
        <w:rPr>
          <w:rFonts w:ascii="Verdana" w:hAnsi="Verdana"/>
          <w:sz w:val="18"/>
          <w:szCs w:val="18"/>
        </w:rPr>
        <w:t>agentschapsparagrafen</w:t>
      </w:r>
      <w:proofErr w:type="spellEnd"/>
      <w:r w:rsidRPr="00FA767D">
        <w:rPr>
          <w:rFonts w:ascii="Verdana" w:hAnsi="Verdana"/>
          <w:sz w:val="18"/>
          <w:szCs w:val="18"/>
        </w:rPr>
        <w:t xml:space="preserve"> in de begroting en het jaarverslag. </w:t>
      </w:r>
    </w:p>
    <w:p w:rsidRPr="00FA767D" w:rsidR="00FF5440" w:rsidP="00FA767D" w:rsidRDefault="00FF5440">
      <w:pPr>
        <w:pStyle w:val="Normaalweb"/>
        <w:spacing w:before="0" w:beforeAutospacing="0" w:after="0" w:afterAutospacing="0" w:line="260" w:lineRule="atLeast"/>
        <w:rPr>
          <w:rFonts w:ascii="Verdana" w:hAnsi="Verdana"/>
          <w:sz w:val="18"/>
          <w:szCs w:val="18"/>
        </w:rPr>
      </w:pPr>
    </w:p>
    <w:p w:rsidRPr="00FA767D" w:rsidR="00741310" w:rsidP="007C30E5" w:rsidRDefault="00741310">
      <w:pPr>
        <w:spacing w:line="260" w:lineRule="atLeast"/>
        <w:rPr>
          <w:rFonts w:ascii="Verdana" w:hAnsi="Verdana"/>
          <w:sz w:val="18"/>
          <w:szCs w:val="18"/>
        </w:rPr>
      </w:pPr>
    </w:p>
    <w:p w:rsidRPr="00D73535" w:rsidR="0074173C" w:rsidP="007C30E5" w:rsidRDefault="0074173C">
      <w:pPr>
        <w:pStyle w:val="Normaalweb"/>
        <w:spacing w:before="0" w:beforeAutospacing="0" w:after="0" w:afterAutospacing="0" w:line="260" w:lineRule="atLeast"/>
        <w:rPr>
          <w:rFonts w:ascii="Verdana" w:hAnsi="Verdana" w:eastAsia="Calibri" w:cs="Calibri"/>
          <w:sz w:val="18"/>
          <w:szCs w:val="18"/>
          <w:lang w:eastAsia="zh-CN" w:bidi="hi-IN"/>
        </w:rPr>
      </w:pPr>
    </w:p>
    <w:sectPr w:rsidRPr="00D73535" w:rsidR="0074173C" w:rsidSect="00A1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15" w:rsidRDefault="00F87F15" w:rsidP="002C1114">
      <w:r>
        <w:separator/>
      </w:r>
    </w:p>
  </w:endnote>
  <w:endnote w:type="continuationSeparator" w:id="0">
    <w:p w:rsidR="00F87F15" w:rsidRDefault="00F87F15" w:rsidP="002C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4" w:rsidRDefault="006F29A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1019"/>
      <w:docPartObj>
        <w:docPartGallery w:val="Page Numbers (Bottom of Page)"/>
        <w:docPartUnique/>
      </w:docPartObj>
    </w:sdtPr>
    <w:sdtContent>
      <w:p w:rsidR="00FA767D" w:rsidRDefault="006B2435">
        <w:pPr>
          <w:pStyle w:val="Voettekst"/>
          <w:jc w:val="right"/>
        </w:pPr>
        <w:r w:rsidRPr="00685C83">
          <w:rPr>
            <w:rFonts w:asciiTheme="minorHAnsi" w:hAnsiTheme="minorHAnsi"/>
            <w:sz w:val="16"/>
            <w:szCs w:val="16"/>
          </w:rPr>
          <w:fldChar w:fldCharType="begin"/>
        </w:r>
        <w:r w:rsidR="00FA767D" w:rsidRPr="00685C83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685C83">
          <w:rPr>
            <w:rFonts w:asciiTheme="minorHAnsi" w:hAnsiTheme="minorHAnsi"/>
            <w:sz w:val="16"/>
            <w:szCs w:val="16"/>
          </w:rPr>
          <w:fldChar w:fldCharType="separate"/>
        </w:r>
        <w:r w:rsidR="00452A52">
          <w:rPr>
            <w:rFonts w:asciiTheme="minorHAnsi" w:hAnsiTheme="minorHAnsi"/>
            <w:noProof/>
            <w:sz w:val="16"/>
            <w:szCs w:val="16"/>
          </w:rPr>
          <w:t>1</w:t>
        </w:r>
        <w:r w:rsidRPr="00685C83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FA767D" w:rsidRDefault="00FA767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4" w:rsidRDefault="006F29A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15" w:rsidRDefault="00F87F15" w:rsidP="002C1114">
      <w:r>
        <w:separator/>
      </w:r>
    </w:p>
  </w:footnote>
  <w:footnote w:type="continuationSeparator" w:id="0">
    <w:p w:rsidR="00F87F15" w:rsidRDefault="00F87F15" w:rsidP="002C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4" w:rsidRDefault="006F29A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4" w:rsidRDefault="006F29A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4" w:rsidRDefault="006F29A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94F"/>
    <w:multiLevelType w:val="multilevel"/>
    <w:tmpl w:val="985C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49F2"/>
    <w:multiLevelType w:val="hybridMultilevel"/>
    <w:tmpl w:val="4CBC3162"/>
    <w:lvl w:ilvl="0" w:tplc="0952F5D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52A62"/>
    <w:multiLevelType w:val="multilevel"/>
    <w:tmpl w:val="76FA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93D11"/>
    <w:multiLevelType w:val="hybridMultilevel"/>
    <w:tmpl w:val="068693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5C2BED"/>
    <w:multiLevelType w:val="hybridMultilevel"/>
    <w:tmpl w:val="BCE8C3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3262E1"/>
    <w:multiLevelType w:val="hybridMultilevel"/>
    <w:tmpl w:val="27289BFC"/>
    <w:lvl w:ilvl="0" w:tplc="3E7EBF1C">
      <w:start w:val="25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14"/>
    <w:rsid w:val="0000102B"/>
    <w:rsid w:val="0005268A"/>
    <w:rsid w:val="00063A79"/>
    <w:rsid w:val="00076C4C"/>
    <w:rsid w:val="000775F2"/>
    <w:rsid w:val="00080CBD"/>
    <w:rsid w:val="00082449"/>
    <w:rsid w:val="000B37DC"/>
    <w:rsid w:val="000B4103"/>
    <w:rsid w:val="000B6295"/>
    <w:rsid w:val="000D456E"/>
    <w:rsid w:val="000D7B6C"/>
    <w:rsid w:val="000E0B82"/>
    <w:rsid w:val="000F0E3F"/>
    <w:rsid w:val="000F1488"/>
    <w:rsid w:val="000F388E"/>
    <w:rsid w:val="000F5E72"/>
    <w:rsid w:val="0011143C"/>
    <w:rsid w:val="00121E03"/>
    <w:rsid w:val="00133CB6"/>
    <w:rsid w:val="00141A63"/>
    <w:rsid w:val="0016198C"/>
    <w:rsid w:val="001640EF"/>
    <w:rsid w:val="00166AC3"/>
    <w:rsid w:val="00183237"/>
    <w:rsid w:val="00184AB6"/>
    <w:rsid w:val="001B00D9"/>
    <w:rsid w:val="001B08E6"/>
    <w:rsid w:val="001C4984"/>
    <w:rsid w:val="001D2652"/>
    <w:rsid w:val="001D4A96"/>
    <w:rsid w:val="001E4951"/>
    <w:rsid w:val="0020066D"/>
    <w:rsid w:val="00213659"/>
    <w:rsid w:val="0022231C"/>
    <w:rsid w:val="002372AA"/>
    <w:rsid w:val="00247C3F"/>
    <w:rsid w:val="00256DDE"/>
    <w:rsid w:val="00291194"/>
    <w:rsid w:val="00293BEB"/>
    <w:rsid w:val="002A7D26"/>
    <w:rsid w:val="002B07A5"/>
    <w:rsid w:val="002C1114"/>
    <w:rsid w:val="002D25D1"/>
    <w:rsid w:val="002E5D57"/>
    <w:rsid w:val="002E6EEE"/>
    <w:rsid w:val="002F7AA4"/>
    <w:rsid w:val="003235BB"/>
    <w:rsid w:val="00326D61"/>
    <w:rsid w:val="003518EF"/>
    <w:rsid w:val="00352F1E"/>
    <w:rsid w:val="00392EA6"/>
    <w:rsid w:val="003A2982"/>
    <w:rsid w:val="003F2807"/>
    <w:rsid w:val="003F75BE"/>
    <w:rsid w:val="00411969"/>
    <w:rsid w:val="0041392D"/>
    <w:rsid w:val="0042329B"/>
    <w:rsid w:val="00452A52"/>
    <w:rsid w:val="00454B3A"/>
    <w:rsid w:val="00457CBC"/>
    <w:rsid w:val="00461509"/>
    <w:rsid w:val="0046756A"/>
    <w:rsid w:val="00477D83"/>
    <w:rsid w:val="00494B75"/>
    <w:rsid w:val="00494C1A"/>
    <w:rsid w:val="004B063F"/>
    <w:rsid w:val="004D3C6F"/>
    <w:rsid w:val="004D690A"/>
    <w:rsid w:val="004F49BF"/>
    <w:rsid w:val="00501F8C"/>
    <w:rsid w:val="005046C8"/>
    <w:rsid w:val="0050693B"/>
    <w:rsid w:val="00525148"/>
    <w:rsid w:val="00530599"/>
    <w:rsid w:val="00580427"/>
    <w:rsid w:val="00582839"/>
    <w:rsid w:val="00585AF4"/>
    <w:rsid w:val="00586ED3"/>
    <w:rsid w:val="005A3DB4"/>
    <w:rsid w:val="005F54F8"/>
    <w:rsid w:val="00600129"/>
    <w:rsid w:val="006027A7"/>
    <w:rsid w:val="00611133"/>
    <w:rsid w:val="006563B0"/>
    <w:rsid w:val="00685C83"/>
    <w:rsid w:val="006B2435"/>
    <w:rsid w:val="006B5866"/>
    <w:rsid w:val="006D56DC"/>
    <w:rsid w:val="006F29A4"/>
    <w:rsid w:val="006F4854"/>
    <w:rsid w:val="006F7A6E"/>
    <w:rsid w:val="00700A4D"/>
    <w:rsid w:val="00703334"/>
    <w:rsid w:val="00710B09"/>
    <w:rsid w:val="007156FB"/>
    <w:rsid w:val="00741310"/>
    <w:rsid w:val="0074173C"/>
    <w:rsid w:val="007533E9"/>
    <w:rsid w:val="00755DF8"/>
    <w:rsid w:val="00756389"/>
    <w:rsid w:val="0076323F"/>
    <w:rsid w:val="00775BDF"/>
    <w:rsid w:val="00784754"/>
    <w:rsid w:val="007A4B99"/>
    <w:rsid w:val="007C30E5"/>
    <w:rsid w:val="007D396E"/>
    <w:rsid w:val="007E5CEF"/>
    <w:rsid w:val="00825DBD"/>
    <w:rsid w:val="00884DA8"/>
    <w:rsid w:val="008E1190"/>
    <w:rsid w:val="008F0EFF"/>
    <w:rsid w:val="0090280C"/>
    <w:rsid w:val="00905545"/>
    <w:rsid w:val="009154E2"/>
    <w:rsid w:val="00921D15"/>
    <w:rsid w:val="00981913"/>
    <w:rsid w:val="009929FC"/>
    <w:rsid w:val="009C3461"/>
    <w:rsid w:val="009D7538"/>
    <w:rsid w:val="00A16C55"/>
    <w:rsid w:val="00A17C6E"/>
    <w:rsid w:val="00A23A88"/>
    <w:rsid w:val="00A3385F"/>
    <w:rsid w:val="00A40C97"/>
    <w:rsid w:val="00A71655"/>
    <w:rsid w:val="00A925B0"/>
    <w:rsid w:val="00AD2DA7"/>
    <w:rsid w:val="00AE01F7"/>
    <w:rsid w:val="00B016F7"/>
    <w:rsid w:val="00B5016C"/>
    <w:rsid w:val="00B62F21"/>
    <w:rsid w:val="00B75C15"/>
    <w:rsid w:val="00B87637"/>
    <w:rsid w:val="00B97209"/>
    <w:rsid w:val="00BA03D3"/>
    <w:rsid w:val="00BA608B"/>
    <w:rsid w:val="00BA6946"/>
    <w:rsid w:val="00BB0F1D"/>
    <w:rsid w:val="00BD50CD"/>
    <w:rsid w:val="00BF75C3"/>
    <w:rsid w:val="00C05570"/>
    <w:rsid w:val="00C22CB2"/>
    <w:rsid w:val="00C3654B"/>
    <w:rsid w:val="00C37462"/>
    <w:rsid w:val="00C57692"/>
    <w:rsid w:val="00C71500"/>
    <w:rsid w:val="00C728B6"/>
    <w:rsid w:val="00C75B7F"/>
    <w:rsid w:val="00C8368C"/>
    <w:rsid w:val="00C9549D"/>
    <w:rsid w:val="00CA5BD8"/>
    <w:rsid w:val="00CC0612"/>
    <w:rsid w:val="00CC3B36"/>
    <w:rsid w:val="00CC4A60"/>
    <w:rsid w:val="00CD2B07"/>
    <w:rsid w:val="00CD3417"/>
    <w:rsid w:val="00CD758F"/>
    <w:rsid w:val="00CE3A95"/>
    <w:rsid w:val="00CE5109"/>
    <w:rsid w:val="00D22F6C"/>
    <w:rsid w:val="00D52490"/>
    <w:rsid w:val="00D643C4"/>
    <w:rsid w:val="00D73535"/>
    <w:rsid w:val="00D7552B"/>
    <w:rsid w:val="00D75AF6"/>
    <w:rsid w:val="00D83BA3"/>
    <w:rsid w:val="00D84ED7"/>
    <w:rsid w:val="00DA1C47"/>
    <w:rsid w:val="00DD2534"/>
    <w:rsid w:val="00DD4C18"/>
    <w:rsid w:val="00DD5269"/>
    <w:rsid w:val="00DD5A57"/>
    <w:rsid w:val="00DE13A4"/>
    <w:rsid w:val="00DE4868"/>
    <w:rsid w:val="00DF7C3E"/>
    <w:rsid w:val="00E52646"/>
    <w:rsid w:val="00E52BF3"/>
    <w:rsid w:val="00E73C47"/>
    <w:rsid w:val="00E841C0"/>
    <w:rsid w:val="00EC665D"/>
    <w:rsid w:val="00ED6EC7"/>
    <w:rsid w:val="00EE05AE"/>
    <w:rsid w:val="00EE107A"/>
    <w:rsid w:val="00F05F07"/>
    <w:rsid w:val="00F0718D"/>
    <w:rsid w:val="00F22CDC"/>
    <w:rsid w:val="00F257FB"/>
    <w:rsid w:val="00F411CE"/>
    <w:rsid w:val="00F53C86"/>
    <w:rsid w:val="00F639AC"/>
    <w:rsid w:val="00F8388D"/>
    <w:rsid w:val="00F87F15"/>
    <w:rsid w:val="00FA767D"/>
    <w:rsid w:val="00FC3D5E"/>
    <w:rsid w:val="00FD0BA8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11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2C11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C1114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2C11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114"/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semiHidden/>
    <w:unhideWhenUsed/>
    <w:rsid w:val="002C1114"/>
    <w:pPr>
      <w:spacing w:before="100" w:beforeAutospacing="1" w:after="100" w:afterAutospacing="1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3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334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33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333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33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3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334"/>
    <w:rPr>
      <w:b/>
      <w:bCs/>
    </w:rPr>
  </w:style>
  <w:style w:type="table" w:styleId="Tabelraster">
    <w:name w:val="Table Grid"/>
    <w:basedOn w:val="Standaardtabel"/>
    <w:uiPriority w:val="59"/>
    <w:rsid w:val="00D7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5016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0D7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1151</ap:Words>
  <ap:Characters>6335</ap:Characters>
  <ap:DocSecurity>0</ap:DocSecurity>
  <ap:Lines>52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2015-06-11T15:30:00.0000000Z</lastPrinted>
  <dcterms:created xsi:type="dcterms:W3CDTF">2015-08-17T09:57:00.0000000Z</dcterms:created>
  <dcterms:modified xsi:type="dcterms:W3CDTF">2015-08-17T12:21:00.0000000Z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0x010100A160E6E726D8B94BB7E4907841324940</vt:lpwstr>
  </property>
</Properties>
</file>