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231984" w:rsidR="00923906" w:rsidP="00923906" w:rsidRDefault="00AA1752">
      <w:pPr>
        <w:spacing w:line="240" w:lineRule="auto"/>
        <w:rPr>
          <w:rFonts w:asciiTheme="minorHAnsi" w:hAnsiTheme="minorHAnsi"/>
          <w:b/>
          <w:szCs w:val="18"/>
        </w:rPr>
      </w:pPr>
      <w:r>
        <w:rPr>
          <w:rFonts w:asciiTheme="minorHAnsi" w:hAnsiTheme="minorHAnsi"/>
          <w:b/>
          <w:szCs w:val="18"/>
        </w:rPr>
        <w:t xml:space="preserve">Bijlage 3: </w:t>
      </w:r>
      <w:r w:rsidRPr="00231984" w:rsidR="00923906">
        <w:rPr>
          <w:rFonts w:asciiTheme="minorHAnsi" w:hAnsiTheme="minorHAnsi"/>
          <w:b/>
          <w:szCs w:val="18"/>
        </w:rPr>
        <w:t>Plan van aanpak beleidsdoorlichting artikel 5 Exportkrediet- en investeringsactiviteiten</w:t>
      </w:r>
    </w:p>
    <w:p w:rsidRPr="00231984" w:rsidR="00923906" w:rsidP="00923906" w:rsidRDefault="00923906">
      <w:pPr>
        <w:rPr>
          <w:rFonts w:asciiTheme="minorHAnsi" w:hAnsiTheme="minorHAnsi"/>
          <w:szCs w:val="18"/>
        </w:rPr>
      </w:pPr>
    </w:p>
    <w:p w:rsidRPr="00231984" w:rsidR="00923906" w:rsidP="00923906" w:rsidRDefault="00923906">
      <w:pPr>
        <w:rPr>
          <w:rFonts w:asciiTheme="minorHAnsi" w:hAnsiTheme="minorHAnsi"/>
          <w:b/>
          <w:szCs w:val="18"/>
        </w:rPr>
      </w:pPr>
      <w:r w:rsidRPr="00231984">
        <w:rPr>
          <w:rFonts w:asciiTheme="minorHAnsi" w:hAnsiTheme="minorHAnsi"/>
          <w:b/>
          <w:szCs w:val="18"/>
        </w:rPr>
        <w:t>1.</w:t>
      </w:r>
      <w:r w:rsidRPr="00231984">
        <w:rPr>
          <w:rFonts w:asciiTheme="minorHAnsi" w:hAnsiTheme="minorHAnsi"/>
          <w:b/>
          <w:szCs w:val="18"/>
        </w:rPr>
        <w:tab/>
        <w:t xml:space="preserve"> Inleiding</w:t>
      </w:r>
    </w:p>
    <w:p w:rsidRPr="00231984" w:rsidR="00923906" w:rsidP="00923906" w:rsidRDefault="00923906">
      <w:pPr>
        <w:rPr>
          <w:rFonts w:asciiTheme="minorHAnsi" w:hAnsiTheme="minorHAnsi"/>
          <w:b/>
          <w:szCs w:val="18"/>
        </w:rPr>
      </w:pPr>
    </w:p>
    <w:p w:rsidRPr="00231984" w:rsidR="00792A5B" w:rsidP="00792A5B" w:rsidRDefault="00923906">
      <w:pPr>
        <w:spacing w:line="276" w:lineRule="auto"/>
        <w:rPr>
          <w:rFonts w:asciiTheme="minorHAnsi" w:hAnsiTheme="minorHAnsi"/>
          <w:szCs w:val="18"/>
        </w:rPr>
      </w:pPr>
      <w:r w:rsidRPr="00231984">
        <w:rPr>
          <w:rFonts w:asciiTheme="minorHAnsi" w:hAnsiTheme="minorHAnsi"/>
          <w:szCs w:val="18"/>
          <w:lang w:eastAsia="zh-CN" w:bidi="hi-IN"/>
        </w:rPr>
        <w:t xml:space="preserve">In 2016 vindt de reguliere doorlichting plaats van artikel 5 van begroting IX, </w:t>
      </w:r>
      <w:r w:rsidRPr="00231984">
        <w:rPr>
          <w:rFonts w:asciiTheme="minorHAnsi" w:hAnsiTheme="minorHAnsi"/>
          <w:szCs w:val="18"/>
        </w:rPr>
        <w:t xml:space="preserve">exportkredietverzekeringen, -garanties en investeringsverzekeringen. De laatste beleidsdoorlichting van artikel 5 heeft plaatsgevonden in 2008 en had betrekking op de periode 2003 – 2007. Deze beleidsdoorlichting is toen uitgevoerd door een extern onderzoeksbureau (Carnegie). In 2014 is één van de gehanteerde instrumenten, de Exportkredietgarantie, apart geëvalueerd om een besluit te kunnen nemen over het al dan niet handhaven van deze garantie. </w:t>
      </w:r>
      <w:r w:rsidRPr="00231984" w:rsidR="00792A5B">
        <w:rPr>
          <w:rFonts w:asciiTheme="minorHAnsi" w:hAnsiTheme="minorHAnsi"/>
          <w:szCs w:val="18"/>
        </w:rPr>
        <w:t xml:space="preserve">De beleidsdoorlichting 2016 gaat over het volledige begrotingsartikel 5 en betreft het gehele instrumentarium (inclusief de Exportkredietgarantie). De doorlichting zal betrekking hebben op de periode 2008 – 2015. </w:t>
      </w:r>
    </w:p>
    <w:p w:rsidRPr="00231984" w:rsidR="00923906" w:rsidP="00792A5B" w:rsidRDefault="00923906">
      <w:pPr>
        <w:spacing w:line="276" w:lineRule="auto"/>
        <w:rPr>
          <w:rFonts w:asciiTheme="minorHAnsi" w:hAnsiTheme="minorHAnsi"/>
          <w:szCs w:val="18"/>
        </w:rPr>
      </w:pPr>
    </w:p>
    <w:p w:rsidRPr="00231984" w:rsidR="00923906" w:rsidP="00923906" w:rsidRDefault="00923906">
      <w:pPr>
        <w:spacing w:after="200" w:line="276" w:lineRule="auto"/>
        <w:rPr>
          <w:rFonts w:asciiTheme="minorHAnsi" w:hAnsiTheme="minorHAnsi"/>
          <w:b/>
          <w:szCs w:val="18"/>
        </w:rPr>
      </w:pPr>
      <w:r w:rsidRPr="00231984">
        <w:rPr>
          <w:rFonts w:asciiTheme="minorHAnsi" w:hAnsiTheme="minorHAnsi"/>
          <w:b/>
          <w:szCs w:val="18"/>
        </w:rPr>
        <w:t>2.</w:t>
      </w:r>
      <w:r w:rsidRPr="00231984">
        <w:rPr>
          <w:rFonts w:asciiTheme="minorHAnsi" w:hAnsiTheme="minorHAnsi"/>
          <w:b/>
          <w:szCs w:val="18"/>
        </w:rPr>
        <w:tab/>
        <w:t>Doelstelling artikel 5</w:t>
      </w:r>
    </w:p>
    <w:p w:rsidRPr="00231984" w:rsidR="00923906" w:rsidP="00923906" w:rsidRDefault="00923906">
      <w:pPr>
        <w:spacing w:line="276" w:lineRule="auto"/>
        <w:rPr>
          <w:rFonts w:asciiTheme="minorHAnsi" w:hAnsiTheme="minorHAnsi"/>
          <w:szCs w:val="18"/>
        </w:rPr>
      </w:pPr>
      <w:r w:rsidRPr="00231984">
        <w:rPr>
          <w:rFonts w:asciiTheme="minorHAnsi" w:hAnsiTheme="minorHAnsi"/>
          <w:szCs w:val="18"/>
        </w:rPr>
        <w:t xml:space="preserve">Sinds 1922 ondersteunt de Nederlandse staat de financiering van exporttransacties door middel van exportkredietverzekeringen (ekv-faciliteit). In het begin van de jaren twintig van de vorige eeuw maakte de Nederlandse economie een zware depressie door waarbij de werkloosheid snel opliep. Ter ondersteuning van de exportsector besloot de overheid om zich, net zoals de overheden van andere industrielanden, garant te stellen voor exportkredieten. Vanaf 1932 was de Nederlandsche Credietverzekering Maatschappij (NCM) verantwoordelijk voor de uitvoering van de regeling. De NCM is in de loop der tijd een aantal keren van naam veranderd en overgenomen. Sinds 2008 is het een onderdeel van de Spaanse verzekeringsgroep Atradius. Atradius Dutch State Business (Atradius DSB) is een zelfstandige NV binnen deze groep die is ingericht om de ekv-faciliteit uit te voeren. </w:t>
      </w:r>
    </w:p>
    <w:p w:rsidRPr="00231984" w:rsidR="00E6160B" w:rsidP="00923906" w:rsidRDefault="00E6160B">
      <w:pPr>
        <w:spacing w:line="276" w:lineRule="auto"/>
        <w:rPr>
          <w:rFonts w:asciiTheme="minorHAnsi" w:hAnsiTheme="minorHAnsi"/>
          <w:szCs w:val="18"/>
        </w:rPr>
      </w:pPr>
    </w:p>
    <w:p w:rsidRPr="00231984" w:rsidR="00C62548" w:rsidP="00923906" w:rsidRDefault="00C62548">
      <w:pPr>
        <w:spacing w:line="276" w:lineRule="auto"/>
        <w:rPr>
          <w:rFonts w:asciiTheme="minorHAnsi" w:hAnsiTheme="minorHAnsi"/>
          <w:i/>
          <w:szCs w:val="18"/>
        </w:rPr>
      </w:pPr>
      <w:r w:rsidRPr="00231984">
        <w:rPr>
          <w:rFonts w:asciiTheme="minorHAnsi" w:hAnsiTheme="minorHAnsi"/>
          <w:szCs w:val="18"/>
        </w:rPr>
        <w:t xml:space="preserve">Voor de transacties die met de ekv-faciliteit worden verzekerd kunnen exporteurs niet bij commerciële verzekeraars terecht. Aangezien het omvangrijke of om een andere reden relatief risicovolle transacties betreft zouden deze zonder verzekering niet tot stand komen. Voor Nederlandse exporteurs is het bovendien van belang dat ze geen concurrentienadeel uit hoofde van verzekeringsmogelijkheden oplopen ten opzichte van buitenlandse concurrenten. Vrijwel alle OESO-lidstaten en ook veel landen daarbuiten beschikken over een </w:t>
      </w:r>
      <w:r w:rsidRPr="00231984">
        <w:rPr>
          <w:rFonts w:asciiTheme="minorHAnsi" w:hAnsiTheme="minorHAnsi"/>
          <w:i/>
          <w:szCs w:val="18"/>
        </w:rPr>
        <w:t>Export Credit Agency (ECA).</w:t>
      </w:r>
    </w:p>
    <w:p w:rsidRPr="00231984" w:rsidR="00923906" w:rsidP="00923906" w:rsidRDefault="00923906">
      <w:pPr>
        <w:spacing w:line="276" w:lineRule="auto"/>
        <w:rPr>
          <w:rFonts w:asciiTheme="minorHAnsi" w:hAnsiTheme="minorHAnsi"/>
          <w:szCs w:val="18"/>
        </w:rPr>
      </w:pPr>
    </w:p>
    <w:p w:rsidRPr="00231984" w:rsidR="00923906" w:rsidP="00923906" w:rsidRDefault="00923906">
      <w:pPr>
        <w:spacing w:line="276" w:lineRule="auto"/>
        <w:rPr>
          <w:rFonts w:asciiTheme="minorHAnsi" w:hAnsiTheme="minorHAnsi"/>
          <w:szCs w:val="18"/>
        </w:rPr>
      </w:pPr>
      <w:r w:rsidRPr="00231984">
        <w:rPr>
          <w:rFonts w:asciiTheme="minorHAnsi" w:hAnsiTheme="minorHAnsi"/>
          <w:szCs w:val="18"/>
        </w:rPr>
        <w:t>De algemene doelstelling van begrotingsartikel 5 luidt: “</w:t>
      </w:r>
      <w:r w:rsidRPr="00231984">
        <w:rPr>
          <w:rFonts w:asciiTheme="minorHAnsi" w:hAnsiTheme="minorHAnsi"/>
          <w:i/>
          <w:szCs w:val="18"/>
        </w:rPr>
        <w:t>Het bieden van mogelijkheden voor verzekering van betalingsrisico’s die zijn verbonden aan export en investeringen in het buitenland, in aanvulling op de markt, en het creëren en handhaven van een internationaal gelijkwaardig speelveld voor bedrijven op het terrein van de exportkredietverzekeringsfaciliteit</w:t>
      </w:r>
      <w:r w:rsidRPr="00231984">
        <w:rPr>
          <w:rFonts w:asciiTheme="minorHAnsi" w:hAnsiTheme="minorHAnsi"/>
          <w:szCs w:val="18"/>
        </w:rPr>
        <w:t xml:space="preserve">.” </w:t>
      </w:r>
    </w:p>
    <w:p w:rsidRPr="00231984" w:rsidR="00C62548" w:rsidP="00923906" w:rsidRDefault="00C62548">
      <w:pPr>
        <w:spacing w:line="276" w:lineRule="auto"/>
        <w:rPr>
          <w:rFonts w:asciiTheme="minorHAnsi" w:hAnsiTheme="minorHAnsi"/>
          <w:szCs w:val="18"/>
        </w:rPr>
      </w:pPr>
    </w:p>
    <w:p w:rsidRPr="00231984" w:rsidR="00923906" w:rsidP="00923906" w:rsidRDefault="00792A5B">
      <w:pPr>
        <w:spacing w:line="276" w:lineRule="auto"/>
        <w:rPr>
          <w:rFonts w:asciiTheme="minorHAnsi" w:hAnsiTheme="minorHAnsi"/>
          <w:szCs w:val="18"/>
        </w:rPr>
      </w:pPr>
      <w:r w:rsidRPr="00231984">
        <w:rPr>
          <w:rFonts w:asciiTheme="minorHAnsi" w:hAnsiTheme="minorHAnsi"/>
          <w:szCs w:val="18"/>
        </w:rPr>
        <w:t>H</w:t>
      </w:r>
      <w:r w:rsidRPr="00231984" w:rsidR="00923906">
        <w:rPr>
          <w:rFonts w:asciiTheme="minorHAnsi" w:hAnsiTheme="minorHAnsi"/>
          <w:szCs w:val="18"/>
        </w:rPr>
        <w:t xml:space="preserve">et ministerie van Financiën </w:t>
      </w:r>
      <w:r w:rsidRPr="00231984">
        <w:rPr>
          <w:rFonts w:asciiTheme="minorHAnsi" w:hAnsiTheme="minorHAnsi"/>
          <w:szCs w:val="18"/>
        </w:rPr>
        <w:t xml:space="preserve">wil </w:t>
      </w:r>
      <w:r w:rsidRPr="00231984" w:rsidR="00923906">
        <w:rPr>
          <w:rFonts w:asciiTheme="minorHAnsi" w:hAnsiTheme="minorHAnsi"/>
          <w:szCs w:val="18"/>
        </w:rPr>
        <w:t>de volgende doelen bewerkstelligen:</w:t>
      </w:r>
    </w:p>
    <w:p w:rsidRPr="00231984" w:rsidR="00923906" w:rsidP="00923906" w:rsidRDefault="00923906">
      <w:pPr>
        <w:pStyle w:val="Lijstalinea"/>
        <w:widowControl/>
        <w:numPr>
          <w:ilvl w:val="0"/>
          <w:numId w:val="1"/>
        </w:numPr>
        <w:spacing w:after="200" w:line="276" w:lineRule="auto"/>
        <w:rPr>
          <w:rFonts w:asciiTheme="minorHAnsi" w:hAnsiTheme="minorHAnsi"/>
          <w:sz w:val="18"/>
          <w:szCs w:val="18"/>
        </w:rPr>
      </w:pPr>
      <w:r w:rsidRPr="00231984">
        <w:rPr>
          <w:rFonts w:asciiTheme="minorHAnsi" w:hAnsiTheme="minorHAnsi"/>
          <w:sz w:val="18"/>
          <w:szCs w:val="18"/>
        </w:rPr>
        <w:t>Het bieden van mogelijkheden voor verzekering van betalingsrisico’s die zijn verbonden aan export en investeringen in het buitenland (in aanvulling op de markt).</w:t>
      </w:r>
    </w:p>
    <w:p w:rsidRPr="00231984" w:rsidR="00923906" w:rsidP="00923906" w:rsidRDefault="00923906">
      <w:pPr>
        <w:pStyle w:val="Lijstalinea"/>
        <w:widowControl/>
        <w:numPr>
          <w:ilvl w:val="0"/>
          <w:numId w:val="1"/>
        </w:numPr>
        <w:spacing w:after="200" w:line="276" w:lineRule="auto"/>
        <w:rPr>
          <w:rFonts w:asciiTheme="minorHAnsi" w:hAnsiTheme="minorHAnsi"/>
          <w:sz w:val="18"/>
          <w:szCs w:val="18"/>
        </w:rPr>
      </w:pPr>
      <w:r w:rsidRPr="00231984">
        <w:rPr>
          <w:rFonts w:asciiTheme="minorHAnsi" w:hAnsiTheme="minorHAnsi"/>
          <w:sz w:val="18"/>
          <w:szCs w:val="18"/>
        </w:rPr>
        <w:t>Het creëren en handhaven van een internationaal gelijkwaardig speelveld voor bedrijven op het terrein van de exportkredietverzekeringen.</w:t>
      </w:r>
    </w:p>
    <w:p w:rsidRPr="00231984" w:rsidR="00923906" w:rsidP="00923906" w:rsidRDefault="00923906">
      <w:pPr>
        <w:pStyle w:val="Lijstalinea"/>
        <w:widowControl/>
        <w:numPr>
          <w:ilvl w:val="0"/>
          <w:numId w:val="1"/>
        </w:numPr>
        <w:spacing w:after="200" w:line="276" w:lineRule="auto"/>
        <w:rPr>
          <w:rFonts w:asciiTheme="minorHAnsi" w:hAnsiTheme="minorHAnsi"/>
          <w:sz w:val="18"/>
          <w:szCs w:val="18"/>
        </w:rPr>
      </w:pPr>
      <w:r w:rsidRPr="00231984">
        <w:rPr>
          <w:rFonts w:asciiTheme="minorHAnsi" w:hAnsiTheme="minorHAnsi"/>
          <w:sz w:val="18"/>
          <w:szCs w:val="18"/>
        </w:rPr>
        <w:t>Uitvoering van de regeling conform nationale en internationale regelgeving.</w:t>
      </w:r>
    </w:p>
    <w:p w:rsidRPr="00231984" w:rsidR="00923906" w:rsidP="00923906" w:rsidRDefault="00923906">
      <w:pPr>
        <w:pStyle w:val="Lijstalinea"/>
        <w:widowControl/>
        <w:numPr>
          <w:ilvl w:val="0"/>
          <w:numId w:val="1"/>
        </w:numPr>
        <w:spacing w:after="200" w:line="276" w:lineRule="auto"/>
        <w:rPr>
          <w:rFonts w:asciiTheme="minorHAnsi" w:hAnsiTheme="minorHAnsi"/>
          <w:sz w:val="18"/>
          <w:szCs w:val="18"/>
        </w:rPr>
      </w:pPr>
      <w:r w:rsidRPr="00231984">
        <w:rPr>
          <w:rFonts w:asciiTheme="minorHAnsi" w:hAnsiTheme="minorHAnsi"/>
          <w:sz w:val="18"/>
          <w:szCs w:val="18"/>
        </w:rPr>
        <w:t>Het bewaken van de budgettaire risico’s voortvloeiend uit de binnen de ekv-faciliteit aangegane verplichtingen.</w:t>
      </w:r>
    </w:p>
    <w:p w:rsidRPr="00231984" w:rsidR="00923906" w:rsidP="00923906" w:rsidRDefault="00923906">
      <w:pPr>
        <w:rPr>
          <w:rFonts w:asciiTheme="minorHAnsi" w:hAnsiTheme="minorHAnsi"/>
          <w:szCs w:val="18"/>
        </w:rPr>
      </w:pPr>
    </w:p>
    <w:p w:rsidRPr="00231984" w:rsidR="00923906" w:rsidP="00923906" w:rsidRDefault="00923906">
      <w:pPr>
        <w:spacing w:line="276" w:lineRule="auto"/>
        <w:rPr>
          <w:rFonts w:asciiTheme="minorHAnsi" w:hAnsiTheme="minorHAnsi"/>
          <w:szCs w:val="18"/>
        </w:rPr>
      </w:pPr>
      <w:r w:rsidRPr="00231984">
        <w:rPr>
          <w:rFonts w:asciiTheme="minorHAnsi" w:hAnsiTheme="minorHAnsi"/>
          <w:szCs w:val="18"/>
        </w:rPr>
        <w:t>Hiertoe worden de volgende instrumenten gehanteerd:</w:t>
      </w:r>
    </w:p>
    <w:p w:rsidRPr="00231984" w:rsidR="00923906" w:rsidP="00923906" w:rsidRDefault="00923906">
      <w:pPr>
        <w:pStyle w:val="Lijstalinea"/>
        <w:widowControl/>
        <w:numPr>
          <w:ilvl w:val="0"/>
          <w:numId w:val="2"/>
        </w:numPr>
        <w:spacing w:after="200" w:line="276" w:lineRule="auto"/>
        <w:rPr>
          <w:rFonts w:asciiTheme="minorHAnsi" w:hAnsiTheme="minorHAnsi"/>
          <w:sz w:val="18"/>
          <w:szCs w:val="18"/>
        </w:rPr>
      </w:pPr>
      <w:r w:rsidRPr="00231984">
        <w:rPr>
          <w:rFonts w:asciiTheme="minorHAnsi" w:hAnsiTheme="minorHAnsi"/>
          <w:sz w:val="18"/>
          <w:szCs w:val="18"/>
        </w:rPr>
        <w:t>Het productenassortiment van de ekv-faciliteit.</w:t>
      </w:r>
      <w:r w:rsidRPr="00231984">
        <w:rPr>
          <w:rStyle w:val="Voetnootmarkering"/>
          <w:rFonts w:asciiTheme="minorHAnsi" w:hAnsiTheme="minorHAnsi"/>
          <w:sz w:val="18"/>
          <w:szCs w:val="18"/>
        </w:rPr>
        <w:footnoteReference w:id="1"/>
      </w:r>
    </w:p>
    <w:p w:rsidRPr="00231984" w:rsidR="00923906" w:rsidP="00923906" w:rsidRDefault="00923906">
      <w:pPr>
        <w:pStyle w:val="Lijstalinea"/>
        <w:widowControl/>
        <w:numPr>
          <w:ilvl w:val="0"/>
          <w:numId w:val="2"/>
        </w:numPr>
        <w:spacing w:after="200" w:line="276" w:lineRule="auto"/>
        <w:rPr>
          <w:rFonts w:asciiTheme="minorHAnsi" w:hAnsiTheme="minorHAnsi"/>
          <w:sz w:val="18"/>
          <w:szCs w:val="18"/>
        </w:rPr>
      </w:pPr>
      <w:r w:rsidRPr="00231984">
        <w:rPr>
          <w:rFonts w:asciiTheme="minorHAnsi" w:hAnsiTheme="minorHAnsi"/>
          <w:sz w:val="18"/>
          <w:szCs w:val="18"/>
        </w:rPr>
        <w:t xml:space="preserve">Deelname aan internationale overlegfora. </w:t>
      </w:r>
    </w:p>
    <w:p w:rsidRPr="00231984" w:rsidR="00923906" w:rsidP="00923906" w:rsidRDefault="00923906">
      <w:pPr>
        <w:pStyle w:val="Lijstalinea"/>
        <w:widowControl/>
        <w:numPr>
          <w:ilvl w:val="0"/>
          <w:numId w:val="2"/>
        </w:numPr>
        <w:spacing w:after="200" w:line="276" w:lineRule="auto"/>
        <w:rPr>
          <w:rFonts w:asciiTheme="minorHAnsi" w:hAnsiTheme="minorHAnsi"/>
          <w:sz w:val="18"/>
          <w:szCs w:val="18"/>
        </w:rPr>
      </w:pPr>
      <w:r w:rsidRPr="00231984">
        <w:rPr>
          <w:rFonts w:asciiTheme="minorHAnsi" w:hAnsiTheme="minorHAnsi"/>
          <w:sz w:val="18"/>
          <w:szCs w:val="18"/>
        </w:rPr>
        <w:lastRenderedPageBreak/>
        <w:t>De randvoorwaarden waarbinnen de uitvoerder van de faciliteit op naam en voor rekening en risico van de staat verplichtingen mag aangaan.</w:t>
      </w:r>
    </w:p>
    <w:p w:rsidRPr="00231984" w:rsidR="00482550" w:rsidP="00923906" w:rsidRDefault="00482550">
      <w:pPr>
        <w:pStyle w:val="Lijstalinea"/>
        <w:widowControl/>
        <w:numPr>
          <w:ilvl w:val="0"/>
          <w:numId w:val="2"/>
        </w:numPr>
        <w:spacing w:after="200" w:line="276" w:lineRule="auto"/>
        <w:rPr>
          <w:rFonts w:asciiTheme="minorHAnsi" w:hAnsiTheme="minorHAnsi"/>
          <w:sz w:val="18"/>
          <w:szCs w:val="18"/>
        </w:rPr>
      </w:pPr>
      <w:r w:rsidRPr="00231984">
        <w:rPr>
          <w:rFonts w:asciiTheme="minorHAnsi" w:hAnsiTheme="minorHAnsi"/>
          <w:sz w:val="18"/>
          <w:szCs w:val="18"/>
        </w:rPr>
        <w:t>Beleidsregels bedoeld om risico-afwegingen te kunnen maken.</w:t>
      </w:r>
    </w:p>
    <w:p w:rsidRPr="00231984" w:rsidR="00C62548" w:rsidP="00C62548" w:rsidRDefault="00482550">
      <w:pPr>
        <w:pStyle w:val="Lijstalinea"/>
        <w:widowControl/>
        <w:numPr>
          <w:ilvl w:val="0"/>
          <w:numId w:val="2"/>
        </w:numPr>
        <w:spacing w:after="200" w:line="276" w:lineRule="auto"/>
        <w:rPr>
          <w:rFonts w:asciiTheme="minorHAnsi" w:hAnsiTheme="minorHAnsi"/>
          <w:sz w:val="18"/>
          <w:szCs w:val="18"/>
        </w:rPr>
      </w:pPr>
      <w:r w:rsidRPr="00231984">
        <w:rPr>
          <w:rFonts w:asciiTheme="minorHAnsi" w:hAnsiTheme="minorHAnsi"/>
          <w:sz w:val="18"/>
          <w:szCs w:val="18"/>
        </w:rPr>
        <w:t xml:space="preserve">Bij grote </w:t>
      </w:r>
      <w:r w:rsidR="00891BF0">
        <w:rPr>
          <w:rFonts w:asciiTheme="minorHAnsi" w:hAnsiTheme="minorHAnsi"/>
          <w:sz w:val="18"/>
          <w:szCs w:val="18"/>
        </w:rPr>
        <w:t>of</w:t>
      </w:r>
      <w:r w:rsidRPr="00231984" w:rsidR="00891BF0">
        <w:rPr>
          <w:rFonts w:asciiTheme="minorHAnsi" w:hAnsiTheme="minorHAnsi"/>
          <w:sz w:val="18"/>
          <w:szCs w:val="18"/>
        </w:rPr>
        <w:t xml:space="preserve"> </w:t>
      </w:r>
      <w:r w:rsidRPr="00231984">
        <w:rPr>
          <w:rFonts w:asciiTheme="minorHAnsi" w:hAnsiTheme="minorHAnsi"/>
          <w:sz w:val="18"/>
          <w:szCs w:val="18"/>
        </w:rPr>
        <w:t>zeer risicovolle transacties neemt het ministerie de beslissing over het al dan niet verzekeren.</w:t>
      </w:r>
    </w:p>
    <w:p w:rsidRPr="00231984" w:rsidR="00F44CDA" w:rsidP="00F44CDA" w:rsidRDefault="00F44CDA">
      <w:pPr>
        <w:spacing w:after="200" w:line="276" w:lineRule="auto"/>
        <w:ind w:left="720"/>
        <w:rPr>
          <w:rFonts w:asciiTheme="minorHAnsi" w:hAnsiTheme="minorHAnsi"/>
          <w:szCs w:val="18"/>
        </w:rPr>
      </w:pPr>
    </w:p>
    <w:p w:rsidRPr="00231984" w:rsidR="00F44CDA" w:rsidP="00F44CDA" w:rsidRDefault="00F44CDA">
      <w:pPr>
        <w:spacing w:after="200" w:line="276" w:lineRule="auto"/>
        <w:rPr>
          <w:rFonts w:asciiTheme="minorHAnsi" w:hAnsiTheme="minorHAnsi"/>
          <w:b/>
          <w:szCs w:val="18"/>
        </w:rPr>
      </w:pPr>
      <w:r w:rsidRPr="00231984">
        <w:rPr>
          <w:rFonts w:asciiTheme="minorHAnsi" w:hAnsiTheme="minorHAnsi"/>
          <w:b/>
          <w:szCs w:val="18"/>
        </w:rPr>
        <w:t>3.</w:t>
      </w:r>
      <w:r w:rsidRPr="00231984">
        <w:rPr>
          <w:rFonts w:asciiTheme="minorHAnsi" w:hAnsiTheme="minorHAnsi"/>
          <w:b/>
          <w:szCs w:val="18"/>
        </w:rPr>
        <w:tab/>
        <w:t>Budgettaire aspecten</w:t>
      </w:r>
    </w:p>
    <w:p w:rsidRPr="00231984" w:rsidR="00F44CDA" w:rsidP="00F44CDA" w:rsidRDefault="0068175F">
      <w:pPr>
        <w:spacing w:after="200" w:line="276" w:lineRule="auto"/>
        <w:rPr>
          <w:rFonts w:asciiTheme="minorHAnsi" w:hAnsiTheme="minorHAnsi"/>
          <w:szCs w:val="18"/>
        </w:rPr>
      </w:pPr>
      <w:r w:rsidRPr="00231984">
        <w:rPr>
          <w:rFonts w:asciiTheme="minorHAnsi" w:hAnsiTheme="minorHAnsi"/>
          <w:szCs w:val="18"/>
        </w:rPr>
        <w:t>De uitgaven binnen de ekv-faciliteit bestaan uit schade-uitkeringen (</w:t>
      </w:r>
      <w:r w:rsidRPr="00231984" w:rsidR="004B755F">
        <w:rPr>
          <w:rFonts w:asciiTheme="minorHAnsi" w:hAnsiTheme="minorHAnsi"/>
          <w:szCs w:val="18"/>
        </w:rPr>
        <w:t>ekv</w:t>
      </w:r>
      <w:r w:rsidRPr="00231984">
        <w:rPr>
          <w:rFonts w:asciiTheme="minorHAnsi" w:hAnsiTheme="minorHAnsi"/>
          <w:szCs w:val="18"/>
        </w:rPr>
        <w:t>, investeringen, en MIGA) en de kostenvergoeding voor de uitvoerder van de faciliteit, Atradius DSB.</w:t>
      </w:r>
      <w:r w:rsidRPr="00231984" w:rsidR="006578C9">
        <w:rPr>
          <w:rFonts w:asciiTheme="minorHAnsi" w:hAnsiTheme="minorHAnsi"/>
          <w:szCs w:val="18"/>
        </w:rPr>
        <w:t xml:space="preserve"> De inkomsten binnen de ekv-faciliteit bestaan uit </w:t>
      </w:r>
      <w:r w:rsidRPr="00231984" w:rsidR="000521D6">
        <w:rPr>
          <w:rFonts w:asciiTheme="minorHAnsi" w:hAnsiTheme="minorHAnsi"/>
          <w:szCs w:val="18"/>
        </w:rPr>
        <w:t>premie-inkomsten en</w:t>
      </w:r>
      <w:r w:rsidRPr="00231984" w:rsidR="006578C9">
        <w:rPr>
          <w:rFonts w:asciiTheme="minorHAnsi" w:hAnsiTheme="minorHAnsi"/>
          <w:szCs w:val="18"/>
        </w:rPr>
        <w:t xml:space="preserve"> schaderestituties</w:t>
      </w:r>
      <w:r w:rsidRPr="00231984" w:rsidR="006578C9">
        <w:rPr>
          <w:rStyle w:val="Voetnootmarkering"/>
          <w:rFonts w:asciiTheme="minorHAnsi" w:hAnsiTheme="minorHAnsi"/>
          <w:szCs w:val="18"/>
        </w:rPr>
        <w:footnoteReference w:id="2"/>
      </w:r>
      <w:r w:rsidRPr="00231984" w:rsidR="006578C9">
        <w:rPr>
          <w:rFonts w:asciiTheme="minorHAnsi" w:hAnsiTheme="minorHAnsi"/>
          <w:szCs w:val="18"/>
        </w:rPr>
        <w:t xml:space="preserve">. </w:t>
      </w:r>
    </w:p>
    <w:p w:rsidRPr="00231984" w:rsidR="00F44CDA" w:rsidP="00F44CDA" w:rsidRDefault="000521D6">
      <w:pPr>
        <w:spacing w:after="200" w:line="276" w:lineRule="auto"/>
        <w:rPr>
          <w:rFonts w:asciiTheme="minorHAnsi" w:hAnsiTheme="minorHAnsi"/>
          <w:szCs w:val="18"/>
        </w:rPr>
      </w:pPr>
      <w:r w:rsidRPr="00231984">
        <w:rPr>
          <w:rFonts w:asciiTheme="minorHAnsi" w:hAnsiTheme="minorHAnsi"/>
          <w:szCs w:val="18"/>
        </w:rPr>
        <w:t>Tabel 1: uitgaven en ontvangsten binnen de ekv-faciliteit in 2014 in mln €</w:t>
      </w:r>
    </w:p>
    <w:tbl>
      <w:tblPr>
        <w:tblW w:w="8880" w:type="dxa"/>
        <w:tblInd w:w="55" w:type="dxa"/>
        <w:tblCellMar>
          <w:left w:w="70" w:type="dxa"/>
          <w:right w:w="70" w:type="dxa"/>
        </w:tblCellMar>
        <w:tblLook w:val="04A0"/>
      </w:tblPr>
      <w:tblGrid>
        <w:gridCol w:w="4000"/>
        <w:gridCol w:w="1220"/>
        <w:gridCol w:w="1220"/>
        <w:gridCol w:w="1220"/>
        <w:gridCol w:w="1220"/>
      </w:tblGrid>
      <w:tr w:rsidRPr="00231984" w:rsidR="00E245B9" w:rsidTr="00E245B9">
        <w:trPr>
          <w:trHeight w:val="375"/>
        </w:trPr>
        <w:tc>
          <w:tcPr>
            <w:tcW w:w="4000" w:type="dxa"/>
            <w:tcBorders>
              <w:top w:val="single" w:color="auto" w:sz="8" w:space="0"/>
              <w:left w:val="single" w:color="auto" w:sz="8" w:space="0"/>
              <w:bottom w:val="single" w:color="auto" w:sz="8" w:space="0"/>
              <w:right w:val="nil"/>
            </w:tcBorders>
            <w:shd w:val="clear" w:color="auto" w:fill="auto"/>
            <w:noWrap/>
            <w:vAlign w:val="bottom"/>
            <w:hideMark/>
          </w:tcPr>
          <w:p w:rsidRPr="00231984" w:rsidR="00E245B9" w:rsidP="00E245B9" w:rsidRDefault="00E245B9">
            <w:pPr>
              <w:spacing w:line="240" w:lineRule="auto"/>
              <w:rPr>
                <w:rFonts w:asciiTheme="minorHAnsi" w:hAnsiTheme="minorHAnsi"/>
                <w:color w:val="000000"/>
                <w:szCs w:val="18"/>
              </w:rPr>
            </w:pPr>
            <w:r w:rsidRPr="00231984">
              <w:rPr>
                <w:rFonts w:asciiTheme="minorHAnsi" w:hAnsiTheme="minorHAnsi"/>
                <w:color w:val="000000"/>
                <w:szCs w:val="18"/>
              </w:rPr>
              <w:t> </w:t>
            </w:r>
          </w:p>
        </w:tc>
        <w:tc>
          <w:tcPr>
            <w:tcW w:w="1220"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b/>
                <w:bCs/>
                <w:color w:val="000000"/>
                <w:szCs w:val="18"/>
              </w:rPr>
            </w:pPr>
            <w:r w:rsidRPr="00231984">
              <w:rPr>
                <w:rFonts w:asciiTheme="minorHAnsi" w:hAnsiTheme="minorHAnsi"/>
                <w:b/>
                <w:bCs/>
                <w:color w:val="000000"/>
                <w:szCs w:val="18"/>
              </w:rPr>
              <w:t>2015*</w:t>
            </w:r>
          </w:p>
        </w:tc>
        <w:tc>
          <w:tcPr>
            <w:tcW w:w="1220" w:type="dxa"/>
            <w:tcBorders>
              <w:top w:val="single" w:color="auto" w:sz="8" w:space="0"/>
              <w:left w:val="nil"/>
              <w:bottom w:val="single" w:color="auto" w:sz="8" w:space="0"/>
              <w:right w:val="single" w:color="auto" w:sz="4"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b/>
                <w:bCs/>
                <w:color w:val="000000"/>
                <w:szCs w:val="18"/>
              </w:rPr>
            </w:pPr>
            <w:r w:rsidRPr="00231984">
              <w:rPr>
                <w:rFonts w:asciiTheme="minorHAnsi" w:hAnsiTheme="minorHAnsi"/>
                <w:b/>
                <w:bCs/>
                <w:color w:val="000000"/>
                <w:szCs w:val="18"/>
              </w:rPr>
              <w:t>2014</w:t>
            </w:r>
          </w:p>
        </w:tc>
        <w:tc>
          <w:tcPr>
            <w:tcW w:w="1220" w:type="dxa"/>
            <w:tcBorders>
              <w:top w:val="single" w:color="auto" w:sz="8" w:space="0"/>
              <w:left w:val="nil"/>
              <w:bottom w:val="single" w:color="auto" w:sz="8" w:space="0"/>
              <w:right w:val="single" w:color="auto" w:sz="4"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b/>
                <w:bCs/>
                <w:color w:val="000000"/>
                <w:szCs w:val="18"/>
              </w:rPr>
            </w:pPr>
            <w:r w:rsidRPr="00231984">
              <w:rPr>
                <w:rFonts w:asciiTheme="minorHAnsi" w:hAnsiTheme="minorHAnsi"/>
                <w:b/>
                <w:bCs/>
                <w:color w:val="000000"/>
                <w:szCs w:val="18"/>
              </w:rPr>
              <w:t>2013</w:t>
            </w:r>
          </w:p>
        </w:tc>
        <w:tc>
          <w:tcPr>
            <w:tcW w:w="1220" w:type="dxa"/>
            <w:tcBorders>
              <w:top w:val="single" w:color="auto" w:sz="8" w:space="0"/>
              <w:left w:val="nil"/>
              <w:bottom w:val="single" w:color="auto" w:sz="8" w:space="0"/>
              <w:right w:val="single" w:color="auto" w:sz="8"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b/>
                <w:bCs/>
                <w:color w:val="000000"/>
                <w:szCs w:val="18"/>
              </w:rPr>
            </w:pPr>
            <w:r w:rsidRPr="00231984">
              <w:rPr>
                <w:rFonts w:asciiTheme="minorHAnsi" w:hAnsiTheme="minorHAnsi"/>
                <w:b/>
                <w:bCs/>
                <w:color w:val="000000"/>
                <w:szCs w:val="18"/>
              </w:rPr>
              <w:t>2012</w:t>
            </w:r>
          </w:p>
        </w:tc>
      </w:tr>
      <w:tr w:rsidRPr="00231984" w:rsidR="00E245B9" w:rsidTr="00E245B9">
        <w:trPr>
          <w:trHeight w:val="375"/>
        </w:trPr>
        <w:tc>
          <w:tcPr>
            <w:tcW w:w="4000" w:type="dxa"/>
            <w:tcBorders>
              <w:top w:val="nil"/>
              <w:left w:val="single" w:color="auto" w:sz="8" w:space="0"/>
              <w:bottom w:val="single" w:color="auto" w:sz="8" w:space="0"/>
              <w:right w:val="nil"/>
            </w:tcBorders>
            <w:shd w:val="clear" w:color="auto" w:fill="auto"/>
            <w:noWrap/>
            <w:vAlign w:val="bottom"/>
            <w:hideMark/>
          </w:tcPr>
          <w:p w:rsidRPr="00231984" w:rsidR="00E245B9" w:rsidP="00E245B9" w:rsidRDefault="00E245B9">
            <w:pPr>
              <w:spacing w:line="240" w:lineRule="auto"/>
              <w:rPr>
                <w:rFonts w:asciiTheme="minorHAnsi" w:hAnsiTheme="minorHAnsi"/>
                <w:b/>
                <w:bCs/>
                <w:i/>
                <w:iCs/>
                <w:color w:val="000000"/>
                <w:szCs w:val="18"/>
                <w:u w:val="single"/>
              </w:rPr>
            </w:pPr>
            <w:r w:rsidRPr="00231984">
              <w:rPr>
                <w:rFonts w:asciiTheme="minorHAnsi" w:hAnsiTheme="minorHAnsi"/>
                <w:b/>
                <w:bCs/>
                <w:i/>
                <w:iCs/>
                <w:color w:val="000000"/>
                <w:szCs w:val="18"/>
                <w:u w:val="single"/>
              </w:rPr>
              <w:t>Uitgaven</w:t>
            </w:r>
          </w:p>
        </w:tc>
        <w:tc>
          <w:tcPr>
            <w:tcW w:w="1220" w:type="dxa"/>
            <w:tcBorders>
              <w:top w:val="nil"/>
              <w:left w:val="single" w:color="auto" w:sz="8" w:space="0"/>
              <w:bottom w:val="single" w:color="auto" w:sz="8" w:space="0"/>
              <w:right w:val="single" w:color="auto" w:sz="4"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b/>
                <w:bCs/>
                <w:i/>
                <w:iCs/>
                <w:color w:val="000000"/>
                <w:szCs w:val="18"/>
              </w:rPr>
            </w:pPr>
            <w:r w:rsidRPr="00231984">
              <w:rPr>
                <w:rFonts w:asciiTheme="minorHAnsi" w:hAnsiTheme="minorHAnsi"/>
                <w:b/>
                <w:bCs/>
                <w:i/>
                <w:iCs/>
                <w:color w:val="000000"/>
                <w:szCs w:val="18"/>
              </w:rPr>
              <w:t>88,1</w:t>
            </w:r>
          </w:p>
        </w:tc>
        <w:tc>
          <w:tcPr>
            <w:tcW w:w="1220" w:type="dxa"/>
            <w:tcBorders>
              <w:top w:val="nil"/>
              <w:left w:val="nil"/>
              <w:bottom w:val="single" w:color="auto" w:sz="8" w:space="0"/>
              <w:right w:val="single" w:color="auto" w:sz="4"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b/>
                <w:bCs/>
                <w:i/>
                <w:iCs/>
                <w:color w:val="000000"/>
                <w:szCs w:val="18"/>
              </w:rPr>
            </w:pPr>
            <w:r w:rsidRPr="00231984">
              <w:rPr>
                <w:rFonts w:asciiTheme="minorHAnsi" w:hAnsiTheme="minorHAnsi"/>
                <w:b/>
                <w:bCs/>
                <w:i/>
                <w:iCs/>
                <w:color w:val="000000"/>
                <w:szCs w:val="18"/>
              </w:rPr>
              <w:t>55,1</w:t>
            </w:r>
          </w:p>
        </w:tc>
        <w:tc>
          <w:tcPr>
            <w:tcW w:w="1220" w:type="dxa"/>
            <w:tcBorders>
              <w:top w:val="nil"/>
              <w:left w:val="nil"/>
              <w:bottom w:val="single" w:color="auto" w:sz="8" w:space="0"/>
              <w:right w:val="single" w:color="auto" w:sz="4"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b/>
                <w:bCs/>
                <w:i/>
                <w:iCs/>
                <w:color w:val="000000"/>
                <w:szCs w:val="18"/>
              </w:rPr>
            </w:pPr>
            <w:r w:rsidRPr="00231984">
              <w:rPr>
                <w:rFonts w:asciiTheme="minorHAnsi" w:hAnsiTheme="minorHAnsi"/>
                <w:b/>
                <w:bCs/>
                <w:i/>
                <w:iCs/>
                <w:color w:val="000000"/>
                <w:szCs w:val="18"/>
              </w:rPr>
              <w:t>101,8</w:t>
            </w:r>
          </w:p>
        </w:tc>
        <w:tc>
          <w:tcPr>
            <w:tcW w:w="1220" w:type="dxa"/>
            <w:tcBorders>
              <w:top w:val="nil"/>
              <w:left w:val="nil"/>
              <w:bottom w:val="single" w:color="auto" w:sz="8" w:space="0"/>
              <w:right w:val="single" w:color="auto" w:sz="8"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b/>
                <w:bCs/>
                <w:i/>
                <w:iCs/>
                <w:color w:val="000000"/>
                <w:szCs w:val="18"/>
              </w:rPr>
            </w:pPr>
            <w:r w:rsidRPr="00231984">
              <w:rPr>
                <w:rFonts w:asciiTheme="minorHAnsi" w:hAnsiTheme="minorHAnsi"/>
                <w:b/>
                <w:bCs/>
                <w:i/>
                <w:iCs/>
                <w:color w:val="000000"/>
                <w:szCs w:val="18"/>
              </w:rPr>
              <w:t>69,8</w:t>
            </w:r>
          </w:p>
        </w:tc>
      </w:tr>
      <w:tr w:rsidRPr="00231984" w:rsidR="00E245B9" w:rsidTr="00E245B9">
        <w:trPr>
          <w:trHeight w:val="360"/>
        </w:trPr>
        <w:tc>
          <w:tcPr>
            <w:tcW w:w="4000" w:type="dxa"/>
            <w:tcBorders>
              <w:top w:val="nil"/>
              <w:left w:val="single" w:color="auto" w:sz="8" w:space="0"/>
              <w:bottom w:val="single" w:color="auto" w:sz="4" w:space="0"/>
              <w:right w:val="nil"/>
            </w:tcBorders>
            <w:shd w:val="clear" w:color="auto" w:fill="auto"/>
            <w:noWrap/>
            <w:vAlign w:val="bottom"/>
            <w:hideMark/>
          </w:tcPr>
          <w:p w:rsidRPr="00231984" w:rsidR="00E245B9" w:rsidP="00E245B9" w:rsidRDefault="00E245B9">
            <w:pPr>
              <w:spacing w:line="240" w:lineRule="auto"/>
              <w:rPr>
                <w:rFonts w:asciiTheme="minorHAnsi" w:hAnsiTheme="minorHAnsi"/>
                <w:color w:val="000000"/>
                <w:szCs w:val="18"/>
              </w:rPr>
            </w:pPr>
            <w:r w:rsidRPr="00231984">
              <w:rPr>
                <w:rFonts w:asciiTheme="minorHAnsi" w:hAnsiTheme="minorHAnsi"/>
                <w:color w:val="000000"/>
                <w:szCs w:val="18"/>
              </w:rPr>
              <w:t>schade-uitkeringen</w:t>
            </w:r>
          </w:p>
        </w:tc>
        <w:tc>
          <w:tcPr>
            <w:tcW w:w="1220" w:type="dxa"/>
            <w:tcBorders>
              <w:top w:val="nil"/>
              <w:left w:val="single" w:color="auto" w:sz="8" w:space="0"/>
              <w:bottom w:val="single" w:color="auto" w:sz="4" w:space="0"/>
              <w:right w:val="single" w:color="auto" w:sz="4"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color w:val="000000"/>
                <w:szCs w:val="18"/>
              </w:rPr>
            </w:pPr>
            <w:r w:rsidRPr="00231984">
              <w:rPr>
                <w:rFonts w:asciiTheme="minorHAnsi" w:hAnsiTheme="minorHAnsi"/>
                <w:color w:val="000000"/>
                <w:szCs w:val="18"/>
              </w:rPr>
              <w:t>75,4</w:t>
            </w:r>
          </w:p>
        </w:tc>
        <w:tc>
          <w:tcPr>
            <w:tcW w:w="1220" w:type="dxa"/>
            <w:tcBorders>
              <w:top w:val="nil"/>
              <w:left w:val="nil"/>
              <w:bottom w:val="single" w:color="auto" w:sz="4" w:space="0"/>
              <w:right w:val="single" w:color="auto" w:sz="4"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color w:val="000000"/>
                <w:szCs w:val="18"/>
              </w:rPr>
            </w:pPr>
            <w:r w:rsidRPr="00231984">
              <w:rPr>
                <w:rFonts w:asciiTheme="minorHAnsi" w:hAnsiTheme="minorHAnsi"/>
                <w:color w:val="000000"/>
                <w:szCs w:val="18"/>
              </w:rPr>
              <w:t>43,4</w:t>
            </w:r>
          </w:p>
        </w:tc>
        <w:tc>
          <w:tcPr>
            <w:tcW w:w="1220" w:type="dxa"/>
            <w:tcBorders>
              <w:top w:val="nil"/>
              <w:left w:val="nil"/>
              <w:bottom w:val="single" w:color="auto" w:sz="4" w:space="0"/>
              <w:right w:val="single" w:color="auto" w:sz="4"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color w:val="000000"/>
                <w:szCs w:val="18"/>
              </w:rPr>
            </w:pPr>
            <w:r w:rsidRPr="00231984">
              <w:rPr>
                <w:rFonts w:asciiTheme="minorHAnsi" w:hAnsiTheme="minorHAnsi"/>
                <w:color w:val="000000"/>
                <w:szCs w:val="18"/>
              </w:rPr>
              <w:t>89,3</w:t>
            </w:r>
          </w:p>
        </w:tc>
        <w:tc>
          <w:tcPr>
            <w:tcW w:w="1220" w:type="dxa"/>
            <w:tcBorders>
              <w:top w:val="nil"/>
              <w:left w:val="nil"/>
              <w:bottom w:val="single" w:color="auto" w:sz="4" w:space="0"/>
              <w:right w:val="single" w:color="auto" w:sz="8"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color w:val="000000"/>
                <w:szCs w:val="18"/>
              </w:rPr>
            </w:pPr>
            <w:r w:rsidRPr="00231984">
              <w:rPr>
                <w:rFonts w:asciiTheme="minorHAnsi" w:hAnsiTheme="minorHAnsi"/>
                <w:color w:val="000000"/>
                <w:szCs w:val="18"/>
              </w:rPr>
              <w:t>57,7</w:t>
            </w:r>
          </w:p>
        </w:tc>
      </w:tr>
      <w:tr w:rsidRPr="00231984" w:rsidR="00E245B9" w:rsidTr="00E245B9">
        <w:trPr>
          <w:trHeight w:val="360"/>
        </w:trPr>
        <w:tc>
          <w:tcPr>
            <w:tcW w:w="4000" w:type="dxa"/>
            <w:tcBorders>
              <w:top w:val="nil"/>
              <w:left w:val="single" w:color="auto" w:sz="8" w:space="0"/>
              <w:bottom w:val="single" w:color="auto" w:sz="4" w:space="0"/>
              <w:right w:val="nil"/>
            </w:tcBorders>
            <w:shd w:val="clear" w:color="auto" w:fill="auto"/>
            <w:noWrap/>
            <w:vAlign w:val="bottom"/>
            <w:hideMark/>
          </w:tcPr>
          <w:p w:rsidRPr="00231984" w:rsidR="00E245B9" w:rsidP="00E245B9" w:rsidRDefault="00E245B9">
            <w:pPr>
              <w:spacing w:line="240" w:lineRule="auto"/>
              <w:rPr>
                <w:rFonts w:asciiTheme="minorHAnsi" w:hAnsiTheme="minorHAnsi"/>
                <w:color w:val="000000"/>
                <w:szCs w:val="18"/>
              </w:rPr>
            </w:pPr>
            <w:r w:rsidRPr="00231984">
              <w:rPr>
                <w:rFonts w:asciiTheme="minorHAnsi" w:hAnsiTheme="minorHAnsi"/>
                <w:color w:val="000000"/>
                <w:szCs w:val="18"/>
              </w:rPr>
              <w:t>kostenvergoeding ADSB</w:t>
            </w:r>
          </w:p>
        </w:tc>
        <w:tc>
          <w:tcPr>
            <w:tcW w:w="1220" w:type="dxa"/>
            <w:tcBorders>
              <w:top w:val="nil"/>
              <w:left w:val="single" w:color="auto" w:sz="8" w:space="0"/>
              <w:bottom w:val="single" w:color="auto" w:sz="4" w:space="0"/>
              <w:right w:val="single" w:color="auto" w:sz="4"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color w:val="000000"/>
                <w:szCs w:val="18"/>
              </w:rPr>
            </w:pPr>
            <w:r w:rsidRPr="00231984">
              <w:rPr>
                <w:rFonts w:asciiTheme="minorHAnsi" w:hAnsiTheme="minorHAnsi"/>
                <w:color w:val="000000"/>
                <w:szCs w:val="18"/>
              </w:rPr>
              <w:t>12,7</w:t>
            </w:r>
          </w:p>
        </w:tc>
        <w:tc>
          <w:tcPr>
            <w:tcW w:w="1220" w:type="dxa"/>
            <w:tcBorders>
              <w:top w:val="nil"/>
              <w:left w:val="nil"/>
              <w:bottom w:val="single" w:color="auto" w:sz="4" w:space="0"/>
              <w:right w:val="single" w:color="auto" w:sz="4"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color w:val="000000"/>
                <w:szCs w:val="18"/>
              </w:rPr>
            </w:pPr>
            <w:r w:rsidRPr="00231984">
              <w:rPr>
                <w:rFonts w:asciiTheme="minorHAnsi" w:hAnsiTheme="minorHAnsi"/>
                <w:color w:val="000000"/>
                <w:szCs w:val="18"/>
              </w:rPr>
              <w:t>11,7</w:t>
            </w:r>
          </w:p>
        </w:tc>
        <w:tc>
          <w:tcPr>
            <w:tcW w:w="1220" w:type="dxa"/>
            <w:tcBorders>
              <w:top w:val="nil"/>
              <w:left w:val="nil"/>
              <w:bottom w:val="single" w:color="auto" w:sz="4" w:space="0"/>
              <w:right w:val="single" w:color="auto" w:sz="4"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color w:val="000000"/>
                <w:szCs w:val="18"/>
              </w:rPr>
            </w:pPr>
            <w:r w:rsidRPr="00231984">
              <w:rPr>
                <w:rFonts w:asciiTheme="minorHAnsi" w:hAnsiTheme="minorHAnsi"/>
                <w:color w:val="000000"/>
                <w:szCs w:val="18"/>
              </w:rPr>
              <w:t>12,5</w:t>
            </w:r>
          </w:p>
        </w:tc>
        <w:tc>
          <w:tcPr>
            <w:tcW w:w="1220" w:type="dxa"/>
            <w:tcBorders>
              <w:top w:val="nil"/>
              <w:left w:val="nil"/>
              <w:bottom w:val="single" w:color="auto" w:sz="4" w:space="0"/>
              <w:right w:val="single" w:color="auto" w:sz="8"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color w:val="000000"/>
                <w:szCs w:val="18"/>
              </w:rPr>
            </w:pPr>
            <w:r w:rsidRPr="00231984">
              <w:rPr>
                <w:rFonts w:asciiTheme="minorHAnsi" w:hAnsiTheme="minorHAnsi"/>
                <w:color w:val="000000"/>
                <w:szCs w:val="18"/>
              </w:rPr>
              <w:t>12,1</w:t>
            </w:r>
          </w:p>
        </w:tc>
      </w:tr>
      <w:tr w:rsidRPr="00231984" w:rsidR="00E245B9" w:rsidTr="00E245B9">
        <w:trPr>
          <w:trHeight w:val="375"/>
        </w:trPr>
        <w:tc>
          <w:tcPr>
            <w:tcW w:w="4000" w:type="dxa"/>
            <w:tcBorders>
              <w:top w:val="nil"/>
              <w:left w:val="single" w:color="auto" w:sz="8" w:space="0"/>
              <w:bottom w:val="nil"/>
              <w:right w:val="nil"/>
            </w:tcBorders>
            <w:shd w:val="clear" w:color="auto" w:fill="auto"/>
            <w:noWrap/>
            <w:vAlign w:val="bottom"/>
            <w:hideMark/>
          </w:tcPr>
          <w:p w:rsidRPr="00231984" w:rsidR="00E245B9" w:rsidP="00E245B9" w:rsidRDefault="00E245B9">
            <w:pPr>
              <w:spacing w:line="240" w:lineRule="auto"/>
              <w:rPr>
                <w:rFonts w:asciiTheme="minorHAnsi" w:hAnsiTheme="minorHAnsi"/>
                <w:color w:val="000000"/>
                <w:szCs w:val="18"/>
              </w:rPr>
            </w:pPr>
            <w:r w:rsidRPr="00231984">
              <w:rPr>
                <w:rFonts w:asciiTheme="minorHAnsi" w:hAnsiTheme="minorHAnsi"/>
                <w:color w:val="000000"/>
                <w:szCs w:val="18"/>
              </w:rPr>
              <w:t> </w:t>
            </w:r>
          </w:p>
        </w:tc>
        <w:tc>
          <w:tcPr>
            <w:tcW w:w="1220" w:type="dxa"/>
            <w:tcBorders>
              <w:top w:val="nil"/>
              <w:left w:val="single" w:color="auto" w:sz="8" w:space="0"/>
              <w:bottom w:val="nil"/>
              <w:right w:val="single" w:color="auto" w:sz="4" w:space="0"/>
            </w:tcBorders>
            <w:shd w:val="clear" w:color="auto" w:fill="auto"/>
            <w:noWrap/>
            <w:vAlign w:val="bottom"/>
            <w:hideMark/>
          </w:tcPr>
          <w:p w:rsidRPr="00231984" w:rsidR="00E245B9" w:rsidP="00E245B9" w:rsidRDefault="00E245B9">
            <w:pPr>
              <w:spacing w:line="240" w:lineRule="auto"/>
              <w:rPr>
                <w:rFonts w:asciiTheme="minorHAnsi" w:hAnsiTheme="minorHAnsi"/>
                <w:color w:val="000000"/>
                <w:szCs w:val="18"/>
              </w:rPr>
            </w:pPr>
            <w:r w:rsidRPr="00231984">
              <w:rPr>
                <w:rFonts w:asciiTheme="minorHAnsi" w:hAnsiTheme="minorHAnsi"/>
                <w:color w:val="000000"/>
                <w:szCs w:val="18"/>
              </w:rPr>
              <w:t> </w:t>
            </w:r>
          </w:p>
        </w:tc>
        <w:tc>
          <w:tcPr>
            <w:tcW w:w="1220" w:type="dxa"/>
            <w:tcBorders>
              <w:top w:val="nil"/>
              <w:left w:val="nil"/>
              <w:bottom w:val="nil"/>
              <w:right w:val="single" w:color="auto" w:sz="4" w:space="0"/>
            </w:tcBorders>
            <w:shd w:val="clear" w:color="auto" w:fill="auto"/>
            <w:noWrap/>
            <w:vAlign w:val="bottom"/>
            <w:hideMark/>
          </w:tcPr>
          <w:p w:rsidRPr="00231984" w:rsidR="00E245B9" w:rsidP="00E245B9" w:rsidRDefault="00E245B9">
            <w:pPr>
              <w:spacing w:line="240" w:lineRule="auto"/>
              <w:rPr>
                <w:rFonts w:asciiTheme="minorHAnsi" w:hAnsiTheme="minorHAnsi"/>
                <w:color w:val="000000"/>
                <w:szCs w:val="18"/>
              </w:rPr>
            </w:pPr>
            <w:r w:rsidRPr="00231984">
              <w:rPr>
                <w:rFonts w:asciiTheme="minorHAnsi" w:hAnsiTheme="minorHAnsi"/>
                <w:color w:val="000000"/>
                <w:szCs w:val="18"/>
              </w:rPr>
              <w:t> </w:t>
            </w:r>
          </w:p>
        </w:tc>
        <w:tc>
          <w:tcPr>
            <w:tcW w:w="1220" w:type="dxa"/>
            <w:tcBorders>
              <w:top w:val="nil"/>
              <w:left w:val="nil"/>
              <w:bottom w:val="nil"/>
              <w:right w:val="single" w:color="auto" w:sz="4" w:space="0"/>
            </w:tcBorders>
            <w:shd w:val="clear" w:color="auto" w:fill="auto"/>
            <w:noWrap/>
            <w:vAlign w:val="bottom"/>
            <w:hideMark/>
          </w:tcPr>
          <w:p w:rsidRPr="00231984" w:rsidR="00E245B9" w:rsidP="00E245B9" w:rsidRDefault="00E245B9">
            <w:pPr>
              <w:spacing w:line="240" w:lineRule="auto"/>
              <w:rPr>
                <w:rFonts w:asciiTheme="minorHAnsi" w:hAnsiTheme="minorHAnsi"/>
                <w:color w:val="000000"/>
                <w:szCs w:val="18"/>
              </w:rPr>
            </w:pPr>
            <w:r w:rsidRPr="00231984">
              <w:rPr>
                <w:rFonts w:asciiTheme="minorHAnsi" w:hAnsiTheme="minorHAnsi"/>
                <w:color w:val="000000"/>
                <w:szCs w:val="18"/>
              </w:rPr>
              <w:t> </w:t>
            </w:r>
          </w:p>
        </w:tc>
        <w:tc>
          <w:tcPr>
            <w:tcW w:w="1220" w:type="dxa"/>
            <w:tcBorders>
              <w:top w:val="nil"/>
              <w:left w:val="nil"/>
              <w:bottom w:val="nil"/>
              <w:right w:val="single" w:color="auto" w:sz="8" w:space="0"/>
            </w:tcBorders>
            <w:shd w:val="clear" w:color="auto" w:fill="auto"/>
            <w:noWrap/>
            <w:vAlign w:val="bottom"/>
            <w:hideMark/>
          </w:tcPr>
          <w:p w:rsidRPr="00231984" w:rsidR="00E245B9" w:rsidP="00E245B9" w:rsidRDefault="00E245B9">
            <w:pPr>
              <w:spacing w:line="240" w:lineRule="auto"/>
              <w:rPr>
                <w:rFonts w:asciiTheme="minorHAnsi" w:hAnsiTheme="minorHAnsi"/>
                <w:color w:val="000000"/>
                <w:szCs w:val="18"/>
              </w:rPr>
            </w:pPr>
            <w:r w:rsidRPr="00231984">
              <w:rPr>
                <w:rFonts w:asciiTheme="minorHAnsi" w:hAnsiTheme="minorHAnsi"/>
                <w:color w:val="000000"/>
                <w:szCs w:val="18"/>
              </w:rPr>
              <w:t> </w:t>
            </w:r>
          </w:p>
        </w:tc>
      </w:tr>
      <w:tr w:rsidRPr="00231984" w:rsidR="00E245B9" w:rsidTr="00E245B9">
        <w:trPr>
          <w:trHeight w:val="375"/>
        </w:trPr>
        <w:tc>
          <w:tcPr>
            <w:tcW w:w="4000" w:type="dxa"/>
            <w:tcBorders>
              <w:top w:val="single" w:color="auto" w:sz="8" w:space="0"/>
              <w:left w:val="single" w:color="auto" w:sz="8" w:space="0"/>
              <w:bottom w:val="single" w:color="auto" w:sz="8" w:space="0"/>
              <w:right w:val="nil"/>
            </w:tcBorders>
            <w:shd w:val="clear" w:color="auto" w:fill="auto"/>
            <w:noWrap/>
            <w:vAlign w:val="bottom"/>
            <w:hideMark/>
          </w:tcPr>
          <w:p w:rsidRPr="00231984" w:rsidR="00E245B9" w:rsidP="00E245B9" w:rsidRDefault="00E245B9">
            <w:pPr>
              <w:spacing w:line="240" w:lineRule="auto"/>
              <w:rPr>
                <w:rFonts w:asciiTheme="minorHAnsi" w:hAnsiTheme="minorHAnsi"/>
                <w:b/>
                <w:bCs/>
                <w:i/>
                <w:iCs/>
                <w:color w:val="000000"/>
                <w:szCs w:val="18"/>
                <w:u w:val="single"/>
              </w:rPr>
            </w:pPr>
            <w:r w:rsidRPr="00231984">
              <w:rPr>
                <w:rFonts w:asciiTheme="minorHAnsi" w:hAnsiTheme="minorHAnsi"/>
                <w:b/>
                <w:bCs/>
                <w:i/>
                <w:iCs/>
                <w:color w:val="000000"/>
                <w:szCs w:val="18"/>
                <w:u w:val="single"/>
              </w:rPr>
              <w:t>Ontvangsten</w:t>
            </w:r>
          </w:p>
        </w:tc>
        <w:tc>
          <w:tcPr>
            <w:tcW w:w="1220"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b/>
                <w:bCs/>
                <w:i/>
                <w:iCs/>
                <w:color w:val="000000"/>
                <w:szCs w:val="18"/>
              </w:rPr>
            </w:pPr>
            <w:r w:rsidRPr="00231984">
              <w:rPr>
                <w:rFonts w:asciiTheme="minorHAnsi" w:hAnsiTheme="minorHAnsi"/>
                <w:b/>
                <w:bCs/>
                <w:i/>
                <w:iCs/>
                <w:color w:val="000000"/>
                <w:szCs w:val="18"/>
              </w:rPr>
              <w:t>89,3</w:t>
            </w:r>
          </w:p>
        </w:tc>
        <w:tc>
          <w:tcPr>
            <w:tcW w:w="1220" w:type="dxa"/>
            <w:tcBorders>
              <w:top w:val="single" w:color="auto" w:sz="8" w:space="0"/>
              <w:left w:val="nil"/>
              <w:bottom w:val="single" w:color="auto" w:sz="8" w:space="0"/>
              <w:right w:val="single" w:color="auto" w:sz="4"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b/>
                <w:bCs/>
                <w:i/>
                <w:iCs/>
                <w:color w:val="000000"/>
                <w:szCs w:val="18"/>
              </w:rPr>
            </w:pPr>
            <w:r w:rsidRPr="00231984">
              <w:rPr>
                <w:rFonts w:asciiTheme="minorHAnsi" w:hAnsiTheme="minorHAnsi"/>
                <w:b/>
                <w:bCs/>
                <w:i/>
                <w:iCs/>
                <w:color w:val="000000"/>
                <w:szCs w:val="18"/>
              </w:rPr>
              <w:t>205,8</w:t>
            </w:r>
          </w:p>
        </w:tc>
        <w:tc>
          <w:tcPr>
            <w:tcW w:w="1220" w:type="dxa"/>
            <w:tcBorders>
              <w:top w:val="single" w:color="auto" w:sz="8" w:space="0"/>
              <w:left w:val="nil"/>
              <w:bottom w:val="single" w:color="auto" w:sz="8" w:space="0"/>
              <w:right w:val="single" w:color="auto" w:sz="4"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b/>
                <w:bCs/>
                <w:i/>
                <w:iCs/>
                <w:color w:val="000000"/>
                <w:szCs w:val="18"/>
              </w:rPr>
            </w:pPr>
            <w:r w:rsidRPr="00231984">
              <w:rPr>
                <w:rFonts w:asciiTheme="minorHAnsi" w:hAnsiTheme="minorHAnsi"/>
                <w:b/>
                <w:bCs/>
                <w:i/>
                <w:iCs/>
                <w:color w:val="000000"/>
                <w:szCs w:val="18"/>
              </w:rPr>
              <w:t>167,5</w:t>
            </w:r>
          </w:p>
        </w:tc>
        <w:tc>
          <w:tcPr>
            <w:tcW w:w="1220" w:type="dxa"/>
            <w:tcBorders>
              <w:top w:val="single" w:color="auto" w:sz="8" w:space="0"/>
              <w:left w:val="nil"/>
              <w:bottom w:val="single" w:color="auto" w:sz="8" w:space="0"/>
              <w:right w:val="single" w:color="auto" w:sz="8"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b/>
                <w:bCs/>
                <w:i/>
                <w:iCs/>
                <w:color w:val="000000"/>
                <w:szCs w:val="18"/>
              </w:rPr>
            </w:pPr>
            <w:r w:rsidRPr="00231984">
              <w:rPr>
                <w:rFonts w:asciiTheme="minorHAnsi" w:hAnsiTheme="minorHAnsi"/>
                <w:b/>
                <w:bCs/>
                <w:i/>
                <w:iCs/>
                <w:color w:val="000000"/>
                <w:szCs w:val="18"/>
              </w:rPr>
              <w:t>142,0</w:t>
            </w:r>
          </w:p>
        </w:tc>
      </w:tr>
      <w:tr w:rsidRPr="00231984" w:rsidR="00E245B9" w:rsidTr="00E245B9">
        <w:trPr>
          <w:trHeight w:val="360"/>
        </w:trPr>
        <w:tc>
          <w:tcPr>
            <w:tcW w:w="4000" w:type="dxa"/>
            <w:tcBorders>
              <w:top w:val="nil"/>
              <w:left w:val="single" w:color="auto" w:sz="8" w:space="0"/>
              <w:bottom w:val="single" w:color="auto" w:sz="4" w:space="0"/>
              <w:right w:val="nil"/>
            </w:tcBorders>
            <w:shd w:val="clear" w:color="auto" w:fill="auto"/>
            <w:noWrap/>
            <w:vAlign w:val="bottom"/>
            <w:hideMark/>
          </w:tcPr>
          <w:p w:rsidRPr="00231984" w:rsidR="00E245B9" w:rsidP="00E245B9" w:rsidRDefault="00E245B9">
            <w:pPr>
              <w:spacing w:line="240" w:lineRule="auto"/>
              <w:rPr>
                <w:rFonts w:asciiTheme="minorHAnsi" w:hAnsiTheme="minorHAnsi"/>
                <w:color w:val="000000"/>
                <w:szCs w:val="18"/>
              </w:rPr>
            </w:pPr>
            <w:r w:rsidRPr="00231984">
              <w:rPr>
                <w:rFonts w:asciiTheme="minorHAnsi" w:hAnsiTheme="minorHAnsi"/>
                <w:color w:val="000000"/>
                <w:szCs w:val="18"/>
              </w:rPr>
              <w:t>premies</w:t>
            </w:r>
          </w:p>
        </w:tc>
        <w:tc>
          <w:tcPr>
            <w:tcW w:w="1220" w:type="dxa"/>
            <w:tcBorders>
              <w:top w:val="nil"/>
              <w:left w:val="single" w:color="auto" w:sz="8" w:space="0"/>
              <w:bottom w:val="single" w:color="auto" w:sz="4" w:space="0"/>
              <w:right w:val="single" w:color="auto" w:sz="4"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color w:val="000000"/>
                <w:szCs w:val="18"/>
              </w:rPr>
            </w:pPr>
            <w:r w:rsidRPr="00231984">
              <w:rPr>
                <w:rFonts w:asciiTheme="minorHAnsi" w:hAnsiTheme="minorHAnsi"/>
                <w:color w:val="000000"/>
                <w:szCs w:val="18"/>
              </w:rPr>
              <w:t>51,3</w:t>
            </w:r>
          </w:p>
        </w:tc>
        <w:tc>
          <w:tcPr>
            <w:tcW w:w="1220" w:type="dxa"/>
            <w:tcBorders>
              <w:top w:val="nil"/>
              <w:left w:val="nil"/>
              <w:bottom w:val="single" w:color="auto" w:sz="4" w:space="0"/>
              <w:right w:val="single" w:color="auto" w:sz="4"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color w:val="000000"/>
                <w:szCs w:val="18"/>
              </w:rPr>
            </w:pPr>
            <w:r w:rsidRPr="00231984">
              <w:rPr>
                <w:rFonts w:asciiTheme="minorHAnsi" w:hAnsiTheme="minorHAnsi"/>
                <w:color w:val="000000"/>
                <w:szCs w:val="18"/>
              </w:rPr>
              <w:t>119,1</w:t>
            </w:r>
          </w:p>
        </w:tc>
        <w:tc>
          <w:tcPr>
            <w:tcW w:w="1220" w:type="dxa"/>
            <w:tcBorders>
              <w:top w:val="nil"/>
              <w:left w:val="nil"/>
              <w:bottom w:val="single" w:color="auto" w:sz="4" w:space="0"/>
              <w:right w:val="single" w:color="auto" w:sz="4"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color w:val="000000"/>
                <w:szCs w:val="18"/>
              </w:rPr>
            </w:pPr>
            <w:r w:rsidRPr="00231984">
              <w:rPr>
                <w:rFonts w:asciiTheme="minorHAnsi" w:hAnsiTheme="minorHAnsi"/>
                <w:color w:val="000000"/>
                <w:szCs w:val="18"/>
              </w:rPr>
              <w:t>87,2</w:t>
            </w:r>
          </w:p>
        </w:tc>
        <w:tc>
          <w:tcPr>
            <w:tcW w:w="1220" w:type="dxa"/>
            <w:tcBorders>
              <w:top w:val="nil"/>
              <w:left w:val="nil"/>
              <w:bottom w:val="single" w:color="auto" w:sz="4" w:space="0"/>
              <w:right w:val="single" w:color="auto" w:sz="8"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color w:val="000000"/>
                <w:szCs w:val="18"/>
              </w:rPr>
            </w:pPr>
            <w:r w:rsidRPr="00231984">
              <w:rPr>
                <w:rFonts w:asciiTheme="minorHAnsi" w:hAnsiTheme="minorHAnsi"/>
                <w:color w:val="000000"/>
                <w:szCs w:val="18"/>
              </w:rPr>
              <w:t>44,1</w:t>
            </w:r>
          </w:p>
        </w:tc>
      </w:tr>
      <w:tr w:rsidRPr="00231984" w:rsidR="00E245B9" w:rsidTr="00E245B9">
        <w:trPr>
          <w:trHeight w:val="375"/>
        </w:trPr>
        <w:tc>
          <w:tcPr>
            <w:tcW w:w="4000" w:type="dxa"/>
            <w:tcBorders>
              <w:top w:val="nil"/>
              <w:left w:val="single" w:color="auto" w:sz="8" w:space="0"/>
              <w:bottom w:val="single" w:color="auto" w:sz="8" w:space="0"/>
              <w:right w:val="nil"/>
            </w:tcBorders>
            <w:shd w:val="clear" w:color="auto" w:fill="auto"/>
            <w:noWrap/>
            <w:vAlign w:val="bottom"/>
            <w:hideMark/>
          </w:tcPr>
          <w:p w:rsidRPr="00231984" w:rsidR="00E245B9" w:rsidP="00E245B9" w:rsidRDefault="00E245B9">
            <w:pPr>
              <w:spacing w:line="240" w:lineRule="auto"/>
              <w:rPr>
                <w:rFonts w:asciiTheme="minorHAnsi" w:hAnsiTheme="minorHAnsi"/>
                <w:color w:val="000000"/>
                <w:szCs w:val="18"/>
              </w:rPr>
            </w:pPr>
            <w:r w:rsidRPr="00231984">
              <w:rPr>
                <w:rFonts w:asciiTheme="minorHAnsi" w:hAnsiTheme="minorHAnsi"/>
                <w:color w:val="000000"/>
                <w:szCs w:val="18"/>
              </w:rPr>
              <w:t>schaderestituties</w:t>
            </w:r>
          </w:p>
        </w:tc>
        <w:tc>
          <w:tcPr>
            <w:tcW w:w="1220" w:type="dxa"/>
            <w:tcBorders>
              <w:top w:val="nil"/>
              <w:left w:val="single" w:color="auto" w:sz="8" w:space="0"/>
              <w:bottom w:val="single" w:color="auto" w:sz="8" w:space="0"/>
              <w:right w:val="single" w:color="auto" w:sz="4"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color w:val="000000"/>
                <w:szCs w:val="18"/>
              </w:rPr>
            </w:pPr>
            <w:r w:rsidRPr="00231984">
              <w:rPr>
                <w:rFonts w:asciiTheme="minorHAnsi" w:hAnsiTheme="minorHAnsi"/>
                <w:color w:val="000000"/>
                <w:szCs w:val="18"/>
              </w:rPr>
              <w:t>38</w:t>
            </w:r>
          </w:p>
        </w:tc>
        <w:tc>
          <w:tcPr>
            <w:tcW w:w="1220" w:type="dxa"/>
            <w:tcBorders>
              <w:top w:val="nil"/>
              <w:left w:val="nil"/>
              <w:bottom w:val="single" w:color="auto" w:sz="8" w:space="0"/>
              <w:right w:val="single" w:color="auto" w:sz="4"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color w:val="000000"/>
                <w:szCs w:val="18"/>
              </w:rPr>
            </w:pPr>
            <w:r w:rsidRPr="00231984">
              <w:rPr>
                <w:rFonts w:asciiTheme="minorHAnsi" w:hAnsiTheme="minorHAnsi"/>
                <w:color w:val="000000"/>
                <w:szCs w:val="18"/>
              </w:rPr>
              <w:t>86,7</w:t>
            </w:r>
          </w:p>
        </w:tc>
        <w:tc>
          <w:tcPr>
            <w:tcW w:w="1220" w:type="dxa"/>
            <w:tcBorders>
              <w:top w:val="nil"/>
              <w:left w:val="nil"/>
              <w:bottom w:val="single" w:color="auto" w:sz="8" w:space="0"/>
              <w:right w:val="single" w:color="auto" w:sz="4"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color w:val="000000"/>
                <w:szCs w:val="18"/>
              </w:rPr>
            </w:pPr>
            <w:r w:rsidRPr="00231984">
              <w:rPr>
                <w:rFonts w:asciiTheme="minorHAnsi" w:hAnsiTheme="minorHAnsi"/>
                <w:color w:val="000000"/>
                <w:szCs w:val="18"/>
              </w:rPr>
              <w:t>80,3</w:t>
            </w:r>
          </w:p>
        </w:tc>
        <w:tc>
          <w:tcPr>
            <w:tcW w:w="1220" w:type="dxa"/>
            <w:tcBorders>
              <w:top w:val="nil"/>
              <w:left w:val="nil"/>
              <w:bottom w:val="single" w:color="auto" w:sz="8" w:space="0"/>
              <w:right w:val="single" w:color="auto" w:sz="8" w:space="0"/>
            </w:tcBorders>
            <w:shd w:val="clear" w:color="auto" w:fill="auto"/>
            <w:noWrap/>
            <w:vAlign w:val="bottom"/>
            <w:hideMark/>
          </w:tcPr>
          <w:p w:rsidRPr="00231984" w:rsidR="00E245B9" w:rsidP="00E245B9" w:rsidRDefault="00E245B9">
            <w:pPr>
              <w:spacing w:line="240" w:lineRule="auto"/>
              <w:jc w:val="right"/>
              <w:rPr>
                <w:rFonts w:asciiTheme="minorHAnsi" w:hAnsiTheme="minorHAnsi"/>
                <w:color w:val="000000"/>
                <w:szCs w:val="18"/>
              </w:rPr>
            </w:pPr>
            <w:r w:rsidRPr="00231984">
              <w:rPr>
                <w:rFonts w:asciiTheme="minorHAnsi" w:hAnsiTheme="minorHAnsi"/>
                <w:color w:val="000000"/>
                <w:szCs w:val="18"/>
              </w:rPr>
              <w:t>97,9</w:t>
            </w:r>
          </w:p>
        </w:tc>
      </w:tr>
      <w:tr w:rsidRPr="00231984" w:rsidR="00E245B9" w:rsidTr="00E245B9">
        <w:trPr>
          <w:trHeight w:val="360"/>
        </w:trPr>
        <w:tc>
          <w:tcPr>
            <w:tcW w:w="4000" w:type="dxa"/>
            <w:tcBorders>
              <w:top w:val="nil"/>
              <w:left w:val="nil"/>
              <w:bottom w:val="nil"/>
              <w:right w:val="nil"/>
            </w:tcBorders>
            <w:shd w:val="clear" w:color="auto" w:fill="auto"/>
            <w:noWrap/>
            <w:vAlign w:val="bottom"/>
            <w:hideMark/>
          </w:tcPr>
          <w:p w:rsidRPr="00231984" w:rsidR="00E245B9" w:rsidP="00E245B9" w:rsidRDefault="00E245B9">
            <w:pPr>
              <w:spacing w:line="240" w:lineRule="auto"/>
              <w:rPr>
                <w:rFonts w:asciiTheme="minorHAnsi" w:hAnsiTheme="minorHAnsi"/>
                <w:color w:val="000000"/>
                <w:szCs w:val="18"/>
              </w:rPr>
            </w:pPr>
            <w:r w:rsidRPr="00231984">
              <w:rPr>
                <w:rFonts w:asciiTheme="minorHAnsi" w:hAnsiTheme="minorHAnsi"/>
                <w:color w:val="000000"/>
                <w:szCs w:val="18"/>
              </w:rPr>
              <w:t>* begrotingsstand</w:t>
            </w:r>
          </w:p>
        </w:tc>
        <w:tc>
          <w:tcPr>
            <w:tcW w:w="1220" w:type="dxa"/>
            <w:tcBorders>
              <w:top w:val="nil"/>
              <w:left w:val="nil"/>
              <w:bottom w:val="nil"/>
              <w:right w:val="nil"/>
            </w:tcBorders>
            <w:shd w:val="clear" w:color="auto" w:fill="auto"/>
            <w:noWrap/>
            <w:vAlign w:val="bottom"/>
            <w:hideMark/>
          </w:tcPr>
          <w:p w:rsidRPr="00231984" w:rsidR="00E245B9" w:rsidP="00E245B9" w:rsidRDefault="00E245B9">
            <w:pPr>
              <w:spacing w:line="240" w:lineRule="auto"/>
              <w:rPr>
                <w:rFonts w:asciiTheme="minorHAnsi" w:hAnsiTheme="minorHAnsi"/>
                <w:color w:val="000000"/>
                <w:szCs w:val="18"/>
              </w:rPr>
            </w:pPr>
          </w:p>
        </w:tc>
        <w:tc>
          <w:tcPr>
            <w:tcW w:w="1220" w:type="dxa"/>
            <w:tcBorders>
              <w:top w:val="nil"/>
              <w:left w:val="nil"/>
              <w:bottom w:val="nil"/>
              <w:right w:val="nil"/>
            </w:tcBorders>
            <w:shd w:val="clear" w:color="auto" w:fill="auto"/>
            <w:noWrap/>
            <w:vAlign w:val="bottom"/>
            <w:hideMark/>
          </w:tcPr>
          <w:p w:rsidRPr="00231984" w:rsidR="00E245B9" w:rsidP="00E245B9" w:rsidRDefault="00E245B9">
            <w:pPr>
              <w:spacing w:line="240" w:lineRule="auto"/>
              <w:rPr>
                <w:rFonts w:asciiTheme="minorHAnsi" w:hAnsiTheme="minorHAnsi"/>
                <w:color w:val="000000"/>
                <w:szCs w:val="18"/>
              </w:rPr>
            </w:pPr>
          </w:p>
        </w:tc>
        <w:tc>
          <w:tcPr>
            <w:tcW w:w="1220" w:type="dxa"/>
            <w:tcBorders>
              <w:top w:val="nil"/>
              <w:left w:val="nil"/>
              <w:bottom w:val="nil"/>
              <w:right w:val="nil"/>
            </w:tcBorders>
            <w:shd w:val="clear" w:color="auto" w:fill="auto"/>
            <w:noWrap/>
            <w:vAlign w:val="bottom"/>
            <w:hideMark/>
          </w:tcPr>
          <w:p w:rsidRPr="00231984" w:rsidR="00E245B9" w:rsidP="00E245B9" w:rsidRDefault="00E245B9">
            <w:pPr>
              <w:spacing w:line="240" w:lineRule="auto"/>
              <w:rPr>
                <w:rFonts w:asciiTheme="minorHAnsi" w:hAnsiTheme="minorHAnsi"/>
                <w:color w:val="000000"/>
                <w:szCs w:val="18"/>
              </w:rPr>
            </w:pPr>
          </w:p>
        </w:tc>
        <w:tc>
          <w:tcPr>
            <w:tcW w:w="1220" w:type="dxa"/>
            <w:tcBorders>
              <w:top w:val="nil"/>
              <w:left w:val="nil"/>
              <w:bottom w:val="nil"/>
              <w:right w:val="nil"/>
            </w:tcBorders>
            <w:shd w:val="clear" w:color="auto" w:fill="auto"/>
            <w:noWrap/>
            <w:vAlign w:val="bottom"/>
            <w:hideMark/>
          </w:tcPr>
          <w:p w:rsidRPr="00231984" w:rsidR="00E245B9" w:rsidP="00E245B9" w:rsidRDefault="00E245B9">
            <w:pPr>
              <w:spacing w:line="240" w:lineRule="auto"/>
              <w:rPr>
                <w:rFonts w:asciiTheme="minorHAnsi" w:hAnsiTheme="minorHAnsi"/>
                <w:color w:val="000000"/>
                <w:szCs w:val="18"/>
              </w:rPr>
            </w:pPr>
          </w:p>
        </w:tc>
      </w:tr>
    </w:tbl>
    <w:p w:rsidRPr="00231984" w:rsidR="004B755F" w:rsidP="004B755F" w:rsidRDefault="004B755F">
      <w:pPr>
        <w:spacing w:after="200" w:line="276" w:lineRule="auto"/>
        <w:rPr>
          <w:rFonts w:asciiTheme="minorHAnsi" w:hAnsiTheme="minorHAnsi"/>
          <w:szCs w:val="18"/>
        </w:rPr>
      </w:pPr>
    </w:p>
    <w:p w:rsidRPr="00231984" w:rsidR="004B755F" w:rsidP="004B755F" w:rsidRDefault="004B755F">
      <w:pPr>
        <w:spacing w:after="200" w:line="276" w:lineRule="auto"/>
        <w:rPr>
          <w:rFonts w:asciiTheme="minorHAnsi" w:hAnsiTheme="minorHAnsi"/>
          <w:szCs w:val="18"/>
        </w:rPr>
      </w:pPr>
      <w:r w:rsidRPr="00231984">
        <w:rPr>
          <w:rFonts w:asciiTheme="minorHAnsi" w:hAnsiTheme="minorHAnsi"/>
          <w:szCs w:val="18"/>
        </w:rPr>
        <w:t xml:space="preserve">Verder kent ekv-faciliteit een garantieplafond waarbij jaarlijks voor € 10 miljard aan nieuwe garantieverplichtingen kan worden aangegaan. Ultimo 2014 stond er uit hoofde van de ekv-faciliteit in totaal € 13 miljard aan verplichtingen uit. </w:t>
      </w:r>
    </w:p>
    <w:p w:rsidRPr="00231984" w:rsidR="00F44CDA" w:rsidP="00F44CDA" w:rsidRDefault="00F44CDA">
      <w:pPr>
        <w:spacing w:after="200" w:line="276" w:lineRule="auto"/>
        <w:rPr>
          <w:rFonts w:asciiTheme="minorHAnsi" w:hAnsiTheme="minorHAnsi"/>
          <w:szCs w:val="18"/>
        </w:rPr>
      </w:pPr>
    </w:p>
    <w:p w:rsidRPr="00231984" w:rsidR="00923906" w:rsidP="00923906" w:rsidRDefault="00654487">
      <w:pPr>
        <w:spacing w:after="200" w:line="276" w:lineRule="auto"/>
        <w:rPr>
          <w:rFonts w:asciiTheme="minorHAnsi" w:hAnsiTheme="minorHAnsi"/>
          <w:b/>
          <w:szCs w:val="18"/>
        </w:rPr>
      </w:pPr>
      <w:r w:rsidRPr="00231984">
        <w:rPr>
          <w:rFonts w:asciiTheme="minorHAnsi" w:hAnsiTheme="minorHAnsi"/>
          <w:b/>
          <w:szCs w:val="18"/>
        </w:rPr>
        <w:t>4</w:t>
      </w:r>
      <w:r w:rsidRPr="00231984" w:rsidR="00923906">
        <w:rPr>
          <w:rFonts w:asciiTheme="minorHAnsi" w:hAnsiTheme="minorHAnsi"/>
          <w:b/>
          <w:szCs w:val="18"/>
        </w:rPr>
        <w:t>.</w:t>
      </w:r>
      <w:r w:rsidRPr="00231984" w:rsidR="00923906">
        <w:rPr>
          <w:rFonts w:asciiTheme="minorHAnsi" w:hAnsiTheme="minorHAnsi"/>
          <w:b/>
          <w:szCs w:val="18"/>
        </w:rPr>
        <w:tab/>
        <w:t>Vraagstelling</w:t>
      </w:r>
    </w:p>
    <w:p w:rsidRPr="00231984" w:rsidR="00923906" w:rsidP="00923906" w:rsidRDefault="00923906">
      <w:pPr>
        <w:spacing w:line="276" w:lineRule="auto"/>
        <w:rPr>
          <w:rFonts w:asciiTheme="minorHAnsi" w:hAnsiTheme="minorHAnsi"/>
          <w:szCs w:val="18"/>
        </w:rPr>
      </w:pPr>
      <w:r w:rsidRPr="00231984">
        <w:rPr>
          <w:rFonts w:asciiTheme="minorHAnsi" w:hAnsiTheme="minorHAnsi"/>
          <w:szCs w:val="18"/>
        </w:rPr>
        <w:t xml:space="preserve">De centrale vraag bij de beleidsdoorlichting van artikel 5 is de vraag of de ekv-faciliteit op een doeltreffende en doelmatige wijze mogelijkheden biedt voor verzekering van exportgerelateerde betalingsrisico’s. Een groot deel van de Nederlandse export vindt plaats zonder dat er behoefte is aan een exportkredietverzekering. Daarnaast is voor veel exporttransacties waarbij wel behoefte is aan een kredietverzekering dekking mogelijk bij een commerciële verzekeraar. Een groot deel van de exporttransacties betreft immers wederuitvoer of uitvoer van consumentengoederen (of –diensten). </w:t>
      </w:r>
    </w:p>
    <w:p w:rsidRPr="00231984" w:rsidR="00923906" w:rsidP="00923906" w:rsidRDefault="00923906">
      <w:pPr>
        <w:spacing w:line="276" w:lineRule="auto"/>
        <w:rPr>
          <w:rFonts w:asciiTheme="minorHAnsi" w:hAnsiTheme="minorHAnsi"/>
          <w:szCs w:val="18"/>
        </w:rPr>
      </w:pPr>
    </w:p>
    <w:p w:rsidRPr="00231984" w:rsidR="00923906" w:rsidP="00923906" w:rsidRDefault="00923906">
      <w:pPr>
        <w:spacing w:line="276" w:lineRule="auto"/>
        <w:rPr>
          <w:rFonts w:asciiTheme="minorHAnsi" w:hAnsiTheme="minorHAnsi"/>
          <w:szCs w:val="18"/>
        </w:rPr>
      </w:pPr>
      <w:r w:rsidRPr="00231984">
        <w:rPr>
          <w:rFonts w:asciiTheme="minorHAnsi" w:hAnsiTheme="minorHAnsi"/>
          <w:szCs w:val="18"/>
        </w:rPr>
        <w:t xml:space="preserve">Internationaal is het aanbieden van exportkredietverzekeringsfaciliteiten streng ingekaderd. Hiermee wordt beoogd te voorkomen dat landen transacties verzekeren die ook op de markt verzekerd kunnen worden, dat landen bedrijven oneigenlijke voordelen geven en dat concurrentie vooral plaatsvindt op verzekeringsvoorwaarden in plaats van concurrentiekracht van bedrijven. De basis voor deze internationale regels is een </w:t>
      </w:r>
      <w:r w:rsidRPr="00231984">
        <w:rPr>
          <w:rFonts w:asciiTheme="minorHAnsi" w:hAnsiTheme="minorHAnsi"/>
          <w:i/>
          <w:szCs w:val="18"/>
        </w:rPr>
        <w:t>gentlemen’s agreement</w:t>
      </w:r>
      <w:r w:rsidRPr="00231984">
        <w:rPr>
          <w:rFonts w:asciiTheme="minorHAnsi" w:hAnsiTheme="minorHAnsi"/>
          <w:szCs w:val="18"/>
        </w:rPr>
        <w:t xml:space="preserve"> opgesteld in OESO-verband. Deze OESO-regels zijn in EU-verband overgenomen in een Verordening. In de praktijk verzekeren </w:t>
      </w:r>
      <w:r w:rsidRPr="00231984">
        <w:rPr>
          <w:rFonts w:asciiTheme="minorHAnsi" w:hAnsiTheme="minorHAnsi"/>
          <w:szCs w:val="18"/>
        </w:rPr>
        <w:lastRenderedPageBreak/>
        <w:t>overheden vooral de betalingsrisico’s van export van (dure) kapitaalgoederen zoals schepen, treinen en vliegtuigen of van zeer grote dienstencontracten zoals aannemerijwerken. Het betreft altijd transacties die door een combinatie van omvang van het bedrag, looptijd van het exportkrediet of risico’s van het bestemmingsland niet op de markt verzekerd kunnen worden.</w:t>
      </w:r>
    </w:p>
    <w:p w:rsidRPr="00231984" w:rsidR="00923906" w:rsidP="00923906" w:rsidRDefault="00923906">
      <w:pPr>
        <w:spacing w:line="276" w:lineRule="auto"/>
        <w:rPr>
          <w:rFonts w:asciiTheme="minorHAnsi" w:hAnsiTheme="minorHAnsi"/>
          <w:szCs w:val="18"/>
        </w:rPr>
      </w:pPr>
    </w:p>
    <w:p w:rsidRPr="00231984" w:rsidR="00923906" w:rsidP="00923906" w:rsidRDefault="00654487">
      <w:pPr>
        <w:spacing w:after="200" w:line="276" w:lineRule="auto"/>
        <w:rPr>
          <w:rFonts w:asciiTheme="minorHAnsi" w:hAnsiTheme="minorHAnsi"/>
          <w:b/>
          <w:szCs w:val="18"/>
        </w:rPr>
      </w:pPr>
      <w:r w:rsidRPr="00231984">
        <w:rPr>
          <w:rFonts w:asciiTheme="minorHAnsi" w:hAnsiTheme="minorHAnsi"/>
          <w:b/>
          <w:szCs w:val="18"/>
        </w:rPr>
        <w:t>5</w:t>
      </w:r>
      <w:r w:rsidRPr="00231984" w:rsidR="00923906">
        <w:rPr>
          <w:rFonts w:asciiTheme="minorHAnsi" w:hAnsiTheme="minorHAnsi"/>
          <w:b/>
          <w:szCs w:val="18"/>
        </w:rPr>
        <w:t>.</w:t>
      </w:r>
      <w:r w:rsidRPr="00231984" w:rsidR="00923906">
        <w:rPr>
          <w:rFonts w:asciiTheme="minorHAnsi" w:hAnsiTheme="minorHAnsi"/>
          <w:b/>
          <w:szCs w:val="18"/>
        </w:rPr>
        <w:tab/>
        <w:t>Onderzoeksvragen en methodologie</w:t>
      </w:r>
    </w:p>
    <w:p w:rsidRPr="00231984" w:rsidR="00923906" w:rsidP="00923906" w:rsidRDefault="00923906">
      <w:pPr>
        <w:spacing w:line="276" w:lineRule="auto"/>
        <w:rPr>
          <w:rFonts w:asciiTheme="minorHAnsi" w:hAnsiTheme="minorHAnsi"/>
          <w:szCs w:val="18"/>
        </w:rPr>
      </w:pPr>
      <w:r w:rsidRPr="00231984">
        <w:rPr>
          <w:rFonts w:asciiTheme="minorHAnsi" w:hAnsiTheme="minorHAnsi"/>
          <w:szCs w:val="18"/>
        </w:rPr>
        <w:t>De volgende onderwerpen zullen in ieder geval aan bod komen in de beleidsdoorlichting:</w:t>
      </w:r>
    </w:p>
    <w:p w:rsidRPr="00231984" w:rsidR="00923906" w:rsidP="00923906" w:rsidRDefault="00923906">
      <w:pPr>
        <w:pStyle w:val="Lijstalinea"/>
        <w:widowControl/>
        <w:numPr>
          <w:ilvl w:val="0"/>
          <w:numId w:val="4"/>
        </w:numPr>
        <w:spacing w:after="200" w:line="276" w:lineRule="auto"/>
        <w:rPr>
          <w:rFonts w:asciiTheme="minorHAnsi" w:hAnsiTheme="minorHAnsi"/>
          <w:sz w:val="18"/>
          <w:szCs w:val="18"/>
        </w:rPr>
      </w:pPr>
      <w:r w:rsidRPr="00231984">
        <w:rPr>
          <w:rFonts w:asciiTheme="minorHAnsi" w:hAnsiTheme="minorHAnsi"/>
          <w:sz w:val="18"/>
          <w:szCs w:val="18"/>
        </w:rPr>
        <w:t xml:space="preserve">Afbakening en beschrijving van het beleidsterrein. </w:t>
      </w:r>
    </w:p>
    <w:p w:rsidRPr="00231984" w:rsidR="00923906" w:rsidP="00923906" w:rsidRDefault="00923906">
      <w:pPr>
        <w:pStyle w:val="Lijstalinea"/>
        <w:widowControl/>
        <w:numPr>
          <w:ilvl w:val="0"/>
          <w:numId w:val="4"/>
        </w:numPr>
        <w:spacing w:after="200" w:line="276" w:lineRule="auto"/>
        <w:rPr>
          <w:rFonts w:asciiTheme="minorHAnsi" w:hAnsiTheme="minorHAnsi"/>
          <w:sz w:val="18"/>
          <w:szCs w:val="18"/>
        </w:rPr>
      </w:pPr>
      <w:r w:rsidRPr="00231984">
        <w:rPr>
          <w:rFonts w:asciiTheme="minorHAnsi" w:hAnsiTheme="minorHAnsi"/>
          <w:sz w:val="18"/>
          <w:szCs w:val="18"/>
        </w:rPr>
        <w:t xml:space="preserve">Motivering van het gevoerde beleid en de beoogde doelen. </w:t>
      </w:r>
    </w:p>
    <w:p w:rsidRPr="00231984" w:rsidR="00923906" w:rsidP="00923906" w:rsidRDefault="00923906">
      <w:pPr>
        <w:pStyle w:val="Lijstalinea"/>
        <w:widowControl/>
        <w:numPr>
          <w:ilvl w:val="0"/>
          <w:numId w:val="4"/>
        </w:numPr>
        <w:spacing w:after="200" w:line="276" w:lineRule="auto"/>
        <w:rPr>
          <w:rFonts w:asciiTheme="minorHAnsi" w:hAnsiTheme="minorHAnsi"/>
          <w:sz w:val="18"/>
          <w:szCs w:val="18"/>
        </w:rPr>
      </w:pPr>
      <w:r w:rsidRPr="00231984">
        <w:rPr>
          <w:rFonts w:asciiTheme="minorHAnsi" w:hAnsiTheme="minorHAnsi"/>
          <w:sz w:val="18"/>
          <w:szCs w:val="18"/>
        </w:rPr>
        <w:t>Overzicht van de financiële resultaten en een berekening van de kostendekkendheid.</w:t>
      </w:r>
    </w:p>
    <w:p w:rsidRPr="00231984" w:rsidR="00923906" w:rsidP="00923906" w:rsidRDefault="00923906">
      <w:pPr>
        <w:pStyle w:val="Lijstalinea"/>
        <w:widowControl/>
        <w:numPr>
          <w:ilvl w:val="0"/>
          <w:numId w:val="4"/>
        </w:numPr>
        <w:spacing w:after="200" w:line="276" w:lineRule="auto"/>
        <w:rPr>
          <w:rFonts w:asciiTheme="minorHAnsi" w:hAnsiTheme="minorHAnsi"/>
          <w:sz w:val="18"/>
          <w:szCs w:val="18"/>
        </w:rPr>
      </w:pPr>
      <w:r w:rsidRPr="00231984">
        <w:rPr>
          <w:rFonts w:asciiTheme="minorHAnsi" w:hAnsiTheme="minorHAnsi"/>
          <w:sz w:val="18"/>
          <w:szCs w:val="18"/>
        </w:rPr>
        <w:t>Beschrijving van de budgettaire risico’s en het risicomanagement.</w:t>
      </w:r>
    </w:p>
    <w:p w:rsidRPr="00231984" w:rsidR="00923906" w:rsidP="00923906" w:rsidRDefault="00923906">
      <w:pPr>
        <w:pStyle w:val="Lijstalinea"/>
        <w:widowControl/>
        <w:numPr>
          <w:ilvl w:val="0"/>
          <w:numId w:val="4"/>
        </w:numPr>
        <w:spacing w:after="200" w:line="276" w:lineRule="auto"/>
        <w:rPr>
          <w:rFonts w:asciiTheme="minorHAnsi" w:hAnsiTheme="minorHAnsi"/>
          <w:sz w:val="18"/>
          <w:szCs w:val="18"/>
        </w:rPr>
      </w:pPr>
      <w:r w:rsidRPr="00231984">
        <w:rPr>
          <w:rFonts w:asciiTheme="minorHAnsi" w:hAnsiTheme="minorHAnsi"/>
          <w:sz w:val="18"/>
          <w:szCs w:val="18"/>
        </w:rPr>
        <w:t>Onderzoek naar de effecten van het gevoerde beleid en een analyse en beoordeling van de doeltreffendheid en doelmatigheid van het gevoerde beleid.</w:t>
      </w:r>
    </w:p>
    <w:p w:rsidRPr="00231984" w:rsidR="00923906" w:rsidP="00923906" w:rsidRDefault="00923906">
      <w:pPr>
        <w:pStyle w:val="Lijstalinea"/>
        <w:widowControl/>
        <w:numPr>
          <w:ilvl w:val="0"/>
          <w:numId w:val="4"/>
        </w:numPr>
        <w:spacing w:after="200" w:line="276" w:lineRule="auto"/>
        <w:rPr>
          <w:rFonts w:asciiTheme="minorHAnsi" w:hAnsiTheme="minorHAnsi"/>
          <w:sz w:val="18"/>
          <w:szCs w:val="18"/>
        </w:rPr>
      </w:pPr>
      <w:r w:rsidRPr="00231984">
        <w:rPr>
          <w:rFonts w:asciiTheme="minorHAnsi" w:hAnsiTheme="minorHAnsi"/>
          <w:sz w:val="18"/>
          <w:szCs w:val="18"/>
        </w:rPr>
        <w:t>Beschouwing van de maatregelen die genomen kunnen worden ter verdere verhoging van de doeltreffendheid en doelmatigheid van het beleid.</w:t>
      </w:r>
    </w:p>
    <w:p w:rsidRPr="00231984" w:rsidR="00923906" w:rsidP="00923906" w:rsidRDefault="00923906">
      <w:pPr>
        <w:pStyle w:val="Lijstalinea"/>
        <w:widowControl/>
        <w:numPr>
          <w:ilvl w:val="0"/>
          <w:numId w:val="4"/>
        </w:numPr>
        <w:spacing w:after="200" w:line="276" w:lineRule="auto"/>
        <w:rPr>
          <w:rFonts w:asciiTheme="minorHAnsi" w:hAnsiTheme="minorHAnsi"/>
          <w:sz w:val="18"/>
          <w:szCs w:val="18"/>
        </w:rPr>
      </w:pPr>
      <w:r w:rsidRPr="00231984">
        <w:rPr>
          <w:rFonts w:asciiTheme="minorHAnsi" w:hAnsiTheme="minorHAnsi"/>
          <w:sz w:val="18"/>
          <w:szCs w:val="18"/>
        </w:rPr>
        <w:t>Beschrijving van beleidsopties indien er significant minder middelen (-/- 20%) beschikbaar zijn.</w:t>
      </w:r>
    </w:p>
    <w:p w:rsidRPr="00231984" w:rsidR="00923906" w:rsidP="00923906" w:rsidRDefault="00923906">
      <w:pPr>
        <w:spacing w:line="276" w:lineRule="auto"/>
        <w:rPr>
          <w:rFonts w:asciiTheme="minorHAnsi" w:hAnsiTheme="minorHAnsi"/>
          <w:szCs w:val="18"/>
        </w:rPr>
      </w:pPr>
      <w:r w:rsidRPr="00231984">
        <w:rPr>
          <w:rFonts w:asciiTheme="minorHAnsi" w:hAnsiTheme="minorHAnsi"/>
          <w:szCs w:val="18"/>
        </w:rPr>
        <w:t>Om antwoord te kunnen geven op de onderzoeksvragen zal van de volgende methodieken gebruik worden gemaakt:</w:t>
      </w:r>
    </w:p>
    <w:p w:rsidRPr="00231984" w:rsidR="00923906" w:rsidP="00923906" w:rsidRDefault="00923906">
      <w:pPr>
        <w:pStyle w:val="Lijstalinea"/>
        <w:widowControl/>
        <w:numPr>
          <w:ilvl w:val="0"/>
          <w:numId w:val="3"/>
        </w:numPr>
        <w:spacing w:after="200" w:line="276" w:lineRule="auto"/>
        <w:rPr>
          <w:rFonts w:asciiTheme="minorHAnsi" w:hAnsiTheme="minorHAnsi"/>
          <w:sz w:val="18"/>
          <w:szCs w:val="18"/>
        </w:rPr>
      </w:pPr>
      <w:r w:rsidRPr="00231984">
        <w:rPr>
          <w:rFonts w:asciiTheme="minorHAnsi" w:hAnsiTheme="minorHAnsi"/>
          <w:sz w:val="18"/>
          <w:szCs w:val="18"/>
        </w:rPr>
        <w:t xml:space="preserve">Literatuuronderzoek </w:t>
      </w:r>
    </w:p>
    <w:p w:rsidRPr="00231984" w:rsidR="00923906" w:rsidP="00923906" w:rsidRDefault="00923906">
      <w:pPr>
        <w:pStyle w:val="Lijstalinea"/>
        <w:widowControl/>
        <w:numPr>
          <w:ilvl w:val="0"/>
          <w:numId w:val="3"/>
        </w:numPr>
        <w:spacing w:after="200" w:line="276" w:lineRule="auto"/>
        <w:rPr>
          <w:rFonts w:asciiTheme="minorHAnsi" w:hAnsiTheme="minorHAnsi"/>
          <w:sz w:val="18"/>
          <w:szCs w:val="18"/>
        </w:rPr>
      </w:pPr>
      <w:r w:rsidRPr="00231984">
        <w:rPr>
          <w:rFonts w:asciiTheme="minorHAnsi" w:hAnsiTheme="minorHAnsi"/>
          <w:sz w:val="18"/>
          <w:szCs w:val="18"/>
        </w:rPr>
        <w:t>Enquêtes onder (potentiële) gebruikers van de faciliteit</w:t>
      </w:r>
    </w:p>
    <w:p w:rsidRPr="00231984" w:rsidR="00923906" w:rsidP="00923906" w:rsidRDefault="00923906">
      <w:pPr>
        <w:pStyle w:val="Lijstalinea"/>
        <w:widowControl/>
        <w:numPr>
          <w:ilvl w:val="0"/>
          <w:numId w:val="3"/>
        </w:numPr>
        <w:spacing w:after="200" w:line="276" w:lineRule="auto"/>
        <w:rPr>
          <w:rFonts w:asciiTheme="minorHAnsi" w:hAnsiTheme="minorHAnsi"/>
          <w:sz w:val="18"/>
          <w:szCs w:val="18"/>
        </w:rPr>
      </w:pPr>
      <w:r w:rsidRPr="00231984">
        <w:rPr>
          <w:rFonts w:asciiTheme="minorHAnsi" w:hAnsiTheme="minorHAnsi"/>
          <w:sz w:val="18"/>
          <w:szCs w:val="18"/>
        </w:rPr>
        <w:t>Enquêtes onder overheidsgesteunde exportkredietfaciliteiten</w:t>
      </w:r>
      <w:r w:rsidRPr="00231984" w:rsidR="00792A5B">
        <w:rPr>
          <w:rFonts w:asciiTheme="minorHAnsi" w:hAnsiTheme="minorHAnsi"/>
          <w:sz w:val="18"/>
          <w:szCs w:val="18"/>
        </w:rPr>
        <w:t xml:space="preserve"> in het buitenland</w:t>
      </w:r>
    </w:p>
    <w:p w:rsidRPr="00231984" w:rsidR="00923906" w:rsidP="00923906" w:rsidRDefault="00923906">
      <w:pPr>
        <w:pStyle w:val="Lijstalinea"/>
        <w:widowControl/>
        <w:numPr>
          <w:ilvl w:val="0"/>
          <w:numId w:val="3"/>
        </w:numPr>
        <w:spacing w:after="200" w:line="276" w:lineRule="auto"/>
        <w:rPr>
          <w:rFonts w:asciiTheme="minorHAnsi" w:hAnsiTheme="minorHAnsi"/>
          <w:sz w:val="18"/>
          <w:szCs w:val="18"/>
        </w:rPr>
      </w:pPr>
      <w:r w:rsidRPr="00231984">
        <w:rPr>
          <w:rFonts w:asciiTheme="minorHAnsi" w:hAnsiTheme="minorHAnsi"/>
          <w:sz w:val="18"/>
          <w:szCs w:val="18"/>
        </w:rPr>
        <w:t>Kwantitatief onderzoek met ondersteuning van een onafhankelijke expert</w:t>
      </w:r>
    </w:p>
    <w:p w:rsidRPr="00231984" w:rsidR="00923906" w:rsidP="00923906" w:rsidRDefault="00654487">
      <w:pPr>
        <w:rPr>
          <w:rFonts w:asciiTheme="minorHAnsi" w:hAnsiTheme="minorHAnsi"/>
          <w:b/>
          <w:szCs w:val="18"/>
        </w:rPr>
      </w:pPr>
      <w:r w:rsidRPr="00231984">
        <w:rPr>
          <w:rFonts w:asciiTheme="minorHAnsi" w:hAnsiTheme="minorHAnsi"/>
          <w:b/>
          <w:szCs w:val="18"/>
        </w:rPr>
        <w:t>6</w:t>
      </w:r>
      <w:r w:rsidRPr="00231984" w:rsidR="00923906">
        <w:rPr>
          <w:rFonts w:asciiTheme="minorHAnsi" w:hAnsiTheme="minorHAnsi"/>
          <w:b/>
          <w:szCs w:val="18"/>
        </w:rPr>
        <w:t>.</w:t>
      </w:r>
      <w:r w:rsidRPr="00231984" w:rsidR="00923906">
        <w:rPr>
          <w:rFonts w:asciiTheme="minorHAnsi" w:hAnsiTheme="minorHAnsi"/>
          <w:b/>
          <w:szCs w:val="18"/>
        </w:rPr>
        <w:tab/>
        <w:t>Extern onderzoek en afbakening</w:t>
      </w:r>
    </w:p>
    <w:p w:rsidRPr="00231984" w:rsidR="00923906" w:rsidP="00923906" w:rsidRDefault="00923906">
      <w:pPr>
        <w:rPr>
          <w:rFonts w:asciiTheme="minorHAnsi" w:hAnsiTheme="minorHAnsi"/>
          <w:szCs w:val="18"/>
        </w:rPr>
      </w:pPr>
    </w:p>
    <w:p w:rsidRPr="00231984" w:rsidR="00923906" w:rsidP="00923906" w:rsidRDefault="00923906">
      <w:pPr>
        <w:rPr>
          <w:rFonts w:asciiTheme="minorHAnsi" w:hAnsiTheme="minorHAnsi"/>
          <w:szCs w:val="18"/>
        </w:rPr>
      </w:pPr>
      <w:r w:rsidRPr="00231984">
        <w:rPr>
          <w:rFonts w:asciiTheme="minorHAnsi" w:hAnsiTheme="minorHAnsi"/>
          <w:szCs w:val="18"/>
        </w:rPr>
        <w:t>De beleidsdoorlichting zal niet zozeer gericht zijn op de rol van individuele producten maar vooral op doeltreffendheid en doelmatigheid van het gehele instrumentarium. Om uitspraken te kunnen doen over de doeltreffendheid zal dit najaar kwantitatief onderzoek plaatsvinden naar de bijdrage van de ekv-faciliteit aan de Nederlandse economie. In omringende landen is dit soort onderzoek vaker verricht, in Nederland nog niet eerder</w:t>
      </w:r>
      <w:r w:rsidRPr="00231984" w:rsidR="00880162">
        <w:rPr>
          <w:rStyle w:val="Voetnootmarkering"/>
          <w:rFonts w:asciiTheme="minorHAnsi" w:hAnsiTheme="minorHAnsi"/>
          <w:szCs w:val="18"/>
        </w:rPr>
        <w:footnoteReference w:id="3"/>
      </w:r>
      <w:r w:rsidRPr="00231984">
        <w:rPr>
          <w:rFonts w:asciiTheme="minorHAnsi" w:hAnsiTheme="minorHAnsi"/>
          <w:szCs w:val="18"/>
        </w:rPr>
        <w:t xml:space="preserve">. Methodologisch is dit overigens lastig omdat een situatie zonder ekv-faciliteit ontbreekt. Om de kwaliteit en onafhankelijkheid van dit onderzoek te waarborgen worden externe </w:t>
      </w:r>
      <w:r w:rsidRPr="00231984" w:rsidR="00792A5B">
        <w:rPr>
          <w:rFonts w:asciiTheme="minorHAnsi" w:hAnsiTheme="minorHAnsi"/>
          <w:szCs w:val="18"/>
        </w:rPr>
        <w:t xml:space="preserve">onafhankelijke </w:t>
      </w:r>
      <w:r w:rsidRPr="00231984">
        <w:rPr>
          <w:rFonts w:asciiTheme="minorHAnsi" w:hAnsiTheme="minorHAnsi"/>
          <w:szCs w:val="18"/>
        </w:rPr>
        <w:t xml:space="preserve">deskundigen </w:t>
      </w:r>
      <w:r w:rsidRPr="00231984" w:rsidR="00792A5B">
        <w:rPr>
          <w:rFonts w:asciiTheme="minorHAnsi" w:hAnsiTheme="minorHAnsi"/>
          <w:szCs w:val="18"/>
        </w:rPr>
        <w:t>ingezet</w:t>
      </w:r>
      <w:r w:rsidRPr="00231984">
        <w:rPr>
          <w:rFonts w:asciiTheme="minorHAnsi" w:hAnsiTheme="minorHAnsi"/>
          <w:szCs w:val="18"/>
        </w:rPr>
        <w:t>.</w:t>
      </w:r>
    </w:p>
    <w:p w:rsidRPr="00231984" w:rsidR="00923906" w:rsidP="00923906" w:rsidRDefault="00923906">
      <w:pPr>
        <w:rPr>
          <w:rFonts w:asciiTheme="minorHAnsi" w:hAnsiTheme="minorHAnsi"/>
          <w:szCs w:val="18"/>
        </w:rPr>
      </w:pPr>
    </w:p>
    <w:p w:rsidRPr="00231984" w:rsidR="00923906" w:rsidP="00923906" w:rsidRDefault="00AF58FF">
      <w:pPr>
        <w:rPr>
          <w:rFonts w:asciiTheme="minorHAnsi" w:hAnsiTheme="minorHAnsi"/>
          <w:szCs w:val="18"/>
        </w:rPr>
      </w:pPr>
      <w:r w:rsidRPr="00231984">
        <w:rPr>
          <w:rFonts w:asciiTheme="minorHAnsi" w:hAnsiTheme="minorHAnsi"/>
          <w:szCs w:val="18"/>
        </w:rPr>
        <w:t xml:space="preserve">Naast kwantitatief onderzoek kunnen ook andere methodieken worden ingezet. </w:t>
      </w:r>
      <w:r w:rsidRPr="00231984" w:rsidR="00923906">
        <w:rPr>
          <w:rFonts w:asciiTheme="minorHAnsi" w:hAnsiTheme="minorHAnsi"/>
          <w:szCs w:val="18"/>
        </w:rPr>
        <w:t>Een andere manier om de doeltreffendheid van de regeling te beoordelen is om te bezien in hoeverre wordt voorzien in de behoeften van de Nederlandse exporteurs. Om deze vraag te beantwoorden zal gebruik worden gemaakt van enquêtes.</w:t>
      </w:r>
    </w:p>
    <w:p w:rsidRPr="00231984" w:rsidR="00923906" w:rsidP="00923906" w:rsidRDefault="00923906">
      <w:pPr>
        <w:rPr>
          <w:rFonts w:asciiTheme="minorHAnsi" w:hAnsiTheme="minorHAnsi"/>
          <w:szCs w:val="18"/>
        </w:rPr>
      </w:pPr>
    </w:p>
    <w:p w:rsidRPr="00231984" w:rsidR="00923906" w:rsidP="00131F05" w:rsidRDefault="00923906">
      <w:pPr>
        <w:rPr>
          <w:rFonts w:asciiTheme="minorHAnsi" w:hAnsiTheme="minorHAnsi"/>
          <w:szCs w:val="18"/>
        </w:rPr>
      </w:pPr>
      <w:r w:rsidRPr="00231984">
        <w:rPr>
          <w:rFonts w:asciiTheme="minorHAnsi" w:hAnsiTheme="minorHAnsi"/>
          <w:szCs w:val="18"/>
        </w:rPr>
        <w:t xml:space="preserve">Voor onderzoek naar de doelmatigheid </w:t>
      </w:r>
      <w:r w:rsidRPr="00231984" w:rsidR="00654DC3">
        <w:rPr>
          <w:rFonts w:asciiTheme="minorHAnsi" w:hAnsiTheme="minorHAnsi"/>
          <w:szCs w:val="18"/>
        </w:rPr>
        <w:t xml:space="preserve">(beleid en uitvoering) </w:t>
      </w:r>
      <w:r w:rsidRPr="00231984">
        <w:rPr>
          <w:rFonts w:asciiTheme="minorHAnsi" w:hAnsiTheme="minorHAnsi"/>
          <w:szCs w:val="18"/>
        </w:rPr>
        <w:t>van de ekv-faciliteit</w:t>
      </w:r>
      <w:r w:rsidRPr="00231984" w:rsidR="00EC2292">
        <w:rPr>
          <w:rFonts w:asciiTheme="minorHAnsi" w:hAnsiTheme="minorHAnsi"/>
          <w:szCs w:val="18"/>
        </w:rPr>
        <w:t xml:space="preserve"> </w:t>
      </w:r>
      <w:r w:rsidRPr="00231984">
        <w:rPr>
          <w:rFonts w:asciiTheme="minorHAnsi" w:hAnsiTheme="minorHAnsi"/>
          <w:szCs w:val="18"/>
        </w:rPr>
        <w:t>zijn uiteraard de financiële resultaten</w:t>
      </w:r>
      <w:r w:rsidRPr="00231984" w:rsidR="003D37A9">
        <w:rPr>
          <w:rFonts w:asciiTheme="minorHAnsi" w:hAnsiTheme="minorHAnsi"/>
          <w:szCs w:val="18"/>
        </w:rPr>
        <w:t xml:space="preserve"> </w:t>
      </w:r>
      <w:r w:rsidRPr="00231984" w:rsidR="00AF58FF">
        <w:rPr>
          <w:rFonts w:asciiTheme="minorHAnsi" w:hAnsiTheme="minorHAnsi"/>
          <w:szCs w:val="18"/>
        </w:rPr>
        <w:t xml:space="preserve">de </w:t>
      </w:r>
      <w:r w:rsidRPr="00231984" w:rsidR="00131F05">
        <w:rPr>
          <w:rFonts w:asciiTheme="minorHAnsi" w:hAnsiTheme="minorHAnsi"/>
          <w:szCs w:val="18"/>
        </w:rPr>
        <w:t xml:space="preserve">belangrijkste </w:t>
      </w:r>
      <w:r w:rsidRPr="00231984" w:rsidR="00AF58FF">
        <w:rPr>
          <w:rFonts w:asciiTheme="minorHAnsi" w:hAnsiTheme="minorHAnsi"/>
          <w:szCs w:val="18"/>
        </w:rPr>
        <w:t>maatstaf</w:t>
      </w:r>
      <w:r w:rsidRPr="00231984">
        <w:rPr>
          <w:rFonts w:asciiTheme="minorHAnsi" w:hAnsiTheme="minorHAnsi"/>
          <w:szCs w:val="18"/>
        </w:rPr>
        <w:t xml:space="preserve">. Internationaal is </w:t>
      </w:r>
      <w:r w:rsidRPr="00231984" w:rsidR="007A6D27">
        <w:rPr>
          <w:rFonts w:asciiTheme="minorHAnsi" w:hAnsiTheme="minorHAnsi"/>
          <w:szCs w:val="18"/>
        </w:rPr>
        <w:t xml:space="preserve">zoals beschreven </w:t>
      </w:r>
      <w:r w:rsidRPr="00231984">
        <w:rPr>
          <w:rFonts w:asciiTheme="minorHAnsi" w:hAnsiTheme="minorHAnsi"/>
          <w:szCs w:val="18"/>
        </w:rPr>
        <w:t>vastgelegd dat de ekv-faciliteit ten minste kostendekkend moet worden aangeboden en bovendien zijn voor de transacties minimumpremies vastgelegd of een met</w:t>
      </w:r>
      <w:r w:rsidRPr="00231984" w:rsidR="00131F05">
        <w:rPr>
          <w:rFonts w:asciiTheme="minorHAnsi" w:hAnsiTheme="minorHAnsi"/>
          <w:szCs w:val="18"/>
        </w:rPr>
        <w:t xml:space="preserve">hode om de premie te berekenen. In 1999 zijn </w:t>
      </w:r>
      <w:r w:rsidRPr="00231984" w:rsidR="007A6D27">
        <w:rPr>
          <w:rFonts w:asciiTheme="minorHAnsi" w:hAnsiTheme="minorHAnsi"/>
          <w:szCs w:val="18"/>
        </w:rPr>
        <w:t xml:space="preserve">hiervoor </w:t>
      </w:r>
      <w:r w:rsidRPr="00231984" w:rsidR="00131F05">
        <w:rPr>
          <w:rFonts w:asciiTheme="minorHAnsi" w:hAnsiTheme="minorHAnsi"/>
          <w:szCs w:val="18"/>
        </w:rPr>
        <w:t>nieuwe internationale afspraken van kracht geworden en sindsdien is de regeling in Nederland inderdaad kostendekkend aangeboden, met voor de begroting van Financiën doorgaans een positief kasresultaat als gevolg. Met andere woorden, de som van premie-inkomsten en provenu</w:t>
      </w:r>
      <w:r w:rsidRPr="00231984" w:rsidR="00C04BD2">
        <w:rPr>
          <w:rFonts w:asciiTheme="minorHAnsi" w:hAnsiTheme="minorHAnsi"/>
          <w:szCs w:val="18"/>
        </w:rPr>
        <w:t>e</w:t>
      </w:r>
      <w:r w:rsidRPr="00231984" w:rsidR="00131F05">
        <w:rPr>
          <w:rFonts w:asciiTheme="minorHAnsi" w:hAnsiTheme="minorHAnsi"/>
          <w:szCs w:val="18"/>
        </w:rPr>
        <w:t xml:space="preserve">n is groter dan uitgekeerde schades en uitvoeringskosten. Dat geeft echter geen volledig beeld, aangezien tegenover premie-inkomsten ook verplichtingen staan. Om dit </w:t>
      </w:r>
      <w:r w:rsidRPr="00231984" w:rsidR="007A6D27">
        <w:rPr>
          <w:rFonts w:asciiTheme="minorHAnsi" w:hAnsiTheme="minorHAnsi"/>
          <w:szCs w:val="18"/>
        </w:rPr>
        <w:t xml:space="preserve">beter </w:t>
      </w:r>
      <w:r w:rsidRPr="00231984" w:rsidR="00131F05">
        <w:rPr>
          <w:rFonts w:asciiTheme="minorHAnsi" w:hAnsiTheme="minorHAnsi"/>
          <w:szCs w:val="18"/>
        </w:rPr>
        <w:t xml:space="preserve">te kunnen beoordelen </w:t>
      </w:r>
      <w:r w:rsidRPr="00231984">
        <w:rPr>
          <w:rFonts w:asciiTheme="minorHAnsi" w:hAnsiTheme="minorHAnsi"/>
          <w:szCs w:val="18"/>
        </w:rPr>
        <w:t xml:space="preserve">wordt </w:t>
      </w:r>
      <w:r w:rsidRPr="00231984" w:rsidR="007A6D27">
        <w:rPr>
          <w:rFonts w:asciiTheme="minorHAnsi" w:hAnsiTheme="minorHAnsi"/>
          <w:szCs w:val="18"/>
        </w:rPr>
        <w:t xml:space="preserve">daarom </w:t>
      </w:r>
      <w:r w:rsidRPr="00231984">
        <w:rPr>
          <w:rFonts w:asciiTheme="minorHAnsi" w:hAnsiTheme="minorHAnsi"/>
          <w:szCs w:val="18"/>
        </w:rPr>
        <w:t xml:space="preserve">jaarlijks </w:t>
      </w:r>
      <w:r w:rsidRPr="00231984" w:rsidR="00131F05">
        <w:rPr>
          <w:rFonts w:asciiTheme="minorHAnsi" w:hAnsiTheme="minorHAnsi"/>
          <w:szCs w:val="18"/>
        </w:rPr>
        <w:t xml:space="preserve">met behulp van het zogeheten </w:t>
      </w:r>
      <w:r w:rsidRPr="00231984">
        <w:rPr>
          <w:rFonts w:asciiTheme="minorHAnsi" w:hAnsiTheme="minorHAnsi"/>
          <w:szCs w:val="18"/>
        </w:rPr>
        <w:t>BERB-model (bedrijfseconomische resultaatbepaling)</w:t>
      </w:r>
      <w:r w:rsidRPr="00231984" w:rsidR="00131F05">
        <w:rPr>
          <w:rFonts w:asciiTheme="minorHAnsi" w:hAnsiTheme="minorHAnsi"/>
          <w:szCs w:val="18"/>
        </w:rPr>
        <w:t xml:space="preserve"> een inschatting </w:t>
      </w:r>
      <w:r w:rsidRPr="00231984" w:rsidR="007A6D27">
        <w:rPr>
          <w:rFonts w:asciiTheme="minorHAnsi" w:hAnsiTheme="minorHAnsi"/>
          <w:szCs w:val="18"/>
        </w:rPr>
        <w:t xml:space="preserve">gemaakt </w:t>
      </w:r>
      <w:r w:rsidRPr="00231984" w:rsidR="00131F05">
        <w:rPr>
          <w:rFonts w:asciiTheme="minorHAnsi" w:hAnsiTheme="minorHAnsi"/>
          <w:szCs w:val="18"/>
        </w:rPr>
        <w:t xml:space="preserve">van de kostendekkendheid inclusief </w:t>
      </w:r>
      <w:r w:rsidRPr="00231984" w:rsidR="007A6D27">
        <w:rPr>
          <w:rFonts w:asciiTheme="minorHAnsi" w:hAnsiTheme="minorHAnsi"/>
          <w:szCs w:val="18"/>
        </w:rPr>
        <w:t xml:space="preserve">uitstaande </w:t>
      </w:r>
      <w:r w:rsidRPr="00231984" w:rsidR="00131F05">
        <w:rPr>
          <w:rFonts w:asciiTheme="minorHAnsi" w:hAnsiTheme="minorHAnsi"/>
          <w:szCs w:val="18"/>
        </w:rPr>
        <w:t>risico’s</w:t>
      </w:r>
      <w:r w:rsidRPr="00231984">
        <w:rPr>
          <w:rFonts w:asciiTheme="minorHAnsi" w:hAnsiTheme="minorHAnsi"/>
          <w:szCs w:val="18"/>
        </w:rPr>
        <w:t xml:space="preserve">. </w:t>
      </w:r>
      <w:r w:rsidRPr="00231984" w:rsidR="00AF58FF">
        <w:rPr>
          <w:rFonts w:asciiTheme="minorHAnsi" w:hAnsiTheme="minorHAnsi"/>
          <w:szCs w:val="18"/>
        </w:rPr>
        <w:t xml:space="preserve">Deze berekening maakt onderdeel uit van kengetallen binnen begrotingsartikel 5 en </w:t>
      </w:r>
      <w:r w:rsidRPr="00231984" w:rsidR="00131F05">
        <w:rPr>
          <w:rFonts w:asciiTheme="minorHAnsi" w:hAnsiTheme="minorHAnsi"/>
          <w:szCs w:val="18"/>
        </w:rPr>
        <w:t>levert een positief resultaat op.</w:t>
      </w:r>
    </w:p>
    <w:p w:rsidRPr="00231984" w:rsidR="00923906" w:rsidP="00923906" w:rsidRDefault="00923906">
      <w:pPr>
        <w:rPr>
          <w:rFonts w:asciiTheme="minorHAnsi" w:hAnsiTheme="minorHAnsi"/>
          <w:szCs w:val="18"/>
        </w:rPr>
      </w:pPr>
    </w:p>
    <w:p w:rsidRPr="00231984" w:rsidR="00923906" w:rsidP="00923906" w:rsidRDefault="00131F05">
      <w:pPr>
        <w:rPr>
          <w:rFonts w:asciiTheme="minorHAnsi" w:hAnsiTheme="minorHAnsi"/>
          <w:szCs w:val="18"/>
        </w:rPr>
      </w:pPr>
      <w:r w:rsidRPr="00231984">
        <w:rPr>
          <w:rFonts w:asciiTheme="minorHAnsi" w:hAnsiTheme="minorHAnsi"/>
          <w:szCs w:val="18"/>
        </w:rPr>
        <w:lastRenderedPageBreak/>
        <w:t>D</w:t>
      </w:r>
      <w:r w:rsidRPr="00231984" w:rsidR="00923906">
        <w:rPr>
          <w:rFonts w:asciiTheme="minorHAnsi" w:hAnsiTheme="minorHAnsi"/>
          <w:szCs w:val="18"/>
        </w:rPr>
        <w:t xml:space="preserve">e mogelijkheden om te sturen op de financiële resultaten van de ekv-faciliteit </w:t>
      </w:r>
      <w:r w:rsidRPr="00231984">
        <w:rPr>
          <w:rFonts w:asciiTheme="minorHAnsi" w:hAnsiTheme="minorHAnsi"/>
          <w:szCs w:val="18"/>
        </w:rPr>
        <w:t xml:space="preserve">zijn </w:t>
      </w:r>
      <w:r w:rsidRPr="00231984" w:rsidR="00AF58FF">
        <w:rPr>
          <w:rFonts w:asciiTheme="minorHAnsi" w:hAnsiTheme="minorHAnsi"/>
          <w:szCs w:val="18"/>
        </w:rPr>
        <w:t xml:space="preserve">overigens </w:t>
      </w:r>
      <w:r w:rsidRPr="00231984" w:rsidR="00923906">
        <w:rPr>
          <w:rFonts w:asciiTheme="minorHAnsi" w:hAnsiTheme="minorHAnsi"/>
          <w:szCs w:val="18"/>
        </w:rPr>
        <w:t xml:space="preserve">beperkt. Lagere premies vragen kan in beginsel niet (in strijd met </w:t>
      </w:r>
      <w:r w:rsidRPr="00231984">
        <w:rPr>
          <w:rFonts w:asciiTheme="minorHAnsi" w:hAnsiTheme="minorHAnsi"/>
          <w:szCs w:val="18"/>
        </w:rPr>
        <w:t>internationale</w:t>
      </w:r>
      <w:r w:rsidRPr="00231984" w:rsidR="00923906">
        <w:rPr>
          <w:rFonts w:asciiTheme="minorHAnsi" w:hAnsiTheme="minorHAnsi"/>
          <w:szCs w:val="18"/>
        </w:rPr>
        <w:t xml:space="preserve"> regelgeving) en hogere premies zouden ceteris paribus leiden tot meer inkomsten voor de staat maar ook tot een verslechtering van de concurrentiepositie van Nederlandse exporteurs. De ‘knop om aan te draaien’ is daarmee vooral de afweging of risico’s al dan niet geaccepteerd worden. Het is </w:t>
      </w:r>
      <w:r w:rsidRPr="00231984" w:rsidR="00AF58FF">
        <w:rPr>
          <w:rFonts w:asciiTheme="minorHAnsi" w:hAnsiTheme="minorHAnsi"/>
          <w:szCs w:val="18"/>
        </w:rPr>
        <w:t xml:space="preserve">daarom </w:t>
      </w:r>
      <w:r w:rsidRPr="00231984" w:rsidR="00632182">
        <w:rPr>
          <w:rFonts w:asciiTheme="minorHAnsi" w:hAnsiTheme="minorHAnsi"/>
          <w:szCs w:val="18"/>
        </w:rPr>
        <w:t xml:space="preserve"> belangrijk </w:t>
      </w:r>
      <w:r w:rsidRPr="00231984" w:rsidR="00923906">
        <w:rPr>
          <w:rFonts w:asciiTheme="minorHAnsi" w:hAnsiTheme="minorHAnsi"/>
          <w:szCs w:val="18"/>
        </w:rPr>
        <w:t xml:space="preserve">om </w:t>
      </w:r>
      <w:r w:rsidRPr="00231984" w:rsidR="00632182">
        <w:rPr>
          <w:rFonts w:asciiTheme="minorHAnsi" w:hAnsiTheme="minorHAnsi"/>
          <w:szCs w:val="18"/>
        </w:rPr>
        <w:t xml:space="preserve">ook </w:t>
      </w:r>
      <w:r w:rsidRPr="00231984" w:rsidR="00923906">
        <w:rPr>
          <w:rFonts w:asciiTheme="minorHAnsi" w:hAnsiTheme="minorHAnsi"/>
          <w:szCs w:val="18"/>
        </w:rPr>
        <w:t xml:space="preserve">het risicomanagement te evalueren.  </w:t>
      </w:r>
    </w:p>
    <w:p w:rsidRPr="00231984" w:rsidR="00704D26" w:rsidP="00923906" w:rsidRDefault="00704D26">
      <w:pPr>
        <w:rPr>
          <w:rFonts w:asciiTheme="minorHAnsi" w:hAnsiTheme="minorHAnsi"/>
          <w:szCs w:val="18"/>
        </w:rPr>
      </w:pPr>
    </w:p>
    <w:p w:rsidRPr="00231984" w:rsidR="00EC2292" w:rsidP="00923906" w:rsidRDefault="00632182">
      <w:pPr>
        <w:rPr>
          <w:rFonts w:asciiTheme="minorHAnsi" w:hAnsiTheme="minorHAnsi"/>
          <w:szCs w:val="18"/>
        </w:rPr>
      </w:pPr>
      <w:r w:rsidRPr="00231984">
        <w:rPr>
          <w:rFonts w:asciiTheme="minorHAnsi" w:hAnsiTheme="minorHAnsi"/>
          <w:szCs w:val="18"/>
        </w:rPr>
        <w:t xml:space="preserve">Bij het voorkomen en recupereren van schades heeft de staat doorgaans een sterke onderhandelingspositie. Dit is onder ander het gevolg van internationale samenwerking binnen de Club van Parijs. Door de relatief hoge recuperatiegraad verschilt de ekv-faciliteit ook substantieel van andere garantieregelingen binnen de overheid. In het kader van de doelmatigheid zal ook het beleid ten aanzien van schadepreventie en recuperaties worden geëvalueerd. </w:t>
      </w:r>
    </w:p>
    <w:p w:rsidRPr="00231984" w:rsidR="00EC2292" w:rsidP="00923906" w:rsidRDefault="00EC2292">
      <w:pPr>
        <w:rPr>
          <w:rFonts w:asciiTheme="minorHAnsi" w:hAnsiTheme="minorHAnsi"/>
          <w:szCs w:val="18"/>
        </w:rPr>
      </w:pPr>
    </w:p>
    <w:p w:rsidRPr="00231984" w:rsidR="00704D26" w:rsidP="00923906" w:rsidRDefault="00704D26">
      <w:pPr>
        <w:rPr>
          <w:rFonts w:asciiTheme="minorHAnsi" w:hAnsiTheme="minorHAnsi"/>
          <w:szCs w:val="18"/>
        </w:rPr>
      </w:pPr>
      <w:r w:rsidRPr="00231984">
        <w:rPr>
          <w:rFonts w:asciiTheme="minorHAnsi" w:hAnsiTheme="minorHAnsi"/>
          <w:szCs w:val="18"/>
        </w:rPr>
        <w:t xml:space="preserve">Een scenario-analyse waarbij de gevolgen worden onderzocht van een vermindering van de beschikbare budgettaire middelen </w:t>
      </w:r>
      <w:r w:rsidRPr="00231984" w:rsidR="00265410">
        <w:rPr>
          <w:rFonts w:asciiTheme="minorHAnsi" w:hAnsiTheme="minorHAnsi"/>
          <w:szCs w:val="18"/>
        </w:rPr>
        <w:t xml:space="preserve">hoeft bij </w:t>
      </w:r>
      <w:r w:rsidRPr="00231984">
        <w:rPr>
          <w:rFonts w:asciiTheme="minorHAnsi" w:hAnsiTheme="minorHAnsi"/>
          <w:szCs w:val="18"/>
        </w:rPr>
        <w:t>de ekv-faciliteit</w:t>
      </w:r>
      <w:r w:rsidRPr="00231984" w:rsidR="007D37FC">
        <w:rPr>
          <w:rFonts w:asciiTheme="minorHAnsi" w:hAnsiTheme="minorHAnsi"/>
          <w:szCs w:val="18"/>
        </w:rPr>
        <w:t xml:space="preserve"> </w:t>
      </w:r>
      <w:r w:rsidRPr="00231984" w:rsidR="00265410">
        <w:rPr>
          <w:rFonts w:asciiTheme="minorHAnsi" w:hAnsiTheme="minorHAnsi"/>
          <w:szCs w:val="18"/>
        </w:rPr>
        <w:t>niet te leiden tot een besparing voor de rijksbegroting</w:t>
      </w:r>
      <w:r w:rsidRPr="00231984">
        <w:rPr>
          <w:rFonts w:asciiTheme="minorHAnsi" w:hAnsiTheme="minorHAnsi"/>
          <w:szCs w:val="18"/>
        </w:rPr>
        <w:t xml:space="preserve">. Er is immers geen sprake van netto uitgaven door de rijksoverheid. </w:t>
      </w:r>
      <w:r w:rsidRPr="00231984" w:rsidR="002B129F">
        <w:rPr>
          <w:rFonts w:asciiTheme="minorHAnsi" w:hAnsiTheme="minorHAnsi"/>
          <w:szCs w:val="18"/>
        </w:rPr>
        <w:t>Derhalve moet nog worden bezien op welke wijze invulling wordt gegeven aan een dergelijke scenario-analyse.</w:t>
      </w:r>
    </w:p>
    <w:p w:rsidRPr="00231984" w:rsidR="00923906" w:rsidP="00923906" w:rsidRDefault="00923906">
      <w:pPr>
        <w:rPr>
          <w:rFonts w:asciiTheme="minorHAnsi" w:hAnsiTheme="minorHAnsi"/>
          <w:szCs w:val="18"/>
        </w:rPr>
      </w:pPr>
    </w:p>
    <w:p w:rsidRPr="00231984" w:rsidR="00131F05" w:rsidP="00923906" w:rsidRDefault="00131F05">
      <w:pPr>
        <w:rPr>
          <w:rFonts w:asciiTheme="minorHAnsi" w:hAnsiTheme="minorHAnsi"/>
          <w:szCs w:val="18"/>
        </w:rPr>
      </w:pPr>
    </w:p>
    <w:p w:rsidRPr="00231984" w:rsidR="00923906" w:rsidP="00923906" w:rsidRDefault="00654487">
      <w:pPr>
        <w:spacing w:after="200" w:line="276" w:lineRule="auto"/>
        <w:rPr>
          <w:rFonts w:asciiTheme="minorHAnsi" w:hAnsiTheme="minorHAnsi"/>
          <w:b/>
          <w:szCs w:val="18"/>
        </w:rPr>
      </w:pPr>
      <w:r w:rsidRPr="00231984">
        <w:rPr>
          <w:rFonts w:asciiTheme="minorHAnsi" w:hAnsiTheme="minorHAnsi"/>
          <w:b/>
          <w:szCs w:val="18"/>
        </w:rPr>
        <w:t>7</w:t>
      </w:r>
      <w:r w:rsidRPr="00231984" w:rsidR="00923906">
        <w:rPr>
          <w:rFonts w:asciiTheme="minorHAnsi" w:hAnsiTheme="minorHAnsi"/>
          <w:b/>
          <w:szCs w:val="18"/>
        </w:rPr>
        <w:t>.</w:t>
      </w:r>
      <w:r w:rsidRPr="00231984" w:rsidR="00923906">
        <w:rPr>
          <w:rFonts w:asciiTheme="minorHAnsi" w:hAnsiTheme="minorHAnsi"/>
          <w:b/>
          <w:szCs w:val="18"/>
        </w:rPr>
        <w:tab/>
        <w:t>Proces en onafhankelijkheid</w:t>
      </w:r>
    </w:p>
    <w:p w:rsidRPr="00231984" w:rsidR="00923906" w:rsidP="00923906" w:rsidRDefault="00923906">
      <w:pPr>
        <w:spacing w:line="276" w:lineRule="auto"/>
        <w:rPr>
          <w:rFonts w:asciiTheme="minorHAnsi" w:hAnsiTheme="minorHAnsi"/>
          <w:szCs w:val="18"/>
        </w:rPr>
      </w:pPr>
      <w:r w:rsidRPr="00231984">
        <w:rPr>
          <w:rFonts w:asciiTheme="minorHAnsi" w:hAnsiTheme="minorHAnsi"/>
          <w:szCs w:val="18"/>
        </w:rPr>
        <w:t xml:space="preserve">De beleidsdoorlichting wordt begeleid door een stuurgroep waarin zowel ambtenaren van het ministerie van Financiën als externen vertegenwoordigd zullen zijn. Deze stuurgroep zal toezien op de kwaliteit van de beleidsdoorlichting. </w:t>
      </w:r>
      <w:r w:rsidRPr="00231984" w:rsidR="00792A5B">
        <w:rPr>
          <w:rFonts w:asciiTheme="minorHAnsi" w:hAnsiTheme="minorHAnsi"/>
          <w:szCs w:val="18"/>
        </w:rPr>
        <w:t>Ook een externe onafhankelijke deskundige zal onderdeel van de stuurgroep zijn en conform de RPE zijn oordeel over kwaliteit en onafhankelijkheid geven; dit oordeel zal als bijlage worden verstrekt aan uw Kamer.</w:t>
      </w:r>
      <w:r w:rsidRPr="00231984" w:rsidR="00880162">
        <w:rPr>
          <w:rFonts w:asciiTheme="minorHAnsi" w:hAnsiTheme="minorHAnsi"/>
          <w:szCs w:val="18"/>
        </w:rPr>
        <w:t xml:space="preserve"> </w:t>
      </w:r>
      <w:r w:rsidRPr="00231984" w:rsidR="00792A5B">
        <w:rPr>
          <w:rFonts w:asciiTheme="minorHAnsi" w:hAnsiTheme="minorHAnsi"/>
          <w:szCs w:val="18"/>
        </w:rPr>
        <w:t>Kwantitatief onderzoek wordt eveneens verricht door een externe en onafhankelijke deskundige.</w:t>
      </w:r>
    </w:p>
    <w:p w:rsidRPr="00231984" w:rsidR="00923906" w:rsidP="00923906" w:rsidRDefault="00923906">
      <w:pPr>
        <w:spacing w:line="276" w:lineRule="auto"/>
        <w:rPr>
          <w:rFonts w:asciiTheme="minorHAnsi" w:hAnsiTheme="minorHAnsi"/>
          <w:szCs w:val="18"/>
        </w:rPr>
      </w:pPr>
    </w:p>
    <w:p w:rsidRPr="00231984" w:rsidR="00923906" w:rsidP="00923906" w:rsidRDefault="00923906">
      <w:pPr>
        <w:spacing w:line="276" w:lineRule="auto"/>
        <w:rPr>
          <w:rFonts w:asciiTheme="minorHAnsi" w:hAnsiTheme="minorHAnsi"/>
          <w:szCs w:val="18"/>
        </w:rPr>
      </w:pPr>
      <w:r w:rsidRPr="00231984">
        <w:rPr>
          <w:rFonts w:asciiTheme="minorHAnsi" w:hAnsiTheme="minorHAnsi"/>
          <w:szCs w:val="18"/>
        </w:rPr>
        <w:t>De beleidsdoorlichting en met name het kwantitatieve onderzoek zal dit najaar van start gaan. Het eindresultaat zal eind 2016 naar de Tweede Kamer verstuurd worden.</w:t>
      </w:r>
    </w:p>
    <w:p w:rsidRPr="00231984" w:rsidR="00A17C6E" w:rsidRDefault="00A17C6E">
      <w:pPr>
        <w:rPr>
          <w:rFonts w:asciiTheme="minorHAnsi" w:hAnsiTheme="minorHAnsi"/>
          <w:szCs w:val="18"/>
        </w:rPr>
      </w:pPr>
    </w:p>
    <w:sectPr w:rsidRPr="00231984" w:rsidR="00A17C6E"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C33" w:rsidRDefault="00586C33" w:rsidP="00923906">
      <w:pPr>
        <w:spacing w:line="240" w:lineRule="auto"/>
      </w:pPr>
      <w:r>
        <w:separator/>
      </w:r>
    </w:p>
  </w:endnote>
  <w:endnote w:type="continuationSeparator" w:id="0">
    <w:p w:rsidR="00586C33" w:rsidRDefault="00586C33" w:rsidP="009239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C33" w:rsidRDefault="00586C33" w:rsidP="00923906">
      <w:pPr>
        <w:spacing w:line="240" w:lineRule="auto"/>
      </w:pPr>
      <w:r>
        <w:separator/>
      </w:r>
    </w:p>
  </w:footnote>
  <w:footnote w:type="continuationSeparator" w:id="0">
    <w:p w:rsidR="00586C33" w:rsidRDefault="00586C33" w:rsidP="00923906">
      <w:pPr>
        <w:spacing w:line="240" w:lineRule="auto"/>
      </w:pPr>
      <w:r>
        <w:continuationSeparator/>
      </w:r>
    </w:p>
  </w:footnote>
  <w:footnote w:id="1">
    <w:p w:rsidR="003D37A9" w:rsidRDefault="003D37A9" w:rsidP="00923906">
      <w:pPr>
        <w:pStyle w:val="Voetnoottekst"/>
      </w:pPr>
      <w:r>
        <w:rPr>
          <w:rStyle w:val="Voetnootmarkering"/>
        </w:rPr>
        <w:footnoteRef/>
      </w:r>
      <w:r>
        <w:t xml:space="preserve"> In de begroting wordt het instrumentarium onderverdeeld in exportkredietverzekeringen, investeringsverzekeringen en MIGA. Onder de exportkredietverzekeringen worden echter verschillende producten aangeboden zoals de kapitaalgoederenverzekering, koersrisicoverzekering en exportkredietgarantie. Zie voor een volledig overzicht de website van Atradius DSB: </w:t>
      </w:r>
      <w:r w:rsidRPr="006140D9">
        <w:t>http://www.atradiusdutchstatebusiness.nl/producten/index.html</w:t>
      </w:r>
    </w:p>
  </w:footnote>
  <w:footnote w:id="2">
    <w:p w:rsidR="003D37A9" w:rsidRDefault="003D37A9">
      <w:pPr>
        <w:pStyle w:val="Voetnoottekst"/>
      </w:pPr>
      <w:r>
        <w:rPr>
          <w:rStyle w:val="Voetnootmarkering"/>
        </w:rPr>
        <w:footnoteRef/>
      </w:r>
      <w:r>
        <w:t xml:space="preserve"> De inkomsten en uitgaven met betrekking tot de Seno-Gom faciliteit worden hierbij buiten beschouwing gelaten. Deze faciliteit is overgenomen van de begroting van destijds EZ</w:t>
      </w:r>
      <w:r w:rsidR="00891BF0">
        <w:t>,</w:t>
      </w:r>
      <w:r>
        <w:t xml:space="preserve"> </w:t>
      </w:r>
      <w:r w:rsidR="00891BF0">
        <w:t xml:space="preserve">er </w:t>
      </w:r>
      <w:r>
        <w:t>worden geen nieuwe verplichtingen meer aangegaan</w:t>
      </w:r>
      <w:r w:rsidR="00C72CAD">
        <w:t xml:space="preserve"> </w:t>
      </w:r>
      <w:r>
        <w:t>en valt als zodanig buiten de scope van de beleidsdoorlichting.</w:t>
      </w:r>
    </w:p>
  </w:footnote>
  <w:footnote w:id="3">
    <w:p w:rsidR="003D37A9" w:rsidRDefault="003D37A9">
      <w:pPr>
        <w:pStyle w:val="Voetnoottekst"/>
      </w:pPr>
      <w:r>
        <w:rPr>
          <w:rStyle w:val="Voetnootmarkering"/>
        </w:rPr>
        <w:footnoteRef/>
      </w:r>
      <w:r w:rsidRPr="00880162">
        <w:rPr>
          <w:lang w:val="en-US"/>
        </w:rPr>
        <w:t xml:space="preserve"> </w:t>
      </w:r>
      <w:r w:rsidRPr="00880162">
        <w:rPr>
          <w:rStyle w:val="docbaseauthor"/>
          <w:rFonts w:eastAsiaTheme="majorEastAsia"/>
          <w:lang w:val="en-US"/>
        </w:rPr>
        <w:t xml:space="preserve">Erdal Yalcin, Gabriel Felbermayr, </w:t>
      </w:r>
      <w:r w:rsidRPr="00880162">
        <w:rPr>
          <w:rStyle w:val="docbasetitle"/>
          <w:rFonts w:eastAsiaTheme="majorEastAsia"/>
          <w:lang w:val="en-US"/>
        </w:rPr>
        <w:t xml:space="preserve">"Export Credit Guarantees and Export Performance: An Empirical Analysis for Germany", </w:t>
      </w:r>
      <w:r w:rsidRPr="00880162">
        <w:rPr>
          <w:rStyle w:val="docbasetitle"/>
          <w:rFonts w:eastAsiaTheme="majorEastAsia"/>
          <w:i/>
          <w:iCs/>
          <w:lang w:val="en-US"/>
        </w:rPr>
        <w:t>The World Economy 36 (8)</w:t>
      </w:r>
      <w:r w:rsidRPr="00880162">
        <w:rPr>
          <w:rStyle w:val="docbasetitle"/>
          <w:rFonts w:eastAsiaTheme="majorEastAsia"/>
          <w:lang w:val="en-US"/>
        </w:rPr>
        <w:t xml:space="preserve">, 2013, 967–999. </w:t>
      </w:r>
      <w:r>
        <w:rPr>
          <w:rStyle w:val="docbasetitle"/>
          <w:rFonts w:eastAsiaTheme="majorEastAsia"/>
        </w:rPr>
        <w:t xml:space="preserve">EKF’s impact on the Danish Economy, Copenhagen Economics, July 2011.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A55FE"/>
    <w:multiLevelType w:val="hybridMultilevel"/>
    <w:tmpl w:val="77C4114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38364001"/>
    <w:multiLevelType w:val="hybridMultilevel"/>
    <w:tmpl w:val="515EE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C0F1734"/>
    <w:multiLevelType w:val="hybridMultilevel"/>
    <w:tmpl w:val="9202FD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6E0177C1"/>
    <w:multiLevelType w:val="hybridMultilevel"/>
    <w:tmpl w:val="F800C276"/>
    <w:lvl w:ilvl="0" w:tplc="04130017">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efaultTabStop w:val="708"/>
  <w:hyphenationZone w:val="425"/>
  <w:characterSpacingControl w:val="doNotCompress"/>
  <w:footnotePr>
    <w:footnote w:id="-1"/>
    <w:footnote w:id="0"/>
  </w:footnotePr>
  <w:endnotePr>
    <w:endnote w:id="-1"/>
    <w:endnote w:id="0"/>
  </w:endnotePr>
  <w:compat/>
  <w:rsids>
    <w:rsidRoot w:val="00923906"/>
    <w:rsid w:val="00007365"/>
    <w:rsid w:val="000521D6"/>
    <w:rsid w:val="000851DA"/>
    <w:rsid w:val="000C68D1"/>
    <w:rsid w:val="000D2C0C"/>
    <w:rsid w:val="000E030D"/>
    <w:rsid w:val="00131F05"/>
    <w:rsid w:val="0019607D"/>
    <w:rsid w:val="00220542"/>
    <w:rsid w:val="00231984"/>
    <w:rsid w:val="00265410"/>
    <w:rsid w:val="002B129F"/>
    <w:rsid w:val="002E6EEE"/>
    <w:rsid w:val="0035659C"/>
    <w:rsid w:val="003B5517"/>
    <w:rsid w:val="003D37A9"/>
    <w:rsid w:val="0041392D"/>
    <w:rsid w:val="00482550"/>
    <w:rsid w:val="00494C1A"/>
    <w:rsid w:val="00494F17"/>
    <w:rsid w:val="004B755F"/>
    <w:rsid w:val="004F4C84"/>
    <w:rsid w:val="004F556A"/>
    <w:rsid w:val="00574628"/>
    <w:rsid w:val="00586C33"/>
    <w:rsid w:val="005C354C"/>
    <w:rsid w:val="00632182"/>
    <w:rsid w:val="00654487"/>
    <w:rsid w:val="00654DC3"/>
    <w:rsid w:val="006578C9"/>
    <w:rsid w:val="006807A3"/>
    <w:rsid w:val="0068175F"/>
    <w:rsid w:val="006B5866"/>
    <w:rsid w:val="00704D26"/>
    <w:rsid w:val="00725297"/>
    <w:rsid w:val="00756389"/>
    <w:rsid w:val="00763E32"/>
    <w:rsid w:val="00767973"/>
    <w:rsid w:val="00791972"/>
    <w:rsid w:val="00792A5B"/>
    <w:rsid w:val="007A6D27"/>
    <w:rsid w:val="007D0A4E"/>
    <w:rsid w:val="007D37FC"/>
    <w:rsid w:val="007E39A2"/>
    <w:rsid w:val="00880162"/>
    <w:rsid w:val="008869BD"/>
    <w:rsid w:val="00891BF0"/>
    <w:rsid w:val="00905545"/>
    <w:rsid w:val="009065F5"/>
    <w:rsid w:val="00912D70"/>
    <w:rsid w:val="00923906"/>
    <w:rsid w:val="009546CB"/>
    <w:rsid w:val="009929FC"/>
    <w:rsid w:val="00A17C6E"/>
    <w:rsid w:val="00A9782E"/>
    <w:rsid w:val="00AA1752"/>
    <w:rsid w:val="00AF58FF"/>
    <w:rsid w:val="00B04076"/>
    <w:rsid w:val="00B20E57"/>
    <w:rsid w:val="00BC334B"/>
    <w:rsid w:val="00BF0B37"/>
    <w:rsid w:val="00C04BD2"/>
    <w:rsid w:val="00C62548"/>
    <w:rsid w:val="00C72CAD"/>
    <w:rsid w:val="00C901E7"/>
    <w:rsid w:val="00D83BA3"/>
    <w:rsid w:val="00DD5650"/>
    <w:rsid w:val="00E245B9"/>
    <w:rsid w:val="00E6160B"/>
    <w:rsid w:val="00E61853"/>
    <w:rsid w:val="00EC2292"/>
    <w:rsid w:val="00F22CDC"/>
    <w:rsid w:val="00F40F3A"/>
    <w:rsid w:val="00F44CDA"/>
    <w:rsid w:val="00F648C7"/>
    <w:rsid w:val="00F66B5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3906"/>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D83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923906"/>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23906"/>
    <w:rPr>
      <w:rFonts w:ascii="Verdana" w:hAnsi="Verdana"/>
      <w:sz w:val="18"/>
    </w:rPr>
  </w:style>
  <w:style w:type="paragraph" w:styleId="Voettekst">
    <w:name w:val="footer"/>
    <w:basedOn w:val="Standaard"/>
    <w:link w:val="VoettekstChar"/>
    <w:uiPriority w:val="99"/>
    <w:semiHidden/>
    <w:unhideWhenUsed/>
    <w:rsid w:val="00923906"/>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923906"/>
    <w:rPr>
      <w:rFonts w:ascii="Verdana" w:hAnsi="Verdana"/>
      <w:sz w:val="18"/>
    </w:rPr>
  </w:style>
  <w:style w:type="paragraph" w:styleId="Voetnoottekst">
    <w:name w:val="footnote text"/>
    <w:basedOn w:val="Standaard"/>
    <w:link w:val="VoetnoottekstChar"/>
    <w:rsid w:val="00923906"/>
    <w:pPr>
      <w:spacing w:line="180" w:lineRule="atLeast"/>
    </w:pPr>
    <w:rPr>
      <w:sz w:val="13"/>
      <w:szCs w:val="20"/>
    </w:rPr>
  </w:style>
  <w:style w:type="character" w:customStyle="1" w:styleId="VoetnoottekstChar">
    <w:name w:val="Voetnoottekst Char"/>
    <w:basedOn w:val="Standaardalinea-lettertype"/>
    <w:link w:val="Voetnoottekst"/>
    <w:rsid w:val="00923906"/>
    <w:rPr>
      <w:rFonts w:ascii="Verdana" w:eastAsia="Times New Roman" w:hAnsi="Verdana" w:cs="Times New Roman"/>
      <w:sz w:val="13"/>
      <w:szCs w:val="20"/>
      <w:lang w:eastAsia="nl-NL"/>
    </w:rPr>
  </w:style>
  <w:style w:type="character" w:styleId="Voetnootmarkering">
    <w:name w:val="footnote reference"/>
    <w:basedOn w:val="Standaardalinea-lettertype"/>
    <w:uiPriority w:val="99"/>
    <w:semiHidden/>
    <w:unhideWhenUsed/>
    <w:rsid w:val="00923906"/>
    <w:rPr>
      <w:vertAlign w:val="superscript"/>
    </w:rPr>
  </w:style>
  <w:style w:type="paragraph" w:styleId="Lijstalinea">
    <w:name w:val="List Paragraph"/>
    <w:basedOn w:val="Standaard"/>
    <w:uiPriority w:val="34"/>
    <w:qFormat/>
    <w:rsid w:val="00923906"/>
    <w:pPr>
      <w:widowControl w:val="0"/>
      <w:ind w:left="720"/>
      <w:contextualSpacing/>
    </w:pPr>
    <w:rPr>
      <w:rFonts w:ascii="Arial" w:hAnsi="Arial"/>
      <w:spacing w:val="5"/>
      <w:sz w:val="19"/>
      <w:szCs w:val="20"/>
    </w:rPr>
  </w:style>
  <w:style w:type="paragraph" w:styleId="Ballontekst">
    <w:name w:val="Balloon Text"/>
    <w:basedOn w:val="Standaard"/>
    <w:link w:val="BallontekstChar"/>
    <w:uiPriority w:val="99"/>
    <w:semiHidden/>
    <w:unhideWhenUsed/>
    <w:rsid w:val="0063218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2182"/>
    <w:rPr>
      <w:rFonts w:ascii="Tahoma" w:eastAsia="Times New Roman" w:hAnsi="Tahoma" w:cs="Tahoma"/>
      <w:sz w:val="16"/>
      <w:szCs w:val="16"/>
      <w:lang w:eastAsia="nl-NL"/>
    </w:rPr>
  </w:style>
  <w:style w:type="character" w:styleId="Verwijzingopmerking">
    <w:name w:val="annotation reference"/>
    <w:basedOn w:val="Standaardalinea-lettertype"/>
    <w:uiPriority w:val="99"/>
    <w:semiHidden/>
    <w:unhideWhenUsed/>
    <w:rsid w:val="00792A5B"/>
    <w:rPr>
      <w:sz w:val="16"/>
      <w:szCs w:val="16"/>
    </w:rPr>
  </w:style>
  <w:style w:type="paragraph" w:styleId="Tekstopmerking">
    <w:name w:val="annotation text"/>
    <w:basedOn w:val="Standaard"/>
    <w:link w:val="TekstopmerkingChar"/>
    <w:uiPriority w:val="99"/>
    <w:semiHidden/>
    <w:unhideWhenUsed/>
    <w:rsid w:val="00792A5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A5B"/>
    <w:rPr>
      <w:rFonts w:ascii="Verdana" w:eastAsia="Times New Roman" w:hAnsi="Verdana" w:cs="Times New Roman"/>
      <w:sz w:val="20"/>
      <w:szCs w:val="20"/>
      <w:lang w:eastAsia="nl-NL"/>
    </w:rPr>
  </w:style>
  <w:style w:type="character" w:customStyle="1" w:styleId="docbasetitle">
    <w:name w:val="docbase_title"/>
    <w:basedOn w:val="Standaardalinea-lettertype"/>
    <w:rsid w:val="00880162"/>
  </w:style>
  <w:style w:type="character" w:customStyle="1" w:styleId="docbaseauthor">
    <w:name w:val="docbase_author"/>
    <w:basedOn w:val="Standaardalinea-lettertype"/>
    <w:rsid w:val="00880162"/>
  </w:style>
  <w:style w:type="paragraph" w:styleId="Onderwerpvanopmerking">
    <w:name w:val="annotation subject"/>
    <w:basedOn w:val="Tekstopmerking"/>
    <w:next w:val="Tekstopmerking"/>
    <w:link w:val="OnderwerpvanopmerkingChar"/>
    <w:uiPriority w:val="99"/>
    <w:semiHidden/>
    <w:unhideWhenUsed/>
    <w:rsid w:val="00725297"/>
    <w:rPr>
      <w:b/>
      <w:bCs/>
    </w:rPr>
  </w:style>
  <w:style w:type="character" w:customStyle="1" w:styleId="OnderwerpvanopmerkingChar">
    <w:name w:val="Onderwerp van opmerking Char"/>
    <w:basedOn w:val="TekstopmerkingChar"/>
    <w:link w:val="Onderwerpvanopmerking"/>
    <w:uiPriority w:val="99"/>
    <w:semiHidden/>
    <w:rsid w:val="00725297"/>
    <w:rPr>
      <w:b/>
      <w:bCs/>
    </w:rPr>
  </w:style>
  <w:style w:type="paragraph" w:styleId="Revisie">
    <w:name w:val="Revision"/>
    <w:hidden/>
    <w:uiPriority w:val="99"/>
    <w:semiHidden/>
    <w:rsid w:val="00725297"/>
    <w:pPr>
      <w:spacing w:after="0" w:line="240" w:lineRule="auto"/>
    </w:pPr>
    <w:rPr>
      <w:rFonts w:ascii="Verdana" w:eastAsia="Times New Roman" w:hAnsi="Verdana" w:cs="Times New Roman"/>
      <w:sz w:val="18"/>
      <w:szCs w:val="24"/>
      <w:lang w:eastAsia="nl-NL"/>
    </w:rPr>
  </w:style>
</w:styles>
</file>

<file path=word/webSettings.xml><?xml version="1.0" encoding="utf-8"?>
<w:webSettings xmlns:r="http://schemas.openxmlformats.org/officeDocument/2006/relationships" xmlns:w="http://schemas.openxmlformats.org/wordprocessingml/2006/main">
  <w:divs>
    <w:div w:id="215553997">
      <w:bodyDiv w:val="1"/>
      <w:marLeft w:val="0"/>
      <w:marRight w:val="0"/>
      <w:marTop w:val="0"/>
      <w:marBottom w:val="0"/>
      <w:divBdr>
        <w:top w:val="none" w:sz="0" w:space="0" w:color="auto"/>
        <w:left w:val="none" w:sz="0" w:space="0" w:color="auto"/>
        <w:bottom w:val="none" w:sz="0" w:space="0" w:color="auto"/>
        <w:right w:val="none" w:sz="0" w:space="0" w:color="auto"/>
      </w:divBdr>
    </w:div>
    <w:div w:id="394470195">
      <w:bodyDiv w:val="1"/>
      <w:marLeft w:val="0"/>
      <w:marRight w:val="0"/>
      <w:marTop w:val="0"/>
      <w:marBottom w:val="0"/>
      <w:divBdr>
        <w:top w:val="none" w:sz="0" w:space="0" w:color="auto"/>
        <w:left w:val="none" w:sz="0" w:space="0" w:color="auto"/>
        <w:bottom w:val="none" w:sz="0" w:space="0" w:color="auto"/>
        <w:right w:val="none" w:sz="0" w:space="0" w:color="auto"/>
      </w:divBdr>
    </w:div>
    <w:div w:id="465514767">
      <w:bodyDiv w:val="1"/>
      <w:marLeft w:val="0"/>
      <w:marRight w:val="0"/>
      <w:marTop w:val="0"/>
      <w:marBottom w:val="0"/>
      <w:divBdr>
        <w:top w:val="none" w:sz="0" w:space="0" w:color="auto"/>
        <w:left w:val="none" w:sz="0" w:space="0" w:color="auto"/>
        <w:bottom w:val="none" w:sz="0" w:space="0" w:color="auto"/>
        <w:right w:val="none" w:sz="0" w:space="0" w:color="auto"/>
      </w:divBdr>
    </w:div>
    <w:div w:id="115533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1760</ap:Words>
  <ap:Characters>9684</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2015-09-03T11:58:00.0000000Z</lastPrinted>
  <dcterms:created xsi:type="dcterms:W3CDTF">2015-09-14T10:19:00.0000000Z</dcterms:created>
  <dcterms:modified xsi:type="dcterms:W3CDTF">2015-09-14T10:19:00.0000000Z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0x010100CD72B8024A19B44F8D94CD01938F14DA</vt:lpwstr>
  </property>
</Properties>
</file>