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82C80" w:rsidR="0057333B" w:rsidP="008C4BA4" w:rsidRDefault="0088012B">
      <w:pPr>
        <w:spacing w:line="240" w:lineRule="auto"/>
        <w:rPr>
          <w:b/>
          <w:bCs/>
          <w:noProof/>
        </w:rPr>
      </w:pPr>
      <w:r>
        <w:rPr>
          <w:b/>
          <w:bCs/>
          <w:noProof/>
        </w:rPr>
        <w:t xml:space="preserve">Bijlage bij </w:t>
      </w:r>
      <w:r>
        <w:rPr>
          <w:b/>
          <w:bCs/>
          <w:noProof/>
        </w:rPr>
        <w:t>S</w:t>
      </w:r>
      <w:r>
        <w:rPr>
          <w:b/>
          <w:bCs/>
          <w:noProof/>
        </w:rPr>
        <w:t>tandpunt rapport MSM &amp; Bloeddonatie</w:t>
      </w:r>
    </w:p>
    <w:p w:rsidR="0057333B" w:rsidP="008C4BA4" w:rsidRDefault="0088012B">
      <w:pPr>
        <w:spacing w:line="240" w:lineRule="auto"/>
        <w:rPr>
          <w:noProof/>
        </w:rPr>
      </w:pPr>
    </w:p>
    <w:p w:rsidR="004A37B7" w:rsidP="008C4BA4" w:rsidRDefault="0088012B">
      <w:pPr>
        <w:spacing w:line="240" w:lineRule="auto"/>
        <w:rPr>
          <w:noProof/>
        </w:rPr>
      </w:pPr>
    </w:p>
    <w:p w:rsidRPr="001D08B1" w:rsidR="00E50060" w:rsidP="00E50060" w:rsidRDefault="0088012B">
      <w:pPr>
        <w:rPr>
          <w:i/>
          <w:iCs/>
        </w:rPr>
      </w:pPr>
      <w:r w:rsidRPr="001D08B1">
        <w:rPr>
          <w:i/>
          <w:iCs/>
        </w:rPr>
        <w:t>Veiligheid bloedvoorziening</w:t>
      </w:r>
    </w:p>
    <w:p w:rsidRPr="001D08B1" w:rsidR="00E50060" w:rsidP="00E50060" w:rsidRDefault="0088012B">
      <w:r w:rsidRPr="001D08B1">
        <w:t xml:space="preserve">Een veilige bloedvoorziening is </w:t>
      </w:r>
      <w:r>
        <w:t xml:space="preserve">grotendeels </w:t>
      </w:r>
      <w:r w:rsidRPr="001D08B1">
        <w:t xml:space="preserve">afhankelijk van het strikt toepassen van donorselectiemaatregelen. Aan de hand van Europese richtlijnen en epidemiologische gegevens sluit Sanquin personen met een verhoogd risico op </w:t>
      </w:r>
      <w:r>
        <w:t xml:space="preserve">een </w:t>
      </w:r>
      <w:r w:rsidRPr="001D08B1">
        <w:t xml:space="preserve">bloedoverdraagbare infectie tijdelijk </w:t>
      </w:r>
      <w:r>
        <w:t xml:space="preserve">of </w:t>
      </w:r>
      <w:r w:rsidRPr="001D08B1">
        <w:t>permanent uit van bloeddonat</w:t>
      </w:r>
      <w:r w:rsidRPr="001D08B1">
        <w:t xml:space="preserve">ie. De donorvragenlijst wordt zodanig opgesteld dat personen met een </w:t>
      </w:r>
      <w:r>
        <w:t xml:space="preserve">dergelijk </w:t>
      </w:r>
      <w:r w:rsidRPr="001D08B1">
        <w:t xml:space="preserve">verhoogd risico </w:t>
      </w:r>
      <w:r>
        <w:t>v</w:t>
      </w:r>
      <w:r w:rsidRPr="001D08B1">
        <w:t xml:space="preserve">oorafgaand aan de bloeddonatie worden geïdentificeerd. </w:t>
      </w:r>
      <w:r>
        <w:t>De wijze waarop bloeddonors in Nederland worden geselecteerd is bijzonder effectief. Uit wetenschappelijk</w:t>
      </w:r>
      <w:r>
        <w:t xml:space="preserve"> onderzoek blijkt dat bloedoverdraagbare infecties minder vaak voorkomen bij bloeddonors dan in de algemene bevolking.</w:t>
      </w:r>
      <w:r>
        <w:rPr>
          <w:rStyle w:val="Voetnootmarkering"/>
        </w:rPr>
        <w:footnoteReference w:id="1"/>
      </w:r>
    </w:p>
    <w:p w:rsidRPr="001D08B1" w:rsidR="00E50060" w:rsidP="00E50060" w:rsidRDefault="0088012B"/>
    <w:p w:rsidRPr="001D08B1" w:rsidR="00E50060" w:rsidP="00E50060" w:rsidRDefault="0088012B">
      <w:r w:rsidRPr="001D08B1">
        <w:t xml:space="preserve">Uit epidemiologisch onderzoek </w:t>
      </w:r>
      <w:r>
        <w:t xml:space="preserve">blijkt </w:t>
      </w:r>
      <w:r w:rsidRPr="001D08B1">
        <w:t>dat bepaalde seksuele contacten risicovoller zijn dan andere, zoals seks tegen betaling (in de vor</w:t>
      </w:r>
      <w:r w:rsidRPr="001D08B1">
        <w:t xml:space="preserve">m van geld of drugs), seks met iemand die besmet is met </w:t>
      </w:r>
      <w:r>
        <w:t>hiv</w:t>
      </w:r>
      <w:r w:rsidRPr="001D08B1">
        <w:t xml:space="preserve"> </w:t>
      </w:r>
      <w:r w:rsidRPr="001D08B1">
        <w:t>of een andere seksueel overdraagbare infectie, seks met iemand die afkomstig is uit een streek waar aids veel voorkomt, of seks met een man die seks heeft gehad met andere mannen (MSM). Uit epidem</w:t>
      </w:r>
      <w:r w:rsidRPr="001D08B1">
        <w:t xml:space="preserve">iologische gegevens </w:t>
      </w:r>
      <w:r>
        <w:t xml:space="preserve">blijkt </w:t>
      </w:r>
      <w:r w:rsidRPr="001D08B1">
        <w:t xml:space="preserve">eveneens dat onder MSM sprake is van een sterk verhoogd risico op bloedoverdraagbare infectieziekten zoals </w:t>
      </w:r>
      <w:r>
        <w:t>hiv</w:t>
      </w:r>
      <w:r w:rsidRPr="001D08B1">
        <w:t xml:space="preserve">, hepatitis B en C en syfilis. Ook zijn nieuwe </w:t>
      </w:r>
      <w:r>
        <w:t>hiv</w:t>
      </w:r>
      <w:r w:rsidRPr="001D08B1">
        <w:t xml:space="preserve">-besmettingen sterk gerelateerd aan </w:t>
      </w:r>
      <w:r>
        <w:t xml:space="preserve">seksueel contact tussen MSM. Dit </w:t>
      </w:r>
      <w:r>
        <w:t>is in het bijzonder in Nederland het geval</w:t>
      </w:r>
      <w:r w:rsidRPr="001D08B1">
        <w:t xml:space="preserve">. </w:t>
      </w:r>
    </w:p>
    <w:p w:rsidRPr="001D08B1" w:rsidR="00E50060" w:rsidP="00E50060" w:rsidRDefault="0088012B"/>
    <w:p w:rsidRPr="001D08B1" w:rsidR="00E50060" w:rsidP="00E50060" w:rsidRDefault="0088012B">
      <w:pPr>
        <w:rPr>
          <w:i/>
          <w:iCs/>
        </w:rPr>
      </w:pPr>
      <w:r w:rsidRPr="001D08B1">
        <w:rPr>
          <w:i/>
          <w:iCs/>
        </w:rPr>
        <w:t>Windowperiode en houdbaarheid van bloedproducten</w:t>
      </w:r>
    </w:p>
    <w:p w:rsidRPr="001D08B1" w:rsidR="00E50060" w:rsidP="00E50060" w:rsidRDefault="0088012B">
      <w:r w:rsidRPr="001D08B1">
        <w:t xml:space="preserve">Personen die </w:t>
      </w:r>
      <w:r>
        <w:t xml:space="preserve">net </w:t>
      </w:r>
      <w:r w:rsidRPr="001D08B1">
        <w:t xml:space="preserve">besmet </w:t>
      </w:r>
      <w:r>
        <w:t xml:space="preserve">raken </w:t>
      </w:r>
      <w:r w:rsidRPr="001D08B1">
        <w:t xml:space="preserve">met een seksueel overdraagbare infectie voelen zich </w:t>
      </w:r>
      <w:r>
        <w:t xml:space="preserve">in de eerste periode na de besmetting </w:t>
      </w:r>
      <w:r w:rsidRPr="001D08B1">
        <w:t>meestal (nog) niet ziek. Zij kunnen de in</w:t>
      </w:r>
      <w:r w:rsidRPr="001D08B1">
        <w:t xml:space="preserve">fectie dan onbewust via seksueel verkeer of via bloedtransfusie overdragen naar anderen. </w:t>
      </w:r>
      <w:r>
        <w:t>Vroege</w:t>
      </w:r>
      <w:r w:rsidRPr="001D08B1">
        <w:t xml:space="preserve"> </w:t>
      </w:r>
      <w:r w:rsidRPr="001D08B1">
        <w:t xml:space="preserve">infecties zijn met de huidige </w:t>
      </w:r>
      <w:r>
        <w:t>laboratorium</w:t>
      </w:r>
      <w:r w:rsidRPr="001D08B1">
        <w:t xml:space="preserve">testen niet in alle gevallen op te sporen. Testen hebben namelijk een drempelwaarde en daarnaast duurt het enige tijd </w:t>
      </w:r>
      <w:r w:rsidRPr="001D08B1">
        <w:t>totdat een hoeveelheid micro-organismen</w:t>
      </w:r>
      <w:r>
        <w:rPr>
          <w:rStyle w:val="Voetnootmarkering"/>
        </w:rPr>
        <w:footnoteReference w:id="2"/>
      </w:r>
      <w:r w:rsidRPr="001D08B1">
        <w:t xml:space="preserve"> is gevormd die de drempelwaarde overschrijdt (de zogenaamde windowperiode). Met de modernste technieken duurt de windowperiode bij hepatitis C</w:t>
      </w:r>
      <w:r>
        <w:t>-</w:t>
      </w:r>
      <w:r w:rsidRPr="001D08B1">
        <w:t xml:space="preserve">virus ongeveer 7 dagen, bij </w:t>
      </w:r>
      <w:r>
        <w:t>hiv</w:t>
      </w:r>
      <w:r w:rsidRPr="001D08B1">
        <w:t xml:space="preserve"> </w:t>
      </w:r>
      <w:r w:rsidRPr="001D08B1">
        <w:t xml:space="preserve">ongeveer </w:t>
      </w:r>
      <w:r>
        <w:t>12</w:t>
      </w:r>
      <w:r w:rsidRPr="001D08B1">
        <w:t xml:space="preserve"> </w:t>
      </w:r>
      <w:r w:rsidRPr="001D08B1">
        <w:t>dagen, en bij hepatitis B</w:t>
      </w:r>
      <w:r>
        <w:t>-</w:t>
      </w:r>
      <w:r w:rsidRPr="001D08B1">
        <w:t xml:space="preserve">virus circa 25 dagen met uitschieters naar 6 maanden. </w:t>
      </w:r>
    </w:p>
    <w:p w:rsidRPr="001D08B1" w:rsidR="00E50060" w:rsidP="00E50060" w:rsidRDefault="0088012B"/>
    <w:p w:rsidRPr="001D08B1" w:rsidR="00E50060" w:rsidP="00E50060" w:rsidRDefault="0088012B">
      <w:r w:rsidRPr="001D08B1">
        <w:t xml:space="preserve">De houdbaarheid van bloedplaatjes is, onder de juiste condities, </w:t>
      </w:r>
      <w:r>
        <w:t xml:space="preserve">een week </w:t>
      </w:r>
      <w:r w:rsidRPr="001D08B1">
        <w:t>en die van rode bloedcellen enkele weken. Deze houdbaarheid wordt zelfs korter wanneer de producten een specifieke behandeling</w:t>
      </w:r>
      <w:r w:rsidRPr="001D08B1">
        <w:t xml:space="preserve"> ondergaan, zoals bestraling. Het is d</w:t>
      </w:r>
      <w:r>
        <w:t xml:space="preserve">an ook </w:t>
      </w:r>
      <w:r w:rsidRPr="001D08B1">
        <w:t>niet mogelijk om deze bloedproducten te bewaren totdat de donor bij een volgende donatie opnieuw wordt getest en deze producten pas dan vrij te geven voor transfusiedoeleinden. De vrijgifte van bloedproducten vi</w:t>
      </w:r>
      <w:r w:rsidRPr="001D08B1">
        <w:t>ndt daarom plaats op basis van de gegevens die de donor heeft verstrekt over de afwezigheid van risico’s op bloedoverdraagbare infecties in combinatie met testuitslagen.</w:t>
      </w:r>
    </w:p>
    <w:p w:rsidRPr="001D08B1" w:rsidR="00E50060" w:rsidP="00E50060" w:rsidRDefault="0088012B"/>
    <w:p w:rsidRPr="001D08B1" w:rsidR="00E50060" w:rsidP="00E50060" w:rsidRDefault="0088012B">
      <w:pPr>
        <w:rPr>
          <w:i/>
          <w:iCs/>
        </w:rPr>
      </w:pPr>
      <w:r w:rsidRPr="001D08B1">
        <w:rPr>
          <w:vanish/>
          <w:sz w:val="16"/>
          <w:szCs w:val="16"/>
        </w:rPr>
        <w:t xml:space="preserve"> </w:t>
      </w:r>
      <w:r w:rsidRPr="001D08B1">
        <w:rPr>
          <w:i/>
          <w:iCs/>
        </w:rPr>
        <w:t>Donatiewens, risicoperceptie en (non-)compliance</w:t>
      </w:r>
    </w:p>
    <w:p w:rsidRPr="001D08B1" w:rsidR="00E50060" w:rsidP="00E50060" w:rsidRDefault="0088012B">
      <w:r>
        <w:t>Zoals is uitgelegd kunnen i</w:t>
      </w:r>
      <w:r w:rsidRPr="001D08B1">
        <w:t>nfecties</w:t>
      </w:r>
      <w:r w:rsidRPr="001D08B1">
        <w:t xml:space="preserve"> in de eerste periode nadat een donor deze heeft opgelopen niet in alle gevallen worden opgespoord met laboratoriumtesten. Het voork</w:t>
      </w:r>
      <w:r>
        <w:t>ó</w:t>
      </w:r>
      <w:r w:rsidRPr="001D08B1">
        <w:t xml:space="preserve">men van infectieoverdracht via bloedtransfusies </w:t>
      </w:r>
      <w:r>
        <w:t xml:space="preserve">in deze windowperiode is afhankelijk van </w:t>
      </w:r>
      <w:r w:rsidRPr="001D08B1">
        <w:t xml:space="preserve">het waarheidsgetrouw beantwoorden </w:t>
      </w:r>
      <w:r w:rsidRPr="001D08B1">
        <w:t>van vragen in de donorvragenlijst</w:t>
      </w:r>
      <w:r>
        <w:t>. D</w:t>
      </w:r>
      <w:r w:rsidRPr="001D08B1">
        <w:t xml:space="preserve">e donatiewens en risicoperceptie van </w:t>
      </w:r>
      <w:r>
        <w:t xml:space="preserve">de </w:t>
      </w:r>
      <w:r w:rsidRPr="001D08B1">
        <w:t>donor</w:t>
      </w:r>
      <w:r>
        <w:t xml:space="preserve"> kunnen het waarheidsgetrouw beantwoorden van de vragen beïnvloeden</w:t>
      </w:r>
      <w:r w:rsidRPr="001D08B1">
        <w:t xml:space="preserve">. </w:t>
      </w:r>
    </w:p>
    <w:p w:rsidRPr="001D08B1" w:rsidR="00E50060" w:rsidP="00E50060" w:rsidRDefault="0088012B"/>
    <w:p w:rsidRPr="001D08B1" w:rsidR="00E50060" w:rsidP="00E50060" w:rsidRDefault="0088012B">
      <w:r w:rsidRPr="001D08B1">
        <w:t xml:space="preserve">Een </w:t>
      </w:r>
      <w:r>
        <w:t xml:space="preserve">essentieel </w:t>
      </w:r>
      <w:r w:rsidRPr="001D08B1">
        <w:t xml:space="preserve">onderdeel dat bijdraagt aan de </w:t>
      </w:r>
      <w:r>
        <w:t xml:space="preserve">veiligheid van bloedtransfusies </w:t>
      </w:r>
      <w:r w:rsidRPr="001D08B1">
        <w:t>is het gebruik van een don</w:t>
      </w:r>
      <w:r w:rsidRPr="001D08B1">
        <w:t xml:space="preserve">orvragenlijst. Elke (potentiële) donor </w:t>
      </w:r>
      <w:r>
        <w:t>moet</w:t>
      </w:r>
      <w:r w:rsidRPr="001D08B1">
        <w:t xml:space="preserve"> deze vragenlijst waarheidsgetrouw invullen. Met de beantwoording van de vragen geeft de donor aan wat zijn leefstijl en gezondheidssituatie is. De </w:t>
      </w:r>
      <w:r>
        <w:t xml:space="preserve">informatie </w:t>
      </w:r>
      <w:r>
        <w:t>die de donor</w:t>
      </w:r>
      <w:r>
        <w:t xml:space="preserve"> verstrekt</w:t>
      </w:r>
      <w:r>
        <w:t xml:space="preserve">, </w:t>
      </w:r>
      <w:r w:rsidRPr="001D08B1">
        <w:t>kan echter afwijken van de wer</w:t>
      </w:r>
      <w:r w:rsidRPr="001D08B1">
        <w:t xml:space="preserve">kelijke situatie. De mate waarin de door de donor </w:t>
      </w:r>
      <w:r>
        <w:t xml:space="preserve">verstrekte informatie </w:t>
      </w:r>
      <w:r w:rsidRPr="001D08B1">
        <w:t>overeenkomt met de werkelijke situatie wordt uitgedrukt met het begrip compliance. De donorarts zal aan de hand van de beantwoording van de donorvragenlijst een eerste inschatting make</w:t>
      </w:r>
      <w:r w:rsidRPr="001D08B1">
        <w:t>n of iemand een verhoogd risico vormt wanneer het gaat om een bloedoverdraagbare infectie</w:t>
      </w:r>
      <w:r>
        <w:t>s</w:t>
      </w:r>
      <w:r w:rsidRPr="001D08B1">
        <w:t>.</w:t>
      </w:r>
      <w:r>
        <w:t xml:space="preserve"> </w:t>
      </w:r>
      <w:r>
        <w:t xml:space="preserve">Deze inschatting is belangrijk omdat de donor </w:t>
      </w:r>
      <w:r>
        <w:t xml:space="preserve">een infectie bij zich </w:t>
      </w:r>
      <w:r>
        <w:t xml:space="preserve">kan </w:t>
      </w:r>
      <w:r>
        <w:t>dragen zonder zich ziek te voelen.</w:t>
      </w:r>
      <w:r w:rsidRPr="001D08B1">
        <w:t xml:space="preserve"> </w:t>
      </w:r>
    </w:p>
    <w:p w:rsidRPr="001D08B1" w:rsidR="00E50060" w:rsidP="00E50060" w:rsidRDefault="0088012B"/>
    <w:p w:rsidRPr="001D08B1" w:rsidR="00E50060" w:rsidP="00E50060" w:rsidRDefault="0088012B">
      <w:r w:rsidRPr="001D08B1">
        <w:t>Er is sprake van non-compliance wanneer de donor antwoo</w:t>
      </w:r>
      <w:r w:rsidRPr="001D08B1">
        <w:t>rden geeft die niet overeenkomen met de werkelijke situatie</w:t>
      </w:r>
      <w:r>
        <w:t>.</w:t>
      </w:r>
      <w:r w:rsidRPr="001D08B1">
        <w:t xml:space="preserve"> Dit ondermijnt de betrouwbaarheid van de donorselectie</w:t>
      </w:r>
      <w:r>
        <w:t xml:space="preserve"> omdat </w:t>
      </w:r>
      <w:r w:rsidRPr="001D08B1">
        <w:t>de risico-inschatting van een donorarts op onjuiste informatie gebaseerd</w:t>
      </w:r>
      <w:r>
        <w:t xml:space="preserve"> wordt</w:t>
      </w:r>
      <w:r w:rsidRPr="001D08B1">
        <w:t>.</w:t>
      </w:r>
      <w:r w:rsidRPr="001D08B1">
        <w:t>. Non-compliance kan vele redenen hebben. Onbewuste non</w:t>
      </w:r>
      <w:r w:rsidRPr="001D08B1">
        <w:t xml:space="preserve">-compliance houdt in dat personen niet weten dat ze de vraag verkeerd invullen, bijvoorbeeld omdat zij de vraag niet begrijpen, of </w:t>
      </w:r>
      <w:r>
        <w:t xml:space="preserve">onjuiste </w:t>
      </w:r>
      <w:r w:rsidRPr="001D08B1">
        <w:t xml:space="preserve">definities hanteren. Bewuste non-compliance houdt in dat personen bewust de keuze maken een </w:t>
      </w:r>
      <w:r>
        <w:t xml:space="preserve">onjuist </w:t>
      </w:r>
      <w:r w:rsidRPr="001D08B1">
        <w:t xml:space="preserve">antwoord op </w:t>
      </w:r>
      <w:r>
        <w:t xml:space="preserve">een </w:t>
      </w:r>
      <w:r w:rsidRPr="001D08B1">
        <w:t>vraag te geven</w:t>
      </w:r>
      <w:r>
        <w:t>.</w:t>
      </w:r>
      <w:r w:rsidRPr="001D08B1">
        <w:t xml:space="preserve"> Dit kan bijvoorbeeld </w:t>
      </w:r>
      <w:r>
        <w:t xml:space="preserve">samenhangen met </w:t>
      </w:r>
      <w:r w:rsidRPr="001D08B1">
        <w:t xml:space="preserve">een lage risicoperceptie hebben, een hoge donatiewens </w:t>
      </w:r>
      <w:r>
        <w:t>en/</w:t>
      </w:r>
      <w:r w:rsidRPr="001D08B1">
        <w:t xml:space="preserve">of </w:t>
      </w:r>
      <w:r>
        <w:t xml:space="preserve">onvrede over </w:t>
      </w:r>
      <w:r w:rsidRPr="001D08B1">
        <w:t>het gevoerde donorselectiebeleid.</w:t>
      </w:r>
    </w:p>
    <w:p w:rsidRPr="001D08B1" w:rsidR="00E50060" w:rsidP="00E50060" w:rsidRDefault="0088012B"/>
    <w:p w:rsidRPr="001D08B1" w:rsidR="00E50060" w:rsidP="00E50060" w:rsidRDefault="0088012B">
      <w:r w:rsidRPr="001D08B1">
        <w:t xml:space="preserve">Gegevens over de donatiewens en risicoperceptie </w:t>
      </w:r>
      <w:r>
        <w:t xml:space="preserve">bij </w:t>
      </w:r>
      <w:r>
        <w:t xml:space="preserve">mannen die seks hebben gehad met andere </w:t>
      </w:r>
      <w:r>
        <w:t>mannen</w:t>
      </w:r>
      <w:r w:rsidRPr="001D08B1">
        <w:t xml:space="preserve"> </w:t>
      </w:r>
      <w:r w:rsidRPr="001D08B1">
        <w:t xml:space="preserve">ontbraken tot kort geleden. </w:t>
      </w:r>
      <w:r>
        <w:t>E</w:t>
      </w:r>
      <w:r w:rsidRPr="001D08B1">
        <w:t xml:space="preserve">r </w:t>
      </w:r>
      <w:r>
        <w:t xml:space="preserve">waren ook geen gegevens bekend over </w:t>
      </w:r>
      <w:r>
        <w:t xml:space="preserve">de mate van compliance en </w:t>
      </w:r>
      <w:r>
        <w:t xml:space="preserve">non-compliance </w:t>
      </w:r>
      <w:r>
        <w:t xml:space="preserve">in </w:t>
      </w:r>
      <w:r>
        <w:t>deze groep</w:t>
      </w:r>
      <w:r w:rsidRPr="001D08B1">
        <w:t xml:space="preserve">. Het </w:t>
      </w:r>
      <w:r>
        <w:t xml:space="preserve">onderzoek van </w:t>
      </w:r>
      <w:r w:rsidRPr="001D08B1">
        <w:t xml:space="preserve">Sanquin en </w:t>
      </w:r>
      <w:r>
        <w:t xml:space="preserve">de </w:t>
      </w:r>
      <w:r w:rsidRPr="001D08B1">
        <w:t>Universiteit Maastricht biedt duidelijkheid over de donatiewens</w:t>
      </w:r>
      <w:r>
        <w:t xml:space="preserve"> en</w:t>
      </w:r>
      <w:r w:rsidRPr="001D08B1">
        <w:t xml:space="preserve"> risicoperceptie van MSM, ni</w:t>
      </w:r>
      <w:r w:rsidRPr="001D08B1">
        <w:t>et-MSM en vrouwen. Deze bl</w:t>
      </w:r>
      <w:r>
        <w:t>ij</w:t>
      </w:r>
      <w:r w:rsidRPr="001D08B1">
        <w:t xml:space="preserve">ken niet wezenlijk van elkaar te verschillen. Verder is gebleken dat de </w:t>
      </w:r>
      <w:r>
        <w:t xml:space="preserve">mate van </w:t>
      </w:r>
      <w:r w:rsidRPr="001D08B1">
        <w:t xml:space="preserve">non-compliance van MSM </w:t>
      </w:r>
      <w:r>
        <w:t xml:space="preserve">die bloeddonor </w:t>
      </w:r>
      <w:r>
        <w:t>worden</w:t>
      </w:r>
      <w:r>
        <w:t xml:space="preserve"> </w:t>
      </w:r>
      <w:r w:rsidRPr="001D08B1">
        <w:t>gering</w:t>
      </w:r>
      <w:r>
        <w:t xml:space="preserve"> zal zijn</w:t>
      </w:r>
      <w:r w:rsidRPr="001D08B1">
        <w:t xml:space="preserve">. </w:t>
      </w:r>
    </w:p>
    <w:p w:rsidRPr="001D08B1" w:rsidR="00E50060" w:rsidP="00E50060" w:rsidRDefault="0088012B"/>
    <w:p w:rsidRPr="001D08B1" w:rsidR="00E50060" w:rsidP="00E50060" w:rsidRDefault="0088012B">
      <w:pPr>
        <w:spacing w:line="240" w:lineRule="auto"/>
        <w:rPr>
          <w:noProof/>
        </w:rPr>
      </w:pPr>
    </w:p>
    <w:p w:rsidRPr="001D08B1" w:rsidR="00E50060" w:rsidP="00E50060" w:rsidRDefault="0088012B">
      <w:pPr>
        <w:spacing w:line="240" w:lineRule="auto"/>
        <w:rPr>
          <w:noProof/>
        </w:rPr>
      </w:pPr>
    </w:p>
    <w:p w:rsidR="00AA2A7D" w:rsidRDefault="0088012B"/>
    <w:p w:rsidRPr="009D3331" w:rsidR="00AA2A7D" w:rsidRDefault="0088012B"/>
    <w:sectPr w:rsidRPr="009D3331" w:rsidR="00AA2A7D" w:rsidSect="0057333B">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633" w:rsidRDefault="00796633" w:rsidP="00796633">
      <w:pPr>
        <w:spacing w:line="240" w:lineRule="auto"/>
      </w:pPr>
      <w:r>
        <w:separator/>
      </w:r>
    </w:p>
  </w:endnote>
  <w:endnote w:type="continuationSeparator" w:id="0">
    <w:p w:rsidR="00796633" w:rsidRDefault="00796633" w:rsidP="007966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00"/>
    <w:family w:val="swiss"/>
    <w:pitch w:val="variable"/>
    <w:sig w:usb0="E7002EFF" w:usb1="D200FDFF" w:usb2="0A042029" w:usb3="00000000" w:csb0="8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85907"/>
      <w:docPartObj>
        <w:docPartGallery w:val="Page Numbers (Bottom of Page)"/>
        <w:docPartUnique/>
      </w:docPartObj>
    </w:sdtPr>
    <w:sdtEndPr>
      <w:rPr>
        <w:sz w:val="16"/>
      </w:rPr>
    </w:sdtEndPr>
    <w:sdtContent>
      <w:sdt>
        <w:sdtPr>
          <w:id w:val="483073107"/>
          <w:docPartObj>
            <w:docPartGallery w:val="Page Numbers (Top of Page)"/>
            <w:docPartUnique/>
          </w:docPartObj>
        </w:sdtPr>
        <w:sdtEndPr>
          <w:rPr>
            <w:sz w:val="16"/>
          </w:rPr>
        </w:sdtEndPr>
        <w:sdtContent>
          <w:p w:rsidR="0057444E" w:rsidRPr="00634BF4" w:rsidRDefault="0088012B">
            <w:pPr>
              <w:pStyle w:val="Voettekst"/>
              <w:jc w:val="center"/>
              <w:rPr>
                <w:sz w:val="16"/>
              </w:rPr>
            </w:pPr>
            <w:r w:rsidRPr="00634BF4">
              <w:rPr>
                <w:sz w:val="16"/>
              </w:rPr>
              <w:t xml:space="preserve">Pagina </w:t>
            </w:r>
            <w:r w:rsidR="00796633" w:rsidRPr="00634BF4">
              <w:rPr>
                <w:b/>
                <w:sz w:val="16"/>
                <w:szCs w:val="24"/>
              </w:rPr>
              <w:fldChar w:fldCharType="begin"/>
            </w:r>
            <w:r w:rsidRPr="00634BF4">
              <w:rPr>
                <w:b/>
                <w:sz w:val="16"/>
              </w:rPr>
              <w:instrText>PAGE</w:instrText>
            </w:r>
            <w:r w:rsidR="00796633" w:rsidRPr="00634BF4">
              <w:rPr>
                <w:b/>
                <w:sz w:val="16"/>
                <w:szCs w:val="24"/>
              </w:rPr>
              <w:fldChar w:fldCharType="separate"/>
            </w:r>
            <w:r>
              <w:rPr>
                <w:b/>
                <w:noProof/>
                <w:sz w:val="16"/>
              </w:rPr>
              <w:t>1</w:t>
            </w:r>
            <w:r w:rsidR="00796633" w:rsidRPr="00634BF4">
              <w:rPr>
                <w:b/>
                <w:sz w:val="16"/>
                <w:szCs w:val="24"/>
              </w:rPr>
              <w:fldChar w:fldCharType="end"/>
            </w:r>
            <w:r w:rsidRPr="00634BF4">
              <w:rPr>
                <w:sz w:val="16"/>
              </w:rPr>
              <w:t xml:space="preserve"> van </w:t>
            </w:r>
            <w:r w:rsidR="00796633" w:rsidRPr="00634BF4">
              <w:rPr>
                <w:b/>
                <w:sz w:val="16"/>
                <w:szCs w:val="24"/>
              </w:rPr>
              <w:fldChar w:fldCharType="begin"/>
            </w:r>
            <w:r w:rsidRPr="00634BF4">
              <w:rPr>
                <w:b/>
                <w:sz w:val="16"/>
              </w:rPr>
              <w:instrText>NUMPAGES</w:instrText>
            </w:r>
            <w:r w:rsidR="00796633" w:rsidRPr="00634BF4">
              <w:rPr>
                <w:b/>
                <w:sz w:val="16"/>
                <w:szCs w:val="24"/>
              </w:rPr>
              <w:fldChar w:fldCharType="separate"/>
            </w:r>
            <w:r>
              <w:rPr>
                <w:b/>
                <w:noProof/>
                <w:sz w:val="16"/>
              </w:rPr>
              <w:t>2</w:t>
            </w:r>
            <w:r w:rsidR="00796633" w:rsidRPr="00634BF4">
              <w:rPr>
                <w:b/>
                <w:sz w:val="16"/>
                <w:szCs w:val="24"/>
              </w:rPr>
              <w:fldChar w:fldCharType="end"/>
            </w:r>
          </w:p>
        </w:sdtContent>
      </w:sdt>
    </w:sdtContent>
  </w:sdt>
  <w:p w:rsidR="0057444E" w:rsidRPr="00634BF4" w:rsidRDefault="0088012B">
    <w:pPr>
      <w:pStyle w:val="Voetteks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25A" w:rsidRDefault="0088012B" w:rsidP="009D3331">
      <w:pPr>
        <w:spacing w:line="240" w:lineRule="auto"/>
      </w:pPr>
      <w:r>
        <w:separator/>
      </w:r>
    </w:p>
  </w:footnote>
  <w:footnote w:type="continuationSeparator" w:id="0">
    <w:p w:rsidR="009D225A" w:rsidRDefault="0088012B" w:rsidP="009D3331">
      <w:pPr>
        <w:spacing w:line="240" w:lineRule="auto"/>
      </w:pPr>
      <w:r>
        <w:continuationSeparator/>
      </w:r>
    </w:p>
  </w:footnote>
  <w:footnote w:id="1">
    <w:p w:rsidR="0057444E" w:rsidRPr="00B43203" w:rsidRDefault="0088012B">
      <w:pPr>
        <w:pStyle w:val="Voetnoottekst"/>
        <w:rPr>
          <w:sz w:val="16"/>
        </w:rPr>
      </w:pPr>
      <w:r>
        <w:rPr>
          <w:rStyle w:val="Voetnootmarkering"/>
        </w:rPr>
        <w:footnoteRef/>
      </w:r>
      <w:r>
        <w:t xml:space="preserve"> </w:t>
      </w:r>
      <w:r w:rsidRPr="00AB57DD">
        <w:rPr>
          <w:sz w:val="16"/>
        </w:rPr>
        <w:t>http://www.ncbi.nlm.nih.gov/pubmed/26355711</w:t>
      </w:r>
      <w:r>
        <w:rPr>
          <w:sz w:val="16"/>
        </w:rPr>
        <w:t>.</w:t>
      </w:r>
    </w:p>
  </w:footnote>
  <w:footnote w:id="2">
    <w:p w:rsidR="0057444E" w:rsidRPr="00B43203" w:rsidRDefault="0088012B">
      <w:pPr>
        <w:pStyle w:val="Voetnoottekst"/>
        <w:rPr>
          <w:sz w:val="16"/>
        </w:rPr>
      </w:pPr>
      <w:r>
        <w:rPr>
          <w:rStyle w:val="Voetnootmarkering"/>
        </w:rPr>
        <w:footnoteRef/>
      </w:r>
      <w:r>
        <w:t xml:space="preserve"> </w:t>
      </w:r>
      <w:r>
        <w:rPr>
          <w:sz w:val="16"/>
        </w:rPr>
        <w:t>Of vorming van afweerstoffen tegen het micro-organisme (de zogenaamde anti-lichamen).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A4007"/>
    <w:multiLevelType w:val="hybridMultilevel"/>
    <w:tmpl w:val="2F10C212"/>
    <w:lvl w:ilvl="0" w:tplc="30C2D44E">
      <w:numFmt w:val="bullet"/>
      <w:lvlText w:val="-"/>
      <w:lvlJc w:val="left"/>
      <w:pPr>
        <w:ind w:left="720" w:hanging="360"/>
      </w:pPr>
      <w:rPr>
        <w:rFonts w:ascii="Verdana" w:eastAsia="Times New Roman" w:hAnsi="Verdana" w:hint="default"/>
      </w:rPr>
    </w:lvl>
    <w:lvl w:ilvl="1" w:tplc="5A6C706C" w:tentative="1">
      <w:start w:val="1"/>
      <w:numFmt w:val="bullet"/>
      <w:lvlText w:val="o"/>
      <w:lvlJc w:val="left"/>
      <w:pPr>
        <w:ind w:left="1440" w:hanging="360"/>
      </w:pPr>
      <w:rPr>
        <w:rFonts w:ascii="Courier New" w:hAnsi="Courier New" w:cs="Courier New" w:hint="default"/>
      </w:rPr>
    </w:lvl>
    <w:lvl w:ilvl="2" w:tplc="5D980696" w:tentative="1">
      <w:start w:val="1"/>
      <w:numFmt w:val="bullet"/>
      <w:lvlText w:val=""/>
      <w:lvlJc w:val="left"/>
      <w:pPr>
        <w:ind w:left="2160" w:hanging="360"/>
      </w:pPr>
      <w:rPr>
        <w:rFonts w:ascii="Wingdings" w:hAnsi="Wingdings" w:cs="Wingdings" w:hint="default"/>
      </w:rPr>
    </w:lvl>
    <w:lvl w:ilvl="3" w:tplc="266ED33E" w:tentative="1">
      <w:start w:val="1"/>
      <w:numFmt w:val="bullet"/>
      <w:lvlText w:val=""/>
      <w:lvlJc w:val="left"/>
      <w:pPr>
        <w:ind w:left="2880" w:hanging="360"/>
      </w:pPr>
      <w:rPr>
        <w:rFonts w:ascii="Symbol" w:hAnsi="Symbol" w:cs="Symbol" w:hint="default"/>
      </w:rPr>
    </w:lvl>
    <w:lvl w:ilvl="4" w:tplc="97FC3E5C" w:tentative="1">
      <w:start w:val="1"/>
      <w:numFmt w:val="bullet"/>
      <w:lvlText w:val="o"/>
      <w:lvlJc w:val="left"/>
      <w:pPr>
        <w:ind w:left="3600" w:hanging="360"/>
      </w:pPr>
      <w:rPr>
        <w:rFonts w:ascii="Courier New" w:hAnsi="Courier New" w:cs="Courier New" w:hint="default"/>
      </w:rPr>
    </w:lvl>
    <w:lvl w:ilvl="5" w:tplc="B32E6654" w:tentative="1">
      <w:start w:val="1"/>
      <w:numFmt w:val="bullet"/>
      <w:lvlText w:val=""/>
      <w:lvlJc w:val="left"/>
      <w:pPr>
        <w:ind w:left="4320" w:hanging="360"/>
      </w:pPr>
      <w:rPr>
        <w:rFonts w:ascii="Wingdings" w:hAnsi="Wingdings" w:cs="Wingdings" w:hint="default"/>
      </w:rPr>
    </w:lvl>
    <w:lvl w:ilvl="6" w:tplc="129C63D8" w:tentative="1">
      <w:start w:val="1"/>
      <w:numFmt w:val="bullet"/>
      <w:lvlText w:val=""/>
      <w:lvlJc w:val="left"/>
      <w:pPr>
        <w:ind w:left="5040" w:hanging="360"/>
      </w:pPr>
      <w:rPr>
        <w:rFonts w:ascii="Symbol" w:hAnsi="Symbol" w:cs="Symbol" w:hint="default"/>
      </w:rPr>
    </w:lvl>
    <w:lvl w:ilvl="7" w:tplc="D9DC70DE" w:tentative="1">
      <w:start w:val="1"/>
      <w:numFmt w:val="bullet"/>
      <w:lvlText w:val="o"/>
      <w:lvlJc w:val="left"/>
      <w:pPr>
        <w:ind w:left="5760" w:hanging="360"/>
      </w:pPr>
      <w:rPr>
        <w:rFonts w:ascii="Courier New" w:hAnsi="Courier New" w:cs="Courier New" w:hint="default"/>
      </w:rPr>
    </w:lvl>
    <w:lvl w:ilvl="8" w:tplc="697C2670"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796633"/>
    <w:rsid w:val="00796633"/>
    <w:rsid w:val="0088012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4BA4"/>
    <w:pPr>
      <w:widowControl w:val="0"/>
      <w:suppressAutoHyphens/>
      <w:autoSpaceDN w:val="0"/>
      <w:spacing w:line="240" w:lineRule="exact"/>
      <w:textAlignment w:val="baseline"/>
    </w:pPr>
    <w:rPr>
      <w:rFonts w:ascii="Verdana" w:hAnsi="Verdana" w:cs="Verdana"/>
      <w:kern w:val="3"/>
      <w:sz w:val="18"/>
      <w:szCs w:val="18"/>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8C4BA4"/>
    <w:pPr>
      <w:ind w:left="720"/>
      <w:contextualSpacing/>
    </w:pPr>
  </w:style>
  <w:style w:type="paragraph" w:styleId="Ballontekst">
    <w:name w:val="Balloon Text"/>
    <w:basedOn w:val="Standaard"/>
    <w:link w:val="BallontekstChar"/>
    <w:uiPriority w:val="99"/>
    <w:semiHidden/>
    <w:rsid w:val="0052482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4825"/>
    <w:rPr>
      <w:rFonts w:ascii="Tahoma" w:hAnsi="Tahoma" w:cs="Tahoma"/>
      <w:kern w:val="3"/>
      <w:sz w:val="14"/>
      <w:szCs w:val="14"/>
      <w:lang w:eastAsia="zh-CN"/>
    </w:rPr>
  </w:style>
  <w:style w:type="character" w:styleId="Verwijzingopmerking">
    <w:name w:val="annotation reference"/>
    <w:basedOn w:val="Standaardalinea-lettertype"/>
    <w:uiPriority w:val="99"/>
    <w:semiHidden/>
    <w:rsid w:val="00350DFE"/>
    <w:rPr>
      <w:sz w:val="16"/>
      <w:szCs w:val="16"/>
    </w:rPr>
  </w:style>
  <w:style w:type="paragraph" w:styleId="Tekstopmerking">
    <w:name w:val="annotation text"/>
    <w:basedOn w:val="Standaard"/>
    <w:link w:val="TekstopmerkingChar"/>
    <w:uiPriority w:val="99"/>
    <w:semiHidden/>
    <w:rsid w:val="00350DFE"/>
    <w:rPr>
      <w:sz w:val="20"/>
      <w:szCs w:val="20"/>
    </w:rPr>
  </w:style>
  <w:style w:type="character" w:customStyle="1" w:styleId="TekstopmerkingChar">
    <w:name w:val="Tekst opmerking Char"/>
    <w:basedOn w:val="Standaardalinea-lettertype"/>
    <w:link w:val="Tekstopmerking"/>
    <w:uiPriority w:val="99"/>
    <w:semiHidden/>
    <w:rsid w:val="00A65F56"/>
    <w:rPr>
      <w:rFonts w:ascii="Verdana" w:hAnsi="Verdana" w:cs="Verdana"/>
      <w:kern w:val="3"/>
      <w:sz w:val="20"/>
      <w:szCs w:val="20"/>
      <w:lang w:eastAsia="zh-CN"/>
    </w:rPr>
  </w:style>
  <w:style w:type="paragraph" w:styleId="Onderwerpvanopmerking">
    <w:name w:val="annotation subject"/>
    <w:basedOn w:val="Tekstopmerking"/>
    <w:next w:val="Tekstopmerking"/>
    <w:link w:val="OnderwerpvanopmerkingChar"/>
    <w:uiPriority w:val="99"/>
    <w:semiHidden/>
    <w:rsid w:val="00350DFE"/>
    <w:rPr>
      <w:b/>
      <w:bCs/>
    </w:rPr>
  </w:style>
  <w:style w:type="character" w:customStyle="1" w:styleId="OnderwerpvanopmerkingChar">
    <w:name w:val="Onderwerp van opmerking Char"/>
    <w:basedOn w:val="TekstopmerkingChar"/>
    <w:link w:val="Onderwerpvanopmerking"/>
    <w:uiPriority w:val="99"/>
    <w:semiHidden/>
    <w:rsid w:val="00A65F56"/>
    <w:rPr>
      <w:b/>
      <w:bCs/>
    </w:rPr>
  </w:style>
  <w:style w:type="paragraph" w:styleId="Voetnoottekst">
    <w:name w:val="footnote text"/>
    <w:basedOn w:val="Standaard"/>
    <w:link w:val="VoetnoottekstChar"/>
    <w:uiPriority w:val="99"/>
    <w:semiHidden/>
    <w:unhideWhenUsed/>
    <w:rsid w:val="009D3331"/>
    <w:pPr>
      <w:spacing w:line="240" w:lineRule="auto"/>
    </w:pPr>
    <w:rPr>
      <w:rFonts w:eastAsia="DejaVu Sans" w:cs="Mangal"/>
      <w:sz w:val="20"/>
      <w:lang w:bidi="hi-IN"/>
    </w:rPr>
  </w:style>
  <w:style w:type="character" w:customStyle="1" w:styleId="VoetnoottekstChar">
    <w:name w:val="Voetnoottekst Char"/>
    <w:basedOn w:val="Standaardalinea-lettertype"/>
    <w:link w:val="Voetnoottekst"/>
    <w:uiPriority w:val="99"/>
    <w:semiHidden/>
    <w:rsid w:val="009D3331"/>
    <w:rPr>
      <w:rFonts w:ascii="Verdana" w:eastAsia="DejaVu Sans" w:hAnsi="Verdana" w:cs="Mangal"/>
      <w:kern w:val="3"/>
      <w:sz w:val="20"/>
      <w:szCs w:val="18"/>
      <w:lang w:eastAsia="zh-CN" w:bidi="hi-IN"/>
    </w:rPr>
  </w:style>
  <w:style w:type="character" w:styleId="Voetnootmarkering">
    <w:name w:val="footnote reference"/>
    <w:basedOn w:val="Standaardalinea-lettertype"/>
    <w:uiPriority w:val="99"/>
    <w:semiHidden/>
    <w:unhideWhenUsed/>
    <w:rsid w:val="009D3331"/>
    <w:rPr>
      <w:vertAlign w:val="superscript"/>
    </w:rPr>
  </w:style>
  <w:style w:type="paragraph" w:styleId="Koptekst">
    <w:name w:val="header"/>
    <w:basedOn w:val="Standaard"/>
    <w:link w:val="KoptekstChar"/>
    <w:uiPriority w:val="99"/>
    <w:semiHidden/>
    <w:unhideWhenUsed/>
    <w:rsid w:val="00634BF4"/>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634BF4"/>
    <w:rPr>
      <w:rFonts w:ascii="Verdana" w:hAnsi="Verdana" w:cs="Verdana"/>
      <w:kern w:val="3"/>
      <w:sz w:val="18"/>
      <w:szCs w:val="18"/>
      <w:lang w:eastAsia="zh-CN"/>
    </w:rPr>
  </w:style>
  <w:style w:type="paragraph" w:styleId="Voettekst">
    <w:name w:val="footer"/>
    <w:basedOn w:val="Standaard"/>
    <w:link w:val="VoettekstChar"/>
    <w:uiPriority w:val="99"/>
    <w:unhideWhenUsed/>
    <w:rsid w:val="00634BF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34BF4"/>
    <w:rPr>
      <w:rFonts w:ascii="Verdana" w:hAnsi="Verdana" w:cs="Verdana"/>
      <w:kern w:val="3"/>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767</ap:Words>
  <ap:Characters>4648</ap:Characters>
  <ap:DocSecurity>12</ap:DocSecurity>
  <ap:Lines>38</ap:Lines>
  <ap:Paragraphs>10</ap:Paragraphs>
  <ap:ScaleCrop>false</ap:ScaleCrop>
  <ap:HeadingPairs>
    <vt:vector baseType="variant" size="2">
      <vt:variant>
        <vt:lpstr>Titel</vt:lpstr>
      </vt:variant>
      <vt:variant>
        <vt:i4>1</vt:i4>
      </vt:variant>
    </vt:vector>
  </ap:HeadingPairs>
  <ap:TitlesOfParts>
    <vt:vector baseType="lpstr" size="1">
      <vt:lpstr>Bijlage bij standpunt rapport MSM &amp; Bloeddonatie</vt:lpstr>
    </vt:vector>
  </ap:TitlesOfParts>
  <ap:LinksUpToDate>false</ap:LinksUpToDate>
  <ap:CharactersWithSpaces>5405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2015-10-28T09:48:00.0000000Z</lastPrinted>
  <dcterms:created xsi:type="dcterms:W3CDTF">2015-10-28T10:22:00.0000000Z</dcterms:created>
  <dcterms:modified xsi:type="dcterms:W3CDTF">2015-10-28T10:22:00.0000000Z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0x010100E562A725DF82C64EA579C4F94AE9948E</vt:lpwstr>
  </property>
</Properties>
</file>