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533D5C" w:rsidR="00C05141" w:rsidP="00533D5C" w:rsidRDefault="00C05141">
      <w:pPr>
        <w:spacing w:line="240" w:lineRule="exact"/>
        <w:rPr>
          <w:rFonts w:ascii="Verdana" w:hAnsi="Verdana" w:cs="Verdana"/>
          <w:b/>
          <w:bCs/>
          <w:sz w:val="18"/>
          <w:szCs w:val="18"/>
        </w:rPr>
      </w:pPr>
      <w:r w:rsidRPr="00533D5C">
        <w:rPr>
          <w:rFonts w:ascii="Verdana" w:hAnsi="Verdana" w:cs="Verdana"/>
          <w:b/>
          <w:bCs/>
          <w:sz w:val="18"/>
          <w:szCs w:val="18"/>
        </w:rPr>
        <w:t xml:space="preserve">Bijlage </w:t>
      </w:r>
      <w:r w:rsidR="00A03D2D">
        <w:rPr>
          <w:rFonts w:ascii="Verdana" w:hAnsi="Verdana" w:cs="Verdana"/>
          <w:b/>
          <w:bCs/>
          <w:sz w:val="18"/>
          <w:szCs w:val="18"/>
        </w:rPr>
        <w:t>2</w:t>
      </w:r>
      <w:r w:rsidRPr="00533D5C">
        <w:rPr>
          <w:rFonts w:ascii="Verdana" w:hAnsi="Verdana" w:cs="Verdana"/>
          <w:b/>
          <w:bCs/>
          <w:sz w:val="18"/>
          <w:szCs w:val="18"/>
        </w:rPr>
        <w:t>: Vertic</w:t>
      </w:r>
      <w:r w:rsidR="00A559A6">
        <w:rPr>
          <w:rFonts w:ascii="Verdana" w:hAnsi="Verdana" w:cs="Verdana"/>
          <w:b/>
          <w:bCs/>
          <w:sz w:val="18"/>
          <w:szCs w:val="18"/>
        </w:rPr>
        <w:t>ale Toelichting Najaarsnota 2015</w:t>
      </w:r>
    </w:p>
    <w:p w:rsidRPr="00533D5C" w:rsidR="00C05141" w:rsidP="00533D5C" w:rsidRDefault="00C05141">
      <w:pPr>
        <w:spacing w:line="240" w:lineRule="exact"/>
        <w:rPr>
          <w:rFonts w:ascii="Verdana" w:hAnsi="Verdana" w:cs="Verdana"/>
          <w:sz w:val="18"/>
          <w:szCs w:val="18"/>
        </w:rPr>
      </w:pPr>
    </w:p>
    <w:p w:rsidRPr="0033779A" w:rsidR="00C05141" w:rsidP="00533D5C" w:rsidRDefault="00C05141">
      <w:pPr>
        <w:spacing w:line="240" w:lineRule="exact"/>
        <w:rPr>
          <w:rFonts w:ascii="Verdana" w:hAnsi="Verdana" w:cs="Verdana"/>
          <w:sz w:val="18"/>
          <w:szCs w:val="18"/>
        </w:rPr>
      </w:pPr>
      <w:r w:rsidRPr="0033779A">
        <w:rPr>
          <w:rFonts w:ascii="Verdana" w:hAnsi="Verdana" w:cs="Verdana"/>
          <w:sz w:val="18"/>
          <w:szCs w:val="18"/>
        </w:rPr>
        <w:t>De Verticale Toelichting geeft voor alle begrotingen een overzicht van</w:t>
      </w:r>
      <w:r w:rsidRPr="0033779A" w:rsidR="00C34CD2">
        <w:rPr>
          <w:rFonts w:ascii="Verdana" w:hAnsi="Verdana" w:cs="Verdana"/>
          <w:sz w:val="18"/>
          <w:szCs w:val="18"/>
        </w:rPr>
        <w:t>-</w:t>
      </w:r>
      <w:r w:rsidRPr="0033779A">
        <w:rPr>
          <w:rFonts w:ascii="Verdana" w:hAnsi="Verdana" w:cs="Verdana"/>
          <w:sz w:val="18"/>
          <w:szCs w:val="18"/>
        </w:rPr>
        <w:t xml:space="preserve"> en </w:t>
      </w:r>
      <w:r w:rsidRPr="0033779A" w:rsidR="00C34CD2">
        <w:rPr>
          <w:rFonts w:ascii="Verdana" w:hAnsi="Verdana" w:cs="Verdana"/>
          <w:sz w:val="18"/>
          <w:szCs w:val="18"/>
        </w:rPr>
        <w:t xml:space="preserve">een </w:t>
      </w:r>
      <w:r w:rsidRPr="0033779A">
        <w:rPr>
          <w:rFonts w:ascii="Verdana" w:hAnsi="Verdana" w:cs="Verdana"/>
          <w:sz w:val="18"/>
          <w:szCs w:val="18"/>
        </w:rPr>
        <w:t>toelichting op de belangrijkste mutaties</w:t>
      </w:r>
      <w:r w:rsidRPr="0033779A" w:rsidR="00803E92">
        <w:rPr>
          <w:rFonts w:ascii="Verdana" w:hAnsi="Verdana" w:cs="Verdana"/>
          <w:sz w:val="18"/>
          <w:szCs w:val="18"/>
        </w:rPr>
        <w:t xml:space="preserve"> sinds Miljoenennota 2016</w:t>
      </w:r>
      <w:r w:rsidRPr="0033779A">
        <w:rPr>
          <w:rFonts w:ascii="Verdana" w:hAnsi="Verdana" w:cs="Verdana"/>
          <w:sz w:val="18"/>
          <w:szCs w:val="18"/>
        </w:rPr>
        <w:t xml:space="preserve">. Voor een meer gedetailleerde toelichting op wordt verwezen naar de </w:t>
      </w:r>
      <w:proofErr w:type="spellStart"/>
      <w:r w:rsidRPr="0033779A" w:rsidR="00A559A6">
        <w:rPr>
          <w:rFonts w:ascii="Verdana" w:hAnsi="Verdana" w:cs="Verdana"/>
          <w:sz w:val="18"/>
          <w:szCs w:val="18"/>
        </w:rPr>
        <w:t>tweeede</w:t>
      </w:r>
      <w:proofErr w:type="spellEnd"/>
      <w:r w:rsidRPr="0033779A" w:rsidR="00A559A6">
        <w:rPr>
          <w:rFonts w:ascii="Verdana" w:hAnsi="Verdana" w:cs="Verdana"/>
          <w:sz w:val="18"/>
          <w:szCs w:val="18"/>
        </w:rPr>
        <w:t xml:space="preserve"> </w:t>
      </w:r>
      <w:r w:rsidRPr="0033779A">
        <w:rPr>
          <w:rFonts w:ascii="Verdana" w:hAnsi="Verdana" w:cs="Verdana"/>
          <w:sz w:val="18"/>
          <w:szCs w:val="18"/>
        </w:rPr>
        <w:t>suppletoire begrotingswetten.</w:t>
      </w:r>
    </w:p>
    <w:p w:rsidRPr="0033779A" w:rsidR="00C05141" w:rsidP="00533D5C" w:rsidRDefault="00C05141">
      <w:pPr>
        <w:spacing w:line="240" w:lineRule="exact"/>
        <w:rPr>
          <w:rFonts w:ascii="Verdana" w:hAnsi="Verdana" w:cs="Verdana"/>
          <w:sz w:val="18"/>
          <w:szCs w:val="18"/>
        </w:rPr>
      </w:pPr>
    </w:p>
    <w:p w:rsidRPr="0033779A" w:rsidR="00C05141" w:rsidP="00533D5C" w:rsidRDefault="00C05141">
      <w:pPr>
        <w:spacing w:line="240" w:lineRule="exact"/>
        <w:rPr>
          <w:rFonts w:ascii="Verdana" w:hAnsi="Verdana" w:cs="Verdana"/>
          <w:i/>
          <w:iCs/>
          <w:sz w:val="18"/>
          <w:szCs w:val="18"/>
        </w:rPr>
      </w:pPr>
      <w:r w:rsidRPr="0033779A">
        <w:rPr>
          <w:rFonts w:ascii="Verdana" w:hAnsi="Verdana" w:cs="Verdana"/>
          <w:i/>
          <w:iCs/>
          <w:sz w:val="18"/>
          <w:szCs w:val="18"/>
        </w:rPr>
        <w:t>Leeswijzer</w:t>
      </w:r>
    </w:p>
    <w:p w:rsidRPr="0033779A" w:rsidR="00C05141" w:rsidP="00533D5C" w:rsidRDefault="00C05141">
      <w:pPr>
        <w:spacing w:line="240" w:lineRule="exact"/>
        <w:rPr>
          <w:rFonts w:ascii="Verdana" w:hAnsi="Verdana" w:cs="Verdana"/>
          <w:sz w:val="18"/>
          <w:szCs w:val="18"/>
        </w:rPr>
      </w:pPr>
      <w:r w:rsidRPr="0033779A">
        <w:rPr>
          <w:rFonts w:ascii="Verdana" w:hAnsi="Verdana" w:cs="Verdana"/>
          <w:sz w:val="18"/>
          <w:szCs w:val="18"/>
        </w:rPr>
        <w:t>De mutaties zijn gesplitst in drie categorieën:</w:t>
      </w:r>
    </w:p>
    <w:p w:rsidRPr="0033779A" w:rsidR="00C05141" w:rsidP="00533D5C" w:rsidRDefault="00C05141">
      <w:pPr>
        <w:spacing w:line="240" w:lineRule="exact"/>
        <w:rPr>
          <w:rFonts w:ascii="Verdana" w:hAnsi="Verdana" w:cs="Verdana"/>
          <w:sz w:val="18"/>
          <w:szCs w:val="18"/>
        </w:rPr>
      </w:pPr>
      <w:r w:rsidRPr="0033779A">
        <w:rPr>
          <w:rFonts w:ascii="Verdana" w:hAnsi="Verdana" w:cs="Verdana"/>
          <w:sz w:val="18"/>
          <w:szCs w:val="18"/>
        </w:rPr>
        <w:t>1) Mee- en tegenvallers;</w:t>
      </w:r>
    </w:p>
    <w:p w:rsidRPr="0033779A" w:rsidR="00C05141" w:rsidP="00533D5C" w:rsidRDefault="00C05141">
      <w:pPr>
        <w:spacing w:line="240" w:lineRule="exact"/>
        <w:rPr>
          <w:rFonts w:ascii="Verdana" w:hAnsi="Verdana" w:cs="Verdana"/>
          <w:sz w:val="18"/>
          <w:szCs w:val="18"/>
        </w:rPr>
      </w:pPr>
      <w:r w:rsidRPr="0033779A">
        <w:rPr>
          <w:rFonts w:ascii="Verdana" w:hAnsi="Verdana" w:cs="Verdana"/>
          <w:sz w:val="18"/>
          <w:szCs w:val="18"/>
        </w:rPr>
        <w:t>2) Beleidsmatige mutaties;</w:t>
      </w:r>
    </w:p>
    <w:p w:rsidRPr="0033779A" w:rsidR="00C05141" w:rsidP="00533D5C" w:rsidRDefault="00C05141">
      <w:pPr>
        <w:spacing w:line="240" w:lineRule="exact"/>
        <w:rPr>
          <w:rFonts w:ascii="Verdana" w:hAnsi="Verdana" w:cs="Verdana"/>
          <w:sz w:val="18"/>
          <w:szCs w:val="18"/>
        </w:rPr>
      </w:pPr>
      <w:r w:rsidRPr="0033779A">
        <w:rPr>
          <w:rFonts w:ascii="Verdana" w:hAnsi="Verdana" w:cs="Verdana"/>
          <w:sz w:val="18"/>
          <w:szCs w:val="18"/>
        </w:rPr>
        <w:t>3) Technische mutaties.</w:t>
      </w:r>
    </w:p>
    <w:p w:rsidRPr="0033779A" w:rsidR="00C05141" w:rsidP="00533D5C" w:rsidRDefault="00C05141">
      <w:pPr>
        <w:spacing w:line="240" w:lineRule="exact"/>
        <w:rPr>
          <w:rFonts w:ascii="Verdana" w:hAnsi="Verdana" w:cs="Verdana"/>
          <w:sz w:val="18"/>
          <w:szCs w:val="18"/>
        </w:rPr>
      </w:pPr>
    </w:p>
    <w:p w:rsidRPr="0033779A" w:rsidR="00C05141" w:rsidP="00533D5C" w:rsidRDefault="00C05141">
      <w:pPr>
        <w:spacing w:line="240" w:lineRule="exact"/>
        <w:rPr>
          <w:rFonts w:ascii="Verdana" w:hAnsi="Verdana" w:cs="Verdana"/>
          <w:sz w:val="18"/>
          <w:szCs w:val="18"/>
        </w:rPr>
      </w:pPr>
      <w:r w:rsidRPr="0033779A">
        <w:rPr>
          <w:rFonts w:ascii="Verdana" w:hAnsi="Verdana" w:cs="Verdana"/>
          <w:sz w:val="18"/>
          <w:szCs w:val="18"/>
        </w:rPr>
        <w:t xml:space="preserve">De laatste categorie omvat alle overboekingen, </w:t>
      </w:r>
      <w:proofErr w:type="spellStart"/>
      <w:r w:rsidRPr="0033779A">
        <w:rPr>
          <w:rFonts w:ascii="Verdana" w:hAnsi="Verdana" w:cs="Verdana"/>
          <w:sz w:val="18"/>
          <w:szCs w:val="18"/>
        </w:rPr>
        <w:t>desalderingen</w:t>
      </w:r>
      <w:proofErr w:type="spellEnd"/>
      <w:r w:rsidRPr="0033779A">
        <w:rPr>
          <w:rFonts w:ascii="Verdana" w:hAnsi="Verdana" w:cs="Verdana"/>
          <w:sz w:val="18"/>
          <w:szCs w:val="18"/>
        </w:rPr>
        <w:t xml:space="preserve">, statistische correcties en mutaties die niet onder een </w:t>
      </w:r>
      <w:proofErr w:type="spellStart"/>
      <w:r w:rsidRPr="0033779A">
        <w:rPr>
          <w:rFonts w:ascii="Verdana" w:hAnsi="Verdana" w:cs="Verdana"/>
          <w:sz w:val="18"/>
          <w:szCs w:val="18"/>
        </w:rPr>
        <w:t>ijklijn</w:t>
      </w:r>
      <w:proofErr w:type="spellEnd"/>
      <w:r w:rsidRPr="0033779A">
        <w:rPr>
          <w:rFonts w:ascii="Verdana" w:hAnsi="Verdana" w:cs="Verdana"/>
          <w:sz w:val="18"/>
          <w:szCs w:val="18"/>
        </w:rPr>
        <w:t xml:space="preserve"> vallen. Mutaties worden toegelicht indien ze een</w:t>
      </w:r>
      <w:r w:rsidRPr="0033779A" w:rsidR="00C34CD2">
        <w:rPr>
          <w:rFonts w:ascii="Verdana" w:hAnsi="Verdana" w:cs="Verdana"/>
          <w:sz w:val="18"/>
          <w:szCs w:val="18"/>
        </w:rPr>
        <w:t xml:space="preserve"> bepaalde ondergrens overschrijden</w:t>
      </w:r>
      <w:r w:rsidRPr="0033779A">
        <w:rPr>
          <w:rFonts w:ascii="Verdana" w:hAnsi="Verdana" w:cs="Verdana"/>
          <w:sz w:val="18"/>
          <w:szCs w:val="18"/>
        </w:rPr>
        <w:t>. De ondergrens is afhankelijk van de omvang van de begroting en verschilt voor de verschillende categorieën mutaties. De post diversen bevat de mutaties die onder de ondergrens vallen en wordt in principe alleen toegelicht indien zich bijzonderheden voordoen.</w:t>
      </w:r>
    </w:p>
    <w:p w:rsidRPr="0033779A" w:rsidR="00C05141" w:rsidP="00533D5C" w:rsidRDefault="00C05141">
      <w:pPr>
        <w:spacing w:line="240" w:lineRule="exact"/>
        <w:rPr>
          <w:rFonts w:ascii="Verdana" w:hAnsi="Verdana" w:cs="Verdana"/>
          <w:sz w:val="18"/>
          <w:szCs w:val="18"/>
        </w:rPr>
      </w:pPr>
    </w:p>
    <w:p w:rsidRPr="0033779A" w:rsidR="00C05141" w:rsidP="00533D5C" w:rsidRDefault="00C0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Verdana" w:hAnsi="Verdana" w:cs="Verdana"/>
          <w:sz w:val="18"/>
          <w:szCs w:val="18"/>
          <w:lang w:eastAsia="en-US"/>
        </w:rPr>
      </w:pPr>
      <w:r w:rsidRPr="0033779A">
        <w:rPr>
          <w:rFonts w:ascii="Verdana" w:hAnsi="Verdana" w:cs="Verdana"/>
          <w:sz w:val="18"/>
          <w:szCs w:val="18"/>
          <w:lang w:eastAsia="en-US"/>
        </w:rPr>
        <w:t xml:space="preserve">De totalen per begroting worden in eerste instantie gepresenteerd exclusief de bedragen die onder de Homogene Groep Internationale Samenwerking (HGIS) vallen. Door middel van een aansluitregel wordt het deel van de begroting dat onder de HGIS valt zichtbaar gemaakt. De laatste regel geeft per begroting de totaalstand inclusief HGIS aan. De mutaties die optreden binnen het </w:t>
      </w:r>
      <w:proofErr w:type="spellStart"/>
      <w:r w:rsidRPr="0033779A">
        <w:rPr>
          <w:rFonts w:ascii="Verdana" w:hAnsi="Verdana" w:cs="Verdana"/>
          <w:sz w:val="18"/>
          <w:szCs w:val="18"/>
          <w:lang w:eastAsia="en-US"/>
        </w:rPr>
        <w:t>HGIS-deel</w:t>
      </w:r>
      <w:proofErr w:type="spellEnd"/>
      <w:r w:rsidRPr="0033779A">
        <w:rPr>
          <w:rFonts w:ascii="Verdana" w:hAnsi="Verdana" w:cs="Verdana"/>
          <w:sz w:val="18"/>
          <w:szCs w:val="18"/>
          <w:lang w:eastAsia="en-US"/>
        </w:rPr>
        <w:t xml:space="preserve"> van de begroting worden gepresenteerd en toegelicht in de Verticale Toelichting van alle HGIS uitgaven. </w:t>
      </w:r>
    </w:p>
    <w:p w:rsidRPr="0033779A" w:rsidR="00C05141" w:rsidP="00533D5C" w:rsidRDefault="00C0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Verdana" w:hAnsi="Verdana" w:cs="Verdana"/>
          <w:sz w:val="18"/>
          <w:szCs w:val="18"/>
        </w:rPr>
      </w:pPr>
    </w:p>
    <w:p w:rsidRPr="0033779A" w:rsidR="00171785" w:rsidP="00533D5C" w:rsidRDefault="00C0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Verdana" w:hAnsi="Verdana" w:cs="Verdana"/>
          <w:sz w:val="18"/>
          <w:szCs w:val="18"/>
          <w:lang w:eastAsia="en-US"/>
        </w:rPr>
      </w:pPr>
      <w:r w:rsidRPr="0033779A">
        <w:rPr>
          <w:rFonts w:ascii="Verdana" w:hAnsi="Verdana" w:cs="Verdana"/>
          <w:sz w:val="18"/>
          <w:szCs w:val="18"/>
          <w:lang w:eastAsia="en-US"/>
        </w:rPr>
        <w:t>De bedragen in de tabellen zijn in miljoenen euro’s.</w:t>
      </w:r>
      <w:r w:rsidRPr="0033779A" w:rsidR="00171785">
        <w:rPr>
          <w:rFonts w:ascii="Verdana" w:hAnsi="Verdana" w:cs="Verdana"/>
          <w:sz w:val="18"/>
          <w:szCs w:val="18"/>
          <w:lang w:eastAsia="en-US"/>
        </w:rPr>
        <w:t xml:space="preserve"> </w:t>
      </w:r>
      <w:r w:rsidRPr="0033779A" w:rsidR="009A6DDC">
        <w:rPr>
          <w:rFonts w:ascii="Verdana" w:hAnsi="Verdana" w:cs="Verdana"/>
          <w:sz w:val="18"/>
          <w:szCs w:val="18"/>
          <w:lang w:eastAsia="en-US"/>
        </w:rPr>
        <w:t>Door afrondingen kan het totaal afwijken van de som der onderdelen.</w:t>
      </w:r>
    </w:p>
    <w:p w:rsidRPr="0033779A" w:rsidR="0030782C" w:rsidP="00533D5C" w:rsidRDefault="0030782C">
      <w:pPr>
        <w:pStyle w:val="Bijschrift"/>
        <w:keepNext/>
        <w:spacing w:after="0" w:line="240" w:lineRule="exact"/>
        <w:rPr>
          <w:rFonts w:ascii="Verdana" w:hAnsi="Verdana"/>
        </w:rPr>
      </w:pPr>
    </w:p>
    <w:p w:rsidRPr="0033779A" w:rsidR="00283B40" w:rsidP="00533D5C" w:rsidRDefault="00283B40">
      <w:pPr>
        <w:spacing w:line="240" w:lineRule="exact"/>
        <w:rPr>
          <w:rFonts w:ascii="Verdana" w:hAnsi="Verdana"/>
          <w:sz w:val="18"/>
          <w:szCs w:val="18"/>
        </w:rPr>
      </w:pPr>
    </w:p>
    <w:p w:rsidRPr="00533D5C" w:rsidR="00AD374F" w:rsidP="00533D5C" w:rsidRDefault="00C05141">
      <w:pPr>
        <w:pStyle w:val="Bijschrift"/>
        <w:keepNext/>
        <w:spacing w:after="0" w:line="240" w:lineRule="exact"/>
        <w:rPr>
          <w:rFonts w:ascii="Verdana" w:hAnsi="Verdana"/>
          <w:color w:val="auto"/>
        </w:rPr>
      </w:pPr>
      <w:r w:rsidRPr="0033779A">
        <w:rPr>
          <w:rFonts w:ascii="Verdana" w:hAnsi="Verdana"/>
        </w:rPr>
        <w:br w:type="page"/>
      </w:r>
      <w:r w:rsidRPr="0033779A" w:rsidR="00C21097">
        <w:rPr>
          <w:rFonts w:ascii="Verdana" w:hAnsi="Verdana"/>
          <w:color w:val="auto"/>
        </w:rPr>
        <w:lastRenderedPageBreak/>
        <w:t xml:space="preserve">Samenvattend overzicht mutaties per </w:t>
      </w:r>
      <w:r w:rsidRPr="0033779A" w:rsidR="00FB608B">
        <w:rPr>
          <w:rFonts w:ascii="Verdana" w:hAnsi="Verdana"/>
          <w:color w:val="auto"/>
        </w:rPr>
        <w:t>N</w:t>
      </w:r>
      <w:r w:rsidRPr="0033779A" w:rsidR="00C21097">
        <w:rPr>
          <w:rFonts w:ascii="Verdana" w:hAnsi="Verdana"/>
          <w:color w:val="auto"/>
        </w:rPr>
        <w:t>ajaarsnota 201</w:t>
      </w:r>
      <w:r w:rsidRPr="0033779A" w:rsidR="00FD3E5A">
        <w:rPr>
          <w:rFonts w:ascii="Verdana" w:hAnsi="Verdana"/>
          <w:color w:val="auto"/>
        </w:rPr>
        <w:t>5</w:t>
      </w:r>
    </w:p>
    <w:p w:rsidRPr="00533D5C" w:rsidR="00AD374F" w:rsidP="00533D5C" w:rsidRDefault="00AD374F">
      <w:pPr>
        <w:spacing w:line="240" w:lineRule="exact"/>
        <w:rPr>
          <w:rFonts w:ascii="Verdana" w:hAnsi="Verdana"/>
          <w:sz w:val="18"/>
          <w:szCs w:val="18"/>
        </w:rPr>
      </w:pPr>
    </w:p>
    <w:tbl>
      <w:tblPr>
        <w:tblW w:w="5000" w:type="pct"/>
        <w:tblCellMar>
          <w:left w:w="70" w:type="dxa"/>
          <w:right w:w="70" w:type="dxa"/>
        </w:tblCellMar>
        <w:tblLook w:val="04A0"/>
      </w:tblPr>
      <w:tblGrid>
        <w:gridCol w:w="763"/>
        <w:gridCol w:w="4976"/>
        <w:gridCol w:w="1702"/>
        <w:gridCol w:w="1771"/>
      </w:tblGrid>
      <w:tr w:rsidRPr="00533D5C" w:rsidR="00987044" w:rsidTr="00987044">
        <w:trPr>
          <w:trHeight w:val="127"/>
        </w:trPr>
        <w:tc>
          <w:tcPr>
            <w:tcW w:w="414" w:type="pct"/>
            <w:tcBorders>
              <w:top w:val="single" w:color="auto" w:sz="12" w:space="0"/>
              <w:left w:val="nil"/>
              <w:bottom w:val="single" w:color="auto" w:sz="12" w:space="0"/>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 </w:t>
            </w:r>
          </w:p>
        </w:tc>
        <w:tc>
          <w:tcPr>
            <w:tcW w:w="2701" w:type="pct"/>
            <w:tcBorders>
              <w:top w:val="single" w:color="auto" w:sz="12" w:space="0"/>
              <w:left w:val="nil"/>
              <w:bottom w:val="single" w:color="auto" w:sz="12" w:space="0"/>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Bedragen in miljoenen euro’s</w:t>
            </w:r>
          </w:p>
        </w:tc>
        <w:tc>
          <w:tcPr>
            <w:tcW w:w="924" w:type="pct"/>
            <w:tcBorders>
              <w:top w:val="single" w:color="auto" w:sz="12" w:space="0"/>
              <w:left w:val="nil"/>
              <w:bottom w:val="single" w:color="auto" w:sz="12" w:space="0"/>
              <w:right w:val="nil"/>
            </w:tcBorders>
            <w:shd w:val="clear" w:color="auto" w:fill="auto"/>
            <w:hideMark/>
          </w:tcPr>
          <w:p w:rsidRPr="00533D5C" w:rsidR="00987044" w:rsidP="00533D5C" w:rsidRDefault="00987044">
            <w:pPr>
              <w:spacing w:line="240" w:lineRule="exact"/>
              <w:jc w:val="right"/>
              <w:rPr>
                <w:rFonts w:ascii="Verdana" w:hAnsi="Verdana"/>
                <w:sz w:val="18"/>
                <w:szCs w:val="18"/>
              </w:rPr>
            </w:pPr>
            <w:r w:rsidRPr="00533D5C">
              <w:rPr>
                <w:rFonts w:ascii="Verdana" w:hAnsi="Verdana"/>
                <w:sz w:val="18"/>
                <w:szCs w:val="18"/>
              </w:rPr>
              <w:t>Mutaties uitgaven</w:t>
            </w:r>
          </w:p>
        </w:tc>
        <w:tc>
          <w:tcPr>
            <w:tcW w:w="961" w:type="pct"/>
            <w:tcBorders>
              <w:top w:val="single" w:color="auto" w:sz="12" w:space="0"/>
              <w:left w:val="nil"/>
              <w:bottom w:val="single" w:color="auto" w:sz="12" w:space="0"/>
              <w:right w:val="nil"/>
            </w:tcBorders>
            <w:shd w:val="clear" w:color="auto" w:fill="auto"/>
            <w:hideMark/>
          </w:tcPr>
          <w:p w:rsidRPr="00533D5C" w:rsidR="00987044" w:rsidP="00533D5C" w:rsidRDefault="00987044">
            <w:pPr>
              <w:spacing w:line="240" w:lineRule="exact"/>
              <w:jc w:val="right"/>
              <w:rPr>
                <w:rFonts w:ascii="Verdana" w:hAnsi="Verdana"/>
                <w:sz w:val="18"/>
                <w:szCs w:val="18"/>
              </w:rPr>
            </w:pPr>
            <w:r w:rsidRPr="00533D5C">
              <w:rPr>
                <w:rFonts w:ascii="Verdana" w:hAnsi="Verdana"/>
                <w:sz w:val="18"/>
                <w:szCs w:val="18"/>
              </w:rPr>
              <w:t xml:space="preserve">Mutaties ontvangsten </w:t>
            </w:r>
          </w:p>
        </w:tc>
      </w:tr>
      <w:tr w:rsidRPr="00533D5C" w:rsidR="00987044" w:rsidTr="00987044">
        <w:trPr>
          <w:trHeight w:val="210"/>
        </w:trPr>
        <w:tc>
          <w:tcPr>
            <w:tcW w:w="5000" w:type="pct"/>
            <w:gridSpan w:val="4"/>
            <w:tcBorders>
              <w:top w:val="single" w:color="auto" w:sz="12" w:space="0"/>
              <w:left w:val="nil"/>
              <w:bottom w:val="single" w:color="auto" w:sz="8" w:space="0"/>
              <w:right w:val="nil"/>
            </w:tcBorders>
            <w:shd w:val="clear" w:color="auto" w:fill="auto"/>
            <w:vAlign w:val="bottom"/>
            <w:hideMark/>
          </w:tcPr>
          <w:p w:rsidRPr="00533D5C" w:rsidR="00987044" w:rsidP="00533D5C" w:rsidRDefault="00987044">
            <w:pPr>
              <w:spacing w:line="240" w:lineRule="exact"/>
              <w:rPr>
                <w:rFonts w:ascii="Verdana" w:hAnsi="Verdana"/>
                <w:i/>
                <w:iCs/>
                <w:sz w:val="18"/>
                <w:szCs w:val="18"/>
              </w:rPr>
            </w:pPr>
            <w:r w:rsidRPr="00533D5C">
              <w:rPr>
                <w:rFonts w:ascii="Verdana" w:hAnsi="Verdana"/>
                <w:i/>
                <w:iCs/>
                <w:sz w:val="18"/>
                <w:szCs w:val="18"/>
              </w:rPr>
              <w:t>Departementale begrotingen</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I</w:t>
            </w:r>
          </w:p>
        </w:tc>
        <w:tc>
          <w:tcPr>
            <w:tcW w:w="2701" w:type="pct"/>
            <w:tcBorders>
              <w:top w:val="nil"/>
              <w:left w:val="nil"/>
              <w:bottom w:val="nil"/>
              <w:right w:val="nil"/>
            </w:tcBorders>
            <w:shd w:val="clear" w:color="auto" w:fill="auto"/>
            <w:vAlign w:val="bottom"/>
            <w:hideMark/>
          </w:tcPr>
          <w:p w:rsidRPr="00533D5C" w:rsidR="00987044" w:rsidP="00533D5C" w:rsidRDefault="00FD3E5A">
            <w:pPr>
              <w:spacing w:line="240" w:lineRule="exact"/>
              <w:rPr>
                <w:rFonts w:ascii="Verdana" w:hAnsi="Verdana"/>
                <w:sz w:val="18"/>
                <w:szCs w:val="18"/>
              </w:rPr>
            </w:pPr>
            <w:r>
              <w:rPr>
                <w:rFonts w:ascii="Verdana" w:hAnsi="Verdana"/>
                <w:sz w:val="18"/>
                <w:szCs w:val="18"/>
              </w:rPr>
              <w:t>De K</w:t>
            </w:r>
            <w:r w:rsidRPr="00533D5C" w:rsidR="00987044">
              <w:rPr>
                <w:rFonts w:ascii="Verdana" w:hAnsi="Verdana"/>
                <w:sz w:val="18"/>
                <w:szCs w:val="18"/>
              </w:rPr>
              <w:t>oning</w:t>
            </w:r>
          </w:p>
        </w:tc>
        <w:tc>
          <w:tcPr>
            <w:tcW w:w="924" w:type="pct"/>
            <w:tcBorders>
              <w:top w:val="nil"/>
              <w:left w:val="nil"/>
              <w:bottom w:val="nil"/>
              <w:right w:val="nil"/>
            </w:tcBorders>
            <w:shd w:val="clear" w:color="auto" w:fill="auto"/>
            <w:vAlign w:val="bottom"/>
            <w:hideMark/>
          </w:tcPr>
          <w:p w:rsidRPr="00533D5C" w:rsidR="00987044" w:rsidP="00533D5C" w:rsidRDefault="00803E92">
            <w:pPr>
              <w:spacing w:line="240" w:lineRule="exact"/>
              <w:jc w:val="right"/>
              <w:rPr>
                <w:rFonts w:ascii="Verdana" w:hAnsi="Verdana"/>
                <w:sz w:val="18"/>
                <w:szCs w:val="18"/>
              </w:rPr>
            </w:pPr>
            <w:r>
              <w:rPr>
                <w:rFonts w:ascii="Verdana" w:hAnsi="Verdana"/>
                <w:sz w:val="18"/>
                <w:szCs w:val="18"/>
              </w:rPr>
              <w:t>0,2</w:t>
            </w:r>
          </w:p>
        </w:tc>
        <w:tc>
          <w:tcPr>
            <w:tcW w:w="961" w:type="pct"/>
            <w:tcBorders>
              <w:top w:val="nil"/>
              <w:left w:val="nil"/>
              <w:bottom w:val="nil"/>
              <w:right w:val="nil"/>
            </w:tcBorders>
            <w:shd w:val="clear" w:color="auto" w:fill="auto"/>
            <w:vAlign w:val="bottom"/>
            <w:hideMark/>
          </w:tcPr>
          <w:p w:rsidRPr="00533D5C" w:rsidR="00987044" w:rsidP="00533D5C" w:rsidRDefault="00803E92">
            <w:pPr>
              <w:spacing w:line="240" w:lineRule="exact"/>
              <w:jc w:val="right"/>
              <w:rPr>
                <w:rFonts w:ascii="Verdana" w:hAnsi="Verdana"/>
                <w:sz w:val="18"/>
                <w:szCs w:val="18"/>
              </w:rPr>
            </w:pPr>
            <w:r>
              <w:rPr>
                <w:rFonts w:ascii="Verdana" w:hAnsi="Verdana"/>
                <w:sz w:val="18"/>
                <w:szCs w:val="18"/>
              </w:rPr>
              <w:t>0,0</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IIA</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Staten Generaal</w:t>
            </w:r>
          </w:p>
        </w:tc>
        <w:tc>
          <w:tcPr>
            <w:tcW w:w="924" w:type="pct"/>
            <w:tcBorders>
              <w:top w:val="nil"/>
              <w:left w:val="nil"/>
              <w:bottom w:val="nil"/>
              <w:right w:val="nil"/>
            </w:tcBorders>
            <w:shd w:val="clear" w:color="auto" w:fill="auto"/>
            <w:vAlign w:val="bottom"/>
            <w:hideMark/>
          </w:tcPr>
          <w:p w:rsidRPr="00533D5C" w:rsidR="00987044" w:rsidP="00533D5C" w:rsidRDefault="00BE156A">
            <w:pPr>
              <w:spacing w:line="240" w:lineRule="exact"/>
              <w:jc w:val="right"/>
              <w:rPr>
                <w:rFonts w:ascii="Verdana" w:hAnsi="Verdana"/>
                <w:sz w:val="18"/>
                <w:szCs w:val="18"/>
              </w:rPr>
            </w:pPr>
            <w:r>
              <w:rPr>
                <w:rFonts w:ascii="Verdana" w:hAnsi="Verdana"/>
                <w:sz w:val="18"/>
                <w:szCs w:val="18"/>
              </w:rPr>
              <w:t>-0,3</w:t>
            </w:r>
          </w:p>
        </w:tc>
        <w:tc>
          <w:tcPr>
            <w:tcW w:w="961" w:type="pct"/>
            <w:tcBorders>
              <w:top w:val="nil"/>
              <w:left w:val="nil"/>
              <w:bottom w:val="nil"/>
              <w:right w:val="nil"/>
            </w:tcBorders>
            <w:shd w:val="clear" w:color="auto" w:fill="auto"/>
            <w:vAlign w:val="bottom"/>
            <w:hideMark/>
          </w:tcPr>
          <w:p w:rsidRPr="00533D5C" w:rsidR="00987044" w:rsidP="00533D5C" w:rsidRDefault="00BE156A">
            <w:pPr>
              <w:spacing w:line="240" w:lineRule="exact"/>
              <w:jc w:val="right"/>
              <w:rPr>
                <w:rFonts w:ascii="Verdana" w:hAnsi="Verdana"/>
                <w:sz w:val="18"/>
                <w:szCs w:val="18"/>
              </w:rPr>
            </w:pPr>
            <w:r>
              <w:rPr>
                <w:rFonts w:ascii="Verdana" w:hAnsi="Verdana"/>
                <w:sz w:val="18"/>
                <w:szCs w:val="18"/>
              </w:rPr>
              <w:t>0,1</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IIB</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Hoge Colleges van Staat</w:t>
            </w:r>
          </w:p>
        </w:tc>
        <w:tc>
          <w:tcPr>
            <w:tcW w:w="924" w:type="pct"/>
            <w:tcBorders>
              <w:top w:val="nil"/>
              <w:left w:val="nil"/>
              <w:bottom w:val="nil"/>
              <w:right w:val="nil"/>
            </w:tcBorders>
            <w:shd w:val="clear" w:color="auto" w:fill="auto"/>
            <w:vAlign w:val="bottom"/>
            <w:hideMark/>
          </w:tcPr>
          <w:p w:rsidRPr="00533D5C" w:rsidR="00987044" w:rsidP="00533D5C" w:rsidRDefault="00BE156A">
            <w:pPr>
              <w:spacing w:line="240" w:lineRule="exact"/>
              <w:jc w:val="right"/>
              <w:rPr>
                <w:rFonts w:ascii="Verdana" w:hAnsi="Verdana"/>
                <w:sz w:val="18"/>
                <w:szCs w:val="18"/>
              </w:rPr>
            </w:pPr>
            <w:r>
              <w:rPr>
                <w:rFonts w:ascii="Verdana" w:hAnsi="Verdana"/>
                <w:sz w:val="18"/>
                <w:szCs w:val="18"/>
              </w:rPr>
              <w:t>1,5</w:t>
            </w:r>
          </w:p>
        </w:tc>
        <w:tc>
          <w:tcPr>
            <w:tcW w:w="961" w:type="pct"/>
            <w:tcBorders>
              <w:top w:val="nil"/>
              <w:left w:val="nil"/>
              <w:bottom w:val="nil"/>
              <w:right w:val="nil"/>
            </w:tcBorders>
            <w:shd w:val="clear" w:color="auto" w:fill="auto"/>
            <w:vAlign w:val="bottom"/>
            <w:hideMark/>
          </w:tcPr>
          <w:p w:rsidRPr="00533D5C" w:rsidR="00987044" w:rsidP="00533D5C" w:rsidRDefault="00BE156A">
            <w:pPr>
              <w:spacing w:line="240" w:lineRule="exact"/>
              <w:jc w:val="right"/>
              <w:rPr>
                <w:rFonts w:ascii="Verdana" w:hAnsi="Verdana"/>
                <w:sz w:val="18"/>
                <w:szCs w:val="18"/>
              </w:rPr>
            </w:pPr>
            <w:r>
              <w:rPr>
                <w:rFonts w:ascii="Verdana" w:hAnsi="Verdana"/>
                <w:sz w:val="18"/>
                <w:szCs w:val="18"/>
              </w:rPr>
              <w:t>1,4</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III</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Algemene Zaken</w:t>
            </w:r>
          </w:p>
        </w:tc>
        <w:tc>
          <w:tcPr>
            <w:tcW w:w="924" w:type="pct"/>
            <w:tcBorders>
              <w:top w:val="nil"/>
              <w:left w:val="nil"/>
              <w:bottom w:val="nil"/>
              <w:right w:val="nil"/>
            </w:tcBorders>
            <w:shd w:val="clear" w:color="auto" w:fill="auto"/>
            <w:vAlign w:val="bottom"/>
            <w:hideMark/>
          </w:tcPr>
          <w:p w:rsidRPr="00533D5C" w:rsidR="00987044" w:rsidP="00533D5C" w:rsidRDefault="00BE156A">
            <w:pPr>
              <w:spacing w:line="240" w:lineRule="exact"/>
              <w:jc w:val="right"/>
              <w:rPr>
                <w:rFonts w:ascii="Verdana" w:hAnsi="Verdana"/>
                <w:sz w:val="18"/>
                <w:szCs w:val="18"/>
              </w:rPr>
            </w:pPr>
            <w:r>
              <w:rPr>
                <w:rFonts w:ascii="Verdana" w:hAnsi="Verdana"/>
                <w:sz w:val="18"/>
                <w:szCs w:val="18"/>
              </w:rPr>
              <w:t>-2,7</w:t>
            </w:r>
          </w:p>
        </w:tc>
        <w:tc>
          <w:tcPr>
            <w:tcW w:w="961" w:type="pct"/>
            <w:tcBorders>
              <w:top w:val="nil"/>
              <w:left w:val="nil"/>
              <w:bottom w:val="nil"/>
              <w:right w:val="nil"/>
            </w:tcBorders>
            <w:shd w:val="clear" w:color="auto" w:fill="auto"/>
            <w:vAlign w:val="bottom"/>
            <w:hideMark/>
          </w:tcPr>
          <w:p w:rsidRPr="00533D5C" w:rsidR="00987044" w:rsidP="00533D5C" w:rsidRDefault="00BE156A">
            <w:pPr>
              <w:spacing w:line="240" w:lineRule="exact"/>
              <w:jc w:val="right"/>
              <w:rPr>
                <w:rFonts w:ascii="Verdana" w:hAnsi="Verdana"/>
                <w:sz w:val="18"/>
                <w:szCs w:val="18"/>
              </w:rPr>
            </w:pPr>
            <w:r>
              <w:rPr>
                <w:rFonts w:ascii="Verdana" w:hAnsi="Verdana"/>
                <w:sz w:val="18"/>
                <w:szCs w:val="18"/>
              </w:rPr>
              <w:t>0,2</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IV</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Koninkrijksrelaties</w:t>
            </w:r>
          </w:p>
        </w:tc>
        <w:tc>
          <w:tcPr>
            <w:tcW w:w="924" w:type="pct"/>
            <w:tcBorders>
              <w:top w:val="nil"/>
              <w:left w:val="nil"/>
              <w:bottom w:val="nil"/>
              <w:right w:val="nil"/>
            </w:tcBorders>
            <w:shd w:val="clear" w:color="auto" w:fill="auto"/>
            <w:vAlign w:val="bottom"/>
            <w:hideMark/>
          </w:tcPr>
          <w:p w:rsidRPr="00533D5C" w:rsidR="00987044" w:rsidP="00533D5C" w:rsidRDefault="00BE156A">
            <w:pPr>
              <w:spacing w:line="240" w:lineRule="exact"/>
              <w:jc w:val="right"/>
              <w:rPr>
                <w:rFonts w:ascii="Verdana" w:hAnsi="Verdana"/>
                <w:sz w:val="18"/>
                <w:szCs w:val="18"/>
              </w:rPr>
            </w:pPr>
            <w:r>
              <w:rPr>
                <w:rFonts w:ascii="Verdana" w:hAnsi="Verdana"/>
                <w:sz w:val="18"/>
                <w:szCs w:val="18"/>
              </w:rPr>
              <w:t>-2,0</w:t>
            </w:r>
          </w:p>
        </w:tc>
        <w:tc>
          <w:tcPr>
            <w:tcW w:w="961" w:type="pct"/>
            <w:tcBorders>
              <w:top w:val="nil"/>
              <w:left w:val="nil"/>
              <w:bottom w:val="nil"/>
              <w:right w:val="nil"/>
            </w:tcBorders>
            <w:shd w:val="clear" w:color="auto" w:fill="auto"/>
            <w:vAlign w:val="bottom"/>
            <w:hideMark/>
          </w:tcPr>
          <w:p w:rsidRPr="00533D5C" w:rsidR="00987044" w:rsidP="00533D5C" w:rsidRDefault="00BE156A">
            <w:pPr>
              <w:spacing w:line="240" w:lineRule="exact"/>
              <w:jc w:val="right"/>
              <w:rPr>
                <w:rFonts w:ascii="Verdana" w:hAnsi="Verdana"/>
                <w:sz w:val="18"/>
                <w:szCs w:val="18"/>
              </w:rPr>
            </w:pPr>
            <w:r>
              <w:rPr>
                <w:rFonts w:ascii="Verdana" w:hAnsi="Verdana"/>
                <w:sz w:val="18"/>
                <w:szCs w:val="18"/>
              </w:rPr>
              <w:t>0,5</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V</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Buitenlandse Zaken</w:t>
            </w:r>
          </w:p>
        </w:tc>
        <w:tc>
          <w:tcPr>
            <w:tcW w:w="924" w:type="pct"/>
            <w:tcBorders>
              <w:top w:val="nil"/>
              <w:left w:val="nil"/>
              <w:bottom w:val="nil"/>
              <w:right w:val="nil"/>
            </w:tcBorders>
            <w:shd w:val="clear" w:color="auto" w:fill="auto"/>
            <w:vAlign w:val="bottom"/>
            <w:hideMark/>
          </w:tcPr>
          <w:p w:rsidRPr="00826C61" w:rsidR="00987044" w:rsidP="00533D5C" w:rsidRDefault="00B05E4C">
            <w:pPr>
              <w:spacing w:line="240" w:lineRule="exact"/>
              <w:jc w:val="right"/>
              <w:rPr>
                <w:rFonts w:ascii="Verdana" w:hAnsi="Verdana"/>
                <w:sz w:val="18"/>
                <w:szCs w:val="18"/>
              </w:rPr>
            </w:pPr>
            <w:r w:rsidRPr="00826C61">
              <w:rPr>
                <w:rFonts w:ascii="Verdana" w:hAnsi="Verdana"/>
                <w:sz w:val="18"/>
                <w:szCs w:val="18"/>
              </w:rPr>
              <w:t>909,0</w:t>
            </w:r>
          </w:p>
        </w:tc>
        <w:tc>
          <w:tcPr>
            <w:tcW w:w="961" w:type="pct"/>
            <w:tcBorders>
              <w:top w:val="nil"/>
              <w:left w:val="nil"/>
              <w:bottom w:val="nil"/>
              <w:right w:val="nil"/>
            </w:tcBorders>
            <w:shd w:val="clear" w:color="auto" w:fill="auto"/>
            <w:vAlign w:val="bottom"/>
            <w:hideMark/>
          </w:tcPr>
          <w:p w:rsidRPr="00826C61" w:rsidR="00987044" w:rsidP="00533D5C" w:rsidRDefault="00B05E4C">
            <w:pPr>
              <w:spacing w:line="240" w:lineRule="exact"/>
              <w:jc w:val="right"/>
              <w:rPr>
                <w:rFonts w:ascii="Verdana" w:hAnsi="Verdana"/>
                <w:sz w:val="18"/>
                <w:szCs w:val="18"/>
              </w:rPr>
            </w:pPr>
            <w:r w:rsidRPr="00826C61">
              <w:rPr>
                <w:rFonts w:ascii="Verdana" w:hAnsi="Verdana"/>
                <w:sz w:val="18"/>
                <w:szCs w:val="18"/>
              </w:rPr>
              <w:t>49,5</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VI</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Veiligheid en Justitie</w:t>
            </w:r>
          </w:p>
        </w:tc>
        <w:tc>
          <w:tcPr>
            <w:tcW w:w="924" w:type="pct"/>
            <w:tcBorders>
              <w:top w:val="nil"/>
              <w:left w:val="nil"/>
              <w:bottom w:val="nil"/>
              <w:right w:val="nil"/>
            </w:tcBorders>
            <w:shd w:val="clear" w:color="auto" w:fill="auto"/>
            <w:vAlign w:val="bottom"/>
            <w:hideMark/>
          </w:tcPr>
          <w:p w:rsidRPr="00826C61" w:rsidR="00987044" w:rsidP="00533D5C" w:rsidRDefault="00826C61">
            <w:pPr>
              <w:spacing w:line="240" w:lineRule="exact"/>
              <w:jc w:val="right"/>
              <w:rPr>
                <w:rFonts w:ascii="Verdana" w:hAnsi="Verdana"/>
                <w:sz w:val="18"/>
                <w:szCs w:val="18"/>
              </w:rPr>
            </w:pPr>
            <w:r w:rsidRPr="00826C61">
              <w:rPr>
                <w:rFonts w:ascii="Verdana" w:hAnsi="Verdana"/>
                <w:sz w:val="18"/>
                <w:szCs w:val="18"/>
              </w:rPr>
              <w:t>393,6</w:t>
            </w:r>
          </w:p>
        </w:tc>
        <w:tc>
          <w:tcPr>
            <w:tcW w:w="961" w:type="pct"/>
            <w:tcBorders>
              <w:top w:val="nil"/>
              <w:left w:val="nil"/>
              <w:bottom w:val="nil"/>
              <w:right w:val="nil"/>
            </w:tcBorders>
            <w:shd w:val="clear" w:color="auto" w:fill="auto"/>
            <w:vAlign w:val="bottom"/>
            <w:hideMark/>
          </w:tcPr>
          <w:p w:rsidRPr="00826C61" w:rsidR="00987044" w:rsidP="00533D5C" w:rsidRDefault="0045429A">
            <w:pPr>
              <w:spacing w:line="240" w:lineRule="exact"/>
              <w:jc w:val="right"/>
              <w:rPr>
                <w:rFonts w:ascii="Verdana" w:hAnsi="Verdana"/>
                <w:sz w:val="18"/>
                <w:szCs w:val="18"/>
              </w:rPr>
            </w:pPr>
            <w:r w:rsidRPr="00826C61">
              <w:rPr>
                <w:rFonts w:ascii="Verdana" w:hAnsi="Verdana"/>
                <w:sz w:val="18"/>
                <w:szCs w:val="18"/>
              </w:rPr>
              <w:t>-67,3</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VII</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Binnenlandse Zaken en Koninkrijksrelaties</w:t>
            </w:r>
          </w:p>
        </w:tc>
        <w:tc>
          <w:tcPr>
            <w:tcW w:w="924" w:type="pct"/>
            <w:tcBorders>
              <w:top w:val="nil"/>
              <w:left w:val="nil"/>
              <w:bottom w:val="nil"/>
              <w:right w:val="nil"/>
            </w:tcBorders>
            <w:shd w:val="clear" w:color="auto" w:fill="auto"/>
            <w:vAlign w:val="bottom"/>
            <w:hideMark/>
          </w:tcPr>
          <w:p w:rsidRPr="00826C61" w:rsidR="00987044" w:rsidP="00533D5C" w:rsidRDefault="00B05E4C">
            <w:pPr>
              <w:spacing w:line="240" w:lineRule="exact"/>
              <w:jc w:val="right"/>
              <w:rPr>
                <w:rFonts w:ascii="Verdana" w:hAnsi="Verdana"/>
                <w:sz w:val="18"/>
                <w:szCs w:val="18"/>
              </w:rPr>
            </w:pPr>
            <w:r w:rsidRPr="00826C61">
              <w:rPr>
                <w:rFonts w:ascii="Verdana" w:hAnsi="Verdana"/>
                <w:sz w:val="18"/>
                <w:szCs w:val="18"/>
              </w:rPr>
              <w:t>-1,6</w:t>
            </w:r>
          </w:p>
        </w:tc>
        <w:tc>
          <w:tcPr>
            <w:tcW w:w="961" w:type="pct"/>
            <w:tcBorders>
              <w:top w:val="nil"/>
              <w:left w:val="nil"/>
              <w:bottom w:val="nil"/>
              <w:right w:val="nil"/>
            </w:tcBorders>
            <w:shd w:val="clear" w:color="auto" w:fill="auto"/>
            <w:vAlign w:val="bottom"/>
            <w:hideMark/>
          </w:tcPr>
          <w:p w:rsidRPr="00826C61" w:rsidR="00987044" w:rsidP="00533D5C" w:rsidRDefault="00B05E4C">
            <w:pPr>
              <w:spacing w:line="240" w:lineRule="exact"/>
              <w:jc w:val="right"/>
              <w:rPr>
                <w:rFonts w:ascii="Verdana" w:hAnsi="Verdana"/>
                <w:sz w:val="18"/>
                <w:szCs w:val="18"/>
              </w:rPr>
            </w:pPr>
            <w:r w:rsidRPr="00826C61">
              <w:rPr>
                <w:rFonts w:ascii="Verdana" w:hAnsi="Verdana"/>
                <w:sz w:val="18"/>
                <w:szCs w:val="18"/>
              </w:rPr>
              <w:t>-36,8</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VIII</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Onderwijs, Cultuur en Wetenschap</w:t>
            </w:r>
          </w:p>
        </w:tc>
        <w:tc>
          <w:tcPr>
            <w:tcW w:w="924" w:type="pct"/>
            <w:tcBorders>
              <w:top w:val="nil"/>
              <w:left w:val="nil"/>
              <w:bottom w:val="nil"/>
              <w:right w:val="nil"/>
            </w:tcBorders>
            <w:shd w:val="clear" w:color="auto" w:fill="auto"/>
            <w:vAlign w:val="bottom"/>
            <w:hideMark/>
          </w:tcPr>
          <w:p w:rsidRPr="00533D5C" w:rsidR="00987044" w:rsidP="00533D5C" w:rsidRDefault="00B05E4C">
            <w:pPr>
              <w:spacing w:line="240" w:lineRule="exact"/>
              <w:jc w:val="right"/>
              <w:rPr>
                <w:rFonts w:ascii="Verdana" w:hAnsi="Verdana"/>
                <w:sz w:val="18"/>
                <w:szCs w:val="18"/>
              </w:rPr>
            </w:pPr>
            <w:r>
              <w:rPr>
                <w:rFonts w:ascii="Verdana" w:hAnsi="Verdana"/>
                <w:sz w:val="18"/>
                <w:szCs w:val="18"/>
              </w:rPr>
              <w:t>286,1</w:t>
            </w:r>
          </w:p>
        </w:tc>
        <w:tc>
          <w:tcPr>
            <w:tcW w:w="961" w:type="pct"/>
            <w:tcBorders>
              <w:top w:val="nil"/>
              <w:left w:val="nil"/>
              <w:bottom w:val="nil"/>
              <w:right w:val="nil"/>
            </w:tcBorders>
            <w:shd w:val="clear" w:color="auto" w:fill="auto"/>
            <w:vAlign w:val="bottom"/>
            <w:hideMark/>
          </w:tcPr>
          <w:p w:rsidRPr="00533D5C" w:rsidR="00987044" w:rsidP="00533D5C" w:rsidRDefault="00B05E4C">
            <w:pPr>
              <w:spacing w:line="240" w:lineRule="exact"/>
              <w:jc w:val="right"/>
              <w:rPr>
                <w:rFonts w:ascii="Verdana" w:hAnsi="Verdana"/>
                <w:sz w:val="18"/>
                <w:szCs w:val="18"/>
              </w:rPr>
            </w:pPr>
            <w:r>
              <w:rPr>
                <w:rFonts w:ascii="Verdana" w:hAnsi="Verdana"/>
                <w:sz w:val="18"/>
                <w:szCs w:val="18"/>
              </w:rPr>
              <w:t>20,8</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IXA</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Nationale Schuld</w:t>
            </w:r>
          </w:p>
        </w:tc>
        <w:tc>
          <w:tcPr>
            <w:tcW w:w="924" w:type="pct"/>
            <w:tcBorders>
              <w:top w:val="nil"/>
              <w:left w:val="nil"/>
              <w:bottom w:val="nil"/>
              <w:right w:val="nil"/>
            </w:tcBorders>
            <w:shd w:val="clear" w:color="auto" w:fill="auto"/>
            <w:vAlign w:val="bottom"/>
            <w:hideMark/>
          </w:tcPr>
          <w:p w:rsidRPr="0045429A" w:rsidR="00987044" w:rsidP="00533D5C" w:rsidRDefault="0045429A">
            <w:pPr>
              <w:spacing w:line="240" w:lineRule="exact"/>
              <w:jc w:val="right"/>
              <w:rPr>
                <w:rFonts w:ascii="Verdana" w:hAnsi="Verdana"/>
                <w:sz w:val="18"/>
                <w:szCs w:val="18"/>
              </w:rPr>
            </w:pPr>
            <w:r w:rsidRPr="0045429A">
              <w:rPr>
                <w:rFonts w:ascii="Verdana" w:hAnsi="Verdana"/>
                <w:sz w:val="18"/>
                <w:szCs w:val="18"/>
              </w:rPr>
              <w:t>437,4</w:t>
            </w:r>
          </w:p>
        </w:tc>
        <w:tc>
          <w:tcPr>
            <w:tcW w:w="961" w:type="pct"/>
            <w:tcBorders>
              <w:top w:val="nil"/>
              <w:left w:val="nil"/>
              <w:bottom w:val="nil"/>
              <w:right w:val="nil"/>
            </w:tcBorders>
            <w:shd w:val="clear" w:color="auto" w:fill="auto"/>
            <w:vAlign w:val="bottom"/>
            <w:hideMark/>
          </w:tcPr>
          <w:p w:rsidRPr="0045429A" w:rsidR="00987044" w:rsidP="00533D5C" w:rsidRDefault="0045429A">
            <w:pPr>
              <w:spacing w:line="240" w:lineRule="exact"/>
              <w:jc w:val="right"/>
              <w:rPr>
                <w:rFonts w:ascii="Verdana" w:hAnsi="Verdana"/>
                <w:sz w:val="18"/>
                <w:szCs w:val="18"/>
              </w:rPr>
            </w:pPr>
            <w:r w:rsidRPr="0045429A">
              <w:rPr>
                <w:rFonts w:ascii="Verdana" w:hAnsi="Verdana"/>
                <w:sz w:val="18"/>
                <w:szCs w:val="18"/>
              </w:rPr>
              <w:t>1.930,5</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IXB</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Financiën</w:t>
            </w:r>
          </w:p>
        </w:tc>
        <w:tc>
          <w:tcPr>
            <w:tcW w:w="924" w:type="pct"/>
            <w:tcBorders>
              <w:top w:val="nil"/>
              <w:left w:val="nil"/>
              <w:bottom w:val="nil"/>
              <w:right w:val="nil"/>
            </w:tcBorders>
            <w:shd w:val="clear" w:color="auto" w:fill="auto"/>
            <w:vAlign w:val="bottom"/>
            <w:hideMark/>
          </w:tcPr>
          <w:p w:rsidRPr="0045429A" w:rsidR="00987044" w:rsidP="00533D5C" w:rsidRDefault="00EA20C6">
            <w:pPr>
              <w:spacing w:line="240" w:lineRule="exact"/>
              <w:jc w:val="right"/>
              <w:rPr>
                <w:rFonts w:ascii="Verdana" w:hAnsi="Verdana"/>
                <w:sz w:val="18"/>
                <w:szCs w:val="18"/>
              </w:rPr>
            </w:pPr>
            <w:r>
              <w:rPr>
                <w:rFonts w:ascii="Verdana" w:hAnsi="Verdana"/>
                <w:sz w:val="18"/>
                <w:szCs w:val="18"/>
              </w:rPr>
              <w:t>1.016</w:t>
            </w:r>
            <w:r w:rsidRPr="0045429A" w:rsidR="0045429A">
              <w:rPr>
                <w:rFonts w:ascii="Verdana" w:hAnsi="Verdana"/>
                <w:sz w:val="18"/>
                <w:szCs w:val="18"/>
              </w:rPr>
              <w:t>,0</w:t>
            </w:r>
          </w:p>
        </w:tc>
        <w:tc>
          <w:tcPr>
            <w:tcW w:w="961" w:type="pct"/>
            <w:tcBorders>
              <w:top w:val="nil"/>
              <w:left w:val="nil"/>
              <w:bottom w:val="nil"/>
              <w:right w:val="nil"/>
            </w:tcBorders>
            <w:shd w:val="clear" w:color="auto" w:fill="auto"/>
            <w:vAlign w:val="bottom"/>
            <w:hideMark/>
          </w:tcPr>
          <w:p w:rsidRPr="0045429A" w:rsidR="00987044" w:rsidP="00EA20C6" w:rsidRDefault="00EA20C6">
            <w:pPr>
              <w:spacing w:line="240" w:lineRule="exact"/>
              <w:jc w:val="right"/>
              <w:rPr>
                <w:rFonts w:ascii="Verdana" w:hAnsi="Verdana"/>
                <w:sz w:val="18"/>
                <w:szCs w:val="18"/>
              </w:rPr>
            </w:pPr>
            <w:r>
              <w:rPr>
                <w:rFonts w:ascii="Verdana" w:hAnsi="Verdana"/>
                <w:sz w:val="18"/>
                <w:szCs w:val="18"/>
              </w:rPr>
              <w:t>4</w:t>
            </w:r>
            <w:r w:rsidRPr="0045429A" w:rsidR="0045429A">
              <w:rPr>
                <w:rFonts w:ascii="Verdana" w:hAnsi="Verdana"/>
                <w:sz w:val="18"/>
                <w:szCs w:val="18"/>
              </w:rPr>
              <w:t>.</w:t>
            </w:r>
            <w:r>
              <w:rPr>
                <w:rFonts w:ascii="Verdana" w:hAnsi="Verdana"/>
                <w:sz w:val="18"/>
                <w:szCs w:val="18"/>
              </w:rPr>
              <w:t>419</w:t>
            </w:r>
            <w:r w:rsidRPr="0045429A" w:rsidR="0045429A">
              <w:rPr>
                <w:rFonts w:ascii="Verdana" w:hAnsi="Verdana"/>
                <w:sz w:val="18"/>
                <w:szCs w:val="18"/>
              </w:rPr>
              <w:t>,</w:t>
            </w:r>
            <w:r>
              <w:rPr>
                <w:rFonts w:ascii="Verdana" w:hAnsi="Verdana"/>
                <w:sz w:val="18"/>
                <w:szCs w:val="18"/>
              </w:rPr>
              <w:t>4</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X</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Defensie</w:t>
            </w:r>
          </w:p>
        </w:tc>
        <w:tc>
          <w:tcPr>
            <w:tcW w:w="924" w:type="pct"/>
            <w:tcBorders>
              <w:top w:val="nil"/>
              <w:left w:val="nil"/>
              <w:bottom w:val="nil"/>
              <w:right w:val="nil"/>
            </w:tcBorders>
            <w:shd w:val="clear" w:color="auto" w:fill="auto"/>
            <w:vAlign w:val="bottom"/>
            <w:hideMark/>
          </w:tcPr>
          <w:p w:rsidRPr="00533D5C" w:rsidR="00987044" w:rsidP="00533D5C" w:rsidRDefault="00B05E4C">
            <w:pPr>
              <w:spacing w:line="240" w:lineRule="exact"/>
              <w:jc w:val="right"/>
              <w:rPr>
                <w:rFonts w:ascii="Verdana" w:hAnsi="Verdana"/>
                <w:sz w:val="18"/>
                <w:szCs w:val="18"/>
              </w:rPr>
            </w:pPr>
            <w:r>
              <w:rPr>
                <w:rFonts w:ascii="Verdana" w:hAnsi="Verdana"/>
                <w:sz w:val="18"/>
                <w:szCs w:val="18"/>
              </w:rPr>
              <w:t>-201,8</w:t>
            </w:r>
          </w:p>
        </w:tc>
        <w:tc>
          <w:tcPr>
            <w:tcW w:w="961" w:type="pct"/>
            <w:tcBorders>
              <w:top w:val="nil"/>
              <w:left w:val="nil"/>
              <w:bottom w:val="nil"/>
              <w:right w:val="nil"/>
            </w:tcBorders>
            <w:shd w:val="clear" w:color="auto" w:fill="auto"/>
            <w:vAlign w:val="bottom"/>
            <w:hideMark/>
          </w:tcPr>
          <w:p w:rsidRPr="00533D5C" w:rsidR="00987044" w:rsidP="00533D5C" w:rsidRDefault="00B05E4C">
            <w:pPr>
              <w:spacing w:line="240" w:lineRule="exact"/>
              <w:jc w:val="right"/>
              <w:rPr>
                <w:rFonts w:ascii="Verdana" w:hAnsi="Verdana"/>
                <w:sz w:val="18"/>
                <w:szCs w:val="18"/>
              </w:rPr>
            </w:pPr>
            <w:r>
              <w:rPr>
                <w:rFonts w:ascii="Verdana" w:hAnsi="Verdana"/>
                <w:sz w:val="18"/>
                <w:szCs w:val="18"/>
              </w:rPr>
              <w:t>37,7</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XII</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Infrastructuur en Milieu</w:t>
            </w:r>
          </w:p>
        </w:tc>
        <w:tc>
          <w:tcPr>
            <w:tcW w:w="924" w:type="pct"/>
            <w:tcBorders>
              <w:top w:val="nil"/>
              <w:left w:val="nil"/>
              <w:bottom w:val="nil"/>
              <w:right w:val="nil"/>
            </w:tcBorders>
            <w:shd w:val="clear" w:color="auto" w:fill="auto"/>
            <w:vAlign w:val="bottom"/>
            <w:hideMark/>
          </w:tcPr>
          <w:p w:rsidRPr="00533D5C" w:rsidR="00987044" w:rsidP="00533D5C" w:rsidRDefault="00B05E4C">
            <w:pPr>
              <w:spacing w:line="240" w:lineRule="exact"/>
              <w:jc w:val="right"/>
              <w:rPr>
                <w:rFonts w:ascii="Verdana" w:hAnsi="Verdana"/>
                <w:sz w:val="18"/>
                <w:szCs w:val="18"/>
              </w:rPr>
            </w:pPr>
            <w:r>
              <w:rPr>
                <w:rFonts w:ascii="Verdana" w:hAnsi="Verdana"/>
                <w:sz w:val="18"/>
                <w:szCs w:val="18"/>
              </w:rPr>
              <w:t>-34,9</w:t>
            </w:r>
          </w:p>
        </w:tc>
        <w:tc>
          <w:tcPr>
            <w:tcW w:w="961" w:type="pct"/>
            <w:tcBorders>
              <w:top w:val="nil"/>
              <w:left w:val="nil"/>
              <w:bottom w:val="nil"/>
              <w:right w:val="nil"/>
            </w:tcBorders>
            <w:shd w:val="clear" w:color="auto" w:fill="auto"/>
            <w:vAlign w:val="bottom"/>
            <w:hideMark/>
          </w:tcPr>
          <w:p w:rsidRPr="00533D5C" w:rsidR="00987044" w:rsidP="00533D5C" w:rsidRDefault="00B05E4C">
            <w:pPr>
              <w:spacing w:line="240" w:lineRule="exact"/>
              <w:jc w:val="right"/>
              <w:rPr>
                <w:rFonts w:ascii="Verdana" w:hAnsi="Verdana"/>
                <w:sz w:val="18"/>
                <w:szCs w:val="18"/>
              </w:rPr>
            </w:pPr>
            <w:r>
              <w:rPr>
                <w:rFonts w:ascii="Verdana" w:hAnsi="Verdana"/>
                <w:sz w:val="18"/>
                <w:szCs w:val="18"/>
              </w:rPr>
              <w:t>15,0</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XIII</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Economische Zaken</w:t>
            </w:r>
          </w:p>
        </w:tc>
        <w:tc>
          <w:tcPr>
            <w:tcW w:w="924" w:type="pct"/>
            <w:tcBorders>
              <w:top w:val="nil"/>
              <w:left w:val="nil"/>
              <w:bottom w:val="nil"/>
              <w:right w:val="nil"/>
            </w:tcBorders>
            <w:shd w:val="clear" w:color="auto" w:fill="auto"/>
            <w:vAlign w:val="bottom"/>
            <w:hideMark/>
          </w:tcPr>
          <w:p w:rsidRPr="00533D5C" w:rsidR="00987044" w:rsidP="00533D5C" w:rsidRDefault="00B05E4C">
            <w:pPr>
              <w:spacing w:line="240" w:lineRule="exact"/>
              <w:jc w:val="right"/>
              <w:rPr>
                <w:rFonts w:ascii="Verdana" w:hAnsi="Verdana"/>
                <w:sz w:val="18"/>
                <w:szCs w:val="18"/>
              </w:rPr>
            </w:pPr>
            <w:r>
              <w:rPr>
                <w:rFonts w:ascii="Verdana" w:hAnsi="Verdana"/>
                <w:sz w:val="18"/>
                <w:szCs w:val="18"/>
              </w:rPr>
              <w:t>-37,8</w:t>
            </w:r>
          </w:p>
        </w:tc>
        <w:tc>
          <w:tcPr>
            <w:tcW w:w="961" w:type="pct"/>
            <w:tcBorders>
              <w:top w:val="nil"/>
              <w:left w:val="nil"/>
              <w:bottom w:val="nil"/>
              <w:right w:val="nil"/>
            </w:tcBorders>
            <w:shd w:val="clear" w:color="auto" w:fill="auto"/>
            <w:vAlign w:val="bottom"/>
            <w:hideMark/>
          </w:tcPr>
          <w:p w:rsidRPr="00533D5C" w:rsidR="00987044" w:rsidP="00533D5C" w:rsidRDefault="00B05E4C">
            <w:pPr>
              <w:spacing w:line="240" w:lineRule="exact"/>
              <w:jc w:val="right"/>
              <w:rPr>
                <w:rFonts w:ascii="Verdana" w:hAnsi="Verdana"/>
                <w:sz w:val="18"/>
                <w:szCs w:val="18"/>
              </w:rPr>
            </w:pPr>
            <w:r>
              <w:rPr>
                <w:rFonts w:ascii="Verdana" w:hAnsi="Verdana"/>
                <w:sz w:val="18"/>
                <w:szCs w:val="18"/>
              </w:rPr>
              <w:t>-139,5</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XV</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Sociale Zaken en Werkgelegenheid</w:t>
            </w:r>
          </w:p>
        </w:tc>
        <w:tc>
          <w:tcPr>
            <w:tcW w:w="924" w:type="pct"/>
            <w:tcBorders>
              <w:top w:val="nil"/>
              <w:left w:val="nil"/>
              <w:bottom w:val="nil"/>
              <w:right w:val="nil"/>
            </w:tcBorders>
            <w:shd w:val="clear" w:color="auto" w:fill="auto"/>
            <w:vAlign w:val="bottom"/>
            <w:hideMark/>
          </w:tcPr>
          <w:p w:rsidRPr="00533D5C" w:rsidR="00987044" w:rsidP="0045429A" w:rsidRDefault="00B05E4C">
            <w:pPr>
              <w:spacing w:line="240" w:lineRule="exact"/>
              <w:jc w:val="right"/>
              <w:rPr>
                <w:rFonts w:ascii="Verdana" w:hAnsi="Verdana"/>
                <w:sz w:val="18"/>
                <w:szCs w:val="18"/>
              </w:rPr>
            </w:pPr>
            <w:r>
              <w:rPr>
                <w:rFonts w:ascii="Verdana" w:hAnsi="Verdana"/>
                <w:sz w:val="18"/>
                <w:szCs w:val="18"/>
              </w:rPr>
              <w:t>-6</w:t>
            </w:r>
            <w:r w:rsidR="0045429A">
              <w:rPr>
                <w:rFonts w:ascii="Verdana" w:hAnsi="Verdana"/>
                <w:sz w:val="18"/>
                <w:szCs w:val="18"/>
              </w:rPr>
              <w:t>4</w:t>
            </w:r>
            <w:r>
              <w:rPr>
                <w:rFonts w:ascii="Verdana" w:hAnsi="Verdana"/>
                <w:sz w:val="18"/>
                <w:szCs w:val="18"/>
              </w:rPr>
              <w:t>,8</w:t>
            </w:r>
          </w:p>
        </w:tc>
        <w:tc>
          <w:tcPr>
            <w:tcW w:w="961" w:type="pct"/>
            <w:tcBorders>
              <w:top w:val="nil"/>
              <w:left w:val="nil"/>
              <w:bottom w:val="nil"/>
              <w:right w:val="nil"/>
            </w:tcBorders>
            <w:shd w:val="clear" w:color="auto" w:fill="auto"/>
            <w:vAlign w:val="bottom"/>
            <w:hideMark/>
          </w:tcPr>
          <w:p w:rsidRPr="00533D5C" w:rsidR="00987044" w:rsidP="00533D5C" w:rsidRDefault="00B05E4C">
            <w:pPr>
              <w:spacing w:line="240" w:lineRule="exact"/>
              <w:jc w:val="right"/>
              <w:rPr>
                <w:rFonts w:ascii="Verdana" w:hAnsi="Verdana"/>
                <w:sz w:val="18"/>
                <w:szCs w:val="18"/>
              </w:rPr>
            </w:pPr>
            <w:r>
              <w:rPr>
                <w:rFonts w:ascii="Verdana" w:hAnsi="Verdana"/>
                <w:sz w:val="18"/>
                <w:szCs w:val="18"/>
              </w:rPr>
              <w:t>62,4</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XVI</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Volksgezondheid, Welzijn en Sport</w:t>
            </w:r>
          </w:p>
        </w:tc>
        <w:tc>
          <w:tcPr>
            <w:tcW w:w="924" w:type="pct"/>
            <w:tcBorders>
              <w:top w:val="nil"/>
              <w:left w:val="nil"/>
              <w:bottom w:val="nil"/>
              <w:right w:val="nil"/>
            </w:tcBorders>
            <w:shd w:val="clear" w:color="auto" w:fill="auto"/>
            <w:vAlign w:val="bottom"/>
            <w:hideMark/>
          </w:tcPr>
          <w:p w:rsidRPr="00826C61" w:rsidR="00987044" w:rsidP="00D43752" w:rsidRDefault="00D43752">
            <w:pPr>
              <w:spacing w:line="240" w:lineRule="exact"/>
              <w:jc w:val="right"/>
              <w:rPr>
                <w:rFonts w:ascii="Verdana" w:hAnsi="Verdana"/>
                <w:sz w:val="18"/>
                <w:szCs w:val="18"/>
              </w:rPr>
            </w:pPr>
            <w:r>
              <w:rPr>
                <w:rFonts w:ascii="Verdana" w:hAnsi="Verdana"/>
                <w:sz w:val="18"/>
                <w:szCs w:val="18"/>
              </w:rPr>
              <w:t>22</w:t>
            </w:r>
            <w:r w:rsidRPr="00826C61" w:rsidR="00826C61">
              <w:rPr>
                <w:rFonts w:ascii="Verdana" w:hAnsi="Verdana"/>
                <w:sz w:val="18"/>
                <w:szCs w:val="18"/>
              </w:rPr>
              <w:t>,</w:t>
            </w:r>
            <w:r>
              <w:rPr>
                <w:rFonts w:ascii="Verdana" w:hAnsi="Verdana"/>
                <w:sz w:val="18"/>
                <w:szCs w:val="18"/>
              </w:rPr>
              <w:t>9</w:t>
            </w:r>
          </w:p>
        </w:tc>
        <w:tc>
          <w:tcPr>
            <w:tcW w:w="961" w:type="pct"/>
            <w:tcBorders>
              <w:top w:val="nil"/>
              <w:left w:val="nil"/>
              <w:bottom w:val="nil"/>
              <w:right w:val="nil"/>
            </w:tcBorders>
            <w:shd w:val="clear" w:color="auto" w:fill="auto"/>
            <w:vAlign w:val="bottom"/>
            <w:hideMark/>
          </w:tcPr>
          <w:p w:rsidRPr="00826C61" w:rsidR="00987044" w:rsidP="00533D5C" w:rsidRDefault="00826C61">
            <w:pPr>
              <w:spacing w:line="240" w:lineRule="exact"/>
              <w:jc w:val="right"/>
              <w:rPr>
                <w:rFonts w:ascii="Verdana" w:hAnsi="Verdana"/>
                <w:sz w:val="18"/>
                <w:szCs w:val="18"/>
              </w:rPr>
            </w:pPr>
            <w:r w:rsidRPr="00826C61">
              <w:rPr>
                <w:rFonts w:ascii="Verdana" w:hAnsi="Verdana"/>
                <w:sz w:val="18"/>
                <w:szCs w:val="18"/>
              </w:rPr>
              <w:t>60,5</w:t>
            </w:r>
          </w:p>
        </w:tc>
      </w:tr>
      <w:tr w:rsidRPr="00533D5C" w:rsidR="00987044" w:rsidTr="00987044">
        <w:trPr>
          <w:trHeight w:val="180"/>
        </w:trPr>
        <w:tc>
          <w:tcPr>
            <w:tcW w:w="414" w:type="pct"/>
            <w:tcBorders>
              <w:top w:val="nil"/>
              <w:left w:val="nil"/>
              <w:bottom w:val="nil"/>
              <w:right w:val="nil"/>
            </w:tcBorders>
            <w:shd w:val="clear" w:color="auto" w:fill="auto"/>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XVII</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Buitenlandse Handel en Ontwikkelingssamenwerking</w:t>
            </w:r>
          </w:p>
        </w:tc>
        <w:tc>
          <w:tcPr>
            <w:tcW w:w="924" w:type="pct"/>
            <w:tcBorders>
              <w:top w:val="nil"/>
              <w:left w:val="nil"/>
              <w:bottom w:val="nil"/>
              <w:right w:val="nil"/>
            </w:tcBorders>
            <w:shd w:val="clear" w:color="auto" w:fill="auto"/>
            <w:hideMark/>
          </w:tcPr>
          <w:p w:rsidRPr="00826C61" w:rsidR="00987044" w:rsidP="00533D5C" w:rsidRDefault="0045429A">
            <w:pPr>
              <w:spacing w:line="240" w:lineRule="exact"/>
              <w:jc w:val="right"/>
              <w:rPr>
                <w:rFonts w:ascii="Verdana" w:hAnsi="Verdana"/>
                <w:sz w:val="18"/>
                <w:szCs w:val="18"/>
              </w:rPr>
            </w:pPr>
            <w:r w:rsidRPr="00826C61">
              <w:rPr>
                <w:rFonts w:ascii="Verdana" w:hAnsi="Verdana"/>
                <w:sz w:val="18"/>
                <w:szCs w:val="18"/>
              </w:rPr>
              <w:t>0,0</w:t>
            </w:r>
          </w:p>
        </w:tc>
        <w:tc>
          <w:tcPr>
            <w:tcW w:w="961" w:type="pct"/>
            <w:tcBorders>
              <w:top w:val="nil"/>
              <w:left w:val="nil"/>
              <w:bottom w:val="nil"/>
              <w:right w:val="nil"/>
            </w:tcBorders>
            <w:shd w:val="clear" w:color="auto" w:fill="auto"/>
            <w:hideMark/>
          </w:tcPr>
          <w:p w:rsidRPr="00826C61" w:rsidR="00987044" w:rsidP="00533D5C" w:rsidRDefault="0045429A">
            <w:pPr>
              <w:spacing w:line="240" w:lineRule="exact"/>
              <w:jc w:val="right"/>
              <w:rPr>
                <w:rFonts w:ascii="Verdana" w:hAnsi="Verdana"/>
                <w:sz w:val="18"/>
                <w:szCs w:val="18"/>
              </w:rPr>
            </w:pPr>
            <w:r w:rsidRPr="00826C61">
              <w:rPr>
                <w:rFonts w:ascii="Verdana" w:hAnsi="Verdana"/>
                <w:sz w:val="18"/>
                <w:szCs w:val="18"/>
              </w:rPr>
              <w:t>0,0</w:t>
            </w:r>
          </w:p>
        </w:tc>
      </w:tr>
      <w:tr w:rsidRPr="00533D5C" w:rsidR="00987044" w:rsidTr="00987044">
        <w:trPr>
          <w:trHeight w:val="195"/>
        </w:trPr>
        <w:tc>
          <w:tcPr>
            <w:tcW w:w="414" w:type="pct"/>
            <w:tcBorders>
              <w:top w:val="nil"/>
              <w:left w:val="nil"/>
              <w:bottom w:val="single" w:color="auto" w:sz="8" w:space="0"/>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XVIII</w:t>
            </w:r>
          </w:p>
        </w:tc>
        <w:tc>
          <w:tcPr>
            <w:tcW w:w="2701" w:type="pct"/>
            <w:tcBorders>
              <w:top w:val="nil"/>
              <w:left w:val="nil"/>
              <w:bottom w:val="single" w:color="auto" w:sz="8" w:space="0"/>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Wonen en Rijksdienst</w:t>
            </w:r>
          </w:p>
        </w:tc>
        <w:tc>
          <w:tcPr>
            <w:tcW w:w="924" w:type="pct"/>
            <w:tcBorders>
              <w:top w:val="nil"/>
              <w:left w:val="nil"/>
              <w:bottom w:val="single" w:color="auto" w:sz="8" w:space="0"/>
              <w:right w:val="nil"/>
            </w:tcBorders>
            <w:shd w:val="clear" w:color="auto" w:fill="auto"/>
            <w:vAlign w:val="bottom"/>
            <w:hideMark/>
          </w:tcPr>
          <w:p w:rsidRPr="00533D5C" w:rsidR="00987044" w:rsidP="00533D5C" w:rsidRDefault="008D7A76">
            <w:pPr>
              <w:spacing w:line="240" w:lineRule="exact"/>
              <w:jc w:val="right"/>
              <w:rPr>
                <w:rFonts w:ascii="Verdana" w:hAnsi="Verdana"/>
                <w:sz w:val="18"/>
                <w:szCs w:val="18"/>
              </w:rPr>
            </w:pPr>
            <w:r>
              <w:rPr>
                <w:rFonts w:ascii="Verdana" w:hAnsi="Verdana"/>
                <w:sz w:val="18"/>
                <w:szCs w:val="18"/>
              </w:rPr>
              <w:t>474,4</w:t>
            </w:r>
          </w:p>
        </w:tc>
        <w:tc>
          <w:tcPr>
            <w:tcW w:w="961" w:type="pct"/>
            <w:tcBorders>
              <w:top w:val="nil"/>
              <w:left w:val="nil"/>
              <w:bottom w:val="single" w:color="auto" w:sz="8" w:space="0"/>
              <w:right w:val="nil"/>
            </w:tcBorders>
            <w:shd w:val="clear" w:color="auto" w:fill="auto"/>
            <w:vAlign w:val="bottom"/>
            <w:hideMark/>
          </w:tcPr>
          <w:p w:rsidRPr="00533D5C" w:rsidR="00987044" w:rsidP="00533D5C" w:rsidRDefault="008D7A76">
            <w:pPr>
              <w:spacing w:line="240" w:lineRule="exact"/>
              <w:jc w:val="right"/>
              <w:rPr>
                <w:rFonts w:ascii="Verdana" w:hAnsi="Verdana"/>
                <w:sz w:val="18"/>
                <w:szCs w:val="18"/>
              </w:rPr>
            </w:pPr>
            <w:r>
              <w:rPr>
                <w:rFonts w:ascii="Verdana" w:hAnsi="Verdana"/>
                <w:sz w:val="18"/>
                <w:szCs w:val="18"/>
              </w:rPr>
              <w:t>386,4</w:t>
            </w:r>
          </w:p>
        </w:tc>
      </w:tr>
      <w:tr w:rsidRPr="00533D5C" w:rsidR="00987044" w:rsidTr="00987044">
        <w:trPr>
          <w:trHeight w:val="195"/>
        </w:trPr>
        <w:tc>
          <w:tcPr>
            <w:tcW w:w="5000" w:type="pct"/>
            <w:gridSpan w:val="4"/>
            <w:tcBorders>
              <w:top w:val="single" w:color="auto" w:sz="8" w:space="0"/>
              <w:left w:val="nil"/>
              <w:bottom w:val="single" w:color="auto" w:sz="8" w:space="0"/>
              <w:right w:val="nil"/>
            </w:tcBorders>
            <w:shd w:val="clear" w:color="auto" w:fill="auto"/>
            <w:vAlign w:val="bottom"/>
            <w:hideMark/>
          </w:tcPr>
          <w:p w:rsidRPr="00533D5C" w:rsidR="00987044" w:rsidP="00533D5C" w:rsidRDefault="00987044">
            <w:pPr>
              <w:spacing w:line="240" w:lineRule="exact"/>
              <w:rPr>
                <w:rFonts w:ascii="Verdana" w:hAnsi="Verdana"/>
                <w:i/>
                <w:iCs/>
                <w:sz w:val="18"/>
                <w:szCs w:val="18"/>
              </w:rPr>
            </w:pPr>
            <w:r w:rsidRPr="00533D5C">
              <w:rPr>
                <w:rFonts w:ascii="Verdana" w:hAnsi="Verdana"/>
                <w:i/>
                <w:iCs/>
                <w:sz w:val="18"/>
                <w:szCs w:val="18"/>
              </w:rPr>
              <w:t>Overig</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Sociale Zekerheid</w:t>
            </w:r>
          </w:p>
        </w:tc>
        <w:tc>
          <w:tcPr>
            <w:tcW w:w="924" w:type="pct"/>
            <w:tcBorders>
              <w:top w:val="nil"/>
              <w:left w:val="nil"/>
              <w:bottom w:val="nil"/>
              <w:right w:val="nil"/>
            </w:tcBorders>
            <w:shd w:val="clear" w:color="auto" w:fill="auto"/>
            <w:vAlign w:val="bottom"/>
            <w:hideMark/>
          </w:tcPr>
          <w:p w:rsidRPr="00533D5C" w:rsidR="00987044" w:rsidP="0045429A" w:rsidRDefault="0045429A">
            <w:pPr>
              <w:spacing w:line="240" w:lineRule="exact"/>
              <w:jc w:val="right"/>
              <w:rPr>
                <w:rFonts w:ascii="Verdana" w:hAnsi="Verdana"/>
                <w:sz w:val="18"/>
                <w:szCs w:val="18"/>
              </w:rPr>
            </w:pPr>
            <w:r>
              <w:rPr>
                <w:rFonts w:ascii="Verdana" w:hAnsi="Verdana"/>
                <w:sz w:val="18"/>
                <w:szCs w:val="18"/>
              </w:rPr>
              <w:t>-251</w:t>
            </w:r>
            <w:r w:rsidR="00B05E4C">
              <w:rPr>
                <w:rFonts w:ascii="Verdana" w:hAnsi="Verdana"/>
                <w:sz w:val="18"/>
                <w:szCs w:val="18"/>
              </w:rPr>
              <w:t>,4</w:t>
            </w:r>
          </w:p>
        </w:tc>
        <w:tc>
          <w:tcPr>
            <w:tcW w:w="961" w:type="pct"/>
            <w:tcBorders>
              <w:top w:val="nil"/>
              <w:left w:val="nil"/>
              <w:bottom w:val="nil"/>
              <w:right w:val="nil"/>
            </w:tcBorders>
            <w:shd w:val="clear" w:color="auto" w:fill="auto"/>
            <w:vAlign w:val="bottom"/>
            <w:hideMark/>
          </w:tcPr>
          <w:p w:rsidRPr="00533D5C" w:rsidR="00987044" w:rsidP="00533D5C" w:rsidRDefault="00B05E4C">
            <w:pPr>
              <w:spacing w:line="240" w:lineRule="exact"/>
              <w:jc w:val="right"/>
              <w:rPr>
                <w:rFonts w:ascii="Verdana" w:hAnsi="Verdana"/>
                <w:sz w:val="18"/>
                <w:szCs w:val="18"/>
              </w:rPr>
            </w:pPr>
            <w:r>
              <w:rPr>
                <w:rFonts w:ascii="Verdana" w:hAnsi="Verdana"/>
                <w:sz w:val="18"/>
                <w:szCs w:val="18"/>
              </w:rPr>
              <w:t>67,7</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Budgettair kader Zorg</w:t>
            </w:r>
          </w:p>
        </w:tc>
        <w:tc>
          <w:tcPr>
            <w:tcW w:w="924" w:type="pct"/>
            <w:tcBorders>
              <w:top w:val="nil"/>
              <w:left w:val="nil"/>
              <w:bottom w:val="nil"/>
              <w:right w:val="nil"/>
            </w:tcBorders>
            <w:shd w:val="clear" w:color="auto" w:fill="auto"/>
            <w:vAlign w:val="bottom"/>
            <w:hideMark/>
          </w:tcPr>
          <w:p w:rsidRPr="00826C61" w:rsidR="00987044" w:rsidP="00533D5C" w:rsidRDefault="00826C61">
            <w:pPr>
              <w:spacing w:line="240" w:lineRule="exact"/>
              <w:jc w:val="right"/>
              <w:rPr>
                <w:rFonts w:ascii="Verdana" w:hAnsi="Verdana"/>
                <w:sz w:val="18"/>
                <w:szCs w:val="18"/>
              </w:rPr>
            </w:pPr>
            <w:r w:rsidRPr="00826C61">
              <w:rPr>
                <w:rFonts w:ascii="Verdana" w:hAnsi="Verdana"/>
                <w:sz w:val="18"/>
                <w:szCs w:val="18"/>
              </w:rPr>
              <w:t>-</w:t>
            </w:r>
            <w:r w:rsidR="00D43752">
              <w:rPr>
                <w:rFonts w:ascii="Verdana" w:hAnsi="Verdana"/>
                <w:sz w:val="18"/>
                <w:szCs w:val="18"/>
              </w:rPr>
              <w:t>2</w:t>
            </w:r>
            <w:r w:rsidRPr="00826C61">
              <w:rPr>
                <w:rFonts w:ascii="Verdana" w:hAnsi="Verdana"/>
                <w:sz w:val="18"/>
                <w:szCs w:val="18"/>
              </w:rPr>
              <w:t>6</w:t>
            </w:r>
            <w:r w:rsidR="00D43752">
              <w:rPr>
                <w:rFonts w:ascii="Verdana" w:hAnsi="Verdana"/>
                <w:sz w:val="18"/>
                <w:szCs w:val="18"/>
              </w:rPr>
              <w:t>0</w:t>
            </w:r>
            <w:r w:rsidRPr="00826C61">
              <w:rPr>
                <w:rFonts w:ascii="Verdana" w:hAnsi="Verdana"/>
                <w:sz w:val="18"/>
                <w:szCs w:val="18"/>
              </w:rPr>
              <w:t>,2</w:t>
            </w:r>
          </w:p>
        </w:tc>
        <w:tc>
          <w:tcPr>
            <w:tcW w:w="961" w:type="pct"/>
            <w:tcBorders>
              <w:top w:val="nil"/>
              <w:left w:val="nil"/>
              <w:bottom w:val="nil"/>
              <w:right w:val="nil"/>
            </w:tcBorders>
            <w:shd w:val="clear" w:color="auto" w:fill="auto"/>
            <w:vAlign w:val="bottom"/>
            <w:hideMark/>
          </w:tcPr>
          <w:p w:rsidRPr="00826C61" w:rsidR="00987044" w:rsidP="00533D5C" w:rsidRDefault="00826C61">
            <w:pPr>
              <w:spacing w:line="240" w:lineRule="exact"/>
              <w:jc w:val="right"/>
              <w:rPr>
                <w:rFonts w:ascii="Verdana" w:hAnsi="Verdana"/>
                <w:sz w:val="18"/>
                <w:szCs w:val="18"/>
              </w:rPr>
            </w:pPr>
            <w:r w:rsidRPr="00826C61">
              <w:rPr>
                <w:rFonts w:ascii="Verdana" w:hAnsi="Verdana"/>
                <w:sz w:val="18"/>
                <w:szCs w:val="18"/>
              </w:rPr>
              <w:t>0,0</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Gemeentefonds</w:t>
            </w:r>
          </w:p>
        </w:tc>
        <w:tc>
          <w:tcPr>
            <w:tcW w:w="924" w:type="pct"/>
            <w:tcBorders>
              <w:top w:val="nil"/>
              <w:left w:val="nil"/>
              <w:bottom w:val="nil"/>
              <w:right w:val="nil"/>
            </w:tcBorders>
            <w:shd w:val="clear" w:color="auto" w:fill="auto"/>
            <w:vAlign w:val="bottom"/>
            <w:hideMark/>
          </w:tcPr>
          <w:p w:rsidRPr="00533D5C" w:rsidR="00987044" w:rsidP="00533D5C" w:rsidRDefault="008D7A76">
            <w:pPr>
              <w:spacing w:line="240" w:lineRule="exact"/>
              <w:jc w:val="right"/>
              <w:rPr>
                <w:rFonts w:ascii="Verdana" w:hAnsi="Verdana"/>
                <w:sz w:val="18"/>
                <w:szCs w:val="18"/>
              </w:rPr>
            </w:pPr>
            <w:r>
              <w:rPr>
                <w:rFonts w:ascii="Verdana" w:hAnsi="Verdana"/>
                <w:sz w:val="18"/>
                <w:szCs w:val="18"/>
              </w:rPr>
              <w:t>61,4</w:t>
            </w:r>
          </w:p>
        </w:tc>
        <w:tc>
          <w:tcPr>
            <w:tcW w:w="961" w:type="pct"/>
            <w:tcBorders>
              <w:top w:val="nil"/>
              <w:left w:val="nil"/>
              <w:bottom w:val="nil"/>
              <w:right w:val="nil"/>
            </w:tcBorders>
            <w:shd w:val="clear" w:color="auto" w:fill="auto"/>
            <w:vAlign w:val="bottom"/>
            <w:hideMark/>
          </w:tcPr>
          <w:p w:rsidRPr="00533D5C" w:rsidR="00987044" w:rsidP="00533D5C" w:rsidRDefault="008D7A76">
            <w:pPr>
              <w:spacing w:line="240" w:lineRule="exact"/>
              <w:jc w:val="right"/>
              <w:rPr>
                <w:rFonts w:ascii="Verdana" w:hAnsi="Verdana"/>
                <w:sz w:val="18"/>
                <w:szCs w:val="18"/>
              </w:rPr>
            </w:pPr>
            <w:r>
              <w:rPr>
                <w:rFonts w:ascii="Verdana" w:hAnsi="Verdana"/>
                <w:sz w:val="18"/>
                <w:szCs w:val="18"/>
              </w:rPr>
              <w:t>0,0</w:t>
            </w:r>
          </w:p>
        </w:tc>
      </w:tr>
      <w:tr w:rsidRPr="00533D5C" w:rsidR="00987044" w:rsidTr="00987044">
        <w:trPr>
          <w:trHeight w:val="95"/>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Provinciefonds</w:t>
            </w:r>
          </w:p>
        </w:tc>
        <w:tc>
          <w:tcPr>
            <w:tcW w:w="924" w:type="pct"/>
            <w:tcBorders>
              <w:top w:val="nil"/>
              <w:left w:val="nil"/>
              <w:bottom w:val="nil"/>
              <w:right w:val="nil"/>
            </w:tcBorders>
            <w:shd w:val="clear" w:color="auto" w:fill="auto"/>
            <w:vAlign w:val="bottom"/>
            <w:hideMark/>
          </w:tcPr>
          <w:p w:rsidRPr="00533D5C" w:rsidR="00987044" w:rsidP="00533D5C" w:rsidRDefault="008D7A76">
            <w:pPr>
              <w:spacing w:line="240" w:lineRule="exact"/>
              <w:jc w:val="right"/>
              <w:rPr>
                <w:rFonts w:ascii="Verdana" w:hAnsi="Verdana"/>
                <w:sz w:val="18"/>
                <w:szCs w:val="18"/>
              </w:rPr>
            </w:pPr>
            <w:r>
              <w:rPr>
                <w:rFonts w:ascii="Verdana" w:hAnsi="Verdana"/>
                <w:sz w:val="18"/>
                <w:szCs w:val="18"/>
              </w:rPr>
              <w:t>37,2</w:t>
            </w:r>
          </w:p>
        </w:tc>
        <w:tc>
          <w:tcPr>
            <w:tcW w:w="961" w:type="pct"/>
            <w:tcBorders>
              <w:top w:val="nil"/>
              <w:left w:val="nil"/>
              <w:bottom w:val="nil"/>
              <w:right w:val="nil"/>
            </w:tcBorders>
            <w:shd w:val="clear" w:color="auto" w:fill="auto"/>
            <w:vAlign w:val="bottom"/>
            <w:hideMark/>
          </w:tcPr>
          <w:p w:rsidRPr="00533D5C" w:rsidR="00987044" w:rsidP="00533D5C" w:rsidRDefault="008D7A76">
            <w:pPr>
              <w:spacing w:line="240" w:lineRule="exact"/>
              <w:jc w:val="right"/>
              <w:rPr>
                <w:rFonts w:ascii="Verdana" w:hAnsi="Verdana"/>
                <w:sz w:val="18"/>
                <w:szCs w:val="18"/>
              </w:rPr>
            </w:pPr>
            <w:r>
              <w:rPr>
                <w:rFonts w:ascii="Verdana" w:hAnsi="Verdana"/>
                <w:sz w:val="18"/>
                <w:szCs w:val="18"/>
              </w:rPr>
              <w:t>0,0</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Infrastructuurfonds</w:t>
            </w:r>
          </w:p>
        </w:tc>
        <w:tc>
          <w:tcPr>
            <w:tcW w:w="924" w:type="pct"/>
            <w:tcBorders>
              <w:top w:val="nil"/>
              <w:left w:val="nil"/>
              <w:bottom w:val="nil"/>
              <w:right w:val="nil"/>
            </w:tcBorders>
            <w:shd w:val="clear" w:color="auto" w:fill="auto"/>
            <w:vAlign w:val="bottom"/>
            <w:hideMark/>
          </w:tcPr>
          <w:p w:rsidRPr="00533D5C" w:rsidR="00987044" w:rsidP="00533D5C" w:rsidRDefault="008D7A76">
            <w:pPr>
              <w:spacing w:line="240" w:lineRule="exact"/>
              <w:jc w:val="right"/>
              <w:rPr>
                <w:rFonts w:ascii="Verdana" w:hAnsi="Verdana"/>
                <w:sz w:val="18"/>
                <w:szCs w:val="18"/>
              </w:rPr>
            </w:pPr>
            <w:r>
              <w:rPr>
                <w:rFonts w:ascii="Verdana" w:hAnsi="Verdana"/>
                <w:sz w:val="18"/>
                <w:szCs w:val="18"/>
              </w:rPr>
              <w:t>-119,6</w:t>
            </w:r>
          </w:p>
        </w:tc>
        <w:tc>
          <w:tcPr>
            <w:tcW w:w="961" w:type="pct"/>
            <w:tcBorders>
              <w:top w:val="nil"/>
              <w:left w:val="nil"/>
              <w:bottom w:val="nil"/>
              <w:right w:val="nil"/>
            </w:tcBorders>
            <w:shd w:val="clear" w:color="auto" w:fill="auto"/>
            <w:vAlign w:val="bottom"/>
            <w:hideMark/>
          </w:tcPr>
          <w:p w:rsidRPr="00533D5C" w:rsidR="00987044" w:rsidP="00533D5C" w:rsidRDefault="008D7A76">
            <w:pPr>
              <w:spacing w:line="240" w:lineRule="exact"/>
              <w:jc w:val="right"/>
              <w:rPr>
                <w:rFonts w:ascii="Verdana" w:hAnsi="Verdana"/>
                <w:sz w:val="18"/>
                <w:szCs w:val="18"/>
              </w:rPr>
            </w:pPr>
            <w:r>
              <w:rPr>
                <w:rFonts w:ascii="Verdana" w:hAnsi="Verdana"/>
                <w:sz w:val="18"/>
                <w:szCs w:val="18"/>
              </w:rPr>
              <w:t>6,4</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proofErr w:type="spellStart"/>
            <w:r w:rsidRPr="00533D5C">
              <w:rPr>
                <w:rFonts w:ascii="Verdana" w:hAnsi="Verdana"/>
                <w:sz w:val="18"/>
                <w:szCs w:val="18"/>
              </w:rPr>
              <w:t>Diergezondheidsfonds</w:t>
            </w:r>
            <w:proofErr w:type="spellEnd"/>
          </w:p>
        </w:tc>
        <w:tc>
          <w:tcPr>
            <w:tcW w:w="924" w:type="pct"/>
            <w:tcBorders>
              <w:top w:val="nil"/>
              <w:left w:val="nil"/>
              <w:bottom w:val="nil"/>
              <w:right w:val="nil"/>
            </w:tcBorders>
            <w:shd w:val="clear" w:color="auto" w:fill="auto"/>
            <w:vAlign w:val="bottom"/>
            <w:hideMark/>
          </w:tcPr>
          <w:p w:rsidRPr="00533D5C" w:rsidR="00987044" w:rsidP="00533D5C" w:rsidRDefault="008D7A76">
            <w:pPr>
              <w:spacing w:line="240" w:lineRule="exact"/>
              <w:jc w:val="right"/>
              <w:rPr>
                <w:rFonts w:ascii="Verdana" w:hAnsi="Verdana"/>
                <w:sz w:val="18"/>
                <w:szCs w:val="18"/>
              </w:rPr>
            </w:pPr>
            <w:r>
              <w:rPr>
                <w:rFonts w:ascii="Verdana" w:hAnsi="Verdana"/>
                <w:sz w:val="18"/>
                <w:szCs w:val="18"/>
              </w:rPr>
              <w:t>19,6</w:t>
            </w:r>
          </w:p>
        </w:tc>
        <w:tc>
          <w:tcPr>
            <w:tcW w:w="961" w:type="pct"/>
            <w:tcBorders>
              <w:top w:val="nil"/>
              <w:left w:val="nil"/>
              <w:bottom w:val="nil"/>
              <w:right w:val="nil"/>
            </w:tcBorders>
            <w:shd w:val="clear" w:color="auto" w:fill="auto"/>
            <w:vAlign w:val="bottom"/>
            <w:hideMark/>
          </w:tcPr>
          <w:p w:rsidRPr="00533D5C" w:rsidR="00987044" w:rsidP="00533D5C" w:rsidRDefault="008D7A76">
            <w:pPr>
              <w:spacing w:line="240" w:lineRule="exact"/>
              <w:jc w:val="right"/>
              <w:rPr>
                <w:rFonts w:ascii="Verdana" w:hAnsi="Verdana"/>
                <w:sz w:val="18"/>
                <w:szCs w:val="18"/>
              </w:rPr>
            </w:pPr>
            <w:r>
              <w:rPr>
                <w:rFonts w:ascii="Verdana" w:hAnsi="Verdana"/>
                <w:sz w:val="18"/>
                <w:szCs w:val="18"/>
              </w:rPr>
              <w:t>19,6</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Accres Gemeentefonds</w:t>
            </w:r>
          </w:p>
        </w:tc>
        <w:tc>
          <w:tcPr>
            <w:tcW w:w="924" w:type="pct"/>
            <w:tcBorders>
              <w:top w:val="nil"/>
              <w:left w:val="nil"/>
              <w:bottom w:val="nil"/>
              <w:right w:val="nil"/>
            </w:tcBorders>
            <w:shd w:val="clear" w:color="auto" w:fill="auto"/>
            <w:vAlign w:val="bottom"/>
            <w:hideMark/>
          </w:tcPr>
          <w:p w:rsidRPr="00533D5C" w:rsidR="00987044" w:rsidP="00533D5C" w:rsidRDefault="007C2D1E">
            <w:pPr>
              <w:spacing w:line="240" w:lineRule="exact"/>
              <w:jc w:val="right"/>
              <w:rPr>
                <w:rFonts w:ascii="Verdana" w:hAnsi="Verdana"/>
                <w:sz w:val="18"/>
                <w:szCs w:val="18"/>
              </w:rPr>
            </w:pPr>
            <w:r>
              <w:rPr>
                <w:rFonts w:ascii="Verdana" w:hAnsi="Verdana"/>
                <w:sz w:val="18"/>
                <w:szCs w:val="18"/>
              </w:rPr>
              <w:t>0,0</w:t>
            </w:r>
          </w:p>
        </w:tc>
        <w:tc>
          <w:tcPr>
            <w:tcW w:w="961" w:type="pct"/>
            <w:tcBorders>
              <w:top w:val="nil"/>
              <w:left w:val="nil"/>
              <w:bottom w:val="nil"/>
              <w:right w:val="nil"/>
            </w:tcBorders>
            <w:shd w:val="clear" w:color="auto" w:fill="auto"/>
            <w:vAlign w:val="bottom"/>
            <w:hideMark/>
          </w:tcPr>
          <w:p w:rsidRPr="00533D5C" w:rsidR="00987044" w:rsidP="00533D5C" w:rsidRDefault="007C2D1E">
            <w:pPr>
              <w:spacing w:line="240" w:lineRule="exact"/>
              <w:jc w:val="right"/>
              <w:rPr>
                <w:rFonts w:ascii="Verdana" w:hAnsi="Verdana"/>
                <w:sz w:val="18"/>
                <w:szCs w:val="18"/>
              </w:rPr>
            </w:pPr>
            <w:r>
              <w:rPr>
                <w:rFonts w:ascii="Verdana" w:hAnsi="Verdana"/>
                <w:sz w:val="18"/>
                <w:szCs w:val="18"/>
              </w:rPr>
              <w:t>0,0</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Accres Provinciefonds</w:t>
            </w:r>
          </w:p>
        </w:tc>
        <w:tc>
          <w:tcPr>
            <w:tcW w:w="924" w:type="pct"/>
            <w:tcBorders>
              <w:top w:val="nil"/>
              <w:left w:val="nil"/>
              <w:bottom w:val="nil"/>
              <w:right w:val="nil"/>
            </w:tcBorders>
            <w:shd w:val="clear" w:color="auto" w:fill="auto"/>
            <w:vAlign w:val="bottom"/>
            <w:hideMark/>
          </w:tcPr>
          <w:p w:rsidRPr="00533D5C" w:rsidR="00987044" w:rsidP="00533D5C" w:rsidRDefault="007C2D1E">
            <w:pPr>
              <w:spacing w:line="240" w:lineRule="exact"/>
              <w:jc w:val="right"/>
              <w:rPr>
                <w:rFonts w:ascii="Verdana" w:hAnsi="Verdana"/>
                <w:sz w:val="18"/>
                <w:szCs w:val="18"/>
              </w:rPr>
            </w:pPr>
            <w:r>
              <w:rPr>
                <w:rFonts w:ascii="Verdana" w:hAnsi="Verdana"/>
                <w:sz w:val="18"/>
                <w:szCs w:val="18"/>
              </w:rPr>
              <w:t>0,0</w:t>
            </w:r>
          </w:p>
        </w:tc>
        <w:tc>
          <w:tcPr>
            <w:tcW w:w="961" w:type="pct"/>
            <w:tcBorders>
              <w:top w:val="nil"/>
              <w:left w:val="nil"/>
              <w:bottom w:val="nil"/>
              <w:right w:val="nil"/>
            </w:tcBorders>
            <w:shd w:val="clear" w:color="auto" w:fill="auto"/>
            <w:vAlign w:val="bottom"/>
            <w:hideMark/>
          </w:tcPr>
          <w:p w:rsidRPr="00533D5C" w:rsidR="00987044" w:rsidP="00533D5C" w:rsidRDefault="007C2D1E">
            <w:pPr>
              <w:spacing w:line="240" w:lineRule="exact"/>
              <w:jc w:val="right"/>
              <w:rPr>
                <w:rFonts w:ascii="Verdana" w:hAnsi="Verdana"/>
                <w:sz w:val="18"/>
                <w:szCs w:val="18"/>
              </w:rPr>
            </w:pPr>
            <w:r>
              <w:rPr>
                <w:rFonts w:ascii="Verdana" w:hAnsi="Verdana"/>
                <w:sz w:val="18"/>
                <w:szCs w:val="18"/>
              </w:rPr>
              <w:t>0,0</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BES fonds</w:t>
            </w:r>
          </w:p>
        </w:tc>
        <w:tc>
          <w:tcPr>
            <w:tcW w:w="924" w:type="pct"/>
            <w:tcBorders>
              <w:top w:val="nil"/>
              <w:left w:val="nil"/>
              <w:bottom w:val="nil"/>
              <w:right w:val="nil"/>
            </w:tcBorders>
            <w:shd w:val="clear" w:color="auto" w:fill="auto"/>
            <w:vAlign w:val="bottom"/>
            <w:hideMark/>
          </w:tcPr>
          <w:p w:rsidRPr="00533D5C" w:rsidR="00987044" w:rsidP="00533D5C" w:rsidRDefault="008D7A76">
            <w:pPr>
              <w:spacing w:line="240" w:lineRule="exact"/>
              <w:jc w:val="right"/>
              <w:rPr>
                <w:rFonts w:ascii="Verdana" w:hAnsi="Verdana"/>
                <w:sz w:val="18"/>
                <w:szCs w:val="18"/>
              </w:rPr>
            </w:pPr>
            <w:r>
              <w:rPr>
                <w:rFonts w:ascii="Verdana" w:hAnsi="Verdana"/>
                <w:sz w:val="18"/>
                <w:szCs w:val="18"/>
              </w:rPr>
              <w:t>8,5</w:t>
            </w:r>
          </w:p>
        </w:tc>
        <w:tc>
          <w:tcPr>
            <w:tcW w:w="961" w:type="pct"/>
            <w:tcBorders>
              <w:top w:val="nil"/>
              <w:left w:val="nil"/>
              <w:bottom w:val="nil"/>
              <w:right w:val="nil"/>
            </w:tcBorders>
            <w:shd w:val="clear" w:color="auto" w:fill="auto"/>
            <w:vAlign w:val="bottom"/>
            <w:hideMark/>
          </w:tcPr>
          <w:p w:rsidRPr="00533D5C" w:rsidR="00987044" w:rsidP="00533D5C" w:rsidRDefault="008D7A76">
            <w:pPr>
              <w:spacing w:line="240" w:lineRule="exact"/>
              <w:jc w:val="right"/>
              <w:rPr>
                <w:rFonts w:ascii="Verdana" w:hAnsi="Verdana"/>
                <w:sz w:val="18"/>
                <w:szCs w:val="18"/>
              </w:rPr>
            </w:pPr>
            <w:r>
              <w:rPr>
                <w:rFonts w:ascii="Verdana" w:hAnsi="Verdana"/>
                <w:sz w:val="18"/>
                <w:szCs w:val="18"/>
              </w:rPr>
              <w:t>0,0</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Deltafonds</w:t>
            </w:r>
          </w:p>
        </w:tc>
        <w:tc>
          <w:tcPr>
            <w:tcW w:w="924" w:type="pct"/>
            <w:tcBorders>
              <w:top w:val="nil"/>
              <w:left w:val="nil"/>
              <w:bottom w:val="nil"/>
              <w:right w:val="nil"/>
            </w:tcBorders>
            <w:shd w:val="clear" w:color="auto" w:fill="auto"/>
            <w:vAlign w:val="bottom"/>
            <w:hideMark/>
          </w:tcPr>
          <w:p w:rsidRPr="00533D5C" w:rsidR="00987044" w:rsidP="00533D5C" w:rsidRDefault="008D7A76">
            <w:pPr>
              <w:spacing w:line="240" w:lineRule="exact"/>
              <w:jc w:val="right"/>
              <w:rPr>
                <w:rFonts w:ascii="Verdana" w:hAnsi="Verdana"/>
                <w:sz w:val="18"/>
                <w:szCs w:val="18"/>
              </w:rPr>
            </w:pPr>
            <w:r>
              <w:rPr>
                <w:rFonts w:ascii="Verdana" w:hAnsi="Verdana"/>
                <w:sz w:val="18"/>
                <w:szCs w:val="18"/>
              </w:rPr>
              <w:t>-48,3</w:t>
            </w:r>
          </w:p>
        </w:tc>
        <w:tc>
          <w:tcPr>
            <w:tcW w:w="961" w:type="pct"/>
            <w:tcBorders>
              <w:top w:val="nil"/>
              <w:left w:val="nil"/>
              <w:bottom w:val="nil"/>
              <w:right w:val="nil"/>
            </w:tcBorders>
            <w:shd w:val="clear" w:color="auto" w:fill="auto"/>
            <w:vAlign w:val="bottom"/>
            <w:hideMark/>
          </w:tcPr>
          <w:p w:rsidRPr="00533D5C" w:rsidR="00987044" w:rsidP="00533D5C" w:rsidRDefault="008D7A76">
            <w:pPr>
              <w:spacing w:line="240" w:lineRule="exact"/>
              <w:jc w:val="right"/>
              <w:rPr>
                <w:rFonts w:ascii="Verdana" w:hAnsi="Verdana"/>
                <w:sz w:val="18"/>
                <w:szCs w:val="18"/>
              </w:rPr>
            </w:pPr>
            <w:r>
              <w:rPr>
                <w:rFonts w:ascii="Verdana" w:hAnsi="Verdana"/>
                <w:sz w:val="18"/>
                <w:szCs w:val="18"/>
              </w:rPr>
              <w:t>1,7</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Prijsbijstelling</w:t>
            </w:r>
          </w:p>
        </w:tc>
        <w:tc>
          <w:tcPr>
            <w:tcW w:w="924" w:type="pct"/>
            <w:tcBorders>
              <w:top w:val="nil"/>
              <w:left w:val="nil"/>
              <w:bottom w:val="nil"/>
              <w:right w:val="nil"/>
            </w:tcBorders>
            <w:shd w:val="clear" w:color="auto" w:fill="auto"/>
            <w:vAlign w:val="bottom"/>
            <w:hideMark/>
          </w:tcPr>
          <w:p w:rsidRPr="00533D5C" w:rsidR="00987044" w:rsidP="00533D5C" w:rsidRDefault="007C2D1E">
            <w:pPr>
              <w:spacing w:line="240" w:lineRule="exact"/>
              <w:jc w:val="right"/>
              <w:rPr>
                <w:rFonts w:ascii="Verdana" w:hAnsi="Verdana"/>
                <w:sz w:val="18"/>
                <w:szCs w:val="18"/>
              </w:rPr>
            </w:pPr>
            <w:r>
              <w:rPr>
                <w:rFonts w:ascii="Verdana" w:hAnsi="Verdana"/>
                <w:sz w:val="18"/>
                <w:szCs w:val="18"/>
              </w:rPr>
              <w:t>0,0</w:t>
            </w:r>
          </w:p>
        </w:tc>
        <w:tc>
          <w:tcPr>
            <w:tcW w:w="961" w:type="pct"/>
            <w:tcBorders>
              <w:top w:val="nil"/>
              <w:left w:val="nil"/>
              <w:bottom w:val="nil"/>
              <w:right w:val="nil"/>
            </w:tcBorders>
            <w:shd w:val="clear" w:color="auto" w:fill="auto"/>
            <w:vAlign w:val="bottom"/>
            <w:hideMark/>
          </w:tcPr>
          <w:p w:rsidRPr="00533D5C" w:rsidR="00987044" w:rsidP="00533D5C" w:rsidRDefault="007C2D1E">
            <w:pPr>
              <w:spacing w:line="240" w:lineRule="exact"/>
              <w:jc w:val="right"/>
              <w:rPr>
                <w:rFonts w:ascii="Verdana" w:hAnsi="Verdana"/>
                <w:sz w:val="18"/>
                <w:szCs w:val="18"/>
              </w:rPr>
            </w:pPr>
            <w:r>
              <w:rPr>
                <w:rFonts w:ascii="Verdana" w:hAnsi="Verdana"/>
                <w:sz w:val="18"/>
                <w:szCs w:val="18"/>
              </w:rPr>
              <w:t>0,0</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Arbeidsvoorwaarden</w:t>
            </w:r>
          </w:p>
        </w:tc>
        <w:tc>
          <w:tcPr>
            <w:tcW w:w="924" w:type="pct"/>
            <w:tcBorders>
              <w:top w:val="nil"/>
              <w:left w:val="nil"/>
              <w:bottom w:val="nil"/>
              <w:right w:val="nil"/>
            </w:tcBorders>
            <w:shd w:val="clear" w:color="auto" w:fill="auto"/>
            <w:vAlign w:val="bottom"/>
            <w:hideMark/>
          </w:tcPr>
          <w:p w:rsidRPr="00533D5C" w:rsidR="00987044" w:rsidP="00533D5C" w:rsidRDefault="007C2D1E">
            <w:pPr>
              <w:spacing w:line="240" w:lineRule="exact"/>
              <w:jc w:val="right"/>
              <w:rPr>
                <w:rFonts w:ascii="Verdana" w:hAnsi="Verdana"/>
                <w:sz w:val="18"/>
                <w:szCs w:val="18"/>
              </w:rPr>
            </w:pPr>
            <w:r>
              <w:rPr>
                <w:rFonts w:ascii="Verdana" w:hAnsi="Verdana"/>
                <w:sz w:val="18"/>
                <w:szCs w:val="18"/>
              </w:rPr>
              <w:t>0,0</w:t>
            </w:r>
          </w:p>
        </w:tc>
        <w:tc>
          <w:tcPr>
            <w:tcW w:w="961" w:type="pct"/>
            <w:tcBorders>
              <w:top w:val="nil"/>
              <w:left w:val="nil"/>
              <w:bottom w:val="nil"/>
              <w:right w:val="nil"/>
            </w:tcBorders>
            <w:shd w:val="clear" w:color="auto" w:fill="auto"/>
            <w:vAlign w:val="bottom"/>
            <w:hideMark/>
          </w:tcPr>
          <w:p w:rsidRPr="00533D5C" w:rsidR="00987044" w:rsidP="00533D5C" w:rsidRDefault="007C2D1E">
            <w:pPr>
              <w:spacing w:line="240" w:lineRule="exact"/>
              <w:jc w:val="right"/>
              <w:rPr>
                <w:rFonts w:ascii="Verdana" w:hAnsi="Verdana"/>
                <w:sz w:val="18"/>
                <w:szCs w:val="18"/>
              </w:rPr>
            </w:pPr>
            <w:r>
              <w:rPr>
                <w:rFonts w:ascii="Verdana" w:hAnsi="Verdana"/>
                <w:sz w:val="18"/>
                <w:szCs w:val="18"/>
              </w:rPr>
              <w:t>0,0</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Koppeling Uitkeringen</w:t>
            </w:r>
          </w:p>
        </w:tc>
        <w:tc>
          <w:tcPr>
            <w:tcW w:w="924" w:type="pct"/>
            <w:tcBorders>
              <w:top w:val="nil"/>
              <w:left w:val="nil"/>
              <w:bottom w:val="nil"/>
              <w:right w:val="nil"/>
            </w:tcBorders>
            <w:shd w:val="clear" w:color="auto" w:fill="auto"/>
            <w:vAlign w:val="bottom"/>
            <w:hideMark/>
          </w:tcPr>
          <w:p w:rsidRPr="00533D5C" w:rsidR="00987044" w:rsidP="00533D5C" w:rsidRDefault="008D7A76">
            <w:pPr>
              <w:spacing w:line="240" w:lineRule="exact"/>
              <w:jc w:val="right"/>
              <w:rPr>
                <w:rFonts w:ascii="Verdana" w:hAnsi="Verdana"/>
                <w:sz w:val="18"/>
                <w:szCs w:val="18"/>
              </w:rPr>
            </w:pPr>
            <w:r>
              <w:rPr>
                <w:rFonts w:ascii="Verdana" w:hAnsi="Verdana"/>
                <w:sz w:val="18"/>
                <w:szCs w:val="18"/>
              </w:rPr>
              <w:t>0,0</w:t>
            </w:r>
          </w:p>
        </w:tc>
        <w:tc>
          <w:tcPr>
            <w:tcW w:w="961" w:type="pct"/>
            <w:tcBorders>
              <w:top w:val="nil"/>
              <w:left w:val="nil"/>
              <w:bottom w:val="nil"/>
              <w:right w:val="nil"/>
            </w:tcBorders>
            <w:shd w:val="clear" w:color="auto" w:fill="auto"/>
            <w:vAlign w:val="bottom"/>
            <w:hideMark/>
          </w:tcPr>
          <w:p w:rsidRPr="00533D5C" w:rsidR="00987044" w:rsidP="00533D5C" w:rsidRDefault="007C2D1E">
            <w:pPr>
              <w:spacing w:line="240" w:lineRule="exact"/>
              <w:jc w:val="right"/>
              <w:rPr>
                <w:rFonts w:ascii="Verdana" w:hAnsi="Verdana"/>
                <w:sz w:val="18"/>
                <w:szCs w:val="18"/>
              </w:rPr>
            </w:pPr>
            <w:r>
              <w:rPr>
                <w:rFonts w:ascii="Verdana" w:hAnsi="Verdana"/>
                <w:sz w:val="18"/>
                <w:szCs w:val="18"/>
              </w:rPr>
              <w:t>0,0</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Aanvullende Post Algemeen</w:t>
            </w:r>
          </w:p>
        </w:tc>
        <w:tc>
          <w:tcPr>
            <w:tcW w:w="924" w:type="pct"/>
            <w:tcBorders>
              <w:top w:val="nil"/>
              <w:left w:val="nil"/>
              <w:bottom w:val="nil"/>
              <w:right w:val="nil"/>
            </w:tcBorders>
            <w:shd w:val="clear" w:color="auto" w:fill="auto"/>
            <w:vAlign w:val="bottom"/>
            <w:hideMark/>
          </w:tcPr>
          <w:p w:rsidRPr="008D7A76" w:rsidR="00987044" w:rsidP="00826C61" w:rsidRDefault="00BF6CC0">
            <w:pPr>
              <w:spacing w:line="240" w:lineRule="exact"/>
              <w:jc w:val="right"/>
              <w:rPr>
                <w:rFonts w:ascii="Verdana" w:hAnsi="Verdana"/>
                <w:sz w:val="18"/>
                <w:szCs w:val="18"/>
                <w:highlight w:val="yellow"/>
              </w:rPr>
            </w:pPr>
            <w:r>
              <w:rPr>
                <w:rFonts w:ascii="Verdana" w:hAnsi="Verdana"/>
                <w:sz w:val="18"/>
                <w:szCs w:val="18"/>
              </w:rPr>
              <w:t>-29</w:t>
            </w:r>
            <w:r w:rsidRPr="00826C61" w:rsidR="00826C61">
              <w:rPr>
                <w:rFonts w:ascii="Verdana" w:hAnsi="Verdana"/>
                <w:sz w:val="18"/>
                <w:szCs w:val="18"/>
              </w:rPr>
              <w:t>4,4</w:t>
            </w:r>
          </w:p>
        </w:tc>
        <w:tc>
          <w:tcPr>
            <w:tcW w:w="961" w:type="pct"/>
            <w:tcBorders>
              <w:top w:val="nil"/>
              <w:left w:val="nil"/>
              <w:bottom w:val="nil"/>
              <w:right w:val="nil"/>
            </w:tcBorders>
            <w:shd w:val="clear" w:color="auto" w:fill="auto"/>
            <w:vAlign w:val="bottom"/>
            <w:hideMark/>
          </w:tcPr>
          <w:p w:rsidRPr="008D7A76" w:rsidR="00987044" w:rsidP="00533D5C" w:rsidRDefault="0045429A">
            <w:pPr>
              <w:spacing w:line="240" w:lineRule="exact"/>
              <w:jc w:val="right"/>
              <w:rPr>
                <w:rFonts w:ascii="Verdana" w:hAnsi="Verdana"/>
                <w:sz w:val="18"/>
                <w:szCs w:val="18"/>
                <w:highlight w:val="yellow"/>
              </w:rPr>
            </w:pPr>
            <w:r w:rsidRPr="0045429A">
              <w:rPr>
                <w:rFonts w:ascii="Verdana" w:hAnsi="Verdana"/>
                <w:sz w:val="18"/>
                <w:szCs w:val="18"/>
              </w:rPr>
              <w:t>0,0</w:t>
            </w:r>
          </w:p>
        </w:tc>
      </w:tr>
      <w:tr w:rsidRPr="00533D5C" w:rsidR="00987044" w:rsidTr="00987044">
        <w:trPr>
          <w:trHeight w:val="195"/>
        </w:trPr>
        <w:tc>
          <w:tcPr>
            <w:tcW w:w="414" w:type="pct"/>
            <w:tcBorders>
              <w:top w:val="nil"/>
              <w:left w:val="nil"/>
              <w:bottom w:val="single" w:color="auto" w:sz="8" w:space="0"/>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 </w:t>
            </w:r>
          </w:p>
        </w:tc>
        <w:tc>
          <w:tcPr>
            <w:tcW w:w="2701" w:type="pct"/>
            <w:tcBorders>
              <w:top w:val="nil"/>
              <w:left w:val="nil"/>
              <w:bottom w:val="single" w:color="auto" w:sz="8" w:space="0"/>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Homogene Groep Internationale Samenwerking</w:t>
            </w:r>
          </w:p>
        </w:tc>
        <w:tc>
          <w:tcPr>
            <w:tcW w:w="924" w:type="pct"/>
            <w:tcBorders>
              <w:top w:val="nil"/>
              <w:left w:val="nil"/>
              <w:bottom w:val="single" w:color="auto" w:sz="8" w:space="0"/>
              <w:right w:val="nil"/>
            </w:tcBorders>
            <w:shd w:val="clear" w:color="auto" w:fill="auto"/>
            <w:hideMark/>
          </w:tcPr>
          <w:p w:rsidRPr="008D7A76" w:rsidR="00987044" w:rsidP="00533D5C" w:rsidRDefault="0045429A">
            <w:pPr>
              <w:spacing w:line="240" w:lineRule="exact"/>
              <w:jc w:val="right"/>
              <w:rPr>
                <w:rFonts w:ascii="Verdana" w:hAnsi="Verdana"/>
                <w:sz w:val="18"/>
                <w:szCs w:val="18"/>
                <w:highlight w:val="yellow"/>
              </w:rPr>
            </w:pPr>
            <w:r w:rsidRPr="00826C61">
              <w:rPr>
                <w:rFonts w:ascii="Verdana" w:hAnsi="Verdana"/>
                <w:sz w:val="18"/>
                <w:szCs w:val="18"/>
              </w:rPr>
              <w:t>-60,</w:t>
            </w:r>
            <w:r w:rsidRPr="00826C61" w:rsidR="00826C61">
              <w:rPr>
                <w:rFonts w:ascii="Verdana" w:hAnsi="Verdana"/>
                <w:sz w:val="18"/>
                <w:szCs w:val="18"/>
              </w:rPr>
              <w:t>8</w:t>
            </w:r>
          </w:p>
        </w:tc>
        <w:tc>
          <w:tcPr>
            <w:tcW w:w="961" w:type="pct"/>
            <w:tcBorders>
              <w:top w:val="nil"/>
              <w:left w:val="nil"/>
              <w:bottom w:val="single" w:color="auto" w:sz="8" w:space="0"/>
              <w:right w:val="nil"/>
            </w:tcBorders>
            <w:shd w:val="clear" w:color="auto" w:fill="auto"/>
            <w:hideMark/>
          </w:tcPr>
          <w:p w:rsidRPr="008D7A76" w:rsidR="00987044" w:rsidP="00533D5C" w:rsidRDefault="0045429A">
            <w:pPr>
              <w:spacing w:line="240" w:lineRule="exact"/>
              <w:jc w:val="right"/>
              <w:rPr>
                <w:rFonts w:ascii="Verdana" w:hAnsi="Verdana"/>
                <w:sz w:val="18"/>
                <w:szCs w:val="18"/>
                <w:highlight w:val="yellow"/>
              </w:rPr>
            </w:pPr>
            <w:r w:rsidRPr="00826C61">
              <w:rPr>
                <w:rFonts w:ascii="Verdana" w:hAnsi="Verdana"/>
                <w:sz w:val="18"/>
                <w:szCs w:val="18"/>
              </w:rPr>
              <w:t>31,1</w:t>
            </w:r>
          </w:p>
        </w:tc>
      </w:tr>
    </w:tbl>
    <w:p w:rsidRPr="00533D5C" w:rsidR="00AD374F" w:rsidP="00533D5C" w:rsidRDefault="00AD374F">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512EDB" w:rsidP="00533D5C" w:rsidRDefault="00C05141">
      <w:pPr>
        <w:spacing w:line="240" w:lineRule="exact"/>
        <w:rPr>
          <w:rFonts w:ascii="Verdana" w:hAnsi="Verdana" w:cs="Verdana"/>
          <w:b/>
          <w:bCs/>
          <w:sz w:val="18"/>
          <w:szCs w:val="18"/>
        </w:rPr>
      </w:pPr>
      <w:r w:rsidRPr="00533D5C">
        <w:rPr>
          <w:rFonts w:ascii="Verdana" w:hAnsi="Verdana" w:cs="Verdana"/>
          <w:b/>
          <w:bCs/>
          <w:sz w:val="18"/>
          <w:szCs w:val="18"/>
        </w:rPr>
        <w:lastRenderedPageBreak/>
        <w:t>De Koning</w:t>
      </w:r>
    </w:p>
    <w:tbl>
      <w:tblPr>
        <w:tblW w:w="0" w:type="auto"/>
        <w:tblCellMar>
          <w:top w:w="15" w:type="dxa"/>
          <w:left w:w="15" w:type="dxa"/>
          <w:bottom w:w="15" w:type="dxa"/>
          <w:right w:w="15" w:type="dxa"/>
        </w:tblCellMar>
        <w:tblLook w:val="04A0"/>
      </w:tblPr>
      <w:tblGrid>
        <w:gridCol w:w="8244"/>
        <w:gridCol w:w="858"/>
      </w:tblGrid>
      <w:tr w:rsidR="00F211F6" w:rsidTr="00F211F6">
        <w:tc>
          <w:tcPr>
            <w:tcW w:w="8244" w:type="dxa"/>
            <w:tcBorders>
              <w:left w:val="nil"/>
              <w:right w:val="nil"/>
            </w:tcBorders>
            <w:hideMark/>
          </w:tcPr>
          <w:p w:rsidR="00F211F6" w:rsidP="006D23DC" w:rsidRDefault="00F211F6">
            <w:pPr>
              <w:rPr>
                <w:rFonts w:ascii="Verdana" w:hAnsi="Verdana"/>
                <w:sz w:val="18"/>
                <w:szCs w:val="18"/>
              </w:rPr>
            </w:pPr>
            <w:r>
              <w:rPr>
                <w:rFonts w:ascii="Verdana" w:hAnsi="Verdana"/>
                <w:sz w:val="18"/>
                <w:szCs w:val="18"/>
              </w:rPr>
              <w:t> </w:t>
            </w:r>
          </w:p>
        </w:tc>
        <w:tc>
          <w:tcPr>
            <w:tcW w:w="858" w:type="dxa"/>
            <w:tcBorders>
              <w:left w:val="nil"/>
              <w:right w:val="nil"/>
            </w:tcBorders>
            <w:hideMark/>
          </w:tcPr>
          <w:p w:rsidR="00F211F6" w:rsidP="006D23DC" w:rsidRDefault="00F211F6">
            <w:pPr>
              <w:rPr>
                <w:rFonts w:ascii="Verdana" w:hAnsi="Verdana"/>
                <w:sz w:val="18"/>
                <w:szCs w:val="18"/>
              </w:rPr>
            </w:pPr>
            <w:r>
              <w:rPr>
                <w:rFonts w:ascii="Verdana" w:hAnsi="Verdana"/>
                <w:sz w:val="18"/>
                <w:szCs w:val="18"/>
              </w:rPr>
              <w:t> </w:t>
            </w:r>
          </w:p>
        </w:tc>
      </w:tr>
      <w:tr w:rsidR="00F211F6" w:rsidTr="006D23DC">
        <w:tc>
          <w:tcPr>
            <w:tcW w:w="0" w:type="auto"/>
            <w:tcBorders>
              <w:left w:val="nil"/>
              <w:right w:val="nil"/>
            </w:tcBorders>
            <w:hideMark/>
          </w:tcPr>
          <w:p w:rsidR="00F211F6" w:rsidP="006D23DC" w:rsidRDefault="00F211F6">
            <w:pPr>
              <w:rPr>
                <w:rFonts w:ascii="Verdana" w:hAnsi="Verdana"/>
                <w:sz w:val="18"/>
                <w:szCs w:val="18"/>
              </w:rPr>
            </w:pPr>
            <w:r>
              <w:rPr>
                <w:rFonts w:ascii="Verdana" w:hAnsi="Verdana"/>
                <w:sz w:val="18"/>
                <w:szCs w:val="18"/>
              </w:rPr>
              <w:t>I DE KONING: UITGAVEN</w:t>
            </w:r>
          </w:p>
        </w:tc>
        <w:tc>
          <w:tcPr>
            <w:tcW w:w="0" w:type="auto"/>
            <w:hideMark/>
          </w:tcPr>
          <w:p w:rsidR="00F211F6" w:rsidP="006D23DC" w:rsidRDefault="00F211F6">
            <w:pPr>
              <w:rPr>
                <w:sz w:val="20"/>
                <w:szCs w:val="20"/>
              </w:rPr>
            </w:pPr>
          </w:p>
        </w:tc>
      </w:tr>
      <w:tr w:rsidR="00F211F6" w:rsidTr="006D23DC">
        <w:tc>
          <w:tcPr>
            <w:tcW w:w="0" w:type="auto"/>
            <w:tcBorders>
              <w:top w:val="single" w:color="000000" w:sz="6" w:space="0"/>
              <w:left w:val="nil"/>
              <w:bottom w:val="single" w:color="000000" w:sz="6" w:space="0"/>
              <w:right w:val="nil"/>
            </w:tcBorders>
            <w:hideMark/>
          </w:tcPr>
          <w:p w:rsidR="00F211F6" w:rsidP="006D23DC" w:rsidRDefault="00F211F6">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F211F6" w:rsidP="006D23DC" w:rsidRDefault="00F211F6">
            <w:pPr>
              <w:jc w:val="right"/>
              <w:rPr>
                <w:rFonts w:ascii="Verdana" w:hAnsi="Verdana"/>
                <w:sz w:val="18"/>
                <w:szCs w:val="18"/>
              </w:rPr>
            </w:pPr>
            <w:r>
              <w:rPr>
                <w:rFonts w:ascii="Verdana" w:hAnsi="Verdana"/>
                <w:sz w:val="18"/>
                <w:szCs w:val="18"/>
              </w:rPr>
              <w:t>2015</w:t>
            </w:r>
          </w:p>
        </w:tc>
      </w:tr>
      <w:tr w:rsidR="00F211F6" w:rsidTr="006D23DC">
        <w:tc>
          <w:tcPr>
            <w:tcW w:w="0" w:type="auto"/>
            <w:tcBorders>
              <w:left w:val="nil"/>
              <w:right w:val="nil"/>
            </w:tcBorders>
            <w:hideMark/>
          </w:tcPr>
          <w:p w:rsidR="00F211F6" w:rsidP="006D23DC" w:rsidRDefault="00F211F6">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F211F6" w:rsidP="006D23DC" w:rsidRDefault="00F211F6">
            <w:pPr>
              <w:jc w:val="right"/>
              <w:rPr>
                <w:rFonts w:ascii="Verdana" w:hAnsi="Verdana"/>
                <w:sz w:val="18"/>
                <w:szCs w:val="18"/>
              </w:rPr>
            </w:pPr>
            <w:r>
              <w:rPr>
                <w:rFonts w:ascii="Verdana" w:hAnsi="Verdana"/>
                <w:sz w:val="18"/>
                <w:szCs w:val="18"/>
              </w:rPr>
              <w:t>40,9</w:t>
            </w:r>
          </w:p>
        </w:tc>
      </w:tr>
      <w:tr w:rsidR="00F211F6" w:rsidTr="006D23DC">
        <w:tc>
          <w:tcPr>
            <w:tcW w:w="0" w:type="auto"/>
            <w:tcBorders>
              <w:left w:val="nil"/>
              <w:right w:val="nil"/>
            </w:tcBorders>
            <w:hideMark/>
          </w:tcPr>
          <w:p w:rsidR="00F211F6" w:rsidP="006D23DC" w:rsidRDefault="00F211F6">
            <w:pPr>
              <w:rPr>
                <w:rFonts w:ascii="Verdana" w:hAnsi="Verdana"/>
                <w:sz w:val="18"/>
                <w:szCs w:val="18"/>
              </w:rPr>
            </w:pPr>
            <w:r>
              <w:rPr>
                <w:rFonts w:ascii="Verdana" w:hAnsi="Verdana"/>
                <w:sz w:val="18"/>
                <w:szCs w:val="18"/>
              </w:rPr>
              <w:t>Beleidsmatige mutaties</w:t>
            </w:r>
          </w:p>
        </w:tc>
        <w:tc>
          <w:tcPr>
            <w:tcW w:w="0" w:type="auto"/>
            <w:hideMark/>
          </w:tcPr>
          <w:p w:rsidR="00F211F6" w:rsidP="006D23DC" w:rsidRDefault="00F211F6">
            <w:pPr>
              <w:rPr>
                <w:sz w:val="20"/>
                <w:szCs w:val="20"/>
              </w:rPr>
            </w:pPr>
          </w:p>
        </w:tc>
      </w:tr>
      <w:tr w:rsidR="00F211F6" w:rsidTr="006D23DC">
        <w:tc>
          <w:tcPr>
            <w:tcW w:w="0" w:type="auto"/>
            <w:tcBorders>
              <w:left w:val="nil"/>
              <w:right w:val="nil"/>
            </w:tcBorders>
            <w:tcMar>
              <w:top w:w="15" w:type="dxa"/>
              <w:left w:w="180" w:type="dxa"/>
              <w:bottom w:w="15" w:type="dxa"/>
              <w:right w:w="15" w:type="dxa"/>
            </w:tcMar>
            <w:vAlign w:val="both"/>
            <w:hideMark/>
          </w:tcPr>
          <w:p w:rsidR="00F211F6" w:rsidP="006D23DC" w:rsidRDefault="00F211F6">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F211F6" w:rsidP="006D23DC" w:rsidRDefault="00F211F6">
            <w:pPr>
              <w:rPr>
                <w:sz w:val="20"/>
                <w:szCs w:val="20"/>
              </w:rPr>
            </w:pPr>
          </w:p>
        </w:tc>
      </w:tr>
      <w:tr w:rsidR="00F211F6" w:rsidTr="006D23DC">
        <w:tc>
          <w:tcPr>
            <w:tcW w:w="0" w:type="auto"/>
            <w:tcBorders>
              <w:left w:val="nil"/>
              <w:right w:val="nil"/>
            </w:tcBorders>
            <w:tcMar>
              <w:top w:w="15" w:type="dxa"/>
              <w:left w:w="360" w:type="dxa"/>
              <w:bottom w:w="15" w:type="dxa"/>
              <w:right w:w="15" w:type="dxa"/>
            </w:tcMar>
            <w:vAlign w:val="both"/>
            <w:hideMark/>
          </w:tcPr>
          <w:p w:rsidR="00F211F6" w:rsidP="006D23DC" w:rsidRDefault="00F211F6">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F211F6" w:rsidP="006D23DC" w:rsidRDefault="00F211F6">
            <w:pPr>
              <w:jc w:val="right"/>
              <w:rPr>
                <w:rFonts w:ascii="Verdana" w:hAnsi="Verdana"/>
                <w:sz w:val="18"/>
                <w:szCs w:val="18"/>
              </w:rPr>
            </w:pPr>
            <w:r>
              <w:rPr>
                <w:rFonts w:ascii="Verdana" w:hAnsi="Verdana"/>
                <w:sz w:val="18"/>
                <w:szCs w:val="18"/>
              </w:rPr>
              <w:t>0,0</w:t>
            </w:r>
          </w:p>
        </w:tc>
      </w:tr>
      <w:tr w:rsidR="00F211F6" w:rsidTr="006D23DC">
        <w:tc>
          <w:tcPr>
            <w:tcW w:w="0" w:type="auto"/>
            <w:tcBorders>
              <w:left w:val="nil"/>
              <w:right w:val="nil"/>
            </w:tcBorders>
            <w:hideMark/>
          </w:tcPr>
          <w:p w:rsidR="00F211F6" w:rsidP="006D23DC" w:rsidRDefault="00F211F6">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F211F6" w:rsidP="006D23DC" w:rsidRDefault="00F211F6">
            <w:pPr>
              <w:jc w:val="right"/>
              <w:rPr>
                <w:rFonts w:ascii="Verdana" w:hAnsi="Verdana"/>
                <w:sz w:val="18"/>
                <w:szCs w:val="18"/>
              </w:rPr>
            </w:pPr>
            <w:r>
              <w:rPr>
                <w:rFonts w:ascii="Verdana" w:hAnsi="Verdana"/>
                <w:sz w:val="18"/>
                <w:szCs w:val="18"/>
              </w:rPr>
              <w:t>0,0</w:t>
            </w:r>
          </w:p>
        </w:tc>
      </w:tr>
      <w:tr w:rsidR="00F211F6" w:rsidTr="006D23DC">
        <w:tc>
          <w:tcPr>
            <w:tcW w:w="0" w:type="auto"/>
            <w:tcBorders>
              <w:left w:val="nil"/>
              <w:right w:val="nil"/>
            </w:tcBorders>
            <w:hideMark/>
          </w:tcPr>
          <w:p w:rsidR="00F211F6" w:rsidP="006D23DC" w:rsidRDefault="00F211F6">
            <w:pPr>
              <w:rPr>
                <w:rFonts w:ascii="Verdana" w:hAnsi="Verdana"/>
                <w:sz w:val="18"/>
                <w:szCs w:val="18"/>
              </w:rPr>
            </w:pPr>
            <w:r>
              <w:rPr>
                <w:rFonts w:ascii="Verdana" w:hAnsi="Verdana"/>
                <w:sz w:val="18"/>
                <w:szCs w:val="18"/>
              </w:rPr>
              <w:t>Technische mutaties</w:t>
            </w:r>
          </w:p>
        </w:tc>
        <w:tc>
          <w:tcPr>
            <w:tcW w:w="0" w:type="auto"/>
            <w:hideMark/>
          </w:tcPr>
          <w:p w:rsidR="00F211F6" w:rsidP="006D23DC" w:rsidRDefault="00F211F6">
            <w:pPr>
              <w:rPr>
                <w:sz w:val="20"/>
                <w:szCs w:val="20"/>
              </w:rPr>
            </w:pPr>
          </w:p>
        </w:tc>
      </w:tr>
      <w:tr w:rsidR="00F211F6" w:rsidTr="006D23DC">
        <w:tc>
          <w:tcPr>
            <w:tcW w:w="0" w:type="auto"/>
            <w:tcBorders>
              <w:left w:val="nil"/>
              <w:right w:val="nil"/>
            </w:tcBorders>
            <w:tcMar>
              <w:top w:w="15" w:type="dxa"/>
              <w:left w:w="180" w:type="dxa"/>
              <w:bottom w:w="15" w:type="dxa"/>
              <w:right w:w="15" w:type="dxa"/>
            </w:tcMar>
            <w:vAlign w:val="both"/>
            <w:hideMark/>
          </w:tcPr>
          <w:p w:rsidR="00F211F6" w:rsidP="006D23DC" w:rsidRDefault="00F211F6">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F211F6" w:rsidP="006D23DC" w:rsidRDefault="00F211F6">
            <w:pPr>
              <w:rPr>
                <w:sz w:val="20"/>
                <w:szCs w:val="20"/>
              </w:rPr>
            </w:pPr>
          </w:p>
        </w:tc>
      </w:tr>
      <w:tr w:rsidR="00F211F6" w:rsidTr="006D23DC">
        <w:tc>
          <w:tcPr>
            <w:tcW w:w="0" w:type="auto"/>
            <w:tcBorders>
              <w:left w:val="nil"/>
              <w:right w:val="nil"/>
            </w:tcBorders>
            <w:tcMar>
              <w:top w:w="15" w:type="dxa"/>
              <w:left w:w="360" w:type="dxa"/>
              <w:bottom w:w="15" w:type="dxa"/>
              <w:right w:w="15" w:type="dxa"/>
            </w:tcMar>
            <w:vAlign w:val="both"/>
            <w:hideMark/>
          </w:tcPr>
          <w:p w:rsidR="00F211F6" w:rsidP="006D23DC" w:rsidRDefault="00F211F6">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F211F6" w:rsidP="006D23DC" w:rsidRDefault="00F211F6">
            <w:pPr>
              <w:jc w:val="right"/>
              <w:rPr>
                <w:rFonts w:ascii="Verdana" w:hAnsi="Verdana"/>
                <w:sz w:val="18"/>
                <w:szCs w:val="18"/>
              </w:rPr>
            </w:pPr>
            <w:r>
              <w:rPr>
                <w:rFonts w:ascii="Verdana" w:hAnsi="Verdana"/>
                <w:sz w:val="18"/>
                <w:szCs w:val="18"/>
              </w:rPr>
              <w:t>0,2</w:t>
            </w:r>
          </w:p>
        </w:tc>
      </w:tr>
      <w:tr w:rsidR="00F211F6" w:rsidTr="006D23DC">
        <w:tc>
          <w:tcPr>
            <w:tcW w:w="0" w:type="auto"/>
            <w:tcBorders>
              <w:left w:val="nil"/>
              <w:right w:val="nil"/>
            </w:tcBorders>
            <w:hideMark/>
          </w:tcPr>
          <w:p w:rsidR="00F211F6" w:rsidP="006D23DC" w:rsidRDefault="00F211F6">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F211F6" w:rsidP="006D23DC" w:rsidRDefault="00F211F6">
            <w:pPr>
              <w:jc w:val="right"/>
              <w:rPr>
                <w:rFonts w:ascii="Verdana" w:hAnsi="Verdana"/>
                <w:sz w:val="18"/>
                <w:szCs w:val="18"/>
              </w:rPr>
            </w:pPr>
            <w:r>
              <w:rPr>
                <w:rFonts w:ascii="Verdana" w:hAnsi="Verdana"/>
                <w:sz w:val="18"/>
                <w:szCs w:val="18"/>
              </w:rPr>
              <w:t>0,2</w:t>
            </w:r>
          </w:p>
        </w:tc>
      </w:tr>
      <w:tr w:rsidR="00F211F6" w:rsidTr="006D23DC">
        <w:tc>
          <w:tcPr>
            <w:tcW w:w="0" w:type="auto"/>
            <w:tcBorders>
              <w:left w:val="nil"/>
              <w:right w:val="nil"/>
            </w:tcBorders>
            <w:hideMark/>
          </w:tcPr>
          <w:p w:rsidR="00F211F6" w:rsidP="006D23DC" w:rsidRDefault="00F211F6">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F211F6" w:rsidP="006D23DC" w:rsidRDefault="00F211F6">
            <w:pPr>
              <w:jc w:val="right"/>
              <w:rPr>
                <w:rFonts w:ascii="Verdana" w:hAnsi="Verdana"/>
                <w:sz w:val="18"/>
                <w:szCs w:val="18"/>
              </w:rPr>
            </w:pPr>
            <w:r>
              <w:rPr>
                <w:rFonts w:ascii="Verdana" w:hAnsi="Verdana"/>
                <w:sz w:val="18"/>
                <w:szCs w:val="18"/>
              </w:rPr>
              <w:t>0,2</w:t>
            </w:r>
          </w:p>
        </w:tc>
      </w:tr>
      <w:tr w:rsidR="00F211F6" w:rsidTr="006D23DC">
        <w:tc>
          <w:tcPr>
            <w:tcW w:w="0" w:type="auto"/>
            <w:tcBorders>
              <w:left w:val="nil"/>
              <w:right w:val="nil"/>
            </w:tcBorders>
            <w:hideMark/>
          </w:tcPr>
          <w:p w:rsidR="00F211F6" w:rsidP="006D23DC" w:rsidRDefault="00F211F6">
            <w:pPr>
              <w:rPr>
                <w:rFonts w:ascii="Verdana" w:hAnsi="Verdana"/>
                <w:sz w:val="18"/>
                <w:szCs w:val="18"/>
              </w:rPr>
            </w:pPr>
            <w:r>
              <w:rPr>
                <w:rFonts w:ascii="Verdana" w:hAnsi="Verdana"/>
                <w:sz w:val="18"/>
                <w:szCs w:val="18"/>
              </w:rPr>
              <w:t> </w:t>
            </w:r>
          </w:p>
        </w:tc>
        <w:tc>
          <w:tcPr>
            <w:tcW w:w="0" w:type="auto"/>
            <w:hideMark/>
          </w:tcPr>
          <w:p w:rsidR="00F211F6" w:rsidP="006D23DC" w:rsidRDefault="00F211F6">
            <w:pPr>
              <w:rPr>
                <w:sz w:val="20"/>
                <w:szCs w:val="20"/>
              </w:rPr>
            </w:pPr>
          </w:p>
        </w:tc>
      </w:tr>
      <w:tr w:rsidR="00F211F6" w:rsidTr="006D23DC">
        <w:tc>
          <w:tcPr>
            <w:tcW w:w="0" w:type="auto"/>
            <w:tcBorders>
              <w:left w:val="nil"/>
              <w:right w:val="nil"/>
            </w:tcBorders>
            <w:hideMark/>
          </w:tcPr>
          <w:p w:rsidR="00F211F6" w:rsidP="006D23DC" w:rsidRDefault="00F211F6">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F211F6" w:rsidP="006D23DC" w:rsidRDefault="00F211F6">
            <w:pPr>
              <w:jc w:val="right"/>
              <w:rPr>
                <w:rFonts w:ascii="Verdana" w:hAnsi="Verdana"/>
                <w:sz w:val="18"/>
                <w:szCs w:val="18"/>
              </w:rPr>
            </w:pPr>
            <w:r>
              <w:rPr>
                <w:rFonts w:ascii="Verdana" w:hAnsi="Verdana"/>
                <w:sz w:val="18"/>
                <w:szCs w:val="18"/>
              </w:rPr>
              <w:t>41,0</w:t>
            </w:r>
          </w:p>
        </w:tc>
      </w:tr>
      <w:tr w:rsidR="00F211F6" w:rsidTr="006D23DC">
        <w:tc>
          <w:tcPr>
            <w:tcW w:w="0" w:type="auto"/>
            <w:tcBorders>
              <w:left w:val="nil"/>
              <w:right w:val="nil"/>
            </w:tcBorders>
            <w:hideMark/>
          </w:tcPr>
          <w:p w:rsidR="00F211F6" w:rsidP="006D23DC" w:rsidRDefault="00F211F6">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F211F6" w:rsidP="006D23DC" w:rsidRDefault="00F211F6">
            <w:pPr>
              <w:jc w:val="right"/>
              <w:rPr>
                <w:rFonts w:ascii="Verdana" w:hAnsi="Verdana"/>
                <w:sz w:val="18"/>
                <w:szCs w:val="18"/>
              </w:rPr>
            </w:pPr>
            <w:r>
              <w:rPr>
                <w:rFonts w:ascii="Verdana" w:hAnsi="Verdana"/>
                <w:sz w:val="18"/>
                <w:szCs w:val="18"/>
              </w:rPr>
              <w:t>0,0</w:t>
            </w:r>
          </w:p>
        </w:tc>
      </w:tr>
      <w:tr w:rsidR="00F211F6" w:rsidTr="006D23DC">
        <w:tc>
          <w:tcPr>
            <w:tcW w:w="0" w:type="auto"/>
            <w:tcBorders>
              <w:left w:val="nil"/>
              <w:right w:val="nil"/>
            </w:tcBorders>
            <w:hideMark/>
          </w:tcPr>
          <w:p w:rsidR="00F211F6" w:rsidP="006D23DC" w:rsidRDefault="00F211F6">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F211F6" w:rsidP="006D23DC" w:rsidRDefault="00F211F6">
            <w:pPr>
              <w:jc w:val="right"/>
              <w:rPr>
                <w:rFonts w:ascii="Verdana" w:hAnsi="Verdana"/>
                <w:sz w:val="18"/>
                <w:szCs w:val="18"/>
              </w:rPr>
            </w:pPr>
            <w:r>
              <w:rPr>
                <w:rFonts w:ascii="Verdana" w:hAnsi="Verdana"/>
                <w:sz w:val="18"/>
                <w:szCs w:val="18"/>
              </w:rPr>
              <w:t>41,0</w:t>
            </w:r>
          </w:p>
        </w:tc>
      </w:tr>
      <w:tr w:rsidR="00F211F6" w:rsidTr="00F211F6">
        <w:tc>
          <w:tcPr>
            <w:tcW w:w="8249" w:type="dxa"/>
            <w:tcBorders>
              <w:left w:val="nil"/>
              <w:right w:val="nil"/>
            </w:tcBorders>
            <w:hideMark/>
          </w:tcPr>
          <w:p w:rsidR="00F211F6" w:rsidP="006D23DC" w:rsidRDefault="00F211F6">
            <w:pPr>
              <w:rPr>
                <w:rFonts w:ascii="Verdana" w:hAnsi="Verdana"/>
                <w:sz w:val="18"/>
                <w:szCs w:val="18"/>
              </w:rPr>
            </w:pPr>
            <w:r>
              <w:rPr>
                <w:rFonts w:ascii="Verdana" w:hAnsi="Verdana"/>
                <w:sz w:val="18"/>
                <w:szCs w:val="18"/>
              </w:rPr>
              <w:t> </w:t>
            </w:r>
          </w:p>
        </w:tc>
        <w:tc>
          <w:tcPr>
            <w:tcW w:w="853" w:type="dxa"/>
            <w:tcBorders>
              <w:left w:val="nil"/>
              <w:right w:val="nil"/>
            </w:tcBorders>
            <w:hideMark/>
          </w:tcPr>
          <w:p w:rsidR="00F211F6" w:rsidP="006D23DC" w:rsidRDefault="00F211F6">
            <w:pPr>
              <w:rPr>
                <w:rFonts w:ascii="Verdana" w:hAnsi="Verdana"/>
                <w:sz w:val="18"/>
                <w:szCs w:val="18"/>
              </w:rPr>
            </w:pPr>
            <w:r>
              <w:rPr>
                <w:rFonts w:ascii="Verdana" w:hAnsi="Verdana"/>
                <w:sz w:val="18"/>
                <w:szCs w:val="18"/>
              </w:rPr>
              <w:t> </w:t>
            </w:r>
          </w:p>
        </w:tc>
      </w:tr>
      <w:tr w:rsidR="00F211F6" w:rsidTr="006D23DC">
        <w:tc>
          <w:tcPr>
            <w:tcW w:w="0" w:type="auto"/>
            <w:tcBorders>
              <w:left w:val="nil"/>
              <w:right w:val="nil"/>
            </w:tcBorders>
            <w:hideMark/>
          </w:tcPr>
          <w:p w:rsidR="00F211F6" w:rsidP="006D23DC" w:rsidRDefault="00F211F6">
            <w:pPr>
              <w:rPr>
                <w:rFonts w:ascii="Verdana" w:hAnsi="Verdana"/>
                <w:sz w:val="18"/>
                <w:szCs w:val="18"/>
              </w:rPr>
            </w:pPr>
            <w:r>
              <w:rPr>
                <w:rFonts w:ascii="Verdana" w:hAnsi="Verdana"/>
                <w:sz w:val="18"/>
                <w:szCs w:val="18"/>
              </w:rPr>
              <w:t>I DE KONING: NIET-BELASTINGONTVANGSTEN</w:t>
            </w:r>
          </w:p>
        </w:tc>
        <w:tc>
          <w:tcPr>
            <w:tcW w:w="0" w:type="auto"/>
            <w:hideMark/>
          </w:tcPr>
          <w:p w:rsidR="00F211F6" w:rsidP="006D23DC" w:rsidRDefault="00F211F6">
            <w:pPr>
              <w:rPr>
                <w:sz w:val="20"/>
                <w:szCs w:val="20"/>
              </w:rPr>
            </w:pPr>
          </w:p>
        </w:tc>
      </w:tr>
      <w:tr w:rsidR="00F211F6" w:rsidTr="006D23DC">
        <w:tc>
          <w:tcPr>
            <w:tcW w:w="0" w:type="auto"/>
            <w:tcBorders>
              <w:top w:val="single" w:color="000000" w:sz="6" w:space="0"/>
              <w:left w:val="nil"/>
              <w:bottom w:val="single" w:color="000000" w:sz="6" w:space="0"/>
              <w:right w:val="nil"/>
            </w:tcBorders>
            <w:hideMark/>
          </w:tcPr>
          <w:p w:rsidR="00F211F6" w:rsidP="006D23DC" w:rsidRDefault="00F211F6">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F211F6" w:rsidP="006D23DC" w:rsidRDefault="00F211F6">
            <w:pPr>
              <w:jc w:val="right"/>
              <w:rPr>
                <w:rFonts w:ascii="Verdana" w:hAnsi="Verdana"/>
                <w:sz w:val="18"/>
                <w:szCs w:val="18"/>
              </w:rPr>
            </w:pPr>
            <w:r>
              <w:rPr>
                <w:rFonts w:ascii="Verdana" w:hAnsi="Verdana"/>
                <w:sz w:val="18"/>
                <w:szCs w:val="18"/>
              </w:rPr>
              <w:t>2015</w:t>
            </w:r>
          </w:p>
        </w:tc>
      </w:tr>
      <w:tr w:rsidR="00F211F6" w:rsidTr="006D23DC">
        <w:tc>
          <w:tcPr>
            <w:tcW w:w="0" w:type="auto"/>
            <w:tcBorders>
              <w:left w:val="nil"/>
              <w:right w:val="nil"/>
            </w:tcBorders>
            <w:hideMark/>
          </w:tcPr>
          <w:p w:rsidR="00F211F6" w:rsidP="006D23DC" w:rsidRDefault="00F211F6">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F211F6" w:rsidP="006D23DC" w:rsidRDefault="00F211F6">
            <w:pPr>
              <w:jc w:val="right"/>
              <w:rPr>
                <w:rFonts w:ascii="Verdana" w:hAnsi="Verdana"/>
                <w:sz w:val="18"/>
                <w:szCs w:val="18"/>
              </w:rPr>
            </w:pPr>
            <w:r>
              <w:rPr>
                <w:rFonts w:ascii="Verdana" w:hAnsi="Verdana"/>
                <w:sz w:val="18"/>
                <w:szCs w:val="18"/>
              </w:rPr>
              <w:t>0,1</w:t>
            </w:r>
          </w:p>
        </w:tc>
      </w:tr>
      <w:tr w:rsidR="00F211F6" w:rsidTr="006D23DC">
        <w:tc>
          <w:tcPr>
            <w:tcW w:w="0" w:type="auto"/>
            <w:tcBorders>
              <w:left w:val="nil"/>
              <w:right w:val="nil"/>
            </w:tcBorders>
            <w:hideMark/>
          </w:tcPr>
          <w:p w:rsidR="00F211F6" w:rsidP="006D23DC" w:rsidRDefault="00F211F6">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F211F6" w:rsidP="006D23DC" w:rsidRDefault="00F211F6">
            <w:pPr>
              <w:jc w:val="right"/>
              <w:rPr>
                <w:rFonts w:ascii="Verdana" w:hAnsi="Verdana"/>
                <w:sz w:val="18"/>
                <w:szCs w:val="18"/>
              </w:rPr>
            </w:pPr>
            <w:r>
              <w:rPr>
                <w:rFonts w:ascii="Verdana" w:hAnsi="Verdana"/>
                <w:sz w:val="18"/>
                <w:szCs w:val="18"/>
              </w:rPr>
              <w:t>0,0</w:t>
            </w:r>
          </w:p>
        </w:tc>
      </w:tr>
      <w:tr w:rsidR="00F211F6" w:rsidTr="006D23DC">
        <w:tc>
          <w:tcPr>
            <w:tcW w:w="0" w:type="auto"/>
            <w:tcBorders>
              <w:left w:val="nil"/>
              <w:right w:val="nil"/>
            </w:tcBorders>
            <w:hideMark/>
          </w:tcPr>
          <w:p w:rsidR="00F211F6" w:rsidP="006D23DC" w:rsidRDefault="00F211F6">
            <w:pPr>
              <w:rPr>
                <w:rFonts w:ascii="Verdana" w:hAnsi="Verdana"/>
                <w:sz w:val="18"/>
                <w:szCs w:val="18"/>
              </w:rPr>
            </w:pPr>
            <w:r>
              <w:rPr>
                <w:rFonts w:ascii="Verdana" w:hAnsi="Verdana"/>
                <w:sz w:val="18"/>
                <w:szCs w:val="18"/>
              </w:rPr>
              <w:t> </w:t>
            </w:r>
          </w:p>
        </w:tc>
        <w:tc>
          <w:tcPr>
            <w:tcW w:w="0" w:type="auto"/>
            <w:hideMark/>
          </w:tcPr>
          <w:p w:rsidR="00F211F6" w:rsidP="006D23DC" w:rsidRDefault="00F211F6">
            <w:pPr>
              <w:rPr>
                <w:sz w:val="20"/>
                <w:szCs w:val="20"/>
              </w:rPr>
            </w:pPr>
          </w:p>
        </w:tc>
      </w:tr>
      <w:tr w:rsidR="00F211F6" w:rsidTr="006D23DC">
        <w:tc>
          <w:tcPr>
            <w:tcW w:w="0" w:type="auto"/>
            <w:tcBorders>
              <w:left w:val="nil"/>
              <w:right w:val="nil"/>
            </w:tcBorders>
            <w:hideMark/>
          </w:tcPr>
          <w:p w:rsidR="00F211F6" w:rsidP="006D23DC" w:rsidRDefault="00F211F6">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F211F6" w:rsidP="006D23DC" w:rsidRDefault="00F211F6">
            <w:pPr>
              <w:jc w:val="right"/>
              <w:rPr>
                <w:rFonts w:ascii="Verdana" w:hAnsi="Verdana"/>
                <w:sz w:val="18"/>
                <w:szCs w:val="18"/>
              </w:rPr>
            </w:pPr>
            <w:r>
              <w:rPr>
                <w:rFonts w:ascii="Verdana" w:hAnsi="Verdana"/>
                <w:sz w:val="18"/>
                <w:szCs w:val="18"/>
              </w:rPr>
              <w:t>0,1</w:t>
            </w:r>
          </w:p>
        </w:tc>
      </w:tr>
      <w:tr w:rsidR="00F211F6" w:rsidTr="006D23DC">
        <w:tc>
          <w:tcPr>
            <w:tcW w:w="0" w:type="auto"/>
            <w:tcBorders>
              <w:left w:val="nil"/>
              <w:right w:val="nil"/>
            </w:tcBorders>
            <w:hideMark/>
          </w:tcPr>
          <w:p w:rsidR="00F211F6" w:rsidP="006D23DC" w:rsidRDefault="00F211F6">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F211F6" w:rsidP="006D23DC" w:rsidRDefault="00F211F6">
            <w:pPr>
              <w:jc w:val="right"/>
              <w:rPr>
                <w:rFonts w:ascii="Verdana" w:hAnsi="Verdana"/>
                <w:sz w:val="18"/>
                <w:szCs w:val="18"/>
              </w:rPr>
            </w:pPr>
            <w:r>
              <w:rPr>
                <w:rFonts w:ascii="Verdana" w:hAnsi="Verdana"/>
                <w:sz w:val="18"/>
                <w:szCs w:val="18"/>
              </w:rPr>
              <w:t>0,0</w:t>
            </w:r>
          </w:p>
        </w:tc>
      </w:tr>
      <w:tr w:rsidR="00F211F6" w:rsidTr="006D23DC">
        <w:tc>
          <w:tcPr>
            <w:tcW w:w="0" w:type="auto"/>
            <w:tcBorders>
              <w:left w:val="nil"/>
              <w:right w:val="nil"/>
            </w:tcBorders>
            <w:hideMark/>
          </w:tcPr>
          <w:p w:rsidR="00F211F6" w:rsidP="006D23DC" w:rsidRDefault="00F211F6">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F211F6" w:rsidP="006D23DC" w:rsidRDefault="00F211F6">
            <w:pPr>
              <w:jc w:val="right"/>
              <w:rPr>
                <w:rFonts w:ascii="Verdana" w:hAnsi="Verdana"/>
                <w:sz w:val="18"/>
                <w:szCs w:val="18"/>
              </w:rPr>
            </w:pPr>
            <w:r>
              <w:rPr>
                <w:rFonts w:ascii="Verdana" w:hAnsi="Verdana"/>
                <w:sz w:val="18"/>
                <w:szCs w:val="18"/>
              </w:rPr>
              <w:t>0,1</w:t>
            </w:r>
          </w:p>
        </w:tc>
      </w:tr>
    </w:tbl>
    <w:p w:rsidR="00F211F6" w:rsidP="00533D5C" w:rsidRDefault="00F211F6">
      <w:pPr>
        <w:spacing w:line="240" w:lineRule="exact"/>
        <w:rPr>
          <w:rFonts w:ascii="Verdana" w:hAnsi="Verdana" w:cs="Verdana"/>
          <w:b/>
          <w:bCs/>
          <w:sz w:val="18"/>
          <w:szCs w:val="18"/>
        </w:rPr>
      </w:pPr>
    </w:p>
    <w:p w:rsidR="00F211F6" w:rsidP="00533D5C" w:rsidRDefault="00F211F6">
      <w:pPr>
        <w:spacing w:line="240" w:lineRule="exact"/>
        <w:rPr>
          <w:rFonts w:ascii="Verdana" w:hAnsi="Verdana" w:cs="Verdana"/>
          <w:b/>
          <w:bCs/>
          <w:sz w:val="18"/>
          <w:szCs w:val="18"/>
        </w:rPr>
      </w:pPr>
    </w:p>
    <w:p w:rsidRPr="003000F7" w:rsidR="003000F7" w:rsidP="003000F7" w:rsidRDefault="003000F7">
      <w:pPr>
        <w:pStyle w:val="Geenafstand"/>
        <w:spacing w:line="240" w:lineRule="exact"/>
        <w:rPr>
          <w:rFonts w:ascii="Verdana" w:hAnsi="Verdana"/>
          <w:sz w:val="18"/>
          <w:szCs w:val="18"/>
        </w:rPr>
      </w:pPr>
      <w:r w:rsidRPr="003000F7">
        <w:rPr>
          <w:rFonts w:ascii="Verdana" w:hAnsi="Verdana"/>
          <w:i/>
          <w:sz w:val="18"/>
          <w:szCs w:val="18"/>
        </w:rPr>
        <w:t>Diversen (Technische mutaties)</w:t>
      </w:r>
      <w:r w:rsidRPr="003000F7">
        <w:rPr>
          <w:rFonts w:ascii="Verdana" w:hAnsi="Verdana"/>
          <w:i/>
          <w:sz w:val="18"/>
          <w:szCs w:val="18"/>
        </w:rPr>
        <w:br/>
      </w:r>
      <w:r w:rsidRPr="003000F7">
        <w:rPr>
          <w:rFonts w:ascii="Verdana" w:hAnsi="Verdana"/>
          <w:sz w:val="18"/>
          <w:szCs w:val="18"/>
        </w:rPr>
        <w:t xml:space="preserve">Dit betreft de aanvullende middelen ten behoeve van de uitvoering van de loonruimteovereenkomst publieke sector. </w:t>
      </w:r>
    </w:p>
    <w:p w:rsidRPr="003000F7" w:rsidR="00AD374F" w:rsidP="003000F7" w:rsidRDefault="00AD374F">
      <w:pPr>
        <w:spacing w:line="240" w:lineRule="exact"/>
        <w:rPr>
          <w:rFonts w:ascii="Verdana" w:hAnsi="Verdana" w:cs="Verdana"/>
          <w:b/>
          <w:bCs/>
          <w:sz w:val="18"/>
          <w:szCs w:val="18"/>
        </w:rPr>
      </w:pPr>
      <w:r w:rsidRPr="003000F7">
        <w:rPr>
          <w:rFonts w:ascii="Verdana" w:hAnsi="Verdana" w:cs="Verdana"/>
          <w:b/>
          <w:bCs/>
          <w:sz w:val="18"/>
          <w:szCs w:val="18"/>
        </w:rPr>
        <w:br w:type="page"/>
      </w:r>
    </w:p>
    <w:p w:rsidRPr="00533D5C" w:rsidR="00730F6F" w:rsidP="00533D5C" w:rsidRDefault="00C05141">
      <w:pPr>
        <w:spacing w:line="240" w:lineRule="exact"/>
        <w:rPr>
          <w:rFonts w:ascii="Verdana" w:hAnsi="Verdana" w:cs="Verdana"/>
          <w:b/>
          <w:bCs/>
          <w:sz w:val="18"/>
          <w:szCs w:val="18"/>
        </w:rPr>
      </w:pPr>
      <w:r w:rsidRPr="00533D5C">
        <w:rPr>
          <w:rFonts w:ascii="Verdana" w:hAnsi="Verdana" w:cs="Verdana"/>
          <w:b/>
          <w:bCs/>
          <w:sz w:val="18"/>
          <w:szCs w:val="18"/>
        </w:rPr>
        <w:lastRenderedPageBreak/>
        <w:t>Staten-Generaal</w:t>
      </w:r>
    </w:p>
    <w:tbl>
      <w:tblPr>
        <w:tblW w:w="0" w:type="auto"/>
        <w:tblCellMar>
          <w:top w:w="15" w:type="dxa"/>
          <w:left w:w="15" w:type="dxa"/>
          <w:bottom w:w="15" w:type="dxa"/>
          <w:right w:w="15" w:type="dxa"/>
        </w:tblCellMar>
        <w:tblLook w:val="04A0"/>
      </w:tblPr>
      <w:tblGrid>
        <w:gridCol w:w="8237"/>
        <w:gridCol w:w="12"/>
        <w:gridCol w:w="853"/>
      </w:tblGrid>
      <w:tr w:rsidR="000A0997" w:rsidTr="000A0997">
        <w:tc>
          <w:tcPr>
            <w:tcW w:w="8237" w:type="dxa"/>
            <w:tcBorders>
              <w:left w:val="nil"/>
              <w:right w:val="nil"/>
            </w:tcBorders>
            <w:hideMark/>
          </w:tcPr>
          <w:p w:rsidR="000A0997" w:rsidP="006D23DC" w:rsidRDefault="000A0997">
            <w:pPr>
              <w:rPr>
                <w:rFonts w:ascii="Verdana" w:hAnsi="Verdana"/>
                <w:sz w:val="18"/>
                <w:szCs w:val="18"/>
              </w:rPr>
            </w:pPr>
            <w:r>
              <w:rPr>
                <w:rFonts w:ascii="Verdana" w:hAnsi="Verdana"/>
                <w:sz w:val="18"/>
                <w:szCs w:val="18"/>
              </w:rPr>
              <w:t> </w:t>
            </w:r>
          </w:p>
        </w:tc>
        <w:tc>
          <w:tcPr>
            <w:tcW w:w="865" w:type="dxa"/>
            <w:gridSpan w:val="2"/>
            <w:tcBorders>
              <w:left w:val="nil"/>
              <w:right w:val="nil"/>
            </w:tcBorders>
            <w:hideMark/>
          </w:tcPr>
          <w:p w:rsidR="000A0997" w:rsidP="006D23DC" w:rsidRDefault="000A0997">
            <w:pPr>
              <w:rPr>
                <w:rFonts w:ascii="Verdana" w:hAnsi="Verdana"/>
                <w:sz w:val="18"/>
                <w:szCs w:val="18"/>
              </w:rPr>
            </w:pPr>
            <w:r>
              <w:rPr>
                <w:rFonts w:ascii="Verdana" w:hAnsi="Verdana"/>
                <w:sz w:val="18"/>
                <w:szCs w:val="18"/>
              </w:rPr>
              <w:t> </w:t>
            </w:r>
          </w:p>
        </w:tc>
      </w:tr>
      <w:tr w:rsidR="000A0997" w:rsidTr="006D23DC">
        <w:tc>
          <w:tcPr>
            <w:tcW w:w="0" w:type="auto"/>
            <w:tcBorders>
              <w:left w:val="nil"/>
              <w:right w:val="nil"/>
            </w:tcBorders>
            <w:hideMark/>
          </w:tcPr>
          <w:p w:rsidR="000A0997" w:rsidP="006D23DC" w:rsidRDefault="000A0997">
            <w:pPr>
              <w:rPr>
                <w:rFonts w:ascii="Verdana" w:hAnsi="Verdana"/>
                <w:sz w:val="18"/>
                <w:szCs w:val="18"/>
              </w:rPr>
            </w:pPr>
            <w:r>
              <w:rPr>
                <w:rFonts w:ascii="Verdana" w:hAnsi="Verdana"/>
                <w:sz w:val="18"/>
                <w:szCs w:val="18"/>
              </w:rPr>
              <w:t>IIA STATEN-GENERAAL: UITGAVEN</w:t>
            </w:r>
          </w:p>
        </w:tc>
        <w:tc>
          <w:tcPr>
            <w:tcW w:w="0" w:type="auto"/>
            <w:gridSpan w:val="2"/>
            <w:hideMark/>
          </w:tcPr>
          <w:p w:rsidR="000A0997" w:rsidP="006D23DC" w:rsidRDefault="000A0997">
            <w:pPr>
              <w:rPr>
                <w:sz w:val="20"/>
                <w:szCs w:val="20"/>
              </w:rPr>
            </w:pPr>
          </w:p>
        </w:tc>
      </w:tr>
      <w:tr w:rsidR="000A0997" w:rsidTr="006D23DC">
        <w:tc>
          <w:tcPr>
            <w:tcW w:w="0" w:type="auto"/>
            <w:tcBorders>
              <w:top w:val="single" w:color="000000" w:sz="6" w:space="0"/>
              <w:left w:val="nil"/>
              <w:bottom w:val="single" w:color="000000" w:sz="6" w:space="0"/>
              <w:right w:val="nil"/>
            </w:tcBorders>
            <w:hideMark/>
          </w:tcPr>
          <w:p w:rsidR="000A0997" w:rsidP="006D23DC" w:rsidRDefault="000A0997">
            <w:pPr>
              <w:jc w:val="right"/>
              <w:rPr>
                <w:rFonts w:ascii="Verdana" w:hAnsi="Verdana"/>
                <w:sz w:val="18"/>
                <w:szCs w:val="18"/>
              </w:rPr>
            </w:pPr>
          </w:p>
        </w:tc>
        <w:tc>
          <w:tcPr>
            <w:tcW w:w="0" w:type="auto"/>
            <w:gridSpan w:val="2"/>
            <w:tcBorders>
              <w:top w:val="single" w:color="000000" w:sz="6" w:space="0"/>
              <w:left w:val="nil"/>
              <w:bottom w:val="single" w:color="000000" w:sz="6" w:space="0"/>
              <w:right w:val="nil"/>
            </w:tcBorders>
            <w:hideMark/>
          </w:tcPr>
          <w:p w:rsidR="000A0997" w:rsidP="006D23DC" w:rsidRDefault="000A0997">
            <w:pPr>
              <w:jc w:val="right"/>
              <w:rPr>
                <w:rFonts w:ascii="Verdana" w:hAnsi="Verdana"/>
                <w:sz w:val="18"/>
                <w:szCs w:val="18"/>
              </w:rPr>
            </w:pPr>
            <w:r>
              <w:rPr>
                <w:rFonts w:ascii="Verdana" w:hAnsi="Verdana"/>
                <w:sz w:val="18"/>
                <w:szCs w:val="18"/>
              </w:rPr>
              <w:t>2015</w:t>
            </w:r>
          </w:p>
        </w:tc>
      </w:tr>
      <w:tr w:rsidR="000A0997" w:rsidTr="006D23DC">
        <w:tc>
          <w:tcPr>
            <w:tcW w:w="0" w:type="auto"/>
            <w:tcBorders>
              <w:left w:val="nil"/>
              <w:right w:val="nil"/>
            </w:tcBorders>
            <w:hideMark/>
          </w:tcPr>
          <w:p w:rsidR="000A0997" w:rsidP="006D23DC" w:rsidRDefault="000A0997">
            <w:pPr>
              <w:rPr>
                <w:rFonts w:ascii="Verdana" w:hAnsi="Verdana"/>
                <w:sz w:val="18"/>
                <w:szCs w:val="18"/>
              </w:rPr>
            </w:pPr>
            <w:r>
              <w:rPr>
                <w:rFonts w:ascii="Verdana" w:hAnsi="Verdana"/>
                <w:sz w:val="18"/>
                <w:szCs w:val="18"/>
              </w:rPr>
              <w:t>Stand Miljoenennota 2016 (excl. IS)</w:t>
            </w:r>
          </w:p>
        </w:tc>
        <w:tc>
          <w:tcPr>
            <w:tcW w:w="0" w:type="auto"/>
            <w:gridSpan w:val="2"/>
            <w:tcBorders>
              <w:top w:val="single" w:color="000000" w:sz="6" w:space="0"/>
              <w:left w:val="nil"/>
              <w:right w:val="nil"/>
            </w:tcBorders>
            <w:hideMark/>
          </w:tcPr>
          <w:p w:rsidR="000A0997" w:rsidP="006D23DC" w:rsidRDefault="000A0997">
            <w:pPr>
              <w:jc w:val="right"/>
              <w:rPr>
                <w:rFonts w:ascii="Verdana" w:hAnsi="Verdana"/>
                <w:sz w:val="18"/>
                <w:szCs w:val="18"/>
              </w:rPr>
            </w:pPr>
            <w:r>
              <w:rPr>
                <w:rFonts w:ascii="Verdana" w:hAnsi="Verdana"/>
                <w:sz w:val="18"/>
                <w:szCs w:val="18"/>
              </w:rPr>
              <w:t>143,7</w:t>
            </w:r>
          </w:p>
        </w:tc>
      </w:tr>
      <w:tr w:rsidR="000A0997" w:rsidTr="006D23DC">
        <w:tc>
          <w:tcPr>
            <w:tcW w:w="0" w:type="auto"/>
            <w:tcBorders>
              <w:left w:val="nil"/>
              <w:right w:val="nil"/>
            </w:tcBorders>
            <w:hideMark/>
          </w:tcPr>
          <w:p w:rsidR="000A0997" w:rsidP="006D23DC" w:rsidRDefault="000A0997">
            <w:pPr>
              <w:rPr>
                <w:rFonts w:ascii="Verdana" w:hAnsi="Verdana"/>
                <w:sz w:val="18"/>
                <w:szCs w:val="18"/>
              </w:rPr>
            </w:pPr>
            <w:r>
              <w:rPr>
                <w:rFonts w:ascii="Verdana" w:hAnsi="Verdana"/>
                <w:sz w:val="18"/>
                <w:szCs w:val="18"/>
              </w:rPr>
              <w:t>Beleidsmatige mutaties</w:t>
            </w:r>
          </w:p>
        </w:tc>
        <w:tc>
          <w:tcPr>
            <w:tcW w:w="0" w:type="auto"/>
            <w:gridSpan w:val="2"/>
            <w:hideMark/>
          </w:tcPr>
          <w:p w:rsidR="000A0997" w:rsidP="006D23DC" w:rsidRDefault="000A0997">
            <w:pPr>
              <w:rPr>
                <w:sz w:val="20"/>
                <w:szCs w:val="20"/>
              </w:rPr>
            </w:pPr>
          </w:p>
        </w:tc>
      </w:tr>
      <w:tr w:rsidR="000A0997" w:rsidTr="006D23DC">
        <w:tc>
          <w:tcPr>
            <w:tcW w:w="0" w:type="auto"/>
            <w:tcBorders>
              <w:left w:val="nil"/>
              <w:right w:val="nil"/>
            </w:tcBorders>
            <w:tcMar>
              <w:top w:w="15" w:type="dxa"/>
              <w:left w:w="180" w:type="dxa"/>
              <w:bottom w:w="15" w:type="dxa"/>
              <w:right w:w="15" w:type="dxa"/>
            </w:tcMar>
            <w:vAlign w:val="both"/>
            <w:hideMark/>
          </w:tcPr>
          <w:p w:rsidR="000A0997" w:rsidP="006D23DC" w:rsidRDefault="000A0997">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0A0997" w:rsidP="006D23DC" w:rsidRDefault="000A0997">
            <w:pPr>
              <w:rPr>
                <w:sz w:val="20"/>
                <w:szCs w:val="20"/>
              </w:rPr>
            </w:pPr>
          </w:p>
        </w:tc>
      </w:tr>
      <w:tr w:rsidR="000A0997" w:rsidTr="006D23DC">
        <w:tc>
          <w:tcPr>
            <w:tcW w:w="0" w:type="auto"/>
            <w:tcBorders>
              <w:left w:val="nil"/>
              <w:right w:val="nil"/>
            </w:tcBorders>
            <w:tcMar>
              <w:top w:w="15" w:type="dxa"/>
              <w:left w:w="360" w:type="dxa"/>
              <w:bottom w:w="15" w:type="dxa"/>
              <w:right w:w="15" w:type="dxa"/>
            </w:tcMar>
            <w:vAlign w:val="both"/>
            <w:hideMark/>
          </w:tcPr>
          <w:p w:rsidR="000A0997" w:rsidP="006D23DC" w:rsidRDefault="000A0997">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0A0997" w:rsidP="006D23DC" w:rsidRDefault="000A0997">
            <w:pPr>
              <w:jc w:val="right"/>
              <w:rPr>
                <w:rFonts w:ascii="Verdana" w:hAnsi="Verdana"/>
                <w:sz w:val="18"/>
                <w:szCs w:val="18"/>
              </w:rPr>
            </w:pPr>
            <w:r>
              <w:rPr>
                <w:rFonts w:ascii="Verdana" w:hAnsi="Verdana"/>
                <w:sz w:val="18"/>
                <w:szCs w:val="18"/>
              </w:rPr>
              <w:t>-1,5</w:t>
            </w:r>
          </w:p>
        </w:tc>
      </w:tr>
      <w:tr w:rsidR="000A0997" w:rsidTr="006D23DC">
        <w:tc>
          <w:tcPr>
            <w:tcW w:w="0" w:type="auto"/>
            <w:tcBorders>
              <w:left w:val="nil"/>
              <w:right w:val="nil"/>
            </w:tcBorders>
            <w:hideMark/>
          </w:tcPr>
          <w:p w:rsidR="000A0997" w:rsidP="006D23DC" w:rsidRDefault="000A0997">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0A0997" w:rsidP="006D23DC" w:rsidRDefault="000A0997">
            <w:pPr>
              <w:jc w:val="right"/>
              <w:rPr>
                <w:rFonts w:ascii="Verdana" w:hAnsi="Verdana"/>
                <w:sz w:val="18"/>
                <w:szCs w:val="18"/>
              </w:rPr>
            </w:pPr>
            <w:r>
              <w:rPr>
                <w:rFonts w:ascii="Verdana" w:hAnsi="Verdana"/>
                <w:sz w:val="18"/>
                <w:szCs w:val="18"/>
              </w:rPr>
              <w:t>-1,5</w:t>
            </w:r>
          </w:p>
        </w:tc>
      </w:tr>
      <w:tr w:rsidR="000A0997" w:rsidTr="006D23DC">
        <w:tc>
          <w:tcPr>
            <w:tcW w:w="0" w:type="auto"/>
            <w:tcBorders>
              <w:left w:val="nil"/>
              <w:right w:val="nil"/>
            </w:tcBorders>
            <w:hideMark/>
          </w:tcPr>
          <w:p w:rsidR="000A0997" w:rsidP="006D23DC" w:rsidRDefault="000A0997">
            <w:pPr>
              <w:rPr>
                <w:rFonts w:ascii="Verdana" w:hAnsi="Verdana"/>
                <w:sz w:val="18"/>
                <w:szCs w:val="18"/>
              </w:rPr>
            </w:pPr>
            <w:r>
              <w:rPr>
                <w:rFonts w:ascii="Verdana" w:hAnsi="Verdana"/>
                <w:sz w:val="18"/>
                <w:szCs w:val="18"/>
              </w:rPr>
              <w:t>Technische mutaties</w:t>
            </w:r>
          </w:p>
        </w:tc>
        <w:tc>
          <w:tcPr>
            <w:tcW w:w="0" w:type="auto"/>
            <w:gridSpan w:val="2"/>
            <w:hideMark/>
          </w:tcPr>
          <w:p w:rsidR="000A0997" w:rsidP="006D23DC" w:rsidRDefault="000A0997">
            <w:pPr>
              <w:rPr>
                <w:sz w:val="20"/>
                <w:szCs w:val="20"/>
              </w:rPr>
            </w:pPr>
          </w:p>
        </w:tc>
      </w:tr>
      <w:tr w:rsidR="000A0997" w:rsidTr="006D23DC">
        <w:tc>
          <w:tcPr>
            <w:tcW w:w="0" w:type="auto"/>
            <w:tcBorders>
              <w:left w:val="nil"/>
              <w:right w:val="nil"/>
            </w:tcBorders>
            <w:tcMar>
              <w:top w:w="15" w:type="dxa"/>
              <w:left w:w="180" w:type="dxa"/>
              <w:bottom w:w="15" w:type="dxa"/>
              <w:right w:w="15" w:type="dxa"/>
            </w:tcMar>
            <w:vAlign w:val="both"/>
            <w:hideMark/>
          </w:tcPr>
          <w:p w:rsidR="000A0997" w:rsidP="006D23DC" w:rsidRDefault="000A0997">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0A0997" w:rsidP="006D23DC" w:rsidRDefault="000A0997">
            <w:pPr>
              <w:rPr>
                <w:sz w:val="20"/>
                <w:szCs w:val="20"/>
              </w:rPr>
            </w:pPr>
          </w:p>
        </w:tc>
      </w:tr>
      <w:tr w:rsidR="000A0997" w:rsidTr="006D23DC">
        <w:tc>
          <w:tcPr>
            <w:tcW w:w="0" w:type="auto"/>
            <w:tcBorders>
              <w:left w:val="nil"/>
              <w:right w:val="nil"/>
            </w:tcBorders>
            <w:tcMar>
              <w:top w:w="15" w:type="dxa"/>
              <w:left w:w="360" w:type="dxa"/>
              <w:bottom w:w="15" w:type="dxa"/>
              <w:right w:w="15" w:type="dxa"/>
            </w:tcMar>
            <w:vAlign w:val="both"/>
            <w:hideMark/>
          </w:tcPr>
          <w:p w:rsidR="000A0997" w:rsidP="006D23DC" w:rsidRDefault="000A0997">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0A0997" w:rsidP="006D23DC" w:rsidRDefault="000A0997">
            <w:pPr>
              <w:jc w:val="right"/>
              <w:rPr>
                <w:rFonts w:ascii="Verdana" w:hAnsi="Verdana"/>
                <w:sz w:val="18"/>
                <w:szCs w:val="18"/>
              </w:rPr>
            </w:pPr>
            <w:r>
              <w:rPr>
                <w:rFonts w:ascii="Verdana" w:hAnsi="Verdana"/>
                <w:sz w:val="18"/>
                <w:szCs w:val="18"/>
              </w:rPr>
              <w:t>1,1</w:t>
            </w:r>
          </w:p>
        </w:tc>
      </w:tr>
      <w:tr w:rsidR="000A0997" w:rsidTr="006D23DC">
        <w:tc>
          <w:tcPr>
            <w:tcW w:w="0" w:type="auto"/>
            <w:tcBorders>
              <w:left w:val="nil"/>
              <w:right w:val="nil"/>
            </w:tcBorders>
            <w:hideMark/>
          </w:tcPr>
          <w:p w:rsidR="000A0997" w:rsidP="006D23DC" w:rsidRDefault="000A0997">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0A0997" w:rsidP="006D23DC" w:rsidRDefault="000A0997">
            <w:pPr>
              <w:jc w:val="right"/>
              <w:rPr>
                <w:rFonts w:ascii="Verdana" w:hAnsi="Verdana"/>
                <w:sz w:val="18"/>
                <w:szCs w:val="18"/>
              </w:rPr>
            </w:pPr>
            <w:r>
              <w:rPr>
                <w:rFonts w:ascii="Verdana" w:hAnsi="Verdana"/>
                <w:sz w:val="18"/>
                <w:szCs w:val="18"/>
              </w:rPr>
              <w:t>1,1</w:t>
            </w:r>
          </w:p>
        </w:tc>
      </w:tr>
      <w:tr w:rsidR="000A0997" w:rsidTr="006D23DC">
        <w:tc>
          <w:tcPr>
            <w:tcW w:w="0" w:type="auto"/>
            <w:tcBorders>
              <w:left w:val="nil"/>
              <w:right w:val="nil"/>
            </w:tcBorders>
            <w:hideMark/>
          </w:tcPr>
          <w:p w:rsidR="000A0997" w:rsidP="006D23DC" w:rsidRDefault="000A0997">
            <w:pPr>
              <w:rPr>
                <w:rFonts w:ascii="Verdana" w:hAnsi="Verdana"/>
                <w:sz w:val="18"/>
                <w:szCs w:val="18"/>
              </w:rPr>
            </w:pPr>
            <w:r>
              <w:rPr>
                <w:rFonts w:ascii="Verdana" w:hAnsi="Verdana"/>
                <w:sz w:val="18"/>
                <w:szCs w:val="18"/>
              </w:rPr>
              <w:t>Totaal mutaties sinds Miljoenennota 2016</w:t>
            </w:r>
          </w:p>
        </w:tc>
        <w:tc>
          <w:tcPr>
            <w:tcW w:w="0" w:type="auto"/>
            <w:gridSpan w:val="2"/>
            <w:tcBorders>
              <w:left w:val="nil"/>
              <w:right w:val="nil"/>
            </w:tcBorders>
            <w:hideMark/>
          </w:tcPr>
          <w:p w:rsidR="000A0997" w:rsidP="006D23DC" w:rsidRDefault="000A0997">
            <w:pPr>
              <w:jc w:val="right"/>
              <w:rPr>
                <w:rFonts w:ascii="Verdana" w:hAnsi="Verdana"/>
                <w:sz w:val="18"/>
                <w:szCs w:val="18"/>
              </w:rPr>
            </w:pPr>
            <w:r>
              <w:rPr>
                <w:rFonts w:ascii="Verdana" w:hAnsi="Verdana"/>
                <w:sz w:val="18"/>
                <w:szCs w:val="18"/>
              </w:rPr>
              <w:t>-0,3</w:t>
            </w:r>
          </w:p>
        </w:tc>
      </w:tr>
      <w:tr w:rsidR="000A0997" w:rsidTr="006D23DC">
        <w:tc>
          <w:tcPr>
            <w:tcW w:w="0" w:type="auto"/>
            <w:tcBorders>
              <w:left w:val="nil"/>
              <w:right w:val="nil"/>
            </w:tcBorders>
            <w:hideMark/>
          </w:tcPr>
          <w:p w:rsidR="000A0997" w:rsidP="006D23DC" w:rsidRDefault="000A0997">
            <w:pPr>
              <w:rPr>
                <w:rFonts w:ascii="Verdana" w:hAnsi="Verdana"/>
                <w:sz w:val="18"/>
                <w:szCs w:val="18"/>
              </w:rPr>
            </w:pPr>
            <w:r>
              <w:rPr>
                <w:rFonts w:ascii="Verdana" w:hAnsi="Verdana"/>
                <w:sz w:val="18"/>
                <w:szCs w:val="18"/>
              </w:rPr>
              <w:t> </w:t>
            </w:r>
          </w:p>
        </w:tc>
        <w:tc>
          <w:tcPr>
            <w:tcW w:w="0" w:type="auto"/>
            <w:gridSpan w:val="2"/>
            <w:hideMark/>
          </w:tcPr>
          <w:p w:rsidR="000A0997" w:rsidP="006D23DC" w:rsidRDefault="000A0997">
            <w:pPr>
              <w:rPr>
                <w:sz w:val="20"/>
                <w:szCs w:val="20"/>
              </w:rPr>
            </w:pPr>
          </w:p>
        </w:tc>
      </w:tr>
      <w:tr w:rsidR="000A0997" w:rsidTr="006D23DC">
        <w:tc>
          <w:tcPr>
            <w:tcW w:w="0" w:type="auto"/>
            <w:tcBorders>
              <w:left w:val="nil"/>
              <w:right w:val="nil"/>
            </w:tcBorders>
            <w:hideMark/>
          </w:tcPr>
          <w:p w:rsidR="000A0997" w:rsidP="006D23DC" w:rsidRDefault="000A0997">
            <w:pPr>
              <w:rPr>
                <w:rFonts w:ascii="Verdana" w:hAnsi="Verdana"/>
                <w:sz w:val="18"/>
                <w:szCs w:val="18"/>
              </w:rPr>
            </w:pPr>
            <w:r>
              <w:rPr>
                <w:rFonts w:ascii="Verdana" w:hAnsi="Verdana"/>
                <w:sz w:val="18"/>
                <w:szCs w:val="18"/>
              </w:rPr>
              <w:t>Stand Najaarsnota 2015 (subtotaal)</w:t>
            </w:r>
          </w:p>
        </w:tc>
        <w:tc>
          <w:tcPr>
            <w:tcW w:w="0" w:type="auto"/>
            <w:gridSpan w:val="2"/>
            <w:tcBorders>
              <w:top w:val="single" w:color="000000" w:sz="6" w:space="0"/>
              <w:left w:val="nil"/>
              <w:right w:val="nil"/>
            </w:tcBorders>
            <w:hideMark/>
          </w:tcPr>
          <w:p w:rsidR="000A0997" w:rsidP="006D23DC" w:rsidRDefault="000A0997">
            <w:pPr>
              <w:jc w:val="right"/>
              <w:rPr>
                <w:rFonts w:ascii="Verdana" w:hAnsi="Verdana"/>
                <w:sz w:val="18"/>
                <w:szCs w:val="18"/>
              </w:rPr>
            </w:pPr>
            <w:r>
              <w:rPr>
                <w:rFonts w:ascii="Verdana" w:hAnsi="Verdana"/>
                <w:sz w:val="18"/>
                <w:szCs w:val="18"/>
              </w:rPr>
              <w:t>143,4</w:t>
            </w:r>
          </w:p>
        </w:tc>
      </w:tr>
      <w:tr w:rsidR="000A0997" w:rsidTr="006D23DC">
        <w:tc>
          <w:tcPr>
            <w:tcW w:w="0" w:type="auto"/>
            <w:tcBorders>
              <w:left w:val="nil"/>
              <w:right w:val="nil"/>
            </w:tcBorders>
            <w:hideMark/>
          </w:tcPr>
          <w:p w:rsidR="000A0997" w:rsidP="006D23DC" w:rsidRDefault="000A0997">
            <w:pPr>
              <w:rPr>
                <w:rFonts w:ascii="Verdana" w:hAnsi="Verdana"/>
                <w:sz w:val="18"/>
                <w:szCs w:val="18"/>
              </w:rPr>
            </w:pPr>
            <w:r>
              <w:rPr>
                <w:rFonts w:ascii="Verdana" w:hAnsi="Verdana"/>
                <w:sz w:val="18"/>
                <w:szCs w:val="18"/>
              </w:rPr>
              <w:t>Totaal Internationale samenwerking</w:t>
            </w:r>
          </w:p>
        </w:tc>
        <w:tc>
          <w:tcPr>
            <w:tcW w:w="0" w:type="auto"/>
            <w:gridSpan w:val="2"/>
            <w:tcBorders>
              <w:left w:val="nil"/>
              <w:right w:val="nil"/>
            </w:tcBorders>
            <w:hideMark/>
          </w:tcPr>
          <w:p w:rsidR="000A0997" w:rsidP="006D23DC" w:rsidRDefault="000A0997">
            <w:pPr>
              <w:jc w:val="right"/>
              <w:rPr>
                <w:rFonts w:ascii="Verdana" w:hAnsi="Verdana"/>
                <w:sz w:val="18"/>
                <w:szCs w:val="18"/>
              </w:rPr>
            </w:pPr>
            <w:r>
              <w:rPr>
                <w:rFonts w:ascii="Verdana" w:hAnsi="Verdana"/>
                <w:sz w:val="18"/>
                <w:szCs w:val="18"/>
              </w:rPr>
              <w:t>0,0</w:t>
            </w:r>
          </w:p>
        </w:tc>
      </w:tr>
      <w:tr w:rsidR="000A0997" w:rsidTr="006D23DC">
        <w:tc>
          <w:tcPr>
            <w:tcW w:w="0" w:type="auto"/>
            <w:tcBorders>
              <w:left w:val="nil"/>
              <w:right w:val="nil"/>
            </w:tcBorders>
            <w:hideMark/>
          </w:tcPr>
          <w:p w:rsidR="000A0997" w:rsidP="006D23DC" w:rsidRDefault="000A0997">
            <w:pPr>
              <w:rPr>
                <w:rFonts w:ascii="Verdana" w:hAnsi="Verdana"/>
                <w:sz w:val="18"/>
                <w:szCs w:val="18"/>
              </w:rPr>
            </w:pPr>
            <w:r>
              <w:rPr>
                <w:rFonts w:ascii="Verdana" w:hAnsi="Verdana"/>
                <w:sz w:val="18"/>
                <w:szCs w:val="18"/>
              </w:rPr>
              <w:t>Stand Najaarsnota 2015</w:t>
            </w:r>
          </w:p>
        </w:tc>
        <w:tc>
          <w:tcPr>
            <w:tcW w:w="0" w:type="auto"/>
            <w:gridSpan w:val="2"/>
            <w:tcBorders>
              <w:top w:val="single" w:color="000000" w:sz="6" w:space="0"/>
              <w:left w:val="nil"/>
              <w:right w:val="nil"/>
            </w:tcBorders>
            <w:hideMark/>
          </w:tcPr>
          <w:p w:rsidR="000A0997" w:rsidP="006D23DC" w:rsidRDefault="000A0997">
            <w:pPr>
              <w:jc w:val="right"/>
              <w:rPr>
                <w:rFonts w:ascii="Verdana" w:hAnsi="Verdana"/>
                <w:sz w:val="18"/>
                <w:szCs w:val="18"/>
              </w:rPr>
            </w:pPr>
            <w:r>
              <w:rPr>
                <w:rFonts w:ascii="Verdana" w:hAnsi="Verdana"/>
                <w:sz w:val="18"/>
                <w:szCs w:val="18"/>
              </w:rPr>
              <w:t>143,4</w:t>
            </w:r>
          </w:p>
        </w:tc>
      </w:tr>
      <w:tr w:rsidR="000A0997" w:rsidTr="000A0997">
        <w:tc>
          <w:tcPr>
            <w:tcW w:w="8249" w:type="dxa"/>
            <w:gridSpan w:val="2"/>
            <w:tcBorders>
              <w:left w:val="nil"/>
              <w:right w:val="nil"/>
            </w:tcBorders>
            <w:hideMark/>
          </w:tcPr>
          <w:p w:rsidR="000A0997" w:rsidP="006D23DC" w:rsidRDefault="000A0997">
            <w:pPr>
              <w:rPr>
                <w:rFonts w:ascii="Verdana" w:hAnsi="Verdana"/>
                <w:sz w:val="18"/>
                <w:szCs w:val="18"/>
              </w:rPr>
            </w:pPr>
            <w:r>
              <w:rPr>
                <w:rFonts w:ascii="Verdana" w:hAnsi="Verdana"/>
                <w:sz w:val="18"/>
                <w:szCs w:val="18"/>
              </w:rPr>
              <w:t> </w:t>
            </w:r>
          </w:p>
        </w:tc>
        <w:tc>
          <w:tcPr>
            <w:tcW w:w="853" w:type="dxa"/>
            <w:tcBorders>
              <w:left w:val="nil"/>
              <w:right w:val="nil"/>
            </w:tcBorders>
            <w:hideMark/>
          </w:tcPr>
          <w:p w:rsidR="000A0997" w:rsidP="006D23DC" w:rsidRDefault="000A0997">
            <w:pPr>
              <w:rPr>
                <w:rFonts w:ascii="Verdana" w:hAnsi="Verdana"/>
                <w:sz w:val="18"/>
                <w:szCs w:val="18"/>
              </w:rPr>
            </w:pPr>
            <w:r>
              <w:rPr>
                <w:rFonts w:ascii="Verdana" w:hAnsi="Verdana"/>
                <w:sz w:val="18"/>
                <w:szCs w:val="18"/>
              </w:rPr>
              <w:t> </w:t>
            </w:r>
          </w:p>
        </w:tc>
      </w:tr>
      <w:tr w:rsidR="000A0997" w:rsidTr="006D23DC">
        <w:tc>
          <w:tcPr>
            <w:tcW w:w="0" w:type="auto"/>
            <w:gridSpan w:val="2"/>
            <w:tcBorders>
              <w:left w:val="nil"/>
              <w:right w:val="nil"/>
            </w:tcBorders>
            <w:hideMark/>
          </w:tcPr>
          <w:p w:rsidR="000A0997" w:rsidP="006D23DC" w:rsidRDefault="000A0997">
            <w:pPr>
              <w:rPr>
                <w:rFonts w:ascii="Verdana" w:hAnsi="Verdana"/>
                <w:sz w:val="18"/>
                <w:szCs w:val="18"/>
              </w:rPr>
            </w:pPr>
            <w:r>
              <w:rPr>
                <w:rFonts w:ascii="Verdana" w:hAnsi="Verdana"/>
                <w:sz w:val="18"/>
                <w:szCs w:val="18"/>
              </w:rPr>
              <w:t>IIA STATEN-GENERAAL: NIET-BELASTINGONTVANGSTEN</w:t>
            </w:r>
          </w:p>
        </w:tc>
        <w:tc>
          <w:tcPr>
            <w:tcW w:w="0" w:type="auto"/>
            <w:hideMark/>
          </w:tcPr>
          <w:p w:rsidR="000A0997" w:rsidP="006D23DC" w:rsidRDefault="000A0997">
            <w:pPr>
              <w:rPr>
                <w:sz w:val="20"/>
                <w:szCs w:val="20"/>
              </w:rPr>
            </w:pPr>
          </w:p>
        </w:tc>
      </w:tr>
      <w:tr w:rsidR="000A0997" w:rsidTr="006D23DC">
        <w:tc>
          <w:tcPr>
            <w:tcW w:w="0" w:type="auto"/>
            <w:gridSpan w:val="2"/>
            <w:tcBorders>
              <w:top w:val="single" w:color="000000" w:sz="6" w:space="0"/>
              <w:left w:val="nil"/>
              <w:bottom w:val="single" w:color="000000" w:sz="6" w:space="0"/>
              <w:right w:val="nil"/>
            </w:tcBorders>
            <w:hideMark/>
          </w:tcPr>
          <w:p w:rsidR="000A0997" w:rsidP="006D23DC" w:rsidRDefault="000A0997">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0A0997" w:rsidP="006D23DC" w:rsidRDefault="000A0997">
            <w:pPr>
              <w:jc w:val="right"/>
              <w:rPr>
                <w:rFonts w:ascii="Verdana" w:hAnsi="Verdana"/>
                <w:sz w:val="18"/>
                <w:szCs w:val="18"/>
              </w:rPr>
            </w:pPr>
            <w:r>
              <w:rPr>
                <w:rFonts w:ascii="Verdana" w:hAnsi="Verdana"/>
                <w:sz w:val="18"/>
                <w:szCs w:val="18"/>
              </w:rPr>
              <w:t>2015</w:t>
            </w:r>
          </w:p>
        </w:tc>
      </w:tr>
      <w:tr w:rsidR="000A0997" w:rsidTr="006D23DC">
        <w:tc>
          <w:tcPr>
            <w:tcW w:w="0" w:type="auto"/>
            <w:gridSpan w:val="2"/>
            <w:tcBorders>
              <w:left w:val="nil"/>
              <w:right w:val="nil"/>
            </w:tcBorders>
            <w:hideMark/>
          </w:tcPr>
          <w:p w:rsidR="000A0997" w:rsidP="006D23DC" w:rsidRDefault="000A0997">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0A0997" w:rsidP="006D23DC" w:rsidRDefault="000A0997">
            <w:pPr>
              <w:jc w:val="right"/>
              <w:rPr>
                <w:rFonts w:ascii="Verdana" w:hAnsi="Verdana"/>
                <w:sz w:val="18"/>
                <w:szCs w:val="18"/>
              </w:rPr>
            </w:pPr>
            <w:r>
              <w:rPr>
                <w:rFonts w:ascii="Verdana" w:hAnsi="Verdana"/>
                <w:sz w:val="18"/>
                <w:szCs w:val="18"/>
              </w:rPr>
              <w:t>5,2</w:t>
            </w:r>
          </w:p>
        </w:tc>
      </w:tr>
      <w:tr w:rsidR="000A0997" w:rsidTr="006D23DC">
        <w:tc>
          <w:tcPr>
            <w:tcW w:w="0" w:type="auto"/>
            <w:gridSpan w:val="2"/>
            <w:tcBorders>
              <w:left w:val="nil"/>
              <w:right w:val="nil"/>
            </w:tcBorders>
            <w:hideMark/>
          </w:tcPr>
          <w:p w:rsidR="000A0997" w:rsidP="006D23DC" w:rsidRDefault="000A0997">
            <w:pPr>
              <w:rPr>
                <w:rFonts w:ascii="Verdana" w:hAnsi="Verdana"/>
                <w:sz w:val="18"/>
                <w:szCs w:val="18"/>
              </w:rPr>
            </w:pPr>
            <w:r>
              <w:rPr>
                <w:rFonts w:ascii="Verdana" w:hAnsi="Verdana"/>
                <w:sz w:val="18"/>
                <w:szCs w:val="18"/>
              </w:rPr>
              <w:t>Beleidsmatige mutaties</w:t>
            </w:r>
          </w:p>
        </w:tc>
        <w:tc>
          <w:tcPr>
            <w:tcW w:w="0" w:type="auto"/>
            <w:hideMark/>
          </w:tcPr>
          <w:p w:rsidR="000A0997" w:rsidP="006D23DC" w:rsidRDefault="000A0997">
            <w:pPr>
              <w:rPr>
                <w:sz w:val="20"/>
                <w:szCs w:val="20"/>
              </w:rPr>
            </w:pPr>
          </w:p>
        </w:tc>
      </w:tr>
      <w:tr w:rsidR="000A0997" w:rsidTr="006D23DC">
        <w:tc>
          <w:tcPr>
            <w:tcW w:w="0" w:type="auto"/>
            <w:gridSpan w:val="2"/>
            <w:tcBorders>
              <w:left w:val="nil"/>
              <w:right w:val="nil"/>
            </w:tcBorders>
            <w:tcMar>
              <w:top w:w="15" w:type="dxa"/>
              <w:left w:w="180" w:type="dxa"/>
              <w:bottom w:w="15" w:type="dxa"/>
              <w:right w:w="15" w:type="dxa"/>
            </w:tcMar>
            <w:vAlign w:val="both"/>
            <w:hideMark/>
          </w:tcPr>
          <w:p w:rsidR="000A0997" w:rsidP="006D23DC" w:rsidRDefault="000A0997">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0A0997" w:rsidP="006D23DC" w:rsidRDefault="000A0997">
            <w:pPr>
              <w:rPr>
                <w:sz w:val="20"/>
                <w:szCs w:val="20"/>
              </w:rPr>
            </w:pPr>
          </w:p>
        </w:tc>
      </w:tr>
      <w:tr w:rsidR="000A0997" w:rsidTr="006D23DC">
        <w:tc>
          <w:tcPr>
            <w:tcW w:w="0" w:type="auto"/>
            <w:gridSpan w:val="2"/>
            <w:tcBorders>
              <w:left w:val="nil"/>
              <w:right w:val="nil"/>
            </w:tcBorders>
            <w:tcMar>
              <w:top w:w="15" w:type="dxa"/>
              <w:left w:w="360" w:type="dxa"/>
              <w:bottom w:w="15" w:type="dxa"/>
              <w:right w:w="15" w:type="dxa"/>
            </w:tcMar>
            <w:vAlign w:val="both"/>
            <w:hideMark/>
          </w:tcPr>
          <w:p w:rsidR="000A0997" w:rsidP="006D23DC" w:rsidRDefault="000A0997">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0A0997" w:rsidP="006D23DC" w:rsidRDefault="000A0997">
            <w:pPr>
              <w:jc w:val="right"/>
              <w:rPr>
                <w:rFonts w:ascii="Verdana" w:hAnsi="Verdana"/>
                <w:sz w:val="18"/>
                <w:szCs w:val="18"/>
              </w:rPr>
            </w:pPr>
            <w:r>
              <w:rPr>
                <w:rFonts w:ascii="Verdana" w:hAnsi="Verdana"/>
                <w:sz w:val="18"/>
                <w:szCs w:val="18"/>
              </w:rPr>
              <w:t>0,1</w:t>
            </w:r>
          </w:p>
        </w:tc>
      </w:tr>
      <w:tr w:rsidR="000A0997" w:rsidTr="006D23DC">
        <w:tc>
          <w:tcPr>
            <w:tcW w:w="0" w:type="auto"/>
            <w:gridSpan w:val="2"/>
            <w:tcBorders>
              <w:left w:val="nil"/>
              <w:right w:val="nil"/>
            </w:tcBorders>
            <w:hideMark/>
          </w:tcPr>
          <w:p w:rsidR="000A0997" w:rsidP="006D23DC" w:rsidRDefault="000A0997">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0A0997" w:rsidP="006D23DC" w:rsidRDefault="000A0997">
            <w:pPr>
              <w:jc w:val="right"/>
              <w:rPr>
                <w:rFonts w:ascii="Verdana" w:hAnsi="Verdana"/>
                <w:sz w:val="18"/>
                <w:szCs w:val="18"/>
              </w:rPr>
            </w:pPr>
            <w:r>
              <w:rPr>
                <w:rFonts w:ascii="Verdana" w:hAnsi="Verdana"/>
                <w:sz w:val="18"/>
                <w:szCs w:val="18"/>
              </w:rPr>
              <w:t>0,1</w:t>
            </w:r>
          </w:p>
        </w:tc>
      </w:tr>
      <w:tr w:rsidR="000A0997" w:rsidTr="006D23DC">
        <w:tc>
          <w:tcPr>
            <w:tcW w:w="0" w:type="auto"/>
            <w:gridSpan w:val="2"/>
            <w:tcBorders>
              <w:left w:val="nil"/>
              <w:right w:val="nil"/>
            </w:tcBorders>
            <w:hideMark/>
          </w:tcPr>
          <w:p w:rsidR="000A0997" w:rsidP="006D23DC" w:rsidRDefault="000A0997">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0A0997" w:rsidP="006D23DC" w:rsidRDefault="000A0997">
            <w:pPr>
              <w:jc w:val="right"/>
              <w:rPr>
                <w:rFonts w:ascii="Verdana" w:hAnsi="Verdana"/>
                <w:sz w:val="18"/>
                <w:szCs w:val="18"/>
              </w:rPr>
            </w:pPr>
            <w:r>
              <w:rPr>
                <w:rFonts w:ascii="Verdana" w:hAnsi="Verdana"/>
                <w:sz w:val="18"/>
                <w:szCs w:val="18"/>
              </w:rPr>
              <w:t>0,1</w:t>
            </w:r>
          </w:p>
        </w:tc>
      </w:tr>
      <w:tr w:rsidR="000A0997" w:rsidTr="006D23DC">
        <w:tc>
          <w:tcPr>
            <w:tcW w:w="0" w:type="auto"/>
            <w:gridSpan w:val="2"/>
            <w:tcBorders>
              <w:left w:val="nil"/>
              <w:right w:val="nil"/>
            </w:tcBorders>
            <w:hideMark/>
          </w:tcPr>
          <w:p w:rsidR="000A0997" w:rsidP="006D23DC" w:rsidRDefault="000A0997">
            <w:pPr>
              <w:rPr>
                <w:rFonts w:ascii="Verdana" w:hAnsi="Verdana"/>
                <w:sz w:val="18"/>
                <w:szCs w:val="18"/>
              </w:rPr>
            </w:pPr>
            <w:r>
              <w:rPr>
                <w:rFonts w:ascii="Verdana" w:hAnsi="Verdana"/>
                <w:sz w:val="18"/>
                <w:szCs w:val="18"/>
              </w:rPr>
              <w:t> </w:t>
            </w:r>
          </w:p>
        </w:tc>
        <w:tc>
          <w:tcPr>
            <w:tcW w:w="0" w:type="auto"/>
            <w:hideMark/>
          </w:tcPr>
          <w:p w:rsidR="000A0997" w:rsidP="006D23DC" w:rsidRDefault="000A0997">
            <w:pPr>
              <w:rPr>
                <w:sz w:val="20"/>
                <w:szCs w:val="20"/>
              </w:rPr>
            </w:pPr>
          </w:p>
        </w:tc>
      </w:tr>
      <w:tr w:rsidR="000A0997" w:rsidTr="006D23DC">
        <w:tc>
          <w:tcPr>
            <w:tcW w:w="0" w:type="auto"/>
            <w:gridSpan w:val="2"/>
            <w:tcBorders>
              <w:left w:val="nil"/>
              <w:right w:val="nil"/>
            </w:tcBorders>
            <w:hideMark/>
          </w:tcPr>
          <w:p w:rsidR="000A0997" w:rsidP="006D23DC" w:rsidRDefault="000A0997">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0A0997" w:rsidP="006D23DC" w:rsidRDefault="000A0997">
            <w:pPr>
              <w:jc w:val="right"/>
              <w:rPr>
                <w:rFonts w:ascii="Verdana" w:hAnsi="Verdana"/>
                <w:sz w:val="18"/>
                <w:szCs w:val="18"/>
              </w:rPr>
            </w:pPr>
            <w:r>
              <w:rPr>
                <w:rFonts w:ascii="Verdana" w:hAnsi="Verdana"/>
                <w:sz w:val="18"/>
                <w:szCs w:val="18"/>
              </w:rPr>
              <w:t>5,2</w:t>
            </w:r>
          </w:p>
        </w:tc>
      </w:tr>
      <w:tr w:rsidR="000A0997" w:rsidTr="006D23DC">
        <w:tc>
          <w:tcPr>
            <w:tcW w:w="0" w:type="auto"/>
            <w:gridSpan w:val="2"/>
            <w:tcBorders>
              <w:left w:val="nil"/>
              <w:right w:val="nil"/>
            </w:tcBorders>
            <w:hideMark/>
          </w:tcPr>
          <w:p w:rsidR="000A0997" w:rsidP="006D23DC" w:rsidRDefault="000A0997">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0A0997" w:rsidP="006D23DC" w:rsidRDefault="000A0997">
            <w:pPr>
              <w:jc w:val="right"/>
              <w:rPr>
                <w:rFonts w:ascii="Verdana" w:hAnsi="Verdana"/>
                <w:sz w:val="18"/>
                <w:szCs w:val="18"/>
              </w:rPr>
            </w:pPr>
            <w:r>
              <w:rPr>
                <w:rFonts w:ascii="Verdana" w:hAnsi="Verdana"/>
                <w:sz w:val="18"/>
                <w:szCs w:val="18"/>
              </w:rPr>
              <w:t>0,0</w:t>
            </w:r>
          </w:p>
        </w:tc>
      </w:tr>
      <w:tr w:rsidR="000A0997" w:rsidTr="006D23DC">
        <w:tc>
          <w:tcPr>
            <w:tcW w:w="0" w:type="auto"/>
            <w:gridSpan w:val="2"/>
            <w:tcBorders>
              <w:left w:val="nil"/>
              <w:right w:val="nil"/>
            </w:tcBorders>
            <w:hideMark/>
          </w:tcPr>
          <w:p w:rsidR="000A0997" w:rsidP="006D23DC" w:rsidRDefault="000A0997">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0A0997" w:rsidP="006D23DC" w:rsidRDefault="000A0997">
            <w:pPr>
              <w:jc w:val="right"/>
              <w:rPr>
                <w:rFonts w:ascii="Verdana" w:hAnsi="Verdana"/>
                <w:sz w:val="18"/>
                <w:szCs w:val="18"/>
              </w:rPr>
            </w:pPr>
            <w:r>
              <w:rPr>
                <w:rFonts w:ascii="Verdana" w:hAnsi="Verdana"/>
                <w:sz w:val="18"/>
                <w:szCs w:val="18"/>
              </w:rPr>
              <w:t>5,2</w:t>
            </w:r>
          </w:p>
        </w:tc>
      </w:tr>
    </w:tbl>
    <w:p w:rsidR="000A0997" w:rsidP="00533D5C" w:rsidRDefault="000A0997">
      <w:pPr>
        <w:spacing w:line="240" w:lineRule="exact"/>
        <w:rPr>
          <w:rFonts w:ascii="Verdana" w:hAnsi="Verdana" w:cs="Verdana"/>
          <w:b/>
          <w:bCs/>
          <w:sz w:val="18"/>
          <w:szCs w:val="18"/>
        </w:rPr>
      </w:pPr>
    </w:p>
    <w:p w:rsidRPr="00F51670" w:rsidR="00F51670" w:rsidP="00F51670" w:rsidRDefault="00F51670">
      <w:pPr>
        <w:spacing w:line="240" w:lineRule="exact"/>
        <w:rPr>
          <w:rFonts w:ascii="Verdana" w:hAnsi="Verdana" w:cs="Verdana"/>
          <w:b/>
          <w:bCs/>
          <w:sz w:val="18"/>
          <w:szCs w:val="18"/>
        </w:rPr>
      </w:pPr>
    </w:p>
    <w:p w:rsidRPr="00F51670" w:rsidR="00F51670" w:rsidP="00F51670" w:rsidRDefault="00F51670">
      <w:pPr>
        <w:spacing w:line="240" w:lineRule="exact"/>
        <w:rPr>
          <w:rFonts w:ascii="Verdana" w:hAnsi="Verdana"/>
          <w:bCs/>
          <w:i/>
          <w:sz w:val="18"/>
          <w:szCs w:val="18"/>
        </w:rPr>
      </w:pPr>
      <w:r w:rsidRPr="00F51670">
        <w:rPr>
          <w:rFonts w:ascii="Verdana" w:hAnsi="Verdana"/>
          <w:bCs/>
          <w:i/>
          <w:sz w:val="18"/>
          <w:szCs w:val="18"/>
        </w:rPr>
        <w:t>Diversen (Beleidsmatige mutaties – uitgaven)</w:t>
      </w:r>
    </w:p>
    <w:p w:rsidRPr="00F51670" w:rsidR="00F51670" w:rsidP="00F51670" w:rsidRDefault="00F51670">
      <w:pPr>
        <w:spacing w:line="240" w:lineRule="exact"/>
        <w:rPr>
          <w:rFonts w:ascii="Verdana" w:hAnsi="Verdana"/>
          <w:bCs/>
          <w:sz w:val="18"/>
          <w:szCs w:val="18"/>
        </w:rPr>
      </w:pPr>
      <w:r w:rsidRPr="00F51670">
        <w:rPr>
          <w:rFonts w:ascii="Verdana" w:hAnsi="Verdana"/>
          <w:bCs/>
          <w:sz w:val="18"/>
          <w:szCs w:val="18"/>
        </w:rPr>
        <w:t xml:space="preserve">De Tweede Kamer had voor 2015 een aantal projecten voorzien, waaronder de doorontwikkeling van </w:t>
      </w:r>
      <w:proofErr w:type="spellStart"/>
      <w:r w:rsidRPr="00F51670">
        <w:rPr>
          <w:rFonts w:ascii="Verdana" w:hAnsi="Verdana"/>
          <w:bCs/>
          <w:sz w:val="18"/>
          <w:szCs w:val="18"/>
        </w:rPr>
        <w:t>Parlis</w:t>
      </w:r>
      <w:proofErr w:type="spellEnd"/>
      <w:r w:rsidRPr="00F51670">
        <w:rPr>
          <w:rFonts w:ascii="Verdana" w:hAnsi="Verdana"/>
          <w:bCs/>
          <w:sz w:val="18"/>
          <w:szCs w:val="18"/>
        </w:rPr>
        <w:t xml:space="preserve"> en de koppeling met ander</w:t>
      </w:r>
      <w:r w:rsidR="00D956BF">
        <w:rPr>
          <w:rFonts w:ascii="Verdana" w:hAnsi="Verdana"/>
          <w:bCs/>
          <w:sz w:val="18"/>
          <w:szCs w:val="18"/>
        </w:rPr>
        <w:t>e</w:t>
      </w:r>
      <w:r w:rsidRPr="00F51670">
        <w:rPr>
          <w:rFonts w:ascii="Verdana" w:hAnsi="Verdana"/>
          <w:bCs/>
          <w:sz w:val="18"/>
          <w:szCs w:val="18"/>
        </w:rPr>
        <w:t xml:space="preserve"> primaire parlementaire systemen. De uitvoering van deze projecten is vertraagd. </w:t>
      </w:r>
    </w:p>
    <w:p w:rsidRPr="00533D5C" w:rsidR="00283CE9" w:rsidP="00533D5C" w:rsidRDefault="00283CE9">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512EDB" w:rsidP="00533D5C" w:rsidRDefault="00904079">
      <w:pPr>
        <w:spacing w:line="240" w:lineRule="exact"/>
        <w:rPr>
          <w:rFonts w:ascii="Verdana" w:hAnsi="Verdana" w:cs="Verdana"/>
          <w:b/>
          <w:bCs/>
          <w:sz w:val="18"/>
          <w:szCs w:val="18"/>
        </w:rPr>
      </w:pPr>
      <w:r>
        <w:rPr>
          <w:rFonts w:ascii="Verdana" w:hAnsi="Verdana" w:cs="Verdana"/>
          <w:b/>
          <w:bCs/>
          <w:sz w:val="18"/>
          <w:szCs w:val="18"/>
        </w:rPr>
        <w:lastRenderedPageBreak/>
        <w:t>H</w:t>
      </w:r>
      <w:r w:rsidRPr="00533D5C" w:rsidR="00C05141">
        <w:rPr>
          <w:rFonts w:ascii="Verdana" w:hAnsi="Verdana" w:cs="Verdana"/>
          <w:b/>
          <w:bCs/>
          <w:sz w:val="18"/>
          <w:szCs w:val="18"/>
        </w:rPr>
        <w:t>oge Colleges van Staat</w:t>
      </w:r>
      <w:bookmarkStart w:name="OLE_LINK2" w:id="0"/>
      <w:r w:rsidRPr="00533D5C" w:rsidR="00512EDB">
        <w:rPr>
          <w:rFonts w:ascii="Verdana" w:hAnsi="Verdana" w:cs="Verdana"/>
          <w:b/>
          <w:bCs/>
          <w:sz w:val="18"/>
          <w:szCs w:val="18"/>
        </w:rPr>
        <w:t xml:space="preserve"> en Kabinetten</w:t>
      </w:r>
    </w:p>
    <w:tbl>
      <w:tblPr>
        <w:tblW w:w="0" w:type="auto"/>
        <w:tblCellMar>
          <w:top w:w="15" w:type="dxa"/>
          <w:left w:w="15" w:type="dxa"/>
          <w:bottom w:w="15" w:type="dxa"/>
          <w:right w:w="15" w:type="dxa"/>
        </w:tblCellMar>
        <w:tblLook w:val="04A0"/>
      </w:tblPr>
      <w:tblGrid>
        <w:gridCol w:w="8251"/>
        <w:gridCol w:w="12"/>
        <w:gridCol w:w="839"/>
      </w:tblGrid>
      <w:tr w:rsidR="00A72A92" w:rsidTr="006C12FE">
        <w:tc>
          <w:tcPr>
            <w:tcW w:w="8251" w:type="dxa"/>
            <w:tcBorders>
              <w:left w:val="nil"/>
              <w:right w:val="nil"/>
            </w:tcBorders>
            <w:hideMark/>
          </w:tcPr>
          <w:p w:rsidR="00A72A92" w:rsidP="006D23DC" w:rsidRDefault="00A72A92">
            <w:pPr>
              <w:rPr>
                <w:rFonts w:ascii="Verdana" w:hAnsi="Verdana"/>
                <w:sz w:val="18"/>
                <w:szCs w:val="18"/>
              </w:rPr>
            </w:pPr>
          </w:p>
        </w:tc>
        <w:tc>
          <w:tcPr>
            <w:tcW w:w="851" w:type="dxa"/>
            <w:gridSpan w:val="2"/>
            <w:tcBorders>
              <w:left w:val="nil"/>
              <w:right w:val="nil"/>
            </w:tcBorders>
            <w:hideMark/>
          </w:tcPr>
          <w:p w:rsidR="00A72A92" w:rsidP="006D23DC" w:rsidRDefault="00A72A92">
            <w:pPr>
              <w:rPr>
                <w:rFonts w:ascii="Verdana" w:hAnsi="Verdana"/>
                <w:sz w:val="18"/>
                <w:szCs w:val="18"/>
              </w:rPr>
            </w:pPr>
            <w:r>
              <w:rPr>
                <w:rFonts w:ascii="Verdana" w:hAnsi="Verdana"/>
                <w:sz w:val="18"/>
                <w:szCs w:val="18"/>
              </w:rPr>
              <w:t> </w:t>
            </w:r>
          </w:p>
        </w:tc>
      </w:tr>
      <w:tr w:rsidR="00A72A92" w:rsidTr="006D23DC">
        <w:tc>
          <w:tcPr>
            <w:tcW w:w="0" w:type="auto"/>
            <w:tcBorders>
              <w:left w:val="nil"/>
              <w:right w:val="nil"/>
            </w:tcBorders>
            <w:hideMark/>
          </w:tcPr>
          <w:p w:rsidR="00A72A92" w:rsidP="006D23DC" w:rsidRDefault="00A72A92">
            <w:pPr>
              <w:rPr>
                <w:rFonts w:ascii="Verdana" w:hAnsi="Verdana"/>
                <w:sz w:val="18"/>
                <w:szCs w:val="18"/>
              </w:rPr>
            </w:pPr>
            <w:r>
              <w:rPr>
                <w:rFonts w:ascii="Verdana" w:hAnsi="Verdana"/>
                <w:sz w:val="18"/>
                <w:szCs w:val="18"/>
              </w:rPr>
              <w:t>IIB OVERIGE HOGE COLLEGES VAN STAAT EN KABINETTEN: UITGAVEN</w:t>
            </w:r>
          </w:p>
        </w:tc>
        <w:tc>
          <w:tcPr>
            <w:tcW w:w="0" w:type="auto"/>
            <w:gridSpan w:val="2"/>
            <w:hideMark/>
          </w:tcPr>
          <w:p w:rsidR="00A72A92" w:rsidP="006D23DC" w:rsidRDefault="00A72A92">
            <w:pPr>
              <w:rPr>
                <w:sz w:val="20"/>
                <w:szCs w:val="20"/>
              </w:rPr>
            </w:pPr>
          </w:p>
        </w:tc>
      </w:tr>
      <w:tr w:rsidR="00A72A92" w:rsidTr="006D23DC">
        <w:tc>
          <w:tcPr>
            <w:tcW w:w="0" w:type="auto"/>
            <w:tcBorders>
              <w:top w:val="single" w:color="000000" w:sz="6" w:space="0"/>
              <w:left w:val="nil"/>
              <w:bottom w:val="single" w:color="000000" w:sz="6" w:space="0"/>
              <w:right w:val="nil"/>
            </w:tcBorders>
            <w:hideMark/>
          </w:tcPr>
          <w:p w:rsidR="00A72A92" w:rsidP="006D23DC" w:rsidRDefault="00A72A92">
            <w:pPr>
              <w:jc w:val="right"/>
              <w:rPr>
                <w:rFonts w:ascii="Verdana" w:hAnsi="Verdana"/>
                <w:sz w:val="18"/>
                <w:szCs w:val="18"/>
              </w:rPr>
            </w:pPr>
          </w:p>
        </w:tc>
        <w:tc>
          <w:tcPr>
            <w:tcW w:w="0" w:type="auto"/>
            <w:gridSpan w:val="2"/>
            <w:tcBorders>
              <w:top w:val="single" w:color="000000" w:sz="6" w:space="0"/>
              <w:left w:val="nil"/>
              <w:bottom w:val="single" w:color="000000" w:sz="6" w:space="0"/>
              <w:right w:val="nil"/>
            </w:tcBorders>
            <w:hideMark/>
          </w:tcPr>
          <w:p w:rsidR="00A72A92" w:rsidP="006D23DC" w:rsidRDefault="00A72A92">
            <w:pPr>
              <w:jc w:val="right"/>
              <w:rPr>
                <w:rFonts w:ascii="Verdana" w:hAnsi="Verdana"/>
                <w:sz w:val="18"/>
                <w:szCs w:val="18"/>
              </w:rPr>
            </w:pPr>
            <w:r>
              <w:rPr>
                <w:rFonts w:ascii="Verdana" w:hAnsi="Verdana"/>
                <w:sz w:val="18"/>
                <w:szCs w:val="18"/>
              </w:rPr>
              <w:t>2015</w:t>
            </w:r>
          </w:p>
        </w:tc>
      </w:tr>
      <w:tr w:rsidR="00A72A92" w:rsidTr="006D23DC">
        <w:tc>
          <w:tcPr>
            <w:tcW w:w="0" w:type="auto"/>
            <w:tcBorders>
              <w:left w:val="nil"/>
              <w:right w:val="nil"/>
            </w:tcBorders>
            <w:hideMark/>
          </w:tcPr>
          <w:p w:rsidR="00A72A92" w:rsidP="006D23DC" w:rsidRDefault="00A72A92">
            <w:pPr>
              <w:rPr>
                <w:rFonts w:ascii="Verdana" w:hAnsi="Verdana"/>
                <w:sz w:val="18"/>
                <w:szCs w:val="18"/>
              </w:rPr>
            </w:pPr>
            <w:r>
              <w:rPr>
                <w:rFonts w:ascii="Verdana" w:hAnsi="Verdana"/>
                <w:sz w:val="18"/>
                <w:szCs w:val="18"/>
              </w:rPr>
              <w:t>Stand Miljoenennota 2016 (excl. IS)</w:t>
            </w:r>
          </w:p>
        </w:tc>
        <w:tc>
          <w:tcPr>
            <w:tcW w:w="0" w:type="auto"/>
            <w:gridSpan w:val="2"/>
            <w:tcBorders>
              <w:top w:val="single" w:color="000000" w:sz="6" w:space="0"/>
              <w:left w:val="nil"/>
              <w:right w:val="nil"/>
            </w:tcBorders>
            <w:hideMark/>
          </w:tcPr>
          <w:p w:rsidR="00A72A92" w:rsidP="006D23DC" w:rsidRDefault="00A72A92">
            <w:pPr>
              <w:jc w:val="right"/>
              <w:rPr>
                <w:rFonts w:ascii="Verdana" w:hAnsi="Verdana"/>
                <w:sz w:val="18"/>
                <w:szCs w:val="18"/>
              </w:rPr>
            </w:pPr>
            <w:r>
              <w:rPr>
                <w:rFonts w:ascii="Verdana" w:hAnsi="Verdana"/>
                <w:sz w:val="18"/>
                <w:szCs w:val="18"/>
              </w:rPr>
              <w:t>114,3</w:t>
            </w:r>
          </w:p>
        </w:tc>
      </w:tr>
      <w:tr w:rsidR="00A72A92" w:rsidTr="006D23DC">
        <w:tc>
          <w:tcPr>
            <w:tcW w:w="0" w:type="auto"/>
            <w:tcBorders>
              <w:left w:val="nil"/>
              <w:right w:val="nil"/>
            </w:tcBorders>
            <w:hideMark/>
          </w:tcPr>
          <w:p w:rsidR="00A72A92" w:rsidP="006D23DC" w:rsidRDefault="00A72A92">
            <w:pPr>
              <w:rPr>
                <w:rFonts w:ascii="Verdana" w:hAnsi="Verdana"/>
                <w:sz w:val="18"/>
                <w:szCs w:val="18"/>
              </w:rPr>
            </w:pPr>
            <w:r>
              <w:rPr>
                <w:rFonts w:ascii="Verdana" w:hAnsi="Verdana"/>
                <w:sz w:val="18"/>
                <w:szCs w:val="18"/>
              </w:rPr>
              <w:t>Mee- en tegenvallers</w:t>
            </w:r>
          </w:p>
        </w:tc>
        <w:tc>
          <w:tcPr>
            <w:tcW w:w="0" w:type="auto"/>
            <w:gridSpan w:val="2"/>
            <w:hideMark/>
          </w:tcPr>
          <w:p w:rsidR="00A72A92" w:rsidP="006D23DC" w:rsidRDefault="00A72A92">
            <w:pPr>
              <w:rPr>
                <w:sz w:val="20"/>
                <w:szCs w:val="20"/>
              </w:rPr>
            </w:pPr>
          </w:p>
        </w:tc>
      </w:tr>
      <w:tr w:rsidR="00A72A92" w:rsidTr="006D23DC">
        <w:tc>
          <w:tcPr>
            <w:tcW w:w="0" w:type="auto"/>
            <w:tcBorders>
              <w:left w:val="nil"/>
              <w:right w:val="nil"/>
            </w:tcBorders>
            <w:tcMar>
              <w:top w:w="15" w:type="dxa"/>
              <w:left w:w="180" w:type="dxa"/>
              <w:bottom w:w="15" w:type="dxa"/>
              <w:right w:w="15" w:type="dxa"/>
            </w:tcMar>
            <w:vAlign w:val="both"/>
            <w:hideMark/>
          </w:tcPr>
          <w:p w:rsidR="00A72A92" w:rsidP="006D23DC" w:rsidRDefault="00A72A92">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A72A92" w:rsidP="006D23DC" w:rsidRDefault="00A72A92">
            <w:pPr>
              <w:rPr>
                <w:sz w:val="20"/>
                <w:szCs w:val="20"/>
              </w:rPr>
            </w:pPr>
          </w:p>
        </w:tc>
      </w:tr>
      <w:tr w:rsidR="00A72A92" w:rsidTr="006D23DC">
        <w:tc>
          <w:tcPr>
            <w:tcW w:w="0" w:type="auto"/>
            <w:tcBorders>
              <w:left w:val="nil"/>
              <w:right w:val="nil"/>
            </w:tcBorders>
            <w:tcMar>
              <w:top w:w="15" w:type="dxa"/>
              <w:left w:w="360" w:type="dxa"/>
              <w:bottom w:w="15" w:type="dxa"/>
              <w:right w:w="15" w:type="dxa"/>
            </w:tcMar>
            <w:vAlign w:val="both"/>
            <w:hideMark/>
          </w:tcPr>
          <w:p w:rsidR="00A72A92" w:rsidP="006D23DC" w:rsidRDefault="00A72A92">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A72A92" w:rsidP="006D23DC" w:rsidRDefault="00A72A92">
            <w:pPr>
              <w:jc w:val="right"/>
              <w:rPr>
                <w:rFonts w:ascii="Verdana" w:hAnsi="Verdana"/>
                <w:sz w:val="18"/>
                <w:szCs w:val="18"/>
              </w:rPr>
            </w:pPr>
            <w:r>
              <w:rPr>
                <w:rFonts w:ascii="Verdana" w:hAnsi="Verdana"/>
                <w:sz w:val="18"/>
                <w:szCs w:val="18"/>
              </w:rPr>
              <w:t>-2,1</w:t>
            </w:r>
          </w:p>
        </w:tc>
      </w:tr>
      <w:tr w:rsidR="00A72A92" w:rsidTr="006D23DC">
        <w:tc>
          <w:tcPr>
            <w:tcW w:w="0" w:type="auto"/>
            <w:tcBorders>
              <w:left w:val="nil"/>
              <w:right w:val="nil"/>
            </w:tcBorders>
            <w:hideMark/>
          </w:tcPr>
          <w:p w:rsidR="00A72A92" w:rsidP="006D23DC" w:rsidRDefault="00A72A92">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A72A92" w:rsidP="006D23DC" w:rsidRDefault="00A72A92">
            <w:pPr>
              <w:jc w:val="right"/>
              <w:rPr>
                <w:rFonts w:ascii="Verdana" w:hAnsi="Verdana"/>
                <w:sz w:val="18"/>
                <w:szCs w:val="18"/>
              </w:rPr>
            </w:pPr>
            <w:r>
              <w:rPr>
                <w:rFonts w:ascii="Verdana" w:hAnsi="Verdana"/>
                <w:sz w:val="18"/>
                <w:szCs w:val="18"/>
              </w:rPr>
              <w:t>-2,1</w:t>
            </w:r>
          </w:p>
        </w:tc>
      </w:tr>
      <w:tr w:rsidR="00A72A92" w:rsidTr="006D23DC">
        <w:tc>
          <w:tcPr>
            <w:tcW w:w="0" w:type="auto"/>
            <w:tcBorders>
              <w:left w:val="nil"/>
              <w:right w:val="nil"/>
            </w:tcBorders>
            <w:hideMark/>
          </w:tcPr>
          <w:p w:rsidR="00A72A92" w:rsidP="006D23DC" w:rsidRDefault="00A72A92">
            <w:pPr>
              <w:rPr>
                <w:rFonts w:ascii="Verdana" w:hAnsi="Verdana"/>
                <w:sz w:val="18"/>
                <w:szCs w:val="18"/>
              </w:rPr>
            </w:pPr>
            <w:r>
              <w:rPr>
                <w:rFonts w:ascii="Verdana" w:hAnsi="Verdana"/>
                <w:sz w:val="18"/>
                <w:szCs w:val="18"/>
              </w:rPr>
              <w:t>Beleidsmatige mutaties</w:t>
            </w:r>
          </w:p>
        </w:tc>
        <w:tc>
          <w:tcPr>
            <w:tcW w:w="0" w:type="auto"/>
            <w:gridSpan w:val="2"/>
            <w:hideMark/>
          </w:tcPr>
          <w:p w:rsidR="00A72A92" w:rsidP="006D23DC" w:rsidRDefault="00A72A92">
            <w:pPr>
              <w:rPr>
                <w:sz w:val="20"/>
                <w:szCs w:val="20"/>
              </w:rPr>
            </w:pPr>
          </w:p>
        </w:tc>
      </w:tr>
      <w:tr w:rsidR="00A72A92" w:rsidTr="006D23DC">
        <w:tc>
          <w:tcPr>
            <w:tcW w:w="0" w:type="auto"/>
            <w:tcBorders>
              <w:left w:val="nil"/>
              <w:right w:val="nil"/>
            </w:tcBorders>
            <w:tcMar>
              <w:top w:w="15" w:type="dxa"/>
              <w:left w:w="180" w:type="dxa"/>
              <w:bottom w:w="15" w:type="dxa"/>
              <w:right w:w="15" w:type="dxa"/>
            </w:tcMar>
            <w:vAlign w:val="both"/>
            <w:hideMark/>
          </w:tcPr>
          <w:p w:rsidR="00A72A92" w:rsidP="006D23DC" w:rsidRDefault="00A72A92">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A72A92" w:rsidP="006D23DC" w:rsidRDefault="00A72A92">
            <w:pPr>
              <w:rPr>
                <w:sz w:val="20"/>
                <w:szCs w:val="20"/>
              </w:rPr>
            </w:pPr>
          </w:p>
        </w:tc>
      </w:tr>
      <w:tr w:rsidR="00A72A92" w:rsidTr="006D23DC">
        <w:tc>
          <w:tcPr>
            <w:tcW w:w="0" w:type="auto"/>
            <w:tcBorders>
              <w:left w:val="nil"/>
              <w:right w:val="nil"/>
            </w:tcBorders>
            <w:tcMar>
              <w:top w:w="15" w:type="dxa"/>
              <w:left w:w="360" w:type="dxa"/>
              <w:bottom w:w="15" w:type="dxa"/>
              <w:right w:w="15" w:type="dxa"/>
            </w:tcMar>
            <w:vAlign w:val="both"/>
            <w:hideMark/>
          </w:tcPr>
          <w:p w:rsidR="00A72A92" w:rsidP="006D23DC" w:rsidRDefault="00A72A92">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A72A92" w:rsidP="006D23DC" w:rsidRDefault="00A72A92">
            <w:pPr>
              <w:jc w:val="right"/>
              <w:rPr>
                <w:rFonts w:ascii="Verdana" w:hAnsi="Verdana"/>
                <w:sz w:val="18"/>
                <w:szCs w:val="18"/>
              </w:rPr>
            </w:pPr>
            <w:r>
              <w:rPr>
                <w:rFonts w:ascii="Verdana" w:hAnsi="Verdana"/>
                <w:sz w:val="18"/>
                <w:szCs w:val="18"/>
              </w:rPr>
              <w:t>0,8</w:t>
            </w:r>
          </w:p>
        </w:tc>
      </w:tr>
      <w:tr w:rsidR="00A72A92" w:rsidTr="006D23DC">
        <w:tc>
          <w:tcPr>
            <w:tcW w:w="0" w:type="auto"/>
            <w:tcBorders>
              <w:left w:val="nil"/>
              <w:right w:val="nil"/>
            </w:tcBorders>
            <w:hideMark/>
          </w:tcPr>
          <w:p w:rsidR="00A72A92" w:rsidP="006D23DC" w:rsidRDefault="00A72A92">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A72A92" w:rsidP="006D23DC" w:rsidRDefault="00A72A92">
            <w:pPr>
              <w:jc w:val="right"/>
              <w:rPr>
                <w:rFonts w:ascii="Verdana" w:hAnsi="Verdana"/>
                <w:sz w:val="18"/>
                <w:szCs w:val="18"/>
              </w:rPr>
            </w:pPr>
            <w:r>
              <w:rPr>
                <w:rFonts w:ascii="Verdana" w:hAnsi="Verdana"/>
                <w:sz w:val="18"/>
                <w:szCs w:val="18"/>
              </w:rPr>
              <w:t>0,8</w:t>
            </w:r>
          </w:p>
        </w:tc>
      </w:tr>
      <w:tr w:rsidR="00A72A92" w:rsidTr="006D23DC">
        <w:tc>
          <w:tcPr>
            <w:tcW w:w="0" w:type="auto"/>
            <w:tcBorders>
              <w:left w:val="nil"/>
              <w:right w:val="nil"/>
            </w:tcBorders>
            <w:hideMark/>
          </w:tcPr>
          <w:p w:rsidR="00A72A92" w:rsidP="006D23DC" w:rsidRDefault="00A72A92">
            <w:pPr>
              <w:rPr>
                <w:rFonts w:ascii="Verdana" w:hAnsi="Verdana"/>
                <w:sz w:val="18"/>
                <w:szCs w:val="18"/>
              </w:rPr>
            </w:pPr>
            <w:r>
              <w:rPr>
                <w:rFonts w:ascii="Verdana" w:hAnsi="Verdana"/>
                <w:sz w:val="18"/>
                <w:szCs w:val="18"/>
              </w:rPr>
              <w:t>Technische mutaties</w:t>
            </w:r>
          </w:p>
        </w:tc>
        <w:tc>
          <w:tcPr>
            <w:tcW w:w="0" w:type="auto"/>
            <w:gridSpan w:val="2"/>
            <w:hideMark/>
          </w:tcPr>
          <w:p w:rsidR="00A72A92" w:rsidP="006D23DC" w:rsidRDefault="00A72A92">
            <w:pPr>
              <w:rPr>
                <w:sz w:val="20"/>
                <w:szCs w:val="20"/>
              </w:rPr>
            </w:pPr>
          </w:p>
        </w:tc>
      </w:tr>
      <w:tr w:rsidR="00A72A92" w:rsidTr="006D23DC">
        <w:tc>
          <w:tcPr>
            <w:tcW w:w="0" w:type="auto"/>
            <w:tcBorders>
              <w:left w:val="nil"/>
              <w:right w:val="nil"/>
            </w:tcBorders>
            <w:tcMar>
              <w:top w:w="15" w:type="dxa"/>
              <w:left w:w="180" w:type="dxa"/>
              <w:bottom w:w="15" w:type="dxa"/>
              <w:right w:w="15" w:type="dxa"/>
            </w:tcMar>
            <w:vAlign w:val="both"/>
            <w:hideMark/>
          </w:tcPr>
          <w:p w:rsidR="00A72A92" w:rsidP="006D23DC" w:rsidRDefault="00A72A92">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A72A92" w:rsidP="006D23DC" w:rsidRDefault="00A72A92">
            <w:pPr>
              <w:rPr>
                <w:sz w:val="20"/>
                <w:szCs w:val="20"/>
              </w:rPr>
            </w:pPr>
          </w:p>
        </w:tc>
      </w:tr>
      <w:tr w:rsidR="00A72A92" w:rsidTr="006D23DC">
        <w:tc>
          <w:tcPr>
            <w:tcW w:w="0" w:type="auto"/>
            <w:tcBorders>
              <w:left w:val="nil"/>
              <w:right w:val="nil"/>
            </w:tcBorders>
            <w:tcMar>
              <w:top w:w="15" w:type="dxa"/>
              <w:left w:w="360" w:type="dxa"/>
              <w:bottom w:w="15" w:type="dxa"/>
              <w:right w:w="15" w:type="dxa"/>
            </w:tcMar>
            <w:vAlign w:val="both"/>
            <w:hideMark/>
          </w:tcPr>
          <w:p w:rsidR="00A72A92" w:rsidP="006D23DC" w:rsidRDefault="00A72A92">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A72A92" w:rsidP="006D23DC" w:rsidRDefault="00A72A92">
            <w:pPr>
              <w:jc w:val="right"/>
              <w:rPr>
                <w:rFonts w:ascii="Verdana" w:hAnsi="Verdana"/>
                <w:sz w:val="18"/>
                <w:szCs w:val="18"/>
              </w:rPr>
            </w:pPr>
            <w:r>
              <w:rPr>
                <w:rFonts w:ascii="Verdana" w:hAnsi="Verdana"/>
                <w:sz w:val="18"/>
                <w:szCs w:val="18"/>
              </w:rPr>
              <w:t>2,9</w:t>
            </w:r>
          </w:p>
        </w:tc>
      </w:tr>
      <w:tr w:rsidR="00A72A92" w:rsidTr="006D23DC">
        <w:tc>
          <w:tcPr>
            <w:tcW w:w="0" w:type="auto"/>
            <w:tcBorders>
              <w:left w:val="nil"/>
              <w:right w:val="nil"/>
            </w:tcBorders>
            <w:hideMark/>
          </w:tcPr>
          <w:p w:rsidR="00A72A92" w:rsidP="006D23DC" w:rsidRDefault="00A72A92">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A72A92" w:rsidP="006D23DC" w:rsidRDefault="00A72A92">
            <w:pPr>
              <w:jc w:val="right"/>
              <w:rPr>
                <w:rFonts w:ascii="Verdana" w:hAnsi="Verdana"/>
                <w:sz w:val="18"/>
                <w:szCs w:val="18"/>
              </w:rPr>
            </w:pPr>
            <w:r>
              <w:rPr>
                <w:rFonts w:ascii="Verdana" w:hAnsi="Verdana"/>
                <w:sz w:val="18"/>
                <w:szCs w:val="18"/>
              </w:rPr>
              <w:t>2,9</w:t>
            </w:r>
          </w:p>
        </w:tc>
      </w:tr>
      <w:tr w:rsidR="00A72A92" w:rsidTr="006D23DC">
        <w:tc>
          <w:tcPr>
            <w:tcW w:w="0" w:type="auto"/>
            <w:tcBorders>
              <w:left w:val="nil"/>
              <w:right w:val="nil"/>
            </w:tcBorders>
            <w:hideMark/>
          </w:tcPr>
          <w:p w:rsidR="00A72A92" w:rsidP="006D23DC" w:rsidRDefault="00A72A92">
            <w:pPr>
              <w:rPr>
                <w:rFonts w:ascii="Verdana" w:hAnsi="Verdana"/>
                <w:sz w:val="18"/>
                <w:szCs w:val="18"/>
              </w:rPr>
            </w:pPr>
            <w:r>
              <w:rPr>
                <w:rFonts w:ascii="Verdana" w:hAnsi="Verdana"/>
                <w:sz w:val="18"/>
                <w:szCs w:val="18"/>
              </w:rPr>
              <w:t>Totaal mutaties sinds Miljoenennota 2016</w:t>
            </w:r>
          </w:p>
        </w:tc>
        <w:tc>
          <w:tcPr>
            <w:tcW w:w="0" w:type="auto"/>
            <w:gridSpan w:val="2"/>
            <w:tcBorders>
              <w:left w:val="nil"/>
              <w:right w:val="nil"/>
            </w:tcBorders>
            <w:hideMark/>
          </w:tcPr>
          <w:p w:rsidR="00A72A92" w:rsidP="006D23DC" w:rsidRDefault="00A72A92">
            <w:pPr>
              <w:jc w:val="right"/>
              <w:rPr>
                <w:rFonts w:ascii="Verdana" w:hAnsi="Verdana"/>
                <w:sz w:val="18"/>
                <w:szCs w:val="18"/>
              </w:rPr>
            </w:pPr>
            <w:r>
              <w:rPr>
                <w:rFonts w:ascii="Verdana" w:hAnsi="Verdana"/>
                <w:sz w:val="18"/>
                <w:szCs w:val="18"/>
              </w:rPr>
              <w:t>1,5</w:t>
            </w:r>
          </w:p>
        </w:tc>
      </w:tr>
      <w:tr w:rsidR="00A72A92" w:rsidTr="006D23DC">
        <w:tc>
          <w:tcPr>
            <w:tcW w:w="0" w:type="auto"/>
            <w:tcBorders>
              <w:left w:val="nil"/>
              <w:right w:val="nil"/>
            </w:tcBorders>
            <w:hideMark/>
          </w:tcPr>
          <w:p w:rsidR="00A72A92" w:rsidP="006D23DC" w:rsidRDefault="00A72A92">
            <w:pPr>
              <w:rPr>
                <w:rFonts w:ascii="Verdana" w:hAnsi="Verdana"/>
                <w:sz w:val="18"/>
                <w:szCs w:val="18"/>
              </w:rPr>
            </w:pPr>
            <w:r>
              <w:rPr>
                <w:rFonts w:ascii="Verdana" w:hAnsi="Verdana"/>
                <w:sz w:val="18"/>
                <w:szCs w:val="18"/>
              </w:rPr>
              <w:t> </w:t>
            </w:r>
          </w:p>
        </w:tc>
        <w:tc>
          <w:tcPr>
            <w:tcW w:w="0" w:type="auto"/>
            <w:gridSpan w:val="2"/>
            <w:hideMark/>
          </w:tcPr>
          <w:p w:rsidR="00A72A92" w:rsidP="006D23DC" w:rsidRDefault="00A72A92">
            <w:pPr>
              <w:rPr>
                <w:sz w:val="20"/>
                <w:szCs w:val="20"/>
              </w:rPr>
            </w:pPr>
          </w:p>
        </w:tc>
      </w:tr>
      <w:tr w:rsidR="00A72A92" w:rsidTr="006D23DC">
        <w:tc>
          <w:tcPr>
            <w:tcW w:w="0" w:type="auto"/>
            <w:tcBorders>
              <w:left w:val="nil"/>
              <w:right w:val="nil"/>
            </w:tcBorders>
            <w:hideMark/>
          </w:tcPr>
          <w:p w:rsidR="00A72A92" w:rsidP="006D23DC" w:rsidRDefault="00A72A92">
            <w:pPr>
              <w:rPr>
                <w:rFonts w:ascii="Verdana" w:hAnsi="Verdana"/>
                <w:sz w:val="18"/>
                <w:szCs w:val="18"/>
              </w:rPr>
            </w:pPr>
            <w:r>
              <w:rPr>
                <w:rFonts w:ascii="Verdana" w:hAnsi="Verdana"/>
                <w:sz w:val="18"/>
                <w:szCs w:val="18"/>
              </w:rPr>
              <w:t>Stand Najaarsnota 2015 (subtotaal)</w:t>
            </w:r>
          </w:p>
        </w:tc>
        <w:tc>
          <w:tcPr>
            <w:tcW w:w="0" w:type="auto"/>
            <w:gridSpan w:val="2"/>
            <w:tcBorders>
              <w:top w:val="single" w:color="000000" w:sz="6" w:space="0"/>
              <w:left w:val="nil"/>
              <w:right w:val="nil"/>
            </w:tcBorders>
            <w:hideMark/>
          </w:tcPr>
          <w:p w:rsidR="00A72A92" w:rsidP="006D23DC" w:rsidRDefault="00A72A92">
            <w:pPr>
              <w:jc w:val="right"/>
              <w:rPr>
                <w:rFonts w:ascii="Verdana" w:hAnsi="Verdana"/>
                <w:sz w:val="18"/>
                <w:szCs w:val="18"/>
              </w:rPr>
            </w:pPr>
            <w:r>
              <w:rPr>
                <w:rFonts w:ascii="Verdana" w:hAnsi="Verdana"/>
                <w:sz w:val="18"/>
                <w:szCs w:val="18"/>
              </w:rPr>
              <w:t>115,8</w:t>
            </w:r>
          </w:p>
        </w:tc>
      </w:tr>
      <w:tr w:rsidR="00A72A92" w:rsidTr="006D23DC">
        <w:tc>
          <w:tcPr>
            <w:tcW w:w="0" w:type="auto"/>
            <w:tcBorders>
              <w:left w:val="nil"/>
              <w:right w:val="nil"/>
            </w:tcBorders>
            <w:hideMark/>
          </w:tcPr>
          <w:p w:rsidR="00A72A92" w:rsidP="006D23DC" w:rsidRDefault="00A72A92">
            <w:pPr>
              <w:rPr>
                <w:rFonts w:ascii="Verdana" w:hAnsi="Verdana"/>
                <w:sz w:val="18"/>
                <w:szCs w:val="18"/>
              </w:rPr>
            </w:pPr>
            <w:r>
              <w:rPr>
                <w:rFonts w:ascii="Verdana" w:hAnsi="Verdana"/>
                <w:sz w:val="18"/>
                <w:szCs w:val="18"/>
              </w:rPr>
              <w:t>Totaal Internationale samenwerking</w:t>
            </w:r>
          </w:p>
        </w:tc>
        <w:tc>
          <w:tcPr>
            <w:tcW w:w="0" w:type="auto"/>
            <w:gridSpan w:val="2"/>
            <w:tcBorders>
              <w:left w:val="nil"/>
              <w:right w:val="nil"/>
            </w:tcBorders>
            <w:hideMark/>
          </w:tcPr>
          <w:p w:rsidR="00A72A92" w:rsidP="006D23DC" w:rsidRDefault="00A72A92">
            <w:pPr>
              <w:jc w:val="right"/>
              <w:rPr>
                <w:rFonts w:ascii="Verdana" w:hAnsi="Verdana"/>
                <w:sz w:val="18"/>
                <w:szCs w:val="18"/>
              </w:rPr>
            </w:pPr>
            <w:r>
              <w:rPr>
                <w:rFonts w:ascii="Verdana" w:hAnsi="Verdana"/>
                <w:sz w:val="18"/>
                <w:szCs w:val="18"/>
              </w:rPr>
              <w:t>0,0</w:t>
            </w:r>
          </w:p>
        </w:tc>
      </w:tr>
      <w:tr w:rsidR="00A72A92" w:rsidTr="006D23DC">
        <w:tc>
          <w:tcPr>
            <w:tcW w:w="0" w:type="auto"/>
            <w:tcBorders>
              <w:left w:val="nil"/>
              <w:right w:val="nil"/>
            </w:tcBorders>
            <w:hideMark/>
          </w:tcPr>
          <w:p w:rsidR="00A72A92" w:rsidP="006D23DC" w:rsidRDefault="00A72A92">
            <w:pPr>
              <w:rPr>
                <w:rFonts w:ascii="Verdana" w:hAnsi="Verdana"/>
                <w:sz w:val="18"/>
                <w:szCs w:val="18"/>
              </w:rPr>
            </w:pPr>
            <w:r>
              <w:rPr>
                <w:rFonts w:ascii="Verdana" w:hAnsi="Verdana"/>
                <w:sz w:val="18"/>
                <w:szCs w:val="18"/>
              </w:rPr>
              <w:t>Stand Najaarsnota 2015</w:t>
            </w:r>
          </w:p>
        </w:tc>
        <w:tc>
          <w:tcPr>
            <w:tcW w:w="0" w:type="auto"/>
            <w:gridSpan w:val="2"/>
            <w:tcBorders>
              <w:top w:val="single" w:color="000000" w:sz="6" w:space="0"/>
              <w:left w:val="nil"/>
              <w:right w:val="nil"/>
            </w:tcBorders>
            <w:hideMark/>
          </w:tcPr>
          <w:p w:rsidR="00A72A92" w:rsidP="006D23DC" w:rsidRDefault="00A72A92">
            <w:pPr>
              <w:jc w:val="right"/>
              <w:rPr>
                <w:rFonts w:ascii="Verdana" w:hAnsi="Verdana"/>
                <w:sz w:val="18"/>
                <w:szCs w:val="18"/>
              </w:rPr>
            </w:pPr>
            <w:r>
              <w:rPr>
                <w:rFonts w:ascii="Verdana" w:hAnsi="Verdana"/>
                <w:sz w:val="18"/>
                <w:szCs w:val="18"/>
              </w:rPr>
              <w:t>115,8</w:t>
            </w:r>
          </w:p>
        </w:tc>
      </w:tr>
      <w:tr w:rsidR="00A72A92" w:rsidTr="006C12FE">
        <w:tc>
          <w:tcPr>
            <w:tcW w:w="8263" w:type="dxa"/>
            <w:gridSpan w:val="2"/>
            <w:tcBorders>
              <w:left w:val="nil"/>
              <w:right w:val="nil"/>
            </w:tcBorders>
            <w:hideMark/>
          </w:tcPr>
          <w:p w:rsidR="00A72A92" w:rsidP="006D23DC" w:rsidRDefault="00A72A92">
            <w:pPr>
              <w:rPr>
                <w:rFonts w:ascii="Verdana" w:hAnsi="Verdana"/>
                <w:sz w:val="18"/>
                <w:szCs w:val="18"/>
              </w:rPr>
            </w:pPr>
            <w:r>
              <w:rPr>
                <w:rFonts w:ascii="Verdana" w:hAnsi="Verdana"/>
                <w:sz w:val="18"/>
                <w:szCs w:val="18"/>
              </w:rPr>
              <w:t> </w:t>
            </w:r>
          </w:p>
        </w:tc>
        <w:tc>
          <w:tcPr>
            <w:tcW w:w="839" w:type="dxa"/>
            <w:tcBorders>
              <w:left w:val="nil"/>
              <w:right w:val="nil"/>
            </w:tcBorders>
            <w:hideMark/>
          </w:tcPr>
          <w:p w:rsidR="00A72A92" w:rsidP="006D23DC" w:rsidRDefault="00A72A92">
            <w:pPr>
              <w:rPr>
                <w:rFonts w:ascii="Verdana" w:hAnsi="Verdana"/>
                <w:sz w:val="18"/>
                <w:szCs w:val="18"/>
              </w:rPr>
            </w:pPr>
            <w:r>
              <w:rPr>
                <w:rFonts w:ascii="Verdana" w:hAnsi="Verdana"/>
                <w:sz w:val="18"/>
                <w:szCs w:val="18"/>
              </w:rPr>
              <w:t> </w:t>
            </w:r>
          </w:p>
        </w:tc>
      </w:tr>
      <w:tr w:rsidR="006C12FE" w:rsidTr="008A1CB1">
        <w:tc>
          <w:tcPr>
            <w:tcW w:w="0" w:type="auto"/>
            <w:gridSpan w:val="3"/>
            <w:tcBorders>
              <w:left w:val="nil"/>
            </w:tcBorders>
            <w:hideMark/>
          </w:tcPr>
          <w:p w:rsidR="006C12FE" w:rsidP="006D23DC" w:rsidRDefault="006C12FE">
            <w:pPr>
              <w:rPr>
                <w:sz w:val="20"/>
                <w:szCs w:val="20"/>
              </w:rPr>
            </w:pPr>
            <w:r>
              <w:rPr>
                <w:rFonts w:ascii="Verdana" w:hAnsi="Verdana"/>
                <w:sz w:val="18"/>
                <w:szCs w:val="18"/>
              </w:rPr>
              <w:t>IIB OVERIGE HOGE COLLEGES VAN STAAT EN KABINETTEN: NIET-BELASTINGONTVANGSTEN</w:t>
            </w:r>
          </w:p>
        </w:tc>
      </w:tr>
      <w:tr w:rsidR="00A72A92" w:rsidTr="006D23DC">
        <w:tc>
          <w:tcPr>
            <w:tcW w:w="0" w:type="auto"/>
            <w:gridSpan w:val="2"/>
            <w:tcBorders>
              <w:top w:val="single" w:color="000000" w:sz="6" w:space="0"/>
              <w:left w:val="nil"/>
              <w:bottom w:val="single" w:color="000000" w:sz="6" w:space="0"/>
              <w:right w:val="nil"/>
            </w:tcBorders>
            <w:hideMark/>
          </w:tcPr>
          <w:p w:rsidR="00A72A92" w:rsidP="006D23DC" w:rsidRDefault="00A72A92">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A72A92" w:rsidP="006D23DC" w:rsidRDefault="00A72A92">
            <w:pPr>
              <w:jc w:val="right"/>
              <w:rPr>
                <w:rFonts w:ascii="Verdana" w:hAnsi="Verdana"/>
                <w:sz w:val="18"/>
                <w:szCs w:val="18"/>
              </w:rPr>
            </w:pPr>
            <w:r>
              <w:rPr>
                <w:rFonts w:ascii="Verdana" w:hAnsi="Verdana"/>
                <w:sz w:val="18"/>
                <w:szCs w:val="18"/>
              </w:rPr>
              <w:t>2015</w:t>
            </w:r>
          </w:p>
        </w:tc>
      </w:tr>
      <w:tr w:rsidR="00A72A92" w:rsidTr="006D23DC">
        <w:tc>
          <w:tcPr>
            <w:tcW w:w="0" w:type="auto"/>
            <w:gridSpan w:val="2"/>
            <w:tcBorders>
              <w:left w:val="nil"/>
              <w:right w:val="nil"/>
            </w:tcBorders>
            <w:hideMark/>
          </w:tcPr>
          <w:p w:rsidR="00A72A92" w:rsidP="006D23DC" w:rsidRDefault="00A72A92">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A72A92" w:rsidP="006D23DC" w:rsidRDefault="00A72A92">
            <w:pPr>
              <w:jc w:val="right"/>
              <w:rPr>
                <w:rFonts w:ascii="Verdana" w:hAnsi="Verdana"/>
                <w:sz w:val="18"/>
                <w:szCs w:val="18"/>
              </w:rPr>
            </w:pPr>
            <w:r>
              <w:rPr>
                <w:rFonts w:ascii="Verdana" w:hAnsi="Verdana"/>
                <w:sz w:val="18"/>
                <w:szCs w:val="18"/>
              </w:rPr>
              <w:t>5,7</w:t>
            </w:r>
          </w:p>
        </w:tc>
      </w:tr>
      <w:tr w:rsidR="00A72A92" w:rsidTr="006D23DC">
        <w:tc>
          <w:tcPr>
            <w:tcW w:w="0" w:type="auto"/>
            <w:gridSpan w:val="2"/>
            <w:tcBorders>
              <w:left w:val="nil"/>
              <w:right w:val="nil"/>
            </w:tcBorders>
            <w:hideMark/>
          </w:tcPr>
          <w:p w:rsidR="00A72A92" w:rsidP="006D23DC" w:rsidRDefault="00A72A92">
            <w:pPr>
              <w:rPr>
                <w:rFonts w:ascii="Verdana" w:hAnsi="Verdana"/>
                <w:sz w:val="18"/>
                <w:szCs w:val="18"/>
              </w:rPr>
            </w:pPr>
            <w:r>
              <w:rPr>
                <w:rFonts w:ascii="Verdana" w:hAnsi="Verdana"/>
                <w:sz w:val="18"/>
                <w:szCs w:val="18"/>
              </w:rPr>
              <w:t>Beleidsmatige mutaties</w:t>
            </w:r>
          </w:p>
        </w:tc>
        <w:tc>
          <w:tcPr>
            <w:tcW w:w="0" w:type="auto"/>
            <w:hideMark/>
          </w:tcPr>
          <w:p w:rsidR="00A72A92" w:rsidP="006D23DC" w:rsidRDefault="00A72A92">
            <w:pPr>
              <w:rPr>
                <w:sz w:val="20"/>
                <w:szCs w:val="20"/>
              </w:rPr>
            </w:pPr>
          </w:p>
        </w:tc>
      </w:tr>
      <w:tr w:rsidR="00A72A92" w:rsidTr="006D23DC">
        <w:tc>
          <w:tcPr>
            <w:tcW w:w="0" w:type="auto"/>
            <w:gridSpan w:val="2"/>
            <w:tcBorders>
              <w:left w:val="nil"/>
              <w:right w:val="nil"/>
            </w:tcBorders>
            <w:tcMar>
              <w:top w:w="15" w:type="dxa"/>
              <w:left w:w="180" w:type="dxa"/>
              <w:bottom w:w="15" w:type="dxa"/>
              <w:right w:w="15" w:type="dxa"/>
            </w:tcMar>
            <w:vAlign w:val="both"/>
            <w:hideMark/>
          </w:tcPr>
          <w:p w:rsidR="00A72A92" w:rsidP="006D23DC" w:rsidRDefault="00A72A92">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A72A92" w:rsidP="006D23DC" w:rsidRDefault="00A72A92">
            <w:pPr>
              <w:rPr>
                <w:sz w:val="20"/>
                <w:szCs w:val="20"/>
              </w:rPr>
            </w:pPr>
          </w:p>
        </w:tc>
      </w:tr>
      <w:tr w:rsidR="00A72A92" w:rsidTr="006D23DC">
        <w:tc>
          <w:tcPr>
            <w:tcW w:w="0" w:type="auto"/>
            <w:gridSpan w:val="2"/>
            <w:tcBorders>
              <w:left w:val="nil"/>
              <w:right w:val="nil"/>
            </w:tcBorders>
            <w:tcMar>
              <w:top w:w="15" w:type="dxa"/>
              <w:left w:w="360" w:type="dxa"/>
              <w:bottom w:w="15" w:type="dxa"/>
              <w:right w:w="15" w:type="dxa"/>
            </w:tcMar>
            <w:vAlign w:val="both"/>
            <w:hideMark/>
          </w:tcPr>
          <w:p w:rsidR="00A72A92" w:rsidP="006D23DC" w:rsidRDefault="00A72A92">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A72A92" w:rsidP="006D23DC" w:rsidRDefault="00A72A92">
            <w:pPr>
              <w:jc w:val="right"/>
              <w:rPr>
                <w:rFonts w:ascii="Verdana" w:hAnsi="Verdana"/>
                <w:sz w:val="18"/>
                <w:szCs w:val="18"/>
              </w:rPr>
            </w:pPr>
            <w:r>
              <w:rPr>
                <w:rFonts w:ascii="Verdana" w:hAnsi="Verdana"/>
                <w:sz w:val="18"/>
                <w:szCs w:val="18"/>
              </w:rPr>
              <w:t>0,4</w:t>
            </w:r>
          </w:p>
        </w:tc>
      </w:tr>
      <w:tr w:rsidR="00A72A92" w:rsidTr="006D23DC">
        <w:tc>
          <w:tcPr>
            <w:tcW w:w="0" w:type="auto"/>
            <w:gridSpan w:val="2"/>
            <w:tcBorders>
              <w:left w:val="nil"/>
              <w:right w:val="nil"/>
            </w:tcBorders>
            <w:hideMark/>
          </w:tcPr>
          <w:p w:rsidR="00A72A92" w:rsidP="006D23DC" w:rsidRDefault="00A72A92">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A72A92" w:rsidP="006D23DC" w:rsidRDefault="00A72A92">
            <w:pPr>
              <w:jc w:val="right"/>
              <w:rPr>
                <w:rFonts w:ascii="Verdana" w:hAnsi="Verdana"/>
                <w:sz w:val="18"/>
                <w:szCs w:val="18"/>
              </w:rPr>
            </w:pPr>
            <w:r>
              <w:rPr>
                <w:rFonts w:ascii="Verdana" w:hAnsi="Verdana"/>
                <w:sz w:val="18"/>
                <w:szCs w:val="18"/>
              </w:rPr>
              <w:t>0,4</w:t>
            </w:r>
          </w:p>
        </w:tc>
      </w:tr>
      <w:tr w:rsidR="00A72A92" w:rsidTr="006D23DC">
        <w:tc>
          <w:tcPr>
            <w:tcW w:w="0" w:type="auto"/>
            <w:gridSpan w:val="2"/>
            <w:tcBorders>
              <w:left w:val="nil"/>
              <w:right w:val="nil"/>
            </w:tcBorders>
            <w:hideMark/>
          </w:tcPr>
          <w:p w:rsidR="00A72A92" w:rsidP="006D23DC" w:rsidRDefault="00A72A92">
            <w:pPr>
              <w:rPr>
                <w:rFonts w:ascii="Verdana" w:hAnsi="Verdana"/>
                <w:sz w:val="18"/>
                <w:szCs w:val="18"/>
              </w:rPr>
            </w:pPr>
            <w:r>
              <w:rPr>
                <w:rFonts w:ascii="Verdana" w:hAnsi="Verdana"/>
                <w:sz w:val="18"/>
                <w:szCs w:val="18"/>
              </w:rPr>
              <w:t>Technische mutaties</w:t>
            </w:r>
          </w:p>
        </w:tc>
        <w:tc>
          <w:tcPr>
            <w:tcW w:w="0" w:type="auto"/>
            <w:hideMark/>
          </w:tcPr>
          <w:p w:rsidR="00A72A92" w:rsidP="006D23DC" w:rsidRDefault="00A72A92">
            <w:pPr>
              <w:rPr>
                <w:sz w:val="20"/>
                <w:szCs w:val="20"/>
              </w:rPr>
            </w:pPr>
          </w:p>
        </w:tc>
      </w:tr>
      <w:tr w:rsidR="00A72A92" w:rsidTr="006D23DC">
        <w:tc>
          <w:tcPr>
            <w:tcW w:w="0" w:type="auto"/>
            <w:gridSpan w:val="2"/>
            <w:tcBorders>
              <w:left w:val="nil"/>
              <w:right w:val="nil"/>
            </w:tcBorders>
            <w:tcMar>
              <w:top w:w="15" w:type="dxa"/>
              <w:left w:w="180" w:type="dxa"/>
              <w:bottom w:w="15" w:type="dxa"/>
              <w:right w:w="15" w:type="dxa"/>
            </w:tcMar>
            <w:vAlign w:val="both"/>
            <w:hideMark/>
          </w:tcPr>
          <w:p w:rsidR="00A72A92" w:rsidP="006D23DC" w:rsidRDefault="00A72A92">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A72A92" w:rsidP="006D23DC" w:rsidRDefault="00A72A92">
            <w:pPr>
              <w:rPr>
                <w:sz w:val="20"/>
                <w:szCs w:val="20"/>
              </w:rPr>
            </w:pPr>
          </w:p>
        </w:tc>
      </w:tr>
      <w:tr w:rsidR="00A72A92" w:rsidTr="006D23DC">
        <w:tc>
          <w:tcPr>
            <w:tcW w:w="0" w:type="auto"/>
            <w:gridSpan w:val="2"/>
            <w:tcBorders>
              <w:left w:val="nil"/>
              <w:right w:val="nil"/>
            </w:tcBorders>
            <w:tcMar>
              <w:top w:w="15" w:type="dxa"/>
              <w:left w:w="360" w:type="dxa"/>
              <w:bottom w:w="15" w:type="dxa"/>
              <w:right w:w="15" w:type="dxa"/>
            </w:tcMar>
            <w:vAlign w:val="both"/>
            <w:hideMark/>
          </w:tcPr>
          <w:p w:rsidR="00A72A92" w:rsidP="006D23DC" w:rsidRDefault="00A72A92">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A72A92" w:rsidP="006D23DC" w:rsidRDefault="00A72A92">
            <w:pPr>
              <w:jc w:val="right"/>
              <w:rPr>
                <w:rFonts w:ascii="Verdana" w:hAnsi="Verdana"/>
                <w:sz w:val="18"/>
                <w:szCs w:val="18"/>
              </w:rPr>
            </w:pPr>
            <w:r>
              <w:rPr>
                <w:rFonts w:ascii="Verdana" w:hAnsi="Verdana"/>
                <w:sz w:val="18"/>
                <w:szCs w:val="18"/>
              </w:rPr>
              <w:t>1,1</w:t>
            </w:r>
          </w:p>
        </w:tc>
      </w:tr>
      <w:tr w:rsidR="00A72A92" w:rsidTr="006D23DC">
        <w:tc>
          <w:tcPr>
            <w:tcW w:w="0" w:type="auto"/>
            <w:gridSpan w:val="2"/>
            <w:tcBorders>
              <w:left w:val="nil"/>
              <w:right w:val="nil"/>
            </w:tcBorders>
            <w:hideMark/>
          </w:tcPr>
          <w:p w:rsidR="00A72A92" w:rsidP="006D23DC" w:rsidRDefault="00A72A92">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A72A92" w:rsidP="006D23DC" w:rsidRDefault="00A72A92">
            <w:pPr>
              <w:jc w:val="right"/>
              <w:rPr>
                <w:rFonts w:ascii="Verdana" w:hAnsi="Verdana"/>
                <w:sz w:val="18"/>
                <w:szCs w:val="18"/>
              </w:rPr>
            </w:pPr>
            <w:r>
              <w:rPr>
                <w:rFonts w:ascii="Verdana" w:hAnsi="Verdana"/>
                <w:sz w:val="18"/>
                <w:szCs w:val="18"/>
              </w:rPr>
              <w:t>1,1</w:t>
            </w:r>
          </w:p>
        </w:tc>
      </w:tr>
      <w:tr w:rsidR="00A72A92" w:rsidTr="006D23DC">
        <w:tc>
          <w:tcPr>
            <w:tcW w:w="0" w:type="auto"/>
            <w:gridSpan w:val="2"/>
            <w:tcBorders>
              <w:left w:val="nil"/>
              <w:right w:val="nil"/>
            </w:tcBorders>
            <w:hideMark/>
          </w:tcPr>
          <w:p w:rsidR="00A72A92" w:rsidP="006D23DC" w:rsidRDefault="00A72A92">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A72A92" w:rsidP="006D23DC" w:rsidRDefault="00A72A92">
            <w:pPr>
              <w:jc w:val="right"/>
              <w:rPr>
                <w:rFonts w:ascii="Verdana" w:hAnsi="Verdana"/>
                <w:sz w:val="18"/>
                <w:szCs w:val="18"/>
              </w:rPr>
            </w:pPr>
            <w:r>
              <w:rPr>
                <w:rFonts w:ascii="Verdana" w:hAnsi="Verdana"/>
                <w:sz w:val="18"/>
                <w:szCs w:val="18"/>
              </w:rPr>
              <w:t>1,4</w:t>
            </w:r>
          </w:p>
        </w:tc>
      </w:tr>
      <w:tr w:rsidR="00A72A92" w:rsidTr="006D23DC">
        <w:tc>
          <w:tcPr>
            <w:tcW w:w="0" w:type="auto"/>
            <w:gridSpan w:val="2"/>
            <w:tcBorders>
              <w:left w:val="nil"/>
              <w:right w:val="nil"/>
            </w:tcBorders>
            <w:hideMark/>
          </w:tcPr>
          <w:p w:rsidR="00A72A92" w:rsidP="006D23DC" w:rsidRDefault="00A72A92">
            <w:pPr>
              <w:rPr>
                <w:rFonts w:ascii="Verdana" w:hAnsi="Verdana"/>
                <w:sz w:val="18"/>
                <w:szCs w:val="18"/>
              </w:rPr>
            </w:pPr>
            <w:r>
              <w:rPr>
                <w:rFonts w:ascii="Verdana" w:hAnsi="Verdana"/>
                <w:sz w:val="18"/>
                <w:szCs w:val="18"/>
              </w:rPr>
              <w:t> </w:t>
            </w:r>
          </w:p>
        </w:tc>
        <w:tc>
          <w:tcPr>
            <w:tcW w:w="0" w:type="auto"/>
            <w:hideMark/>
          </w:tcPr>
          <w:p w:rsidR="00A72A92" w:rsidP="006D23DC" w:rsidRDefault="00A72A92">
            <w:pPr>
              <w:rPr>
                <w:sz w:val="20"/>
                <w:szCs w:val="20"/>
              </w:rPr>
            </w:pPr>
          </w:p>
        </w:tc>
      </w:tr>
      <w:tr w:rsidR="00A72A92" w:rsidTr="006D23DC">
        <w:tc>
          <w:tcPr>
            <w:tcW w:w="0" w:type="auto"/>
            <w:gridSpan w:val="2"/>
            <w:tcBorders>
              <w:left w:val="nil"/>
              <w:right w:val="nil"/>
            </w:tcBorders>
            <w:hideMark/>
          </w:tcPr>
          <w:p w:rsidR="00A72A92" w:rsidP="006D23DC" w:rsidRDefault="00A72A92">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A72A92" w:rsidP="006D23DC" w:rsidRDefault="00A72A92">
            <w:pPr>
              <w:jc w:val="right"/>
              <w:rPr>
                <w:rFonts w:ascii="Verdana" w:hAnsi="Verdana"/>
                <w:sz w:val="18"/>
                <w:szCs w:val="18"/>
              </w:rPr>
            </w:pPr>
            <w:r>
              <w:rPr>
                <w:rFonts w:ascii="Verdana" w:hAnsi="Verdana"/>
                <w:sz w:val="18"/>
                <w:szCs w:val="18"/>
              </w:rPr>
              <w:t>7,2</w:t>
            </w:r>
          </w:p>
        </w:tc>
      </w:tr>
      <w:tr w:rsidR="00A72A92" w:rsidTr="006D23DC">
        <w:tc>
          <w:tcPr>
            <w:tcW w:w="0" w:type="auto"/>
            <w:gridSpan w:val="2"/>
            <w:tcBorders>
              <w:left w:val="nil"/>
              <w:right w:val="nil"/>
            </w:tcBorders>
            <w:hideMark/>
          </w:tcPr>
          <w:p w:rsidR="00A72A92" w:rsidP="006D23DC" w:rsidRDefault="00A72A92">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A72A92" w:rsidP="006D23DC" w:rsidRDefault="00A72A92">
            <w:pPr>
              <w:jc w:val="right"/>
              <w:rPr>
                <w:rFonts w:ascii="Verdana" w:hAnsi="Verdana"/>
                <w:sz w:val="18"/>
                <w:szCs w:val="18"/>
              </w:rPr>
            </w:pPr>
            <w:r>
              <w:rPr>
                <w:rFonts w:ascii="Verdana" w:hAnsi="Verdana"/>
                <w:sz w:val="18"/>
                <w:szCs w:val="18"/>
              </w:rPr>
              <w:t>0,0</w:t>
            </w:r>
          </w:p>
        </w:tc>
      </w:tr>
      <w:tr w:rsidR="00A72A92" w:rsidTr="006D23DC">
        <w:tc>
          <w:tcPr>
            <w:tcW w:w="0" w:type="auto"/>
            <w:gridSpan w:val="2"/>
            <w:tcBorders>
              <w:left w:val="nil"/>
              <w:right w:val="nil"/>
            </w:tcBorders>
            <w:hideMark/>
          </w:tcPr>
          <w:p w:rsidR="00A72A92" w:rsidP="006D23DC" w:rsidRDefault="00A72A92">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A72A92" w:rsidP="006D23DC" w:rsidRDefault="00A72A92">
            <w:pPr>
              <w:jc w:val="right"/>
              <w:rPr>
                <w:rFonts w:ascii="Verdana" w:hAnsi="Verdana"/>
                <w:sz w:val="18"/>
                <w:szCs w:val="18"/>
              </w:rPr>
            </w:pPr>
            <w:r>
              <w:rPr>
                <w:rFonts w:ascii="Verdana" w:hAnsi="Verdana"/>
                <w:sz w:val="18"/>
                <w:szCs w:val="18"/>
              </w:rPr>
              <w:t>7,2</w:t>
            </w:r>
          </w:p>
        </w:tc>
      </w:tr>
    </w:tbl>
    <w:p w:rsidR="00A72A92" w:rsidRDefault="00A72A92">
      <w:pPr>
        <w:rPr>
          <w:rFonts w:ascii="Verdana" w:hAnsi="Verdana" w:cs="Verdana"/>
          <w:b/>
          <w:bCs/>
          <w:sz w:val="18"/>
          <w:szCs w:val="18"/>
        </w:rPr>
      </w:pPr>
    </w:p>
    <w:p w:rsidR="006D6F24" w:rsidRDefault="006D6F24">
      <w:pPr>
        <w:rPr>
          <w:rFonts w:ascii="Verdana" w:hAnsi="Verdana" w:cs="Verdana"/>
          <w:b/>
          <w:bCs/>
          <w:sz w:val="18"/>
          <w:szCs w:val="18"/>
        </w:rPr>
      </w:pPr>
    </w:p>
    <w:p w:rsidRPr="006D6F24" w:rsidR="006D6F24" w:rsidP="006D6F24" w:rsidRDefault="006D6F24">
      <w:pPr>
        <w:spacing w:line="240" w:lineRule="exact"/>
        <w:rPr>
          <w:rFonts w:ascii="Verdana" w:hAnsi="Verdana"/>
          <w:bCs/>
          <w:i/>
          <w:sz w:val="18"/>
          <w:szCs w:val="18"/>
        </w:rPr>
      </w:pPr>
      <w:r w:rsidRPr="006D6F24">
        <w:rPr>
          <w:rFonts w:ascii="Verdana" w:hAnsi="Verdana"/>
          <w:bCs/>
          <w:i/>
          <w:sz w:val="18"/>
          <w:szCs w:val="18"/>
        </w:rPr>
        <w:t>Diversen (Mee- en tegenvallers – uitgaven)</w:t>
      </w:r>
    </w:p>
    <w:p w:rsidRPr="006D6F24" w:rsidR="006D6F24" w:rsidP="006D6F24" w:rsidRDefault="006D6F24">
      <w:pPr>
        <w:spacing w:line="240" w:lineRule="exact"/>
        <w:rPr>
          <w:rFonts w:ascii="Verdana" w:hAnsi="Verdana"/>
          <w:bCs/>
          <w:sz w:val="18"/>
          <w:szCs w:val="18"/>
        </w:rPr>
      </w:pPr>
      <w:r w:rsidRPr="006D6F24">
        <w:rPr>
          <w:rFonts w:ascii="Verdana" w:hAnsi="Verdana"/>
          <w:bCs/>
          <w:sz w:val="18"/>
          <w:szCs w:val="18"/>
        </w:rPr>
        <w:t>De Vreemdelingenkamer van de Raad van State doet in 2015 minder hoger beroepszaken af dan voorzien.</w:t>
      </w:r>
    </w:p>
    <w:p w:rsidR="00D57CD6" w:rsidRDefault="00D57CD6">
      <w:pPr>
        <w:rPr>
          <w:rFonts w:ascii="Verdana" w:hAnsi="Verdana" w:cs="Verdana"/>
          <w:b/>
          <w:bCs/>
          <w:sz w:val="18"/>
          <w:szCs w:val="18"/>
        </w:rPr>
      </w:pPr>
      <w:r>
        <w:rPr>
          <w:rFonts w:ascii="Verdana" w:hAnsi="Verdana" w:cs="Verdana"/>
          <w:b/>
          <w:bCs/>
          <w:sz w:val="18"/>
          <w:szCs w:val="18"/>
        </w:rPr>
        <w:br w:type="page"/>
      </w:r>
    </w:p>
    <w:p w:rsidRPr="00533D5C" w:rsidR="00512EDB" w:rsidP="00533D5C" w:rsidRDefault="00C05141">
      <w:pPr>
        <w:spacing w:line="240" w:lineRule="exact"/>
        <w:rPr>
          <w:rFonts w:ascii="Verdana" w:hAnsi="Verdana" w:cs="Verdana"/>
          <w:b/>
          <w:bCs/>
          <w:sz w:val="18"/>
          <w:szCs w:val="18"/>
        </w:rPr>
      </w:pPr>
      <w:r w:rsidRPr="00533D5C">
        <w:rPr>
          <w:rFonts w:ascii="Verdana" w:hAnsi="Verdana" w:cs="Verdana"/>
          <w:b/>
          <w:bCs/>
          <w:sz w:val="18"/>
          <w:szCs w:val="18"/>
        </w:rPr>
        <w:lastRenderedPageBreak/>
        <w:t>Algemene Zaken</w:t>
      </w:r>
      <w:bookmarkEnd w:id="0"/>
      <w:r w:rsidRPr="00533D5C" w:rsidR="00C811E5">
        <w:rPr>
          <w:rFonts w:ascii="Verdana" w:hAnsi="Verdana" w:cs="Verdana"/>
          <w:b/>
          <w:bCs/>
          <w:sz w:val="18"/>
          <w:szCs w:val="18"/>
        </w:rPr>
        <w:t xml:space="preserve"> </w:t>
      </w:r>
    </w:p>
    <w:tbl>
      <w:tblPr>
        <w:tblW w:w="0" w:type="auto"/>
        <w:tblCellMar>
          <w:top w:w="15" w:type="dxa"/>
          <w:left w:w="15" w:type="dxa"/>
          <w:bottom w:w="15" w:type="dxa"/>
          <w:right w:w="15" w:type="dxa"/>
        </w:tblCellMar>
        <w:tblLook w:val="04A0"/>
      </w:tblPr>
      <w:tblGrid>
        <w:gridCol w:w="8244"/>
        <w:gridCol w:w="858"/>
      </w:tblGrid>
      <w:tr w:rsidR="005315C4" w:rsidTr="005315C4">
        <w:tc>
          <w:tcPr>
            <w:tcW w:w="8244" w:type="dxa"/>
            <w:tcBorders>
              <w:left w:val="nil"/>
              <w:right w:val="nil"/>
            </w:tcBorders>
            <w:hideMark/>
          </w:tcPr>
          <w:p w:rsidR="005315C4" w:rsidP="006D23DC" w:rsidRDefault="005315C4">
            <w:pPr>
              <w:rPr>
                <w:rFonts w:ascii="Verdana" w:hAnsi="Verdana"/>
                <w:sz w:val="18"/>
                <w:szCs w:val="18"/>
              </w:rPr>
            </w:pPr>
            <w:r>
              <w:rPr>
                <w:rFonts w:ascii="Verdana" w:hAnsi="Verdana"/>
                <w:sz w:val="18"/>
                <w:szCs w:val="18"/>
              </w:rPr>
              <w:t> </w:t>
            </w:r>
          </w:p>
        </w:tc>
        <w:tc>
          <w:tcPr>
            <w:tcW w:w="858" w:type="dxa"/>
            <w:tcBorders>
              <w:left w:val="nil"/>
              <w:right w:val="nil"/>
            </w:tcBorders>
            <w:hideMark/>
          </w:tcPr>
          <w:p w:rsidR="005315C4" w:rsidP="006D23DC" w:rsidRDefault="005315C4">
            <w:pPr>
              <w:rPr>
                <w:rFonts w:ascii="Verdana" w:hAnsi="Verdana"/>
                <w:sz w:val="18"/>
                <w:szCs w:val="18"/>
              </w:rPr>
            </w:pPr>
            <w:r>
              <w:rPr>
                <w:rFonts w:ascii="Verdana" w:hAnsi="Verdana"/>
                <w:sz w:val="18"/>
                <w:szCs w:val="18"/>
              </w:rPr>
              <w:t> </w:t>
            </w:r>
          </w:p>
        </w:tc>
      </w:tr>
      <w:tr w:rsidR="005315C4" w:rsidTr="006D23DC">
        <w:tc>
          <w:tcPr>
            <w:tcW w:w="0" w:type="auto"/>
            <w:tcBorders>
              <w:left w:val="nil"/>
              <w:right w:val="nil"/>
            </w:tcBorders>
            <w:hideMark/>
          </w:tcPr>
          <w:p w:rsidR="005315C4" w:rsidP="006D23DC" w:rsidRDefault="005315C4">
            <w:pPr>
              <w:rPr>
                <w:rFonts w:ascii="Verdana" w:hAnsi="Verdana"/>
                <w:sz w:val="18"/>
                <w:szCs w:val="18"/>
              </w:rPr>
            </w:pPr>
            <w:r>
              <w:rPr>
                <w:rFonts w:ascii="Verdana" w:hAnsi="Verdana"/>
                <w:sz w:val="18"/>
                <w:szCs w:val="18"/>
              </w:rPr>
              <w:t>III ALGEMENE ZAKEN: UITGAVEN</w:t>
            </w:r>
          </w:p>
        </w:tc>
        <w:tc>
          <w:tcPr>
            <w:tcW w:w="0" w:type="auto"/>
            <w:hideMark/>
          </w:tcPr>
          <w:p w:rsidR="005315C4" w:rsidP="006D23DC" w:rsidRDefault="005315C4">
            <w:pPr>
              <w:rPr>
                <w:sz w:val="20"/>
                <w:szCs w:val="20"/>
              </w:rPr>
            </w:pPr>
          </w:p>
        </w:tc>
      </w:tr>
      <w:tr w:rsidR="005315C4" w:rsidTr="006D23DC">
        <w:tc>
          <w:tcPr>
            <w:tcW w:w="0" w:type="auto"/>
            <w:tcBorders>
              <w:top w:val="single" w:color="000000" w:sz="6" w:space="0"/>
              <w:left w:val="nil"/>
              <w:bottom w:val="single" w:color="000000" w:sz="6" w:space="0"/>
              <w:right w:val="nil"/>
            </w:tcBorders>
            <w:hideMark/>
          </w:tcPr>
          <w:p w:rsidR="005315C4" w:rsidP="006D23DC" w:rsidRDefault="005315C4">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5315C4" w:rsidP="006D23DC" w:rsidRDefault="005315C4">
            <w:pPr>
              <w:jc w:val="right"/>
              <w:rPr>
                <w:rFonts w:ascii="Verdana" w:hAnsi="Verdana"/>
                <w:sz w:val="18"/>
                <w:szCs w:val="18"/>
              </w:rPr>
            </w:pPr>
            <w:r>
              <w:rPr>
                <w:rFonts w:ascii="Verdana" w:hAnsi="Verdana"/>
                <w:sz w:val="18"/>
                <w:szCs w:val="18"/>
              </w:rPr>
              <w:t>2015</w:t>
            </w:r>
          </w:p>
        </w:tc>
      </w:tr>
      <w:tr w:rsidR="005315C4" w:rsidTr="006D23DC">
        <w:tc>
          <w:tcPr>
            <w:tcW w:w="0" w:type="auto"/>
            <w:tcBorders>
              <w:left w:val="nil"/>
              <w:right w:val="nil"/>
            </w:tcBorders>
            <w:hideMark/>
          </w:tcPr>
          <w:p w:rsidR="005315C4" w:rsidP="006D23DC" w:rsidRDefault="005315C4">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5315C4" w:rsidP="006D23DC" w:rsidRDefault="005315C4">
            <w:pPr>
              <w:jc w:val="right"/>
              <w:rPr>
                <w:rFonts w:ascii="Verdana" w:hAnsi="Verdana"/>
                <w:sz w:val="18"/>
                <w:szCs w:val="18"/>
              </w:rPr>
            </w:pPr>
            <w:r>
              <w:rPr>
                <w:rFonts w:ascii="Verdana" w:hAnsi="Verdana"/>
                <w:sz w:val="18"/>
                <w:szCs w:val="18"/>
              </w:rPr>
              <w:t>64,6</w:t>
            </w:r>
          </w:p>
        </w:tc>
      </w:tr>
      <w:tr w:rsidR="005315C4" w:rsidTr="006D23DC">
        <w:tc>
          <w:tcPr>
            <w:tcW w:w="0" w:type="auto"/>
            <w:tcBorders>
              <w:left w:val="nil"/>
              <w:right w:val="nil"/>
            </w:tcBorders>
            <w:hideMark/>
          </w:tcPr>
          <w:p w:rsidR="005315C4" w:rsidP="006D23DC" w:rsidRDefault="005315C4">
            <w:pPr>
              <w:rPr>
                <w:rFonts w:ascii="Verdana" w:hAnsi="Verdana"/>
                <w:sz w:val="18"/>
                <w:szCs w:val="18"/>
              </w:rPr>
            </w:pPr>
            <w:r>
              <w:rPr>
                <w:rFonts w:ascii="Verdana" w:hAnsi="Verdana"/>
                <w:sz w:val="18"/>
                <w:szCs w:val="18"/>
              </w:rPr>
              <w:t>Beleidsmatige mutaties</w:t>
            </w:r>
          </w:p>
        </w:tc>
        <w:tc>
          <w:tcPr>
            <w:tcW w:w="0" w:type="auto"/>
            <w:hideMark/>
          </w:tcPr>
          <w:p w:rsidR="005315C4" w:rsidP="006D23DC" w:rsidRDefault="005315C4">
            <w:pPr>
              <w:rPr>
                <w:sz w:val="20"/>
                <w:szCs w:val="20"/>
              </w:rPr>
            </w:pPr>
          </w:p>
        </w:tc>
      </w:tr>
      <w:tr w:rsidR="005315C4" w:rsidTr="006D23DC">
        <w:tc>
          <w:tcPr>
            <w:tcW w:w="0" w:type="auto"/>
            <w:tcBorders>
              <w:left w:val="nil"/>
              <w:right w:val="nil"/>
            </w:tcBorders>
            <w:tcMar>
              <w:top w:w="15" w:type="dxa"/>
              <w:left w:w="180" w:type="dxa"/>
              <w:bottom w:w="15" w:type="dxa"/>
              <w:right w:w="15" w:type="dxa"/>
            </w:tcMar>
            <w:vAlign w:val="both"/>
            <w:hideMark/>
          </w:tcPr>
          <w:p w:rsidR="005315C4" w:rsidP="006D23DC" w:rsidRDefault="005315C4">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5315C4" w:rsidP="006D23DC" w:rsidRDefault="005315C4">
            <w:pPr>
              <w:rPr>
                <w:sz w:val="20"/>
                <w:szCs w:val="20"/>
              </w:rPr>
            </w:pPr>
          </w:p>
        </w:tc>
      </w:tr>
      <w:tr w:rsidR="005315C4" w:rsidTr="006D23DC">
        <w:tc>
          <w:tcPr>
            <w:tcW w:w="0" w:type="auto"/>
            <w:tcBorders>
              <w:left w:val="nil"/>
              <w:right w:val="nil"/>
            </w:tcBorders>
            <w:tcMar>
              <w:top w:w="15" w:type="dxa"/>
              <w:left w:w="360" w:type="dxa"/>
              <w:bottom w:w="15" w:type="dxa"/>
              <w:right w:w="15" w:type="dxa"/>
            </w:tcMar>
            <w:vAlign w:val="both"/>
            <w:hideMark/>
          </w:tcPr>
          <w:p w:rsidR="005315C4" w:rsidP="006D23DC" w:rsidRDefault="005315C4">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5315C4" w:rsidP="006D23DC" w:rsidRDefault="005315C4">
            <w:pPr>
              <w:jc w:val="right"/>
              <w:rPr>
                <w:rFonts w:ascii="Verdana" w:hAnsi="Verdana"/>
                <w:sz w:val="18"/>
                <w:szCs w:val="18"/>
              </w:rPr>
            </w:pPr>
            <w:r>
              <w:rPr>
                <w:rFonts w:ascii="Verdana" w:hAnsi="Verdana"/>
                <w:sz w:val="18"/>
                <w:szCs w:val="18"/>
              </w:rPr>
              <w:t>-0,7</w:t>
            </w:r>
          </w:p>
        </w:tc>
      </w:tr>
      <w:tr w:rsidR="005315C4" w:rsidTr="006D23DC">
        <w:tc>
          <w:tcPr>
            <w:tcW w:w="0" w:type="auto"/>
            <w:tcBorders>
              <w:left w:val="nil"/>
              <w:right w:val="nil"/>
            </w:tcBorders>
            <w:hideMark/>
          </w:tcPr>
          <w:p w:rsidR="005315C4" w:rsidP="006D23DC" w:rsidRDefault="005315C4">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5315C4" w:rsidP="006D23DC" w:rsidRDefault="005315C4">
            <w:pPr>
              <w:jc w:val="right"/>
              <w:rPr>
                <w:rFonts w:ascii="Verdana" w:hAnsi="Verdana"/>
                <w:sz w:val="18"/>
                <w:szCs w:val="18"/>
              </w:rPr>
            </w:pPr>
            <w:r>
              <w:rPr>
                <w:rFonts w:ascii="Verdana" w:hAnsi="Verdana"/>
                <w:sz w:val="18"/>
                <w:szCs w:val="18"/>
              </w:rPr>
              <w:t>-0,7</w:t>
            </w:r>
          </w:p>
        </w:tc>
      </w:tr>
      <w:tr w:rsidR="005315C4" w:rsidTr="006D23DC">
        <w:tc>
          <w:tcPr>
            <w:tcW w:w="0" w:type="auto"/>
            <w:tcBorders>
              <w:left w:val="nil"/>
              <w:right w:val="nil"/>
            </w:tcBorders>
            <w:hideMark/>
          </w:tcPr>
          <w:p w:rsidR="005315C4" w:rsidP="006D23DC" w:rsidRDefault="005315C4">
            <w:pPr>
              <w:rPr>
                <w:rFonts w:ascii="Verdana" w:hAnsi="Verdana"/>
                <w:sz w:val="18"/>
                <w:szCs w:val="18"/>
              </w:rPr>
            </w:pPr>
            <w:r>
              <w:rPr>
                <w:rFonts w:ascii="Verdana" w:hAnsi="Verdana"/>
                <w:sz w:val="18"/>
                <w:szCs w:val="18"/>
              </w:rPr>
              <w:t>Technische mutaties</w:t>
            </w:r>
          </w:p>
        </w:tc>
        <w:tc>
          <w:tcPr>
            <w:tcW w:w="0" w:type="auto"/>
            <w:hideMark/>
          </w:tcPr>
          <w:p w:rsidR="005315C4" w:rsidP="006D23DC" w:rsidRDefault="005315C4">
            <w:pPr>
              <w:rPr>
                <w:sz w:val="20"/>
                <w:szCs w:val="20"/>
              </w:rPr>
            </w:pPr>
          </w:p>
        </w:tc>
      </w:tr>
      <w:tr w:rsidR="005315C4" w:rsidTr="006D23DC">
        <w:tc>
          <w:tcPr>
            <w:tcW w:w="0" w:type="auto"/>
            <w:tcBorders>
              <w:left w:val="nil"/>
              <w:right w:val="nil"/>
            </w:tcBorders>
            <w:tcMar>
              <w:top w:w="15" w:type="dxa"/>
              <w:left w:w="180" w:type="dxa"/>
              <w:bottom w:w="15" w:type="dxa"/>
              <w:right w:w="15" w:type="dxa"/>
            </w:tcMar>
            <w:vAlign w:val="both"/>
            <w:hideMark/>
          </w:tcPr>
          <w:p w:rsidR="005315C4" w:rsidP="006D23DC" w:rsidRDefault="005315C4">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5315C4" w:rsidP="006D23DC" w:rsidRDefault="005315C4">
            <w:pPr>
              <w:rPr>
                <w:sz w:val="20"/>
                <w:szCs w:val="20"/>
              </w:rPr>
            </w:pPr>
          </w:p>
        </w:tc>
      </w:tr>
      <w:tr w:rsidR="005315C4" w:rsidTr="006D23DC">
        <w:tc>
          <w:tcPr>
            <w:tcW w:w="0" w:type="auto"/>
            <w:tcBorders>
              <w:left w:val="nil"/>
              <w:right w:val="nil"/>
            </w:tcBorders>
            <w:tcMar>
              <w:top w:w="15" w:type="dxa"/>
              <w:left w:w="360" w:type="dxa"/>
              <w:bottom w:w="15" w:type="dxa"/>
              <w:right w:w="15" w:type="dxa"/>
            </w:tcMar>
            <w:vAlign w:val="both"/>
            <w:hideMark/>
          </w:tcPr>
          <w:p w:rsidR="005315C4" w:rsidP="006D23DC" w:rsidRDefault="005315C4">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5315C4" w:rsidP="006D23DC" w:rsidRDefault="005315C4">
            <w:pPr>
              <w:jc w:val="right"/>
              <w:rPr>
                <w:rFonts w:ascii="Verdana" w:hAnsi="Verdana"/>
                <w:sz w:val="18"/>
                <w:szCs w:val="18"/>
              </w:rPr>
            </w:pPr>
            <w:r>
              <w:rPr>
                <w:rFonts w:ascii="Verdana" w:hAnsi="Verdana"/>
                <w:sz w:val="18"/>
                <w:szCs w:val="18"/>
              </w:rPr>
              <w:t>-2,0</w:t>
            </w:r>
          </w:p>
        </w:tc>
      </w:tr>
      <w:tr w:rsidR="005315C4" w:rsidTr="006D23DC">
        <w:tc>
          <w:tcPr>
            <w:tcW w:w="0" w:type="auto"/>
            <w:tcBorders>
              <w:left w:val="nil"/>
              <w:right w:val="nil"/>
            </w:tcBorders>
            <w:hideMark/>
          </w:tcPr>
          <w:p w:rsidR="005315C4" w:rsidP="006D23DC" w:rsidRDefault="005315C4">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5315C4" w:rsidP="006D23DC" w:rsidRDefault="005315C4">
            <w:pPr>
              <w:jc w:val="right"/>
              <w:rPr>
                <w:rFonts w:ascii="Verdana" w:hAnsi="Verdana"/>
                <w:sz w:val="18"/>
                <w:szCs w:val="18"/>
              </w:rPr>
            </w:pPr>
            <w:r>
              <w:rPr>
                <w:rFonts w:ascii="Verdana" w:hAnsi="Verdana"/>
                <w:sz w:val="18"/>
                <w:szCs w:val="18"/>
              </w:rPr>
              <w:t>-2,0</w:t>
            </w:r>
          </w:p>
        </w:tc>
      </w:tr>
      <w:tr w:rsidR="005315C4" w:rsidTr="006D23DC">
        <w:tc>
          <w:tcPr>
            <w:tcW w:w="0" w:type="auto"/>
            <w:tcBorders>
              <w:left w:val="nil"/>
              <w:right w:val="nil"/>
            </w:tcBorders>
            <w:hideMark/>
          </w:tcPr>
          <w:p w:rsidR="005315C4" w:rsidP="006D23DC" w:rsidRDefault="005315C4">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5315C4" w:rsidP="006D23DC" w:rsidRDefault="005315C4">
            <w:pPr>
              <w:jc w:val="right"/>
              <w:rPr>
                <w:rFonts w:ascii="Verdana" w:hAnsi="Verdana"/>
                <w:sz w:val="18"/>
                <w:szCs w:val="18"/>
              </w:rPr>
            </w:pPr>
            <w:r>
              <w:rPr>
                <w:rFonts w:ascii="Verdana" w:hAnsi="Verdana"/>
                <w:sz w:val="18"/>
                <w:szCs w:val="18"/>
              </w:rPr>
              <w:t>-2,7</w:t>
            </w:r>
          </w:p>
        </w:tc>
      </w:tr>
      <w:tr w:rsidR="005315C4" w:rsidTr="006D23DC">
        <w:tc>
          <w:tcPr>
            <w:tcW w:w="0" w:type="auto"/>
            <w:tcBorders>
              <w:left w:val="nil"/>
              <w:right w:val="nil"/>
            </w:tcBorders>
            <w:hideMark/>
          </w:tcPr>
          <w:p w:rsidR="005315C4" w:rsidP="006D23DC" w:rsidRDefault="005315C4">
            <w:pPr>
              <w:rPr>
                <w:rFonts w:ascii="Verdana" w:hAnsi="Verdana"/>
                <w:sz w:val="18"/>
                <w:szCs w:val="18"/>
              </w:rPr>
            </w:pPr>
            <w:r>
              <w:rPr>
                <w:rFonts w:ascii="Verdana" w:hAnsi="Verdana"/>
                <w:sz w:val="18"/>
                <w:szCs w:val="18"/>
              </w:rPr>
              <w:t> </w:t>
            </w:r>
          </w:p>
        </w:tc>
        <w:tc>
          <w:tcPr>
            <w:tcW w:w="0" w:type="auto"/>
            <w:hideMark/>
          </w:tcPr>
          <w:p w:rsidR="005315C4" w:rsidP="006D23DC" w:rsidRDefault="005315C4">
            <w:pPr>
              <w:rPr>
                <w:sz w:val="20"/>
                <w:szCs w:val="20"/>
              </w:rPr>
            </w:pPr>
          </w:p>
        </w:tc>
      </w:tr>
      <w:tr w:rsidR="005315C4" w:rsidTr="006D23DC">
        <w:tc>
          <w:tcPr>
            <w:tcW w:w="0" w:type="auto"/>
            <w:tcBorders>
              <w:left w:val="nil"/>
              <w:right w:val="nil"/>
            </w:tcBorders>
            <w:hideMark/>
          </w:tcPr>
          <w:p w:rsidR="005315C4" w:rsidP="006D23DC" w:rsidRDefault="005315C4">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5315C4" w:rsidP="006D23DC" w:rsidRDefault="005315C4">
            <w:pPr>
              <w:jc w:val="right"/>
              <w:rPr>
                <w:rFonts w:ascii="Verdana" w:hAnsi="Verdana"/>
                <w:sz w:val="18"/>
                <w:szCs w:val="18"/>
              </w:rPr>
            </w:pPr>
            <w:r>
              <w:rPr>
                <w:rFonts w:ascii="Verdana" w:hAnsi="Verdana"/>
                <w:sz w:val="18"/>
                <w:szCs w:val="18"/>
              </w:rPr>
              <w:t>61,9</w:t>
            </w:r>
          </w:p>
        </w:tc>
      </w:tr>
      <w:tr w:rsidR="005315C4" w:rsidTr="006D23DC">
        <w:tc>
          <w:tcPr>
            <w:tcW w:w="0" w:type="auto"/>
            <w:tcBorders>
              <w:left w:val="nil"/>
              <w:right w:val="nil"/>
            </w:tcBorders>
            <w:hideMark/>
          </w:tcPr>
          <w:p w:rsidR="005315C4" w:rsidP="006D23DC" w:rsidRDefault="005315C4">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5315C4" w:rsidP="006D23DC" w:rsidRDefault="005315C4">
            <w:pPr>
              <w:jc w:val="right"/>
              <w:rPr>
                <w:rFonts w:ascii="Verdana" w:hAnsi="Verdana"/>
                <w:sz w:val="18"/>
                <w:szCs w:val="18"/>
              </w:rPr>
            </w:pPr>
            <w:r>
              <w:rPr>
                <w:rFonts w:ascii="Verdana" w:hAnsi="Verdana"/>
                <w:sz w:val="18"/>
                <w:szCs w:val="18"/>
              </w:rPr>
              <w:t>0,0</w:t>
            </w:r>
          </w:p>
        </w:tc>
      </w:tr>
      <w:tr w:rsidR="005315C4" w:rsidTr="006D23DC">
        <w:tc>
          <w:tcPr>
            <w:tcW w:w="0" w:type="auto"/>
            <w:tcBorders>
              <w:left w:val="nil"/>
              <w:right w:val="nil"/>
            </w:tcBorders>
            <w:hideMark/>
          </w:tcPr>
          <w:p w:rsidR="005315C4" w:rsidP="006D23DC" w:rsidRDefault="005315C4">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5315C4" w:rsidP="006D23DC" w:rsidRDefault="005315C4">
            <w:pPr>
              <w:jc w:val="right"/>
              <w:rPr>
                <w:rFonts w:ascii="Verdana" w:hAnsi="Verdana"/>
                <w:sz w:val="18"/>
                <w:szCs w:val="18"/>
              </w:rPr>
            </w:pPr>
            <w:r>
              <w:rPr>
                <w:rFonts w:ascii="Verdana" w:hAnsi="Verdana"/>
                <w:sz w:val="18"/>
                <w:szCs w:val="18"/>
              </w:rPr>
              <w:t>61,9</w:t>
            </w:r>
          </w:p>
        </w:tc>
      </w:tr>
      <w:tr w:rsidR="005315C4" w:rsidTr="005315C4">
        <w:tc>
          <w:tcPr>
            <w:tcW w:w="8249" w:type="dxa"/>
            <w:tcBorders>
              <w:left w:val="nil"/>
              <w:right w:val="nil"/>
            </w:tcBorders>
            <w:hideMark/>
          </w:tcPr>
          <w:p w:rsidR="005315C4" w:rsidP="006D23DC" w:rsidRDefault="005315C4">
            <w:pPr>
              <w:rPr>
                <w:rFonts w:ascii="Verdana" w:hAnsi="Verdana"/>
                <w:sz w:val="18"/>
                <w:szCs w:val="18"/>
              </w:rPr>
            </w:pPr>
            <w:r>
              <w:rPr>
                <w:rFonts w:ascii="Verdana" w:hAnsi="Verdana"/>
                <w:sz w:val="18"/>
                <w:szCs w:val="18"/>
              </w:rPr>
              <w:t> </w:t>
            </w:r>
          </w:p>
        </w:tc>
        <w:tc>
          <w:tcPr>
            <w:tcW w:w="853" w:type="dxa"/>
            <w:tcBorders>
              <w:left w:val="nil"/>
              <w:right w:val="nil"/>
            </w:tcBorders>
            <w:hideMark/>
          </w:tcPr>
          <w:p w:rsidR="005315C4" w:rsidP="006D23DC" w:rsidRDefault="005315C4">
            <w:pPr>
              <w:rPr>
                <w:rFonts w:ascii="Verdana" w:hAnsi="Verdana"/>
                <w:sz w:val="18"/>
                <w:szCs w:val="18"/>
              </w:rPr>
            </w:pPr>
            <w:r>
              <w:rPr>
                <w:rFonts w:ascii="Verdana" w:hAnsi="Verdana"/>
                <w:sz w:val="18"/>
                <w:szCs w:val="18"/>
              </w:rPr>
              <w:t> </w:t>
            </w:r>
          </w:p>
        </w:tc>
      </w:tr>
      <w:tr w:rsidR="005315C4" w:rsidTr="006D23DC">
        <w:tc>
          <w:tcPr>
            <w:tcW w:w="0" w:type="auto"/>
            <w:tcBorders>
              <w:left w:val="nil"/>
              <w:right w:val="nil"/>
            </w:tcBorders>
            <w:hideMark/>
          </w:tcPr>
          <w:p w:rsidR="005315C4" w:rsidP="006D23DC" w:rsidRDefault="005315C4">
            <w:pPr>
              <w:rPr>
                <w:rFonts w:ascii="Verdana" w:hAnsi="Verdana"/>
                <w:sz w:val="18"/>
                <w:szCs w:val="18"/>
              </w:rPr>
            </w:pPr>
            <w:r>
              <w:rPr>
                <w:rFonts w:ascii="Verdana" w:hAnsi="Verdana"/>
                <w:sz w:val="18"/>
                <w:szCs w:val="18"/>
              </w:rPr>
              <w:t>III ALGEMENE ZAKEN: NIET-BELASTINGONTVANGSTEN</w:t>
            </w:r>
          </w:p>
        </w:tc>
        <w:tc>
          <w:tcPr>
            <w:tcW w:w="0" w:type="auto"/>
            <w:hideMark/>
          </w:tcPr>
          <w:p w:rsidR="005315C4" w:rsidP="006D23DC" w:rsidRDefault="005315C4">
            <w:pPr>
              <w:rPr>
                <w:sz w:val="20"/>
                <w:szCs w:val="20"/>
              </w:rPr>
            </w:pPr>
          </w:p>
        </w:tc>
      </w:tr>
      <w:tr w:rsidR="005315C4" w:rsidTr="006D23DC">
        <w:tc>
          <w:tcPr>
            <w:tcW w:w="0" w:type="auto"/>
            <w:tcBorders>
              <w:top w:val="single" w:color="000000" w:sz="6" w:space="0"/>
              <w:left w:val="nil"/>
              <w:bottom w:val="single" w:color="000000" w:sz="6" w:space="0"/>
              <w:right w:val="nil"/>
            </w:tcBorders>
            <w:hideMark/>
          </w:tcPr>
          <w:p w:rsidR="005315C4" w:rsidP="006D23DC" w:rsidRDefault="005315C4">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5315C4" w:rsidP="006D23DC" w:rsidRDefault="005315C4">
            <w:pPr>
              <w:jc w:val="right"/>
              <w:rPr>
                <w:rFonts w:ascii="Verdana" w:hAnsi="Verdana"/>
                <w:sz w:val="18"/>
                <w:szCs w:val="18"/>
              </w:rPr>
            </w:pPr>
            <w:r>
              <w:rPr>
                <w:rFonts w:ascii="Verdana" w:hAnsi="Verdana"/>
                <w:sz w:val="18"/>
                <w:szCs w:val="18"/>
              </w:rPr>
              <w:t>2015</w:t>
            </w:r>
          </w:p>
        </w:tc>
      </w:tr>
      <w:tr w:rsidR="005315C4" w:rsidTr="006D23DC">
        <w:tc>
          <w:tcPr>
            <w:tcW w:w="0" w:type="auto"/>
            <w:tcBorders>
              <w:left w:val="nil"/>
              <w:right w:val="nil"/>
            </w:tcBorders>
            <w:hideMark/>
          </w:tcPr>
          <w:p w:rsidR="005315C4" w:rsidP="006D23DC" w:rsidRDefault="005315C4">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5315C4" w:rsidP="006D23DC" w:rsidRDefault="005315C4">
            <w:pPr>
              <w:jc w:val="right"/>
              <w:rPr>
                <w:rFonts w:ascii="Verdana" w:hAnsi="Verdana"/>
                <w:sz w:val="18"/>
                <w:szCs w:val="18"/>
              </w:rPr>
            </w:pPr>
            <w:r>
              <w:rPr>
                <w:rFonts w:ascii="Verdana" w:hAnsi="Verdana"/>
                <w:sz w:val="18"/>
                <w:szCs w:val="18"/>
              </w:rPr>
              <w:t>7,1</w:t>
            </w:r>
          </w:p>
        </w:tc>
      </w:tr>
      <w:tr w:rsidR="005315C4" w:rsidTr="006D23DC">
        <w:tc>
          <w:tcPr>
            <w:tcW w:w="0" w:type="auto"/>
            <w:tcBorders>
              <w:left w:val="nil"/>
              <w:right w:val="nil"/>
            </w:tcBorders>
            <w:hideMark/>
          </w:tcPr>
          <w:p w:rsidR="005315C4" w:rsidP="006D23DC" w:rsidRDefault="005315C4">
            <w:pPr>
              <w:rPr>
                <w:rFonts w:ascii="Verdana" w:hAnsi="Verdana"/>
                <w:sz w:val="18"/>
                <w:szCs w:val="18"/>
              </w:rPr>
            </w:pPr>
            <w:r>
              <w:rPr>
                <w:rFonts w:ascii="Verdana" w:hAnsi="Verdana"/>
                <w:sz w:val="18"/>
                <w:szCs w:val="18"/>
              </w:rPr>
              <w:t>Beleidsmatige mutaties</w:t>
            </w:r>
          </w:p>
        </w:tc>
        <w:tc>
          <w:tcPr>
            <w:tcW w:w="0" w:type="auto"/>
            <w:hideMark/>
          </w:tcPr>
          <w:p w:rsidR="005315C4" w:rsidP="006D23DC" w:rsidRDefault="005315C4">
            <w:pPr>
              <w:rPr>
                <w:sz w:val="20"/>
                <w:szCs w:val="20"/>
              </w:rPr>
            </w:pPr>
          </w:p>
        </w:tc>
      </w:tr>
      <w:tr w:rsidR="005315C4" w:rsidTr="006D23DC">
        <w:tc>
          <w:tcPr>
            <w:tcW w:w="0" w:type="auto"/>
            <w:tcBorders>
              <w:left w:val="nil"/>
              <w:right w:val="nil"/>
            </w:tcBorders>
            <w:tcMar>
              <w:top w:w="15" w:type="dxa"/>
              <w:left w:w="180" w:type="dxa"/>
              <w:bottom w:w="15" w:type="dxa"/>
              <w:right w:w="15" w:type="dxa"/>
            </w:tcMar>
            <w:vAlign w:val="both"/>
            <w:hideMark/>
          </w:tcPr>
          <w:p w:rsidR="005315C4" w:rsidP="006D23DC" w:rsidRDefault="005315C4">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5315C4" w:rsidP="006D23DC" w:rsidRDefault="005315C4">
            <w:pPr>
              <w:rPr>
                <w:sz w:val="20"/>
                <w:szCs w:val="20"/>
              </w:rPr>
            </w:pPr>
          </w:p>
        </w:tc>
      </w:tr>
      <w:tr w:rsidR="005315C4" w:rsidTr="006D23DC">
        <w:tc>
          <w:tcPr>
            <w:tcW w:w="0" w:type="auto"/>
            <w:tcBorders>
              <w:left w:val="nil"/>
              <w:right w:val="nil"/>
            </w:tcBorders>
            <w:tcMar>
              <w:top w:w="15" w:type="dxa"/>
              <w:left w:w="360" w:type="dxa"/>
              <w:bottom w:w="15" w:type="dxa"/>
              <w:right w:w="15" w:type="dxa"/>
            </w:tcMar>
            <w:vAlign w:val="both"/>
            <w:hideMark/>
          </w:tcPr>
          <w:p w:rsidR="005315C4" w:rsidP="006D23DC" w:rsidRDefault="005315C4">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5315C4" w:rsidP="006D23DC" w:rsidRDefault="005315C4">
            <w:pPr>
              <w:jc w:val="right"/>
              <w:rPr>
                <w:rFonts w:ascii="Verdana" w:hAnsi="Verdana"/>
                <w:sz w:val="18"/>
                <w:szCs w:val="18"/>
              </w:rPr>
            </w:pPr>
            <w:r>
              <w:rPr>
                <w:rFonts w:ascii="Verdana" w:hAnsi="Verdana"/>
                <w:sz w:val="18"/>
                <w:szCs w:val="18"/>
              </w:rPr>
              <w:t>0,0</w:t>
            </w:r>
          </w:p>
        </w:tc>
      </w:tr>
      <w:tr w:rsidR="005315C4" w:rsidTr="006D23DC">
        <w:tc>
          <w:tcPr>
            <w:tcW w:w="0" w:type="auto"/>
            <w:tcBorders>
              <w:left w:val="nil"/>
              <w:right w:val="nil"/>
            </w:tcBorders>
            <w:hideMark/>
          </w:tcPr>
          <w:p w:rsidR="005315C4" w:rsidP="006D23DC" w:rsidRDefault="005315C4">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5315C4" w:rsidP="006D23DC" w:rsidRDefault="005315C4">
            <w:pPr>
              <w:jc w:val="right"/>
              <w:rPr>
                <w:rFonts w:ascii="Verdana" w:hAnsi="Verdana"/>
                <w:sz w:val="18"/>
                <w:szCs w:val="18"/>
              </w:rPr>
            </w:pPr>
            <w:r>
              <w:rPr>
                <w:rFonts w:ascii="Verdana" w:hAnsi="Verdana"/>
                <w:sz w:val="18"/>
                <w:szCs w:val="18"/>
              </w:rPr>
              <w:t>0,0</w:t>
            </w:r>
          </w:p>
        </w:tc>
      </w:tr>
      <w:tr w:rsidR="005315C4" w:rsidTr="006D23DC">
        <w:tc>
          <w:tcPr>
            <w:tcW w:w="0" w:type="auto"/>
            <w:tcBorders>
              <w:left w:val="nil"/>
              <w:right w:val="nil"/>
            </w:tcBorders>
            <w:hideMark/>
          </w:tcPr>
          <w:p w:rsidR="005315C4" w:rsidP="006D23DC" w:rsidRDefault="005315C4">
            <w:pPr>
              <w:rPr>
                <w:rFonts w:ascii="Verdana" w:hAnsi="Verdana"/>
                <w:sz w:val="18"/>
                <w:szCs w:val="18"/>
              </w:rPr>
            </w:pPr>
            <w:r>
              <w:rPr>
                <w:rFonts w:ascii="Verdana" w:hAnsi="Verdana"/>
                <w:sz w:val="18"/>
                <w:szCs w:val="18"/>
              </w:rPr>
              <w:t>Technische mutaties</w:t>
            </w:r>
          </w:p>
        </w:tc>
        <w:tc>
          <w:tcPr>
            <w:tcW w:w="0" w:type="auto"/>
            <w:hideMark/>
          </w:tcPr>
          <w:p w:rsidR="005315C4" w:rsidP="006D23DC" w:rsidRDefault="005315C4">
            <w:pPr>
              <w:rPr>
                <w:sz w:val="20"/>
                <w:szCs w:val="20"/>
              </w:rPr>
            </w:pPr>
          </w:p>
        </w:tc>
      </w:tr>
      <w:tr w:rsidR="005315C4" w:rsidTr="006D23DC">
        <w:tc>
          <w:tcPr>
            <w:tcW w:w="0" w:type="auto"/>
            <w:tcBorders>
              <w:left w:val="nil"/>
              <w:right w:val="nil"/>
            </w:tcBorders>
            <w:tcMar>
              <w:top w:w="15" w:type="dxa"/>
              <w:left w:w="180" w:type="dxa"/>
              <w:bottom w:w="15" w:type="dxa"/>
              <w:right w:w="15" w:type="dxa"/>
            </w:tcMar>
            <w:vAlign w:val="both"/>
            <w:hideMark/>
          </w:tcPr>
          <w:p w:rsidR="005315C4" w:rsidP="006D23DC" w:rsidRDefault="005315C4">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5315C4" w:rsidP="006D23DC" w:rsidRDefault="005315C4">
            <w:pPr>
              <w:rPr>
                <w:sz w:val="20"/>
                <w:szCs w:val="20"/>
              </w:rPr>
            </w:pPr>
          </w:p>
        </w:tc>
      </w:tr>
      <w:tr w:rsidR="005315C4" w:rsidTr="006D23DC">
        <w:tc>
          <w:tcPr>
            <w:tcW w:w="0" w:type="auto"/>
            <w:tcBorders>
              <w:left w:val="nil"/>
              <w:right w:val="nil"/>
            </w:tcBorders>
            <w:tcMar>
              <w:top w:w="15" w:type="dxa"/>
              <w:left w:w="360" w:type="dxa"/>
              <w:bottom w:w="15" w:type="dxa"/>
              <w:right w:w="15" w:type="dxa"/>
            </w:tcMar>
            <w:vAlign w:val="both"/>
            <w:hideMark/>
          </w:tcPr>
          <w:p w:rsidR="005315C4" w:rsidP="006D23DC" w:rsidRDefault="005315C4">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5315C4" w:rsidP="006D23DC" w:rsidRDefault="005315C4">
            <w:pPr>
              <w:jc w:val="right"/>
              <w:rPr>
                <w:rFonts w:ascii="Verdana" w:hAnsi="Verdana"/>
                <w:sz w:val="18"/>
                <w:szCs w:val="18"/>
              </w:rPr>
            </w:pPr>
            <w:r>
              <w:rPr>
                <w:rFonts w:ascii="Verdana" w:hAnsi="Verdana"/>
                <w:sz w:val="18"/>
                <w:szCs w:val="18"/>
              </w:rPr>
              <w:t>0,1</w:t>
            </w:r>
          </w:p>
        </w:tc>
      </w:tr>
      <w:tr w:rsidR="005315C4" w:rsidTr="006D23DC">
        <w:tc>
          <w:tcPr>
            <w:tcW w:w="0" w:type="auto"/>
            <w:tcBorders>
              <w:left w:val="nil"/>
              <w:right w:val="nil"/>
            </w:tcBorders>
            <w:hideMark/>
          </w:tcPr>
          <w:p w:rsidR="005315C4" w:rsidP="006D23DC" w:rsidRDefault="005315C4">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5315C4" w:rsidP="006D23DC" w:rsidRDefault="005315C4">
            <w:pPr>
              <w:jc w:val="right"/>
              <w:rPr>
                <w:rFonts w:ascii="Verdana" w:hAnsi="Verdana"/>
                <w:sz w:val="18"/>
                <w:szCs w:val="18"/>
              </w:rPr>
            </w:pPr>
            <w:r>
              <w:rPr>
                <w:rFonts w:ascii="Verdana" w:hAnsi="Verdana"/>
                <w:sz w:val="18"/>
                <w:szCs w:val="18"/>
              </w:rPr>
              <w:t>0,1</w:t>
            </w:r>
          </w:p>
        </w:tc>
      </w:tr>
      <w:tr w:rsidR="005315C4" w:rsidTr="006D23DC">
        <w:tc>
          <w:tcPr>
            <w:tcW w:w="0" w:type="auto"/>
            <w:tcBorders>
              <w:left w:val="nil"/>
              <w:right w:val="nil"/>
            </w:tcBorders>
            <w:hideMark/>
          </w:tcPr>
          <w:p w:rsidR="005315C4" w:rsidP="006D23DC" w:rsidRDefault="005315C4">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5315C4" w:rsidP="006D23DC" w:rsidRDefault="005315C4">
            <w:pPr>
              <w:jc w:val="right"/>
              <w:rPr>
                <w:rFonts w:ascii="Verdana" w:hAnsi="Verdana"/>
                <w:sz w:val="18"/>
                <w:szCs w:val="18"/>
              </w:rPr>
            </w:pPr>
            <w:r>
              <w:rPr>
                <w:rFonts w:ascii="Verdana" w:hAnsi="Verdana"/>
                <w:sz w:val="18"/>
                <w:szCs w:val="18"/>
              </w:rPr>
              <w:t>0,2</w:t>
            </w:r>
          </w:p>
        </w:tc>
      </w:tr>
      <w:tr w:rsidR="005315C4" w:rsidTr="006D23DC">
        <w:tc>
          <w:tcPr>
            <w:tcW w:w="0" w:type="auto"/>
            <w:tcBorders>
              <w:left w:val="nil"/>
              <w:right w:val="nil"/>
            </w:tcBorders>
            <w:hideMark/>
          </w:tcPr>
          <w:p w:rsidR="005315C4" w:rsidP="006D23DC" w:rsidRDefault="005315C4">
            <w:pPr>
              <w:rPr>
                <w:rFonts w:ascii="Verdana" w:hAnsi="Verdana"/>
                <w:sz w:val="18"/>
                <w:szCs w:val="18"/>
              </w:rPr>
            </w:pPr>
            <w:r>
              <w:rPr>
                <w:rFonts w:ascii="Verdana" w:hAnsi="Verdana"/>
                <w:sz w:val="18"/>
                <w:szCs w:val="18"/>
              </w:rPr>
              <w:t> </w:t>
            </w:r>
          </w:p>
        </w:tc>
        <w:tc>
          <w:tcPr>
            <w:tcW w:w="0" w:type="auto"/>
            <w:hideMark/>
          </w:tcPr>
          <w:p w:rsidR="005315C4" w:rsidP="006D23DC" w:rsidRDefault="005315C4">
            <w:pPr>
              <w:rPr>
                <w:sz w:val="20"/>
                <w:szCs w:val="20"/>
              </w:rPr>
            </w:pPr>
          </w:p>
        </w:tc>
      </w:tr>
      <w:tr w:rsidR="005315C4" w:rsidTr="006D23DC">
        <w:tc>
          <w:tcPr>
            <w:tcW w:w="0" w:type="auto"/>
            <w:tcBorders>
              <w:left w:val="nil"/>
              <w:right w:val="nil"/>
            </w:tcBorders>
            <w:hideMark/>
          </w:tcPr>
          <w:p w:rsidR="005315C4" w:rsidP="006D23DC" w:rsidRDefault="005315C4">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5315C4" w:rsidP="006D23DC" w:rsidRDefault="005315C4">
            <w:pPr>
              <w:jc w:val="right"/>
              <w:rPr>
                <w:rFonts w:ascii="Verdana" w:hAnsi="Verdana"/>
                <w:sz w:val="18"/>
                <w:szCs w:val="18"/>
              </w:rPr>
            </w:pPr>
            <w:r>
              <w:rPr>
                <w:rFonts w:ascii="Verdana" w:hAnsi="Verdana"/>
                <w:sz w:val="18"/>
                <w:szCs w:val="18"/>
              </w:rPr>
              <w:t>7,3</w:t>
            </w:r>
          </w:p>
        </w:tc>
      </w:tr>
      <w:tr w:rsidR="005315C4" w:rsidTr="006D23DC">
        <w:tc>
          <w:tcPr>
            <w:tcW w:w="0" w:type="auto"/>
            <w:tcBorders>
              <w:left w:val="nil"/>
              <w:right w:val="nil"/>
            </w:tcBorders>
            <w:hideMark/>
          </w:tcPr>
          <w:p w:rsidR="005315C4" w:rsidP="006D23DC" w:rsidRDefault="005315C4">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5315C4" w:rsidP="006D23DC" w:rsidRDefault="005315C4">
            <w:pPr>
              <w:jc w:val="right"/>
              <w:rPr>
                <w:rFonts w:ascii="Verdana" w:hAnsi="Verdana"/>
                <w:sz w:val="18"/>
                <w:szCs w:val="18"/>
              </w:rPr>
            </w:pPr>
            <w:r>
              <w:rPr>
                <w:rFonts w:ascii="Verdana" w:hAnsi="Verdana"/>
                <w:sz w:val="18"/>
                <w:szCs w:val="18"/>
              </w:rPr>
              <w:t>0,0</w:t>
            </w:r>
          </w:p>
        </w:tc>
      </w:tr>
      <w:tr w:rsidR="005315C4" w:rsidTr="006D23DC">
        <w:tc>
          <w:tcPr>
            <w:tcW w:w="0" w:type="auto"/>
            <w:tcBorders>
              <w:left w:val="nil"/>
              <w:right w:val="nil"/>
            </w:tcBorders>
            <w:hideMark/>
          </w:tcPr>
          <w:p w:rsidR="005315C4" w:rsidP="006D23DC" w:rsidRDefault="005315C4">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5315C4" w:rsidP="006D23DC" w:rsidRDefault="005315C4">
            <w:pPr>
              <w:jc w:val="right"/>
              <w:rPr>
                <w:rFonts w:ascii="Verdana" w:hAnsi="Verdana"/>
                <w:sz w:val="18"/>
                <w:szCs w:val="18"/>
              </w:rPr>
            </w:pPr>
            <w:r>
              <w:rPr>
                <w:rFonts w:ascii="Verdana" w:hAnsi="Verdana"/>
                <w:sz w:val="18"/>
                <w:szCs w:val="18"/>
              </w:rPr>
              <w:t>7,3</w:t>
            </w:r>
          </w:p>
        </w:tc>
      </w:tr>
    </w:tbl>
    <w:p w:rsidR="005315C4" w:rsidRDefault="005315C4">
      <w:pPr>
        <w:rPr>
          <w:rFonts w:ascii="Verdana" w:hAnsi="Verdana" w:cs="Verdana"/>
          <w:b/>
          <w:bCs/>
          <w:sz w:val="18"/>
          <w:szCs w:val="18"/>
        </w:rPr>
      </w:pPr>
    </w:p>
    <w:p w:rsidRPr="000938DA" w:rsidR="000938DA" w:rsidP="000938DA" w:rsidRDefault="000938DA">
      <w:pPr>
        <w:spacing w:line="240" w:lineRule="exact"/>
        <w:rPr>
          <w:rFonts w:ascii="Verdana" w:hAnsi="Verdana" w:cs="Verdana"/>
          <w:b/>
          <w:bCs/>
          <w:sz w:val="18"/>
          <w:szCs w:val="18"/>
        </w:rPr>
      </w:pPr>
    </w:p>
    <w:p w:rsidRPr="000938DA" w:rsidR="000938DA" w:rsidP="000938DA" w:rsidRDefault="000938DA">
      <w:pPr>
        <w:spacing w:line="240" w:lineRule="exact"/>
        <w:rPr>
          <w:rFonts w:ascii="Verdana" w:hAnsi="Verdana"/>
          <w:color w:val="FF0000"/>
          <w:sz w:val="18"/>
          <w:szCs w:val="18"/>
        </w:rPr>
      </w:pPr>
      <w:r w:rsidRPr="000938DA">
        <w:rPr>
          <w:rFonts w:ascii="Verdana" w:hAnsi="Verdana"/>
          <w:i/>
          <w:sz w:val="18"/>
          <w:szCs w:val="18"/>
        </w:rPr>
        <w:t>Diversen (Beleidsmatige mutaties – uitgaven)</w:t>
      </w:r>
      <w:r w:rsidRPr="000938DA">
        <w:rPr>
          <w:rFonts w:ascii="Verdana" w:hAnsi="Verdana"/>
          <w:sz w:val="18"/>
          <w:szCs w:val="18"/>
        </w:rPr>
        <w:br/>
        <w:t xml:space="preserve">Dit betreft de eindejaarsmarge van AZ. </w:t>
      </w:r>
    </w:p>
    <w:p w:rsidRPr="000938DA" w:rsidR="000938DA" w:rsidP="000938DA" w:rsidRDefault="000938DA">
      <w:pPr>
        <w:spacing w:line="240" w:lineRule="exact"/>
        <w:rPr>
          <w:rFonts w:ascii="Verdana" w:hAnsi="Verdana"/>
          <w:color w:val="FF0000"/>
          <w:sz w:val="18"/>
          <w:szCs w:val="18"/>
        </w:rPr>
      </w:pPr>
    </w:p>
    <w:p w:rsidRPr="000938DA" w:rsidR="000938DA" w:rsidP="000938DA" w:rsidRDefault="000938DA">
      <w:pPr>
        <w:spacing w:line="240" w:lineRule="exact"/>
        <w:rPr>
          <w:rFonts w:ascii="Verdana" w:hAnsi="Verdana"/>
          <w:sz w:val="18"/>
          <w:szCs w:val="18"/>
        </w:rPr>
      </w:pPr>
      <w:r w:rsidRPr="000938DA">
        <w:rPr>
          <w:rFonts w:ascii="Verdana" w:hAnsi="Verdana"/>
          <w:i/>
          <w:sz w:val="18"/>
          <w:szCs w:val="18"/>
        </w:rPr>
        <w:t>Diversen (Technische mutaties – uitgaven)</w:t>
      </w:r>
      <w:r w:rsidRPr="000938DA">
        <w:rPr>
          <w:rFonts w:ascii="Verdana" w:hAnsi="Verdana"/>
          <w:i/>
          <w:sz w:val="18"/>
          <w:szCs w:val="18"/>
        </w:rPr>
        <w:br/>
      </w:r>
      <w:r w:rsidRPr="000938DA">
        <w:rPr>
          <w:rFonts w:ascii="Verdana" w:hAnsi="Verdana"/>
          <w:sz w:val="18"/>
          <w:szCs w:val="18"/>
        </w:rPr>
        <w:t xml:space="preserve">Dit betreft met name een overboeking naar Financiën ten behoeve van </w:t>
      </w:r>
      <w:proofErr w:type="spellStart"/>
      <w:r w:rsidRPr="000938DA">
        <w:rPr>
          <w:rFonts w:ascii="Verdana" w:hAnsi="Verdana"/>
          <w:sz w:val="18"/>
          <w:szCs w:val="18"/>
        </w:rPr>
        <w:t>categorisatiemanagement</w:t>
      </w:r>
      <w:proofErr w:type="spellEnd"/>
      <w:r w:rsidRPr="000938DA">
        <w:rPr>
          <w:rFonts w:ascii="Verdana" w:hAnsi="Verdana"/>
          <w:sz w:val="18"/>
          <w:szCs w:val="18"/>
        </w:rPr>
        <w:t xml:space="preserve">. </w:t>
      </w:r>
    </w:p>
    <w:p w:rsidRPr="000938DA" w:rsidR="000938DA" w:rsidP="000938DA" w:rsidRDefault="000938DA">
      <w:pPr>
        <w:spacing w:line="240" w:lineRule="exact"/>
        <w:rPr>
          <w:rFonts w:ascii="Verdana" w:hAnsi="Verdana"/>
          <w:sz w:val="18"/>
          <w:szCs w:val="18"/>
        </w:rPr>
      </w:pPr>
    </w:p>
    <w:p w:rsidRPr="000938DA" w:rsidR="000938DA" w:rsidP="000938DA" w:rsidRDefault="000938DA">
      <w:pPr>
        <w:pStyle w:val="Geenafstand"/>
        <w:spacing w:line="240" w:lineRule="exact"/>
        <w:rPr>
          <w:rFonts w:ascii="Verdana" w:hAnsi="Verdana"/>
          <w:i/>
          <w:iCs/>
          <w:sz w:val="18"/>
          <w:szCs w:val="18"/>
        </w:rPr>
      </w:pPr>
      <w:r w:rsidRPr="000938DA">
        <w:rPr>
          <w:rFonts w:ascii="Verdana" w:hAnsi="Verdana"/>
          <w:i/>
          <w:sz w:val="18"/>
          <w:szCs w:val="18"/>
        </w:rPr>
        <w:t>Diversen (Technische mutaties - niet-belastingontvangsten)</w:t>
      </w:r>
    </w:p>
    <w:p w:rsidRPr="000938DA" w:rsidR="000938DA" w:rsidP="000938DA" w:rsidRDefault="000938DA">
      <w:pPr>
        <w:pStyle w:val="Geenafstand"/>
        <w:spacing w:line="240" w:lineRule="exact"/>
        <w:rPr>
          <w:rFonts w:ascii="Verdana" w:hAnsi="Verdana"/>
          <w:sz w:val="18"/>
          <w:szCs w:val="18"/>
        </w:rPr>
      </w:pPr>
      <w:r w:rsidRPr="000938DA">
        <w:rPr>
          <w:rFonts w:ascii="Verdana" w:hAnsi="Verdana"/>
          <w:sz w:val="18"/>
          <w:szCs w:val="18"/>
        </w:rPr>
        <w:t xml:space="preserve">Dit betreft de aanvullende middelen ten behoeve van de uitvoering van de loonruimteovereenkomst publieke sector. </w:t>
      </w:r>
    </w:p>
    <w:p w:rsidRPr="000938DA" w:rsidR="00D57CD6" w:rsidP="000938DA" w:rsidRDefault="00D57CD6">
      <w:pPr>
        <w:spacing w:line="240" w:lineRule="exact"/>
        <w:rPr>
          <w:rFonts w:ascii="Verdana" w:hAnsi="Verdana" w:cs="Verdana"/>
          <w:b/>
          <w:bCs/>
          <w:sz w:val="18"/>
          <w:szCs w:val="18"/>
        </w:rPr>
      </w:pPr>
      <w:r w:rsidRPr="000938DA">
        <w:rPr>
          <w:rFonts w:ascii="Verdana" w:hAnsi="Verdana" w:cs="Verdana"/>
          <w:b/>
          <w:bCs/>
          <w:sz w:val="18"/>
          <w:szCs w:val="18"/>
        </w:rPr>
        <w:br w:type="page"/>
      </w:r>
    </w:p>
    <w:p w:rsidRPr="00533D5C" w:rsidR="009726DB" w:rsidP="00533D5C" w:rsidRDefault="0043332A">
      <w:pPr>
        <w:spacing w:line="240" w:lineRule="exact"/>
        <w:rPr>
          <w:rFonts w:ascii="Verdana" w:hAnsi="Verdana" w:cs="Verdana"/>
          <w:b/>
          <w:bCs/>
          <w:sz w:val="18"/>
          <w:szCs w:val="18"/>
        </w:rPr>
      </w:pPr>
      <w:r w:rsidRPr="00533D5C">
        <w:rPr>
          <w:rFonts w:ascii="Verdana" w:hAnsi="Verdana" w:cs="Verdana"/>
          <w:b/>
          <w:bCs/>
          <w:sz w:val="18"/>
          <w:szCs w:val="18"/>
        </w:rPr>
        <w:lastRenderedPageBreak/>
        <w:t>Koninkrijksrelaties</w:t>
      </w:r>
    </w:p>
    <w:tbl>
      <w:tblPr>
        <w:tblW w:w="0" w:type="auto"/>
        <w:tblCellMar>
          <w:top w:w="15" w:type="dxa"/>
          <w:left w:w="15" w:type="dxa"/>
          <w:bottom w:w="15" w:type="dxa"/>
          <w:right w:w="15" w:type="dxa"/>
        </w:tblCellMar>
        <w:tblLook w:val="04A0"/>
      </w:tblPr>
      <w:tblGrid>
        <w:gridCol w:w="8241"/>
        <w:gridCol w:w="8"/>
        <w:gridCol w:w="853"/>
      </w:tblGrid>
      <w:tr w:rsidR="0074624C" w:rsidTr="0074624C">
        <w:tc>
          <w:tcPr>
            <w:tcW w:w="8241" w:type="dxa"/>
            <w:tcBorders>
              <w:left w:val="nil"/>
              <w:right w:val="nil"/>
            </w:tcBorders>
            <w:hideMark/>
          </w:tcPr>
          <w:p w:rsidR="0074624C" w:rsidP="006D23DC" w:rsidRDefault="0074624C">
            <w:pPr>
              <w:rPr>
                <w:rFonts w:ascii="Verdana" w:hAnsi="Verdana"/>
                <w:sz w:val="18"/>
                <w:szCs w:val="18"/>
              </w:rPr>
            </w:pPr>
            <w:r>
              <w:rPr>
                <w:rFonts w:ascii="Verdana" w:hAnsi="Verdana"/>
                <w:sz w:val="18"/>
                <w:szCs w:val="18"/>
              </w:rPr>
              <w:t> </w:t>
            </w:r>
          </w:p>
        </w:tc>
        <w:tc>
          <w:tcPr>
            <w:tcW w:w="861" w:type="dxa"/>
            <w:gridSpan w:val="2"/>
            <w:tcBorders>
              <w:left w:val="nil"/>
              <w:right w:val="nil"/>
            </w:tcBorders>
            <w:hideMark/>
          </w:tcPr>
          <w:p w:rsidR="0074624C" w:rsidP="006D23DC" w:rsidRDefault="0074624C">
            <w:pPr>
              <w:rPr>
                <w:rFonts w:ascii="Verdana" w:hAnsi="Verdana"/>
                <w:sz w:val="18"/>
                <w:szCs w:val="18"/>
              </w:rPr>
            </w:pPr>
            <w:r>
              <w:rPr>
                <w:rFonts w:ascii="Verdana" w:hAnsi="Verdana"/>
                <w:sz w:val="18"/>
                <w:szCs w:val="18"/>
              </w:rPr>
              <w:t> </w:t>
            </w:r>
          </w:p>
        </w:tc>
      </w:tr>
      <w:tr w:rsidR="0074624C" w:rsidTr="006D23DC">
        <w:tc>
          <w:tcPr>
            <w:tcW w:w="0" w:type="auto"/>
            <w:tcBorders>
              <w:left w:val="nil"/>
              <w:right w:val="nil"/>
            </w:tcBorders>
            <w:hideMark/>
          </w:tcPr>
          <w:p w:rsidR="0074624C" w:rsidP="006D23DC" w:rsidRDefault="0074624C">
            <w:pPr>
              <w:rPr>
                <w:rFonts w:ascii="Verdana" w:hAnsi="Verdana"/>
                <w:sz w:val="18"/>
                <w:szCs w:val="18"/>
              </w:rPr>
            </w:pPr>
            <w:r>
              <w:rPr>
                <w:rFonts w:ascii="Verdana" w:hAnsi="Verdana"/>
                <w:sz w:val="18"/>
                <w:szCs w:val="18"/>
              </w:rPr>
              <w:t>IV KONINKRIJKSRELATIES: UITGAVEN</w:t>
            </w:r>
          </w:p>
        </w:tc>
        <w:tc>
          <w:tcPr>
            <w:tcW w:w="0" w:type="auto"/>
            <w:gridSpan w:val="2"/>
            <w:hideMark/>
          </w:tcPr>
          <w:p w:rsidR="0074624C" w:rsidP="006D23DC" w:rsidRDefault="0074624C">
            <w:pPr>
              <w:rPr>
                <w:sz w:val="20"/>
                <w:szCs w:val="20"/>
              </w:rPr>
            </w:pPr>
          </w:p>
        </w:tc>
      </w:tr>
      <w:tr w:rsidR="0074624C" w:rsidTr="006D23DC">
        <w:tc>
          <w:tcPr>
            <w:tcW w:w="0" w:type="auto"/>
            <w:tcBorders>
              <w:top w:val="single" w:color="000000" w:sz="6" w:space="0"/>
              <w:left w:val="nil"/>
              <w:bottom w:val="single" w:color="000000" w:sz="6" w:space="0"/>
              <w:right w:val="nil"/>
            </w:tcBorders>
            <w:hideMark/>
          </w:tcPr>
          <w:p w:rsidR="0074624C" w:rsidP="006D23DC" w:rsidRDefault="0074624C">
            <w:pPr>
              <w:jc w:val="right"/>
              <w:rPr>
                <w:rFonts w:ascii="Verdana" w:hAnsi="Verdana"/>
                <w:sz w:val="18"/>
                <w:szCs w:val="18"/>
              </w:rPr>
            </w:pPr>
          </w:p>
        </w:tc>
        <w:tc>
          <w:tcPr>
            <w:tcW w:w="0" w:type="auto"/>
            <w:gridSpan w:val="2"/>
            <w:tcBorders>
              <w:top w:val="single" w:color="000000" w:sz="6" w:space="0"/>
              <w:left w:val="nil"/>
              <w:bottom w:val="single" w:color="000000" w:sz="6" w:space="0"/>
              <w:right w:val="nil"/>
            </w:tcBorders>
            <w:hideMark/>
          </w:tcPr>
          <w:p w:rsidR="0074624C" w:rsidP="006D23DC" w:rsidRDefault="0074624C">
            <w:pPr>
              <w:jc w:val="right"/>
              <w:rPr>
                <w:rFonts w:ascii="Verdana" w:hAnsi="Verdana"/>
                <w:sz w:val="18"/>
                <w:szCs w:val="18"/>
              </w:rPr>
            </w:pPr>
            <w:r>
              <w:rPr>
                <w:rFonts w:ascii="Verdana" w:hAnsi="Verdana"/>
                <w:sz w:val="18"/>
                <w:szCs w:val="18"/>
              </w:rPr>
              <w:t>2015</w:t>
            </w:r>
          </w:p>
        </w:tc>
      </w:tr>
      <w:tr w:rsidR="0074624C" w:rsidTr="006D23DC">
        <w:tc>
          <w:tcPr>
            <w:tcW w:w="0" w:type="auto"/>
            <w:tcBorders>
              <w:left w:val="nil"/>
              <w:right w:val="nil"/>
            </w:tcBorders>
            <w:hideMark/>
          </w:tcPr>
          <w:p w:rsidR="0074624C" w:rsidP="006D23DC" w:rsidRDefault="0074624C">
            <w:pPr>
              <w:rPr>
                <w:rFonts w:ascii="Verdana" w:hAnsi="Verdana"/>
                <w:sz w:val="18"/>
                <w:szCs w:val="18"/>
              </w:rPr>
            </w:pPr>
            <w:r>
              <w:rPr>
                <w:rFonts w:ascii="Verdana" w:hAnsi="Verdana"/>
                <w:sz w:val="18"/>
                <w:szCs w:val="18"/>
              </w:rPr>
              <w:t>Stand Miljoenennota 2016 (excl. IS)</w:t>
            </w:r>
          </w:p>
        </w:tc>
        <w:tc>
          <w:tcPr>
            <w:tcW w:w="0" w:type="auto"/>
            <w:gridSpan w:val="2"/>
            <w:tcBorders>
              <w:top w:val="single" w:color="000000" w:sz="6" w:space="0"/>
              <w:left w:val="nil"/>
              <w:right w:val="nil"/>
            </w:tcBorders>
            <w:hideMark/>
          </w:tcPr>
          <w:p w:rsidR="0074624C" w:rsidP="006D23DC" w:rsidRDefault="0074624C">
            <w:pPr>
              <w:jc w:val="right"/>
              <w:rPr>
                <w:rFonts w:ascii="Verdana" w:hAnsi="Verdana"/>
                <w:sz w:val="18"/>
                <w:szCs w:val="18"/>
              </w:rPr>
            </w:pPr>
            <w:r>
              <w:rPr>
                <w:rFonts w:ascii="Verdana" w:hAnsi="Verdana"/>
                <w:sz w:val="18"/>
                <w:szCs w:val="18"/>
              </w:rPr>
              <w:t>392,6</w:t>
            </w:r>
          </w:p>
        </w:tc>
      </w:tr>
      <w:tr w:rsidR="0074624C" w:rsidTr="006D23DC">
        <w:tc>
          <w:tcPr>
            <w:tcW w:w="0" w:type="auto"/>
            <w:tcBorders>
              <w:left w:val="nil"/>
              <w:right w:val="nil"/>
            </w:tcBorders>
            <w:hideMark/>
          </w:tcPr>
          <w:p w:rsidR="0074624C" w:rsidP="006D23DC" w:rsidRDefault="0074624C">
            <w:pPr>
              <w:rPr>
                <w:rFonts w:ascii="Verdana" w:hAnsi="Verdana"/>
                <w:sz w:val="18"/>
                <w:szCs w:val="18"/>
              </w:rPr>
            </w:pPr>
            <w:r>
              <w:rPr>
                <w:rFonts w:ascii="Verdana" w:hAnsi="Verdana"/>
                <w:sz w:val="18"/>
                <w:szCs w:val="18"/>
              </w:rPr>
              <w:t>Technische mutaties</w:t>
            </w:r>
          </w:p>
        </w:tc>
        <w:tc>
          <w:tcPr>
            <w:tcW w:w="0" w:type="auto"/>
            <w:gridSpan w:val="2"/>
            <w:hideMark/>
          </w:tcPr>
          <w:p w:rsidR="0074624C" w:rsidP="006D23DC" w:rsidRDefault="0074624C">
            <w:pPr>
              <w:rPr>
                <w:sz w:val="20"/>
                <w:szCs w:val="20"/>
              </w:rPr>
            </w:pPr>
          </w:p>
        </w:tc>
      </w:tr>
      <w:tr w:rsidR="0074624C" w:rsidTr="006D23DC">
        <w:tc>
          <w:tcPr>
            <w:tcW w:w="0" w:type="auto"/>
            <w:tcBorders>
              <w:left w:val="nil"/>
              <w:right w:val="nil"/>
            </w:tcBorders>
            <w:tcMar>
              <w:top w:w="15" w:type="dxa"/>
              <w:left w:w="180" w:type="dxa"/>
              <w:bottom w:w="15" w:type="dxa"/>
              <w:right w:w="15" w:type="dxa"/>
            </w:tcMar>
            <w:vAlign w:val="both"/>
            <w:hideMark/>
          </w:tcPr>
          <w:p w:rsidR="0074624C" w:rsidP="006D23DC" w:rsidRDefault="0074624C">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74624C" w:rsidP="006D23DC" w:rsidRDefault="0074624C">
            <w:pPr>
              <w:rPr>
                <w:sz w:val="20"/>
                <w:szCs w:val="20"/>
              </w:rPr>
            </w:pPr>
          </w:p>
        </w:tc>
      </w:tr>
      <w:tr w:rsidR="0074624C" w:rsidTr="006D23DC">
        <w:tc>
          <w:tcPr>
            <w:tcW w:w="0" w:type="auto"/>
            <w:tcBorders>
              <w:left w:val="nil"/>
              <w:right w:val="nil"/>
            </w:tcBorders>
            <w:tcMar>
              <w:top w:w="15" w:type="dxa"/>
              <w:left w:w="360" w:type="dxa"/>
              <w:bottom w:w="15" w:type="dxa"/>
              <w:right w:w="15" w:type="dxa"/>
            </w:tcMar>
            <w:vAlign w:val="both"/>
            <w:hideMark/>
          </w:tcPr>
          <w:p w:rsidR="0074624C" w:rsidP="006D23DC" w:rsidRDefault="0074624C">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74624C" w:rsidP="006D23DC" w:rsidRDefault="0074624C">
            <w:pPr>
              <w:jc w:val="right"/>
              <w:rPr>
                <w:rFonts w:ascii="Verdana" w:hAnsi="Verdana"/>
                <w:sz w:val="18"/>
                <w:szCs w:val="18"/>
              </w:rPr>
            </w:pPr>
            <w:r>
              <w:rPr>
                <w:rFonts w:ascii="Verdana" w:hAnsi="Verdana"/>
                <w:sz w:val="18"/>
                <w:szCs w:val="18"/>
              </w:rPr>
              <w:t>-2,0</w:t>
            </w:r>
          </w:p>
        </w:tc>
      </w:tr>
      <w:tr w:rsidR="0074624C" w:rsidTr="006D23DC">
        <w:tc>
          <w:tcPr>
            <w:tcW w:w="0" w:type="auto"/>
            <w:tcBorders>
              <w:left w:val="nil"/>
              <w:right w:val="nil"/>
            </w:tcBorders>
            <w:hideMark/>
          </w:tcPr>
          <w:p w:rsidR="0074624C" w:rsidP="006D23DC" w:rsidRDefault="0074624C">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74624C" w:rsidP="006D23DC" w:rsidRDefault="0074624C">
            <w:pPr>
              <w:jc w:val="right"/>
              <w:rPr>
                <w:rFonts w:ascii="Verdana" w:hAnsi="Verdana"/>
                <w:sz w:val="18"/>
                <w:szCs w:val="18"/>
              </w:rPr>
            </w:pPr>
            <w:r>
              <w:rPr>
                <w:rFonts w:ascii="Verdana" w:hAnsi="Verdana"/>
                <w:sz w:val="18"/>
                <w:szCs w:val="18"/>
              </w:rPr>
              <w:t>-2,0</w:t>
            </w:r>
          </w:p>
        </w:tc>
      </w:tr>
      <w:tr w:rsidR="0074624C" w:rsidTr="006D23DC">
        <w:tc>
          <w:tcPr>
            <w:tcW w:w="0" w:type="auto"/>
            <w:tcBorders>
              <w:left w:val="nil"/>
              <w:right w:val="nil"/>
            </w:tcBorders>
            <w:hideMark/>
          </w:tcPr>
          <w:p w:rsidR="0074624C" w:rsidP="006D23DC" w:rsidRDefault="0074624C">
            <w:pPr>
              <w:rPr>
                <w:rFonts w:ascii="Verdana" w:hAnsi="Verdana"/>
                <w:sz w:val="18"/>
                <w:szCs w:val="18"/>
              </w:rPr>
            </w:pPr>
            <w:r>
              <w:rPr>
                <w:rFonts w:ascii="Verdana" w:hAnsi="Verdana"/>
                <w:sz w:val="18"/>
                <w:szCs w:val="18"/>
              </w:rPr>
              <w:t>Totaal mutaties sinds Miljoenennota 2016</w:t>
            </w:r>
          </w:p>
        </w:tc>
        <w:tc>
          <w:tcPr>
            <w:tcW w:w="0" w:type="auto"/>
            <w:gridSpan w:val="2"/>
            <w:tcBorders>
              <w:left w:val="nil"/>
              <w:right w:val="nil"/>
            </w:tcBorders>
            <w:hideMark/>
          </w:tcPr>
          <w:p w:rsidR="0074624C" w:rsidP="006D23DC" w:rsidRDefault="0074624C">
            <w:pPr>
              <w:jc w:val="right"/>
              <w:rPr>
                <w:rFonts w:ascii="Verdana" w:hAnsi="Verdana"/>
                <w:sz w:val="18"/>
                <w:szCs w:val="18"/>
              </w:rPr>
            </w:pPr>
            <w:r>
              <w:rPr>
                <w:rFonts w:ascii="Verdana" w:hAnsi="Verdana"/>
                <w:sz w:val="18"/>
                <w:szCs w:val="18"/>
              </w:rPr>
              <w:t>-2,0</w:t>
            </w:r>
          </w:p>
        </w:tc>
      </w:tr>
      <w:tr w:rsidR="0074624C" w:rsidTr="006D23DC">
        <w:tc>
          <w:tcPr>
            <w:tcW w:w="0" w:type="auto"/>
            <w:tcBorders>
              <w:left w:val="nil"/>
              <w:right w:val="nil"/>
            </w:tcBorders>
            <w:hideMark/>
          </w:tcPr>
          <w:p w:rsidR="0074624C" w:rsidP="006D23DC" w:rsidRDefault="0074624C">
            <w:pPr>
              <w:rPr>
                <w:rFonts w:ascii="Verdana" w:hAnsi="Verdana"/>
                <w:sz w:val="18"/>
                <w:szCs w:val="18"/>
              </w:rPr>
            </w:pPr>
            <w:r>
              <w:rPr>
                <w:rFonts w:ascii="Verdana" w:hAnsi="Verdana"/>
                <w:sz w:val="18"/>
                <w:szCs w:val="18"/>
              </w:rPr>
              <w:t> </w:t>
            </w:r>
          </w:p>
        </w:tc>
        <w:tc>
          <w:tcPr>
            <w:tcW w:w="0" w:type="auto"/>
            <w:gridSpan w:val="2"/>
            <w:hideMark/>
          </w:tcPr>
          <w:p w:rsidR="0074624C" w:rsidP="006D23DC" w:rsidRDefault="0074624C">
            <w:pPr>
              <w:rPr>
                <w:sz w:val="20"/>
                <w:szCs w:val="20"/>
              </w:rPr>
            </w:pPr>
          </w:p>
        </w:tc>
      </w:tr>
      <w:tr w:rsidR="0074624C" w:rsidTr="006D23DC">
        <w:tc>
          <w:tcPr>
            <w:tcW w:w="0" w:type="auto"/>
            <w:tcBorders>
              <w:left w:val="nil"/>
              <w:right w:val="nil"/>
            </w:tcBorders>
            <w:hideMark/>
          </w:tcPr>
          <w:p w:rsidR="0074624C" w:rsidP="006D23DC" w:rsidRDefault="0074624C">
            <w:pPr>
              <w:rPr>
                <w:rFonts w:ascii="Verdana" w:hAnsi="Verdana"/>
                <w:sz w:val="18"/>
                <w:szCs w:val="18"/>
              </w:rPr>
            </w:pPr>
            <w:r>
              <w:rPr>
                <w:rFonts w:ascii="Verdana" w:hAnsi="Verdana"/>
                <w:sz w:val="18"/>
                <w:szCs w:val="18"/>
              </w:rPr>
              <w:t>Stand Najaarsnota 2015 (subtotaal)</w:t>
            </w:r>
          </w:p>
        </w:tc>
        <w:tc>
          <w:tcPr>
            <w:tcW w:w="0" w:type="auto"/>
            <w:gridSpan w:val="2"/>
            <w:tcBorders>
              <w:top w:val="single" w:color="000000" w:sz="6" w:space="0"/>
              <w:left w:val="nil"/>
              <w:right w:val="nil"/>
            </w:tcBorders>
            <w:hideMark/>
          </w:tcPr>
          <w:p w:rsidR="0074624C" w:rsidP="006D23DC" w:rsidRDefault="0074624C">
            <w:pPr>
              <w:jc w:val="right"/>
              <w:rPr>
                <w:rFonts w:ascii="Verdana" w:hAnsi="Verdana"/>
                <w:sz w:val="18"/>
                <w:szCs w:val="18"/>
              </w:rPr>
            </w:pPr>
            <w:r>
              <w:rPr>
                <w:rFonts w:ascii="Verdana" w:hAnsi="Verdana"/>
                <w:sz w:val="18"/>
                <w:szCs w:val="18"/>
              </w:rPr>
              <w:t>390,5</w:t>
            </w:r>
          </w:p>
        </w:tc>
      </w:tr>
      <w:tr w:rsidR="0074624C" w:rsidTr="006D23DC">
        <w:tc>
          <w:tcPr>
            <w:tcW w:w="0" w:type="auto"/>
            <w:tcBorders>
              <w:left w:val="nil"/>
              <w:right w:val="nil"/>
            </w:tcBorders>
            <w:hideMark/>
          </w:tcPr>
          <w:p w:rsidR="0074624C" w:rsidP="006D23DC" w:rsidRDefault="0074624C">
            <w:pPr>
              <w:rPr>
                <w:rFonts w:ascii="Verdana" w:hAnsi="Verdana"/>
                <w:sz w:val="18"/>
                <w:szCs w:val="18"/>
              </w:rPr>
            </w:pPr>
            <w:r>
              <w:rPr>
                <w:rFonts w:ascii="Verdana" w:hAnsi="Verdana"/>
                <w:sz w:val="18"/>
                <w:szCs w:val="18"/>
              </w:rPr>
              <w:t>Totaal Internationale samenwerking</w:t>
            </w:r>
          </w:p>
        </w:tc>
        <w:tc>
          <w:tcPr>
            <w:tcW w:w="0" w:type="auto"/>
            <w:gridSpan w:val="2"/>
            <w:tcBorders>
              <w:left w:val="nil"/>
              <w:right w:val="nil"/>
            </w:tcBorders>
            <w:hideMark/>
          </w:tcPr>
          <w:p w:rsidR="0074624C" w:rsidP="006D23DC" w:rsidRDefault="0074624C">
            <w:pPr>
              <w:jc w:val="right"/>
              <w:rPr>
                <w:rFonts w:ascii="Verdana" w:hAnsi="Verdana"/>
                <w:sz w:val="18"/>
                <w:szCs w:val="18"/>
              </w:rPr>
            </w:pPr>
            <w:r>
              <w:rPr>
                <w:rFonts w:ascii="Verdana" w:hAnsi="Verdana"/>
                <w:sz w:val="18"/>
                <w:szCs w:val="18"/>
              </w:rPr>
              <w:t>0,0</w:t>
            </w:r>
          </w:p>
        </w:tc>
      </w:tr>
      <w:tr w:rsidR="0074624C" w:rsidTr="006D23DC">
        <w:tc>
          <w:tcPr>
            <w:tcW w:w="0" w:type="auto"/>
            <w:tcBorders>
              <w:left w:val="nil"/>
              <w:right w:val="nil"/>
            </w:tcBorders>
            <w:hideMark/>
          </w:tcPr>
          <w:p w:rsidR="0074624C" w:rsidP="006D23DC" w:rsidRDefault="0074624C">
            <w:pPr>
              <w:rPr>
                <w:rFonts w:ascii="Verdana" w:hAnsi="Verdana"/>
                <w:sz w:val="18"/>
                <w:szCs w:val="18"/>
              </w:rPr>
            </w:pPr>
            <w:r>
              <w:rPr>
                <w:rFonts w:ascii="Verdana" w:hAnsi="Verdana"/>
                <w:sz w:val="18"/>
                <w:szCs w:val="18"/>
              </w:rPr>
              <w:t>Stand Najaarsnota 2015</w:t>
            </w:r>
          </w:p>
        </w:tc>
        <w:tc>
          <w:tcPr>
            <w:tcW w:w="0" w:type="auto"/>
            <w:gridSpan w:val="2"/>
            <w:tcBorders>
              <w:top w:val="single" w:color="000000" w:sz="6" w:space="0"/>
              <w:left w:val="nil"/>
              <w:right w:val="nil"/>
            </w:tcBorders>
            <w:hideMark/>
          </w:tcPr>
          <w:p w:rsidR="0074624C" w:rsidP="006D23DC" w:rsidRDefault="0074624C">
            <w:pPr>
              <w:jc w:val="right"/>
              <w:rPr>
                <w:rFonts w:ascii="Verdana" w:hAnsi="Verdana"/>
                <w:sz w:val="18"/>
                <w:szCs w:val="18"/>
              </w:rPr>
            </w:pPr>
            <w:r>
              <w:rPr>
                <w:rFonts w:ascii="Verdana" w:hAnsi="Verdana"/>
                <w:sz w:val="18"/>
                <w:szCs w:val="18"/>
              </w:rPr>
              <w:t>390,5</w:t>
            </w:r>
          </w:p>
        </w:tc>
      </w:tr>
      <w:tr w:rsidR="0074624C" w:rsidTr="0074624C">
        <w:tc>
          <w:tcPr>
            <w:tcW w:w="8249" w:type="dxa"/>
            <w:gridSpan w:val="2"/>
            <w:tcBorders>
              <w:left w:val="nil"/>
              <w:right w:val="nil"/>
            </w:tcBorders>
            <w:hideMark/>
          </w:tcPr>
          <w:p w:rsidR="0074624C" w:rsidP="006D23DC" w:rsidRDefault="0074624C">
            <w:pPr>
              <w:rPr>
                <w:rFonts w:ascii="Verdana" w:hAnsi="Verdana"/>
                <w:sz w:val="18"/>
                <w:szCs w:val="18"/>
              </w:rPr>
            </w:pPr>
            <w:r>
              <w:rPr>
                <w:rFonts w:ascii="Verdana" w:hAnsi="Verdana"/>
                <w:sz w:val="18"/>
                <w:szCs w:val="18"/>
              </w:rPr>
              <w:t> </w:t>
            </w:r>
          </w:p>
        </w:tc>
        <w:tc>
          <w:tcPr>
            <w:tcW w:w="853" w:type="dxa"/>
            <w:tcBorders>
              <w:left w:val="nil"/>
              <w:right w:val="nil"/>
            </w:tcBorders>
            <w:hideMark/>
          </w:tcPr>
          <w:p w:rsidR="0074624C" w:rsidP="006D23DC" w:rsidRDefault="0074624C">
            <w:pPr>
              <w:rPr>
                <w:rFonts w:ascii="Verdana" w:hAnsi="Verdana"/>
                <w:sz w:val="18"/>
                <w:szCs w:val="18"/>
              </w:rPr>
            </w:pPr>
            <w:r>
              <w:rPr>
                <w:rFonts w:ascii="Verdana" w:hAnsi="Verdana"/>
                <w:sz w:val="18"/>
                <w:szCs w:val="18"/>
              </w:rPr>
              <w:t> </w:t>
            </w:r>
          </w:p>
        </w:tc>
      </w:tr>
      <w:tr w:rsidR="0074624C" w:rsidTr="006D23DC">
        <w:tc>
          <w:tcPr>
            <w:tcW w:w="0" w:type="auto"/>
            <w:gridSpan w:val="2"/>
            <w:tcBorders>
              <w:left w:val="nil"/>
              <w:right w:val="nil"/>
            </w:tcBorders>
            <w:hideMark/>
          </w:tcPr>
          <w:p w:rsidR="0074624C" w:rsidP="006D23DC" w:rsidRDefault="0074624C">
            <w:pPr>
              <w:rPr>
                <w:rFonts w:ascii="Verdana" w:hAnsi="Verdana"/>
                <w:sz w:val="18"/>
                <w:szCs w:val="18"/>
              </w:rPr>
            </w:pPr>
            <w:r>
              <w:rPr>
                <w:rFonts w:ascii="Verdana" w:hAnsi="Verdana"/>
                <w:sz w:val="18"/>
                <w:szCs w:val="18"/>
              </w:rPr>
              <w:t>IV KONINKRIJKSRELATIES: NIET-BELASTINGONTVANGSTEN</w:t>
            </w:r>
          </w:p>
        </w:tc>
        <w:tc>
          <w:tcPr>
            <w:tcW w:w="0" w:type="auto"/>
            <w:hideMark/>
          </w:tcPr>
          <w:p w:rsidR="0074624C" w:rsidP="006D23DC" w:rsidRDefault="0074624C">
            <w:pPr>
              <w:rPr>
                <w:sz w:val="20"/>
                <w:szCs w:val="20"/>
              </w:rPr>
            </w:pPr>
          </w:p>
        </w:tc>
      </w:tr>
      <w:tr w:rsidR="0074624C" w:rsidTr="006D23DC">
        <w:tc>
          <w:tcPr>
            <w:tcW w:w="0" w:type="auto"/>
            <w:gridSpan w:val="2"/>
            <w:tcBorders>
              <w:top w:val="single" w:color="000000" w:sz="6" w:space="0"/>
              <w:left w:val="nil"/>
              <w:bottom w:val="single" w:color="000000" w:sz="6" w:space="0"/>
              <w:right w:val="nil"/>
            </w:tcBorders>
            <w:hideMark/>
          </w:tcPr>
          <w:p w:rsidR="0074624C" w:rsidP="006D23DC" w:rsidRDefault="0074624C">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74624C" w:rsidP="006D23DC" w:rsidRDefault="0074624C">
            <w:pPr>
              <w:jc w:val="right"/>
              <w:rPr>
                <w:rFonts w:ascii="Verdana" w:hAnsi="Verdana"/>
                <w:sz w:val="18"/>
                <w:szCs w:val="18"/>
              </w:rPr>
            </w:pPr>
            <w:r>
              <w:rPr>
                <w:rFonts w:ascii="Verdana" w:hAnsi="Verdana"/>
                <w:sz w:val="18"/>
                <w:szCs w:val="18"/>
              </w:rPr>
              <w:t>2015</w:t>
            </w:r>
          </w:p>
        </w:tc>
      </w:tr>
      <w:tr w:rsidR="0074624C" w:rsidTr="006D23DC">
        <w:tc>
          <w:tcPr>
            <w:tcW w:w="0" w:type="auto"/>
            <w:gridSpan w:val="2"/>
            <w:tcBorders>
              <w:left w:val="nil"/>
              <w:right w:val="nil"/>
            </w:tcBorders>
            <w:hideMark/>
          </w:tcPr>
          <w:p w:rsidR="0074624C" w:rsidP="006D23DC" w:rsidRDefault="0074624C">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74624C" w:rsidP="006D23DC" w:rsidRDefault="0074624C">
            <w:pPr>
              <w:jc w:val="right"/>
              <w:rPr>
                <w:rFonts w:ascii="Verdana" w:hAnsi="Verdana"/>
                <w:sz w:val="18"/>
                <w:szCs w:val="18"/>
              </w:rPr>
            </w:pPr>
            <w:r>
              <w:rPr>
                <w:rFonts w:ascii="Verdana" w:hAnsi="Verdana"/>
                <w:sz w:val="18"/>
                <w:szCs w:val="18"/>
              </w:rPr>
              <w:t>48,6</w:t>
            </w:r>
          </w:p>
        </w:tc>
      </w:tr>
      <w:tr w:rsidR="0074624C" w:rsidTr="006D23DC">
        <w:tc>
          <w:tcPr>
            <w:tcW w:w="0" w:type="auto"/>
            <w:gridSpan w:val="2"/>
            <w:tcBorders>
              <w:left w:val="nil"/>
              <w:right w:val="nil"/>
            </w:tcBorders>
            <w:hideMark/>
          </w:tcPr>
          <w:p w:rsidR="0074624C" w:rsidP="006D23DC" w:rsidRDefault="0074624C">
            <w:pPr>
              <w:rPr>
                <w:rFonts w:ascii="Verdana" w:hAnsi="Verdana"/>
                <w:sz w:val="18"/>
                <w:szCs w:val="18"/>
              </w:rPr>
            </w:pPr>
            <w:r>
              <w:rPr>
                <w:rFonts w:ascii="Verdana" w:hAnsi="Verdana"/>
                <w:sz w:val="18"/>
                <w:szCs w:val="18"/>
              </w:rPr>
              <w:t>Technische mutaties</w:t>
            </w:r>
          </w:p>
        </w:tc>
        <w:tc>
          <w:tcPr>
            <w:tcW w:w="0" w:type="auto"/>
            <w:hideMark/>
          </w:tcPr>
          <w:p w:rsidR="0074624C" w:rsidP="006D23DC" w:rsidRDefault="0074624C">
            <w:pPr>
              <w:rPr>
                <w:sz w:val="20"/>
                <w:szCs w:val="20"/>
              </w:rPr>
            </w:pPr>
          </w:p>
        </w:tc>
      </w:tr>
      <w:tr w:rsidR="0074624C" w:rsidTr="006D23DC">
        <w:tc>
          <w:tcPr>
            <w:tcW w:w="0" w:type="auto"/>
            <w:gridSpan w:val="2"/>
            <w:tcBorders>
              <w:left w:val="nil"/>
              <w:right w:val="nil"/>
            </w:tcBorders>
            <w:tcMar>
              <w:top w:w="15" w:type="dxa"/>
              <w:left w:w="180" w:type="dxa"/>
              <w:bottom w:w="15" w:type="dxa"/>
              <w:right w:w="15" w:type="dxa"/>
            </w:tcMar>
            <w:vAlign w:val="both"/>
            <w:hideMark/>
          </w:tcPr>
          <w:p w:rsidR="0074624C" w:rsidP="006D23DC" w:rsidRDefault="0074624C">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74624C" w:rsidP="006D23DC" w:rsidRDefault="0074624C">
            <w:pPr>
              <w:rPr>
                <w:sz w:val="20"/>
                <w:szCs w:val="20"/>
              </w:rPr>
            </w:pPr>
          </w:p>
        </w:tc>
      </w:tr>
      <w:tr w:rsidR="0074624C" w:rsidTr="006D23DC">
        <w:tc>
          <w:tcPr>
            <w:tcW w:w="0" w:type="auto"/>
            <w:gridSpan w:val="2"/>
            <w:tcBorders>
              <w:left w:val="nil"/>
              <w:right w:val="nil"/>
            </w:tcBorders>
            <w:tcMar>
              <w:top w:w="15" w:type="dxa"/>
              <w:left w:w="360" w:type="dxa"/>
              <w:bottom w:w="15" w:type="dxa"/>
              <w:right w:w="15" w:type="dxa"/>
            </w:tcMar>
            <w:vAlign w:val="both"/>
            <w:hideMark/>
          </w:tcPr>
          <w:p w:rsidR="0074624C" w:rsidP="006D23DC" w:rsidRDefault="0074624C">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74624C" w:rsidP="006D23DC" w:rsidRDefault="0074624C">
            <w:pPr>
              <w:jc w:val="right"/>
              <w:rPr>
                <w:rFonts w:ascii="Verdana" w:hAnsi="Verdana"/>
                <w:sz w:val="18"/>
                <w:szCs w:val="18"/>
              </w:rPr>
            </w:pPr>
            <w:r>
              <w:rPr>
                <w:rFonts w:ascii="Verdana" w:hAnsi="Verdana"/>
                <w:sz w:val="18"/>
                <w:szCs w:val="18"/>
              </w:rPr>
              <w:t>0,5</w:t>
            </w:r>
          </w:p>
        </w:tc>
      </w:tr>
      <w:tr w:rsidR="0074624C" w:rsidTr="006D23DC">
        <w:tc>
          <w:tcPr>
            <w:tcW w:w="0" w:type="auto"/>
            <w:gridSpan w:val="2"/>
            <w:tcBorders>
              <w:left w:val="nil"/>
              <w:right w:val="nil"/>
            </w:tcBorders>
            <w:hideMark/>
          </w:tcPr>
          <w:p w:rsidR="0074624C" w:rsidP="006D23DC" w:rsidRDefault="0074624C">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74624C" w:rsidP="006D23DC" w:rsidRDefault="0074624C">
            <w:pPr>
              <w:jc w:val="right"/>
              <w:rPr>
                <w:rFonts w:ascii="Verdana" w:hAnsi="Verdana"/>
                <w:sz w:val="18"/>
                <w:szCs w:val="18"/>
              </w:rPr>
            </w:pPr>
            <w:r>
              <w:rPr>
                <w:rFonts w:ascii="Verdana" w:hAnsi="Verdana"/>
                <w:sz w:val="18"/>
                <w:szCs w:val="18"/>
              </w:rPr>
              <w:t>0,5</w:t>
            </w:r>
          </w:p>
        </w:tc>
      </w:tr>
      <w:tr w:rsidR="0074624C" w:rsidTr="006D23DC">
        <w:tc>
          <w:tcPr>
            <w:tcW w:w="0" w:type="auto"/>
            <w:gridSpan w:val="2"/>
            <w:tcBorders>
              <w:left w:val="nil"/>
              <w:right w:val="nil"/>
            </w:tcBorders>
            <w:hideMark/>
          </w:tcPr>
          <w:p w:rsidR="0074624C" w:rsidP="006D23DC" w:rsidRDefault="0074624C">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74624C" w:rsidP="006D23DC" w:rsidRDefault="0074624C">
            <w:pPr>
              <w:jc w:val="right"/>
              <w:rPr>
                <w:rFonts w:ascii="Verdana" w:hAnsi="Verdana"/>
                <w:sz w:val="18"/>
                <w:szCs w:val="18"/>
              </w:rPr>
            </w:pPr>
            <w:r>
              <w:rPr>
                <w:rFonts w:ascii="Verdana" w:hAnsi="Verdana"/>
                <w:sz w:val="18"/>
                <w:szCs w:val="18"/>
              </w:rPr>
              <w:t>0,5</w:t>
            </w:r>
          </w:p>
        </w:tc>
      </w:tr>
      <w:tr w:rsidR="0074624C" w:rsidTr="006D23DC">
        <w:tc>
          <w:tcPr>
            <w:tcW w:w="0" w:type="auto"/>
            <w:gridSpan w:val="2"/>
            <w:tcBorders>
              <w:left w:val="nil"/>
              <w:right w:val="nil"/>
            </w:tcBorders>
            <w:hideMark/>
          </w:tcPr>
          <w:p w:rsidR="0074624C" w:rsidP="006D23DC" w:rsidRDefault="0074624C">
            <w:pPr>
              <w:rPr>
                <w:rFonts w:ascii="Verdana" w:hAnsi="Verdana"/>
                <w:sz w:val="18"/>
                <w:szCs w:val="18"/>
              </w:rPr>
            </w:pPr>
            <w:r>
              <w:rPr>
                <w:rFonts w:ascii="Verdana" w:hAnsi="Verdana"/>
                <w:sz w:val="18"/>
                <w:szCs w:val="18"/>
              </w:rPr>
              <w:t> </w:t>
            </w:r>
          </w:p>
        </w:tc>
        <w:tc>
          <w:tcPr>
            <w:tcW w:w="0" w:type="auto"/>
            <w:hideMark/>
          </w:tcPr>
          <w:p w:rsidR="0074624C" w:rsidP="006D23DC" w:rsidRDefault="0074624C">
            <w:pPr>
              <w:rPr>
                <w:sz w:val="20"/>
                <w:szCs w:val="20"/>
              </w:rPr>
            </w:pPr>
          </w:p>
        </w:tc>
      </w:tr>
      <w:tr w:rsidR="0074624C" w:rsidTr="006D23DC">
        <w:tc>
          <w:tcPr>
            <w:tcW w:w="0" w:type="auto"/>
            <w:gridSpan w:val="2"/>
            <w:tcBorders>
              <w:left w:val="nil"/>
              <w:right w:val="nil"/>
            </w:tcBorders>
            <w:hideMark/>
          </w:tcPr>
          <w:p w:rsidR="0074624C" w:rsidP="006D23DC" w:rsidRDefault="0074624C">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74624C" w:rsidP="006D23DC" w:rsidRDefault="0074624C">
            <w:pPr>
              <w:jc w:val="right"/>
              <w:rPr>
                <w:rFonts w:ascii="Verdana" w:hAnsi="Verdana"/>
                <w:sz w:val="18"/>
                <w:szCs w:val="18"/>
              </w:rPr>
            </w:pPr>
            <w:r>
              <w:rPr>
                <w:rFonts w:ascii="Verdana" w:hAnsi="Verdana"/>
                <w:sz w:val="18"/>
                <w:szCs w:val="18"/>
              </w:rPr>
              <w:t>49,1</w:t>
            </w:r>
          </w:p>
        </w:tc>
      </w:tr>
      <w:tr w:rsidR="0074624C" w:rsidTr="006D23DC">
        <w:tc>
          <w:tcPr>
            <w:tcW w:w="0" w:type="auto"/>
            <w:gridSpan w:val="2"/>
            <w:tcBorders>
              <w:left w:val="nil"/>
              <w:right w:val="nil"/>
            </w:tcBorders>
            <w:hideMark/>
          </w:tcPr>
          <w:p w:rsidR="0074624C" w:rsidP="006D23DC" w:rsidRDefault="0074624C">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74624C" w:rsidP="006D23DC" w:rsidRDefault="0074624C">
            <w:pPr>
              <w:jc w:val="right"/>
              <w:rPr>
                <w:rFonts w:ascii="Verdana" w:hAnsi="Verdana"/>
                <w:sz w:val="18"/>
                <w:szCs w:val="18"/>
              </w:rPr>
            </w:pPr>
            <w:r>
              <w:rPr>
                <w:rFonts w:ascii="Verdana" w:hAnsi="Verdana"/>
                <w:sz w:val="18"/>
                <w:szCs w:val="18"/>
              </w:rPr>
              <w:t>0,0</w:t>
            </w:r>
          </w:p>
        </w:tc>
      </w:tr>
      <w:tr w:rsidR="0074624C" w:rsidTr="006D23DC">
        <w:tc>
          <w:tcPr>
            <w:tcW w:w="0" w:type="auto"/>
            <w:gridSpan w:val="2"/>
            <w:tcBorders>
              <w:left w:val="nil"/>
              <w:right w:val="nil"/>
            </w:tcBorders>
            <w:hideMark/>
          </w:tcPr>
          <w:p w:rsidR="0074624C" w:rsidP="006D23DC" w:rsidRDefault="0074624C">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74624C" w:rsidP="006D23DC" w:rsidRDefault="0074624C">
            <w:pPr>
              <w:jc w:val="right"/>
              <w:rPr>
                <w:rFonts w:ascii="Verdana" w:hAnsi="Verdana"/>
                <w:sz w:val="18"/>
                <w:szCs w:val="18"/>
              </w:rPr>
            </w:pPr>
            <w:r>
              <w:rPr>
                <w:rFonts w:ascii="Verdana" w:hAnsi="Verdana"/>
                <w:sz w:val="18"/>
                <w:szCs w:val="18"/>
              </w:rPr>
              <w:t>49,1</w:t>
            </w:r>
          </w:p>
        </w:tc>
      </w:tr>
    </w:tbl>
    <w:p w:rsidR="0074624C" w:rsidP="00533D5C" w:rsidRDefault="0074624C">
      <w:pPr>
        <w:spacing w:line="240" w:lineRule="exact"/>
        <w:rPr>
          <w:rFonts w:ascii="Verdana" w:hAnsi="Verdana" w:cs="Verdana"/>
          <w:b/>
          <w:bCs/>
          <w:sz w:val="18"/>
          <w:szCs w:val="18"/>
        </w:rPr>
      </w:pPr>
    </w:p>
    <w:p w:rsidR="0056015B" w:rsidP="00533D5C" w:rsidRDefault="0056015B">
      <w:pPr>
        <w:spacing w:line="240" w:lineRule="exact"/>
        <w:rPr>
          <w:rFonts w:ascii="Verdana" w:hAnsi="Verdana" w:cs="Verdana"/>
          <w:b/>
          <w:bCs/>
          <w:sz w:val="18"/>
          <w:szCs w:val="18"/>
        </w:rPr>
      </w:pPr>
    </w:p>
    <w:p w:rsidRPr="0056015B" w:rsidR="0056015B" w:rsidP="0056015B" w:rsidRDefault="0056015B">
      <w:pPr>
        <w:spacing w:line="240" w:lineRule="exact"/>
        <w:rPr>
          <w:rFonts w:ascii="Verdana" w:hAnsi="Verdana"/>
          <w:i/>
          <w:sz w:val="18"/>
          <w:szCs w:val="18"/>
        </w:rPr>
      </w:pPr>
      <w:r w:rsidRPr="0056015B">
        <w:rPr>
          <w:rFonts w:ascii="Verdana" w:hAnsi="Verdana"/>
          <w:i/>
          <w:sz w:val="18"/>
          <w:szCs w:val="18"/>
        </w:rPr>
        <w:t>Diversen (uitgaven)</w:t>
      </w:r>
    </w:p>
    <w:p w:rsidRPr="00533D5C" w:rsidR="009726DB" w:rsidP="0056015B" w:rsidRDefault="0056015B">
      <w:pPr>
        <w:spacing w:line="240" w:lineRule="exact"/>
        <w:rPr>
          <w:rFonts w:ascii="Verdana" w:hAnsi="Verdana" w:cs="Verdana"/>
          <w:b/>
          <w:bCs/>
          <w:sz w:val="18"/>
          <w:szCs w:val="18"/>
        </w:rPr>
      </w:pPr>
      <w:r w:rsidRPr="0056015B">
        <w:rPr>
          <w:rFonts w:ascii="Verdana" w:hAnsi="Verdana"/>
          <w:sz w:val="18"/>
          <w:szCs w:val="18"/>
        </w:rPr>
        <w:t xml:space="preserve">Dit betreft een bijdrage van Koninkrijksrelaties aan het </w:t>
      </w:r>
      <w:proofErr w:type="spellStart"/>
      <w:r w:rsidRPr="0056015B">
        <w:rPr>
          <w:rFonts w:ascii="Verdana" w:hAnsi="Verdana"/>
          <w:sz w:val="18"/>
          <w:szCs w:val="18"/>
        </w:rPr>
        <w:t>BES-fonds</w:t>
      </w:r>
      <w:proofErr w:type="spellEnd"/>
      <w:r w:rsidRPr="0056015B">
        <w:rPr>
          <w:rFonts w:ascii="Verdana" w:hAnsi="Verdana"/>
          <w:sz w:val="18"/>
          <w:szCs w:val="18"/>
        </w:rPr>
        <w:t xml:space="preserve"> ter opvang van wisselkoersverschillen.</w:t>
      </w:r>
      <w:r w:rsidRPr="00533D5C" w:rsidR="009726DB">
        <w:rPr>
          <w:rFonts w:ascii="Verdana" w:hAnsi="Verdana" w:cs="Verdana"/>
          <w:b/>
          <w:bCs/>
          <w:sz w:val="18"/>
          <w:szCs w:val="18"/>
        </w:rPr>
        <w:br w:type="page"/>
      </w:r>
    </w:p>
    <w:p w:rsidR="00512EDB" w:rsidP="00533D5C" w:rsidRDefault="00C05141">
      <w:pPr>
        <w:spacing w:line="240" w:lineRule="exact"/>
        <w:rPr>
          <w:rFonts w:ascii="Verdana" w:hAnsi="Verdana" w:cs="Verdana"/>
          <w:b/>
          <w:bCs/>
          <w:sz w:val="18"/>
          <w:szCs w:val="18"/>
        </w:rPr>
      </w:pPr>
      <w:r w:rsidRPr="00516825">
        <w:rPr>
          <w:rFonts w:ascii="Verdana" w:hAnsi="Verdana" w:cs="Verdana"/>
          <w:b/>
          <w:bCs/>
          <w:sz w:val="18"/>
          <w:szCs w:val="18"/>
        </w:rPr>
        <w:lastRenderedPageBreak/>
        <w:t>Buitenlandse Zaken</w:t>
      </w:r>
    </w:p>
    <w:tbl>
      <w:tblPr>
        <w:tblW w:w="0" w:type="auto"/>
        <w:tblCellMar>
          <w:top w:w="15" w:type="dxa"/>
          <w:left w:w="15" w:type="dxa"/>
          <w:bottom w:w="15" w:type="dxa"/>
          <w:right w:w="15" w:type="dxa"/>
        </w:tblCellMar>
        <w:tblLook w:val="04A0"/>
      </w:tblPr>
      <w:tblGrid>
        <w:gridCol w:w="8208"/>
        <w:gridCol w:w="38"/>
        <w:gridCol w:w="856"/>
      </w:tblGrid>
      <w:tr w:rsidR="00414336" w:rsidTr="00414336">
        <w:tc>
          <w:tcPr>
            <w:tcW w:w="8208" w:type="dxa"/>
            <w:tcBorders>
              <w:left w:val="nil"/>
              <w:right w:val="nil"/>
            </w:tcBorders>
            <w:hideMark/>
          </w:tcPr>
          <w:p w:rsidR="00414336" w:rsidP="006D23DC" w:rsidRDefault="00414336">
            <w:pPr>
              <w:rPr>
                <w:rFonts w:ascii="Verdana" w:hAnsi="Verdana"/>
                <w:sz w:val="18"/>
                <w:szCs w:val="18"/>
              </w:rPr>
            </w:pPr>
          </w:p>
        </w:tc>
        <w:tc>
          <w:tcPr>
            <w:tcW w:w="894" w:type="dxa"/>
            <w:gridSpan w:val="2"/>
            <w:tcBorders>
              <w:left w:val="nil"/>
              <w:right w:val="nil"/>
            </w:tcBorders>
            <w:hideMark/>
          </w:tcPr>
          <w:p w:rsidR="00414336" w:rsidP="006D23DC" w:rsidRDefault="00414336">
            <w:pPr>
              <w:rPr>
                <w:rFonts w:ascii="Verdana" w:hAnsi="Verdana"/>
                <w:sz w:val="18"/>
                <w:szCs w:val="18"/>
              </w:rPr>
            </w:pPr>
            <w:r>
              <w:rPr>
                <w:rFonts w:ascii="Verdana" w:hAnsi="Verdana"/>
                <w:sz w:val="18"/>
                <w:szCs w:val="18"/>
              </w:rPr>
              <w:t> </w:t>
            </w:r>
          </w:p>
        </w:tc>
      </w:tr>
      <w:tr w:rsidR="00414336" w:rsidTr="006D23DC">
        <w:tc>
          <w:tcPr>
            <w:tcW w:w="0" w:type="auto"/>
            <w:tcBorders>
              <w:left w:val="nil"/>
              <w:right w:val="nil"/>
            </w:tcBorders>
            <w:hideMark/>
          </w:tcPr>
          <w:p w:rsidR="00414336" w:rsidP="006D23DC" w:rsidRDefault="00414336">
            <w:pPr>
              <w:rPr>
                <w:rFonts w:ascii="Verdana" w:hAnsi="Verdana"/>
                <w:sz w:val="18"/>
                <w:szCs w:val="18"/>
              </w:rPr>
            </w:pPr>
            <w:r>
              <w:rPr>
                <w:rFonts w:ascii="Verdana" w:hAnsi="Verdana"/>
                <w:sz w:val="18"/>
                <w:szCs w:val="18"/>
              </w:rPr>
              <w:t>V BUITENLANDSE ZAKEN: UITGAVEN</w:t>
            </w:r>
          </w:p>
        </w:tc>
        <w:tc>
          <w:tcPr>
            <w:tcW w:w="0" w:type="auto"/>
            <w:gridSpan w:val="2"/>
            <w:hideMark/>
          </w:tcPr>
          <w:p w:rsidR="00414336" w:rsidP="006D23DC" w:rsidRDefault="00414336">
            <w:pPr>
              <w:rPr>
                <w:sz w:val="20"/>
                <w:szCs w:val="20"/>
              </w:rPr>
            </w:pPr>
          </w:p>
        </w:tc>
      </w:tr>
      <w:tr w:rsidR="00414336" w:rsidTr="006D23DC">
        <w:tc>
          <w:tcPr>
            <w:tcW w:w="0" w:type="auto"/>
            <w:tcBorders>
              <w:top w:val="single" w:color="000000" w:sz="6" w:space="0"/>
              <w:left w:val="nil"/>
              <w:bottom w:val="single" w:color="000000" w:sz="6" w:space="0"/>
              <w:right w:val="nil"/>
            </w:tcBorders>
            <w:hideMark/>
          </w:tcPr>
          <w:p w:rsidR="00414336" w:rsidP="006D23DC" w:rsidRDefault="00414336">
            <w:pPr>
              <w:jc w:val="right"/>
              <w:rPr>
                <w:rFonts w:ascii="Verdana" w:hAnsi="Verdana"/>
                <w:sz w:val="18"/>
                <w:szCs w:val="18"/>
              </w:rPr>
            </w:pPr>
          </w:p>
        </w:tc>
        <w:tc>
          <w:tcPr>
            <w:tcW w:w="0" w:type="auto"/>
            <w:gridSpan w:val="2"/>
            <w:tcBorders>
              <w:top w:val="single" w:color="000000" w:sz="6" w:space="0"/>
              <w:left w:val="nil"/>
              <w:bottom w:val="single" w:color="000000" w:sz="6" w:space="0"/>
              <w:right w:val="nil"/>
            </w:tcBorders>
            <w:hideMark/>
          </w:tcPr>
          <w:p w:rsidR="00414336" w:rsidP="006D23DC" w:rsidRDefault="00414336">
            <w:pPr>
              <w:jc w:val="right"/>
              <w:rPr>
                <w:rFonts w:ascii="Verdana" w:hAnsi="Verdana"/>
                <w:sz w:val="18"/>
                <w:szCs w:val="18"/>
              </w:rPr>
            </w:pPr>
            <w:r>
              <w:rPr>
                <w:rFonts w:ascii="Verdana" w:hAnsi="Verdana"/>
                <w:sz w:val="18"/>
                <w:szCs w:val="18"/>
              </w:rPr>
              <w:t>2015</w:t>
            </w:r>
          </w:p>
        </w:tc>
      </w:tr>
      <w:tr w:rsidR="00414336" w:rsidTr="006D23DC">
        <w:tc>
          <w:tcPr>
            <w:tcW w:w="0" w:type="auto"/>
            <w:tcBorders>
              <w:left w:val="nil"/>
              <w:right w:val="nil"/>
            </w:tcBorders>
            <w:hideMark/>
          </w:tcPr>
          <w:p w:rsidR="00414336" w:rsidP="006D23DC" w:rsidRDefault="00414336">
            <w:pPr>
              <w:rPr>
                <w:rFonts w:ascii="Verdana" w:hAnsi="Verdana"/>
                <w:sz w:val="18"/>
                <w:szCs w:val="18"/>
              </w:rPr>
            </w:pPr>
            <w:r>
              <w:rPr>
                <w:rFonts w:ascii="Verdana" w:hAnsi="Verdana"/>
                <w:sz w:val="18"/>
                <w:szCs w:val="18"/>
              </w:rPr>
              <w:t>Stand Miljoenennota 2016 (excl. IS)</w:t>
            </w:r>
          </w:p>
        </w:tc>
        <w:tc>
          <w:tcPr>
            <w:tcW w:w="0" w:type="auto"/>
            <w:gridSpan w:val="2"/>
            <w:tcBorders>
              <w:top w:val="single" w:color="000000" w:sz="6" w:space="0"/>
              <w:left w:val="nil"/>
              <w:right w:val="nil"/>
            </w:tcBorders>
            <w:hideMark/>
          </w:tcPr>
          <w:p w:rsidR="00414336" w:rsidP="006D23DC" w:rsidRDefault="00414336">
            <w:pPr>
              <w:jc w:val="right"/>
              <w:rPr>
                <w:rFonts w:ascii="Verdana" w:hAnsi="Verdana"/>
                <w:sz w:val="18"/>
                <w:szCs w:val="18"/>
              </w:rPr>
            </w:pPr>
            <w:r>
              <w:rPr>
                <w:rFonts w:ascii="Verdana" w:hAnsi="Verdana"/>
                <w:sz w:val="18"/>
                <w:szCs w:val="18"/>
              </w:rPr>
              <w:t>8.069,7</w:t>
            </w:r>
          </w:p>
        </w:tc>
      </w:tr>
      <w:tr w:rsidR="00414336" w:rsidTr="006D23DC">
        <w:tc>
          <w:tcPr>
            <w:tcW w:w="0" w:type="auto"/>
            <w:tcBorders>
              <w:left w:val="nil"/>
              <w:right w:val="nil"/>
            </w:tcBorders>
            <w:hideMark/>
          </w:tcPr>
          <w:p w:rsidR="00414336" w:rsidP="006D23DC" w:rsidRDefault="00414336">
            <w:pPr>
              <w:rPr>
                <w:rFonts w:ascii="Verdana" w:hAnsi="Verdana"/>
                <w:sz w:val="18"/>
                <w:szCs w:val="18"/>
              </w:rPr>
            </w:pPr>
            <w:r>
              <w:rPr>
                <w:rFonts w:ascii="Verdana" w:hAnsi="Verdana"/>
                <w:sz w:val="18"/>
                <w:szCs w:val="18"/>
              </w:rPr>
              <w:t>Beleidsmatige mutaties</w:t>
            </w:r>
          </w:p>
        </w:tc>
        <w:tc>
          <w:tcPr>
            <w:tcW w:w="0" w:type="auto"/>
            <w:gridSpan w:val="2"/>
            <w:hideMark/>
          </w:tcPr>
          <w:p w:rsidR="00414336" w:rsidP="006D23DC" w:rsidRDefault="00414336">
            <w:pPr>
              <w:rPr>
                <w:sz w:val="20"/>
                <w:szCs w:val="20"/>
              </w:rPr>
            </w:pPr>
          </w:p>
        </w:tc>
      </w:tr>
      <w:tr w:rsidR="00414336" w:rsidTr="006D23DC">
        <w:tc>
          <w:tcPr>
            <w:tcW w:w="0" w:type="auto"/>
            <w:tcBorders>
              <w:left w:val="nil"/>
              <w:right w:val="nil"/>
            </w:tcBorders>
            <w:tcMar>
              <w:top w:w="15" w:type="dxa"/>
              <w:left w:w="180" w:type="dxa"/>
              <w:bottom w:w="15" w:type="dxa"/>
              <w:right w:w="15" w:type="dxa"/>
            </w:tcMar>
            <w:vAlign w:val="both"/>
            <w:hideMark/>
          </w:tcPr>
          <w:p w:rsidR="00414336" w:rsidP="006D23DC" w:rsidRDefault="00414336">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414336" w:rsidP="006D23DC" w:rsidRDefault="00414336">
            <w:pPr>
              <w:rPr>
                <w:sz w:val="20"/>
                <w:szCs w:val="20"/>
              </w:rPr>
            </w:pPr>
          </w:p>
        </w:tc>
      </w:tr>
      <w:tr w:rsidR="00414336" w:rsidTr="006D23DC">
        <w:tc>
          <w:tcPr>
            <w:tcW w:w="0" w:type="auto"/>
            <w:tcBorders>
              <w:left w:val="nil"/>
              <w:right w:val="nil"/>
            </w:tcBorders>
            <w:tcMar>
              <w:top w:w="15" w:type="dxa"/>
              <w:left w:w="360" w:type="dxa"/>
              <w:bottom w:w="15" w:type="dxa"/>
              <w:right w:w="15" w:type="dxa"/>
            </w:tcMar>
            <w:vAlign w:val="both"/>
            <w:hideMark/>
          </w:tcPr>
          <w:p w:rsidR="00414336" w:rsidP="006D23DC" w:rsidRDefault="00414336">
            <w:pPr>
              <w:ind w:firstLine="360" w:firstLineChars="200"/>
              <w:rPr>
                <w:rFonts w:ascii="Verdana" w:hAnsi="Verdana"/>
                <w:sz w:val="18"/>
                <w:szCs w:val="18"/>
              </w:rPr>
            </w:pPr>
            <w:r>
              <w:rPr>
                <w:rFonts w:ascii="Verdana" w:hAnsi="Verdana"/>
                <w:sz w:val="18"/>
                <w:szCs w:val="18"/>
              </w:rPr>
              <w:t>Bruto nacalculatie</w:t>
            </w:r>
          </w:p>
        </w:tc>
        <w:tc>
          <w:tcPr>
            <w:tcW w:w="0" w:type="auto"/>
            <w:gridSpan w:val="2"/>
            <w:tcBorders>
              <w:left w:val="nil"/>
              <w:right w:val="nil"/>
            </w:tcBorders>
            <w:hideMark/>
          </w:tcPr>
          <w:p w:rsidR="00414336" w:rsidP="006D23DC" w:rsidRDefault="00414336">
            <w:pPr>
              <w:jc w:val="right"/>
              <w:rPr>
                <w:rFonts w:ascii="Verdana" w:hAnsi="Verdana"/>
                <w:sz w:val="18"/>
                <w:szCs w:val="18"/>
              </w:rPr>
            </w:pPr>
            <w:r>
              <w:rPr>
                <w:rFonts w:ascii="Verdana" w:hAnsi="Verdana"/>
                <w:sz w:val="18"/>
                <w:szCs w:val="18"/>
              </w:rPr>
              <w:t>512,4</w:t>
            </w:r>
          </w:p>
        </w:tc>
      </w:tr>
      <w:tr w:rsidR="00414336" w:rsidTr="006D23DC">
        <w:tc>
          <w:tcPr>
            <w:tcW w:w="0" w:type="auto"/>
            <w:tcBorders>
              <w:left w:val="nil"/>
              <w:right w:val="nil"/>
            </w:tcBorders>
            <w:tcMar>
              <w:top w:w="15" w:type="dxa"/>
              <w:left w:w="360" w:type="dxa"/>
              <w:bottom w:w="15" w:type="dxa"/>
              <w:right w:w="15" w:type="dxa"/>
            </w:tcMar>
            <w:vAlign w:val="both"/>
            <w:hideMark/>
          </w:tcPr>
          <w:p w:rsidR="00414336" w:rsidP="006D23DC" w:rsidRDefault="00414336">
            <w:pPr>
              <w:ind w:firstLine="360" w:firstLineChars="200"/>
              <w:rPr>
                <w:rFonts w:ascii="Verdana" w:hAnsi="Verdana"/>
                <w:sz w:val="18"/>
                <w:szCs w:val="18"/>
              </w:rPr>
            </w:pPr>
            <w:r>
              <w:rPr>
                <w:rFonts w:ascii="Verdana" w:hAnsi="Verdana"/>
                <w:sz w:val="18"/>
                <w:szCs w:val="18"/>
              </w:rPr>
              <w:t>Invoerrechten</w:t>
            </w:r>
          </w:p>
        </w:tc>
        <w:tc>
          <w:tcPr>
            <w:tcW w:w="0" w:type="auto"/>
            <w:gridSpan w:val="2"/>
            <w:tcBorders>
              <w:left w:val="nil"/>
              <w:right w:val="nil"/>
            </w:tcBorders>
            <w:hideMark/>
          </w:tcPr>
          <w:p w:rsidR="00414336" w:rsidP="006D23DC" w:rsidRDefault="00414336">
            <w:pPr>
              <w:jc w:val="right"/>
              <w:rPr>
                <w:rFonts w:ascii="Verdana" w:hAnsi="Verdana"/>
                <w:sz w:val="18"/>
                <w:szCs w:val="18"/>
              </w:rPr>
            </w:pPr>
            <w:r>
              <w:rPr>
                <w:rFonts w:ascii="Verdana" w:hAnsi="Verdana"/>
                <w:sz w:val="18"/>
                <w:szCs w:val="18"/>
              </w:rPr>
              <w:t>145,1</w:t>
            </w:r>
          </w:p>
        </w:tc>
      </w:tr>
      <w:tr w:rsidR="00414336" w:rsidTr="006D23DC">
        <w:tc>
          <w:tcPr>
            <w:tcW w:w="0" w:type="auto"/>
            <w:tcBorders>
              <w:left w:val="nil"/>
              <w:right w:val="nil"/>
            </w:tcBorders>
            <w:tcMar>
              <w:top w:w="15" w:type="dxa"/>
              <w:left w:w="360" w:type="dxa"/>
              <w:bottom w:w="15" w:type="dxa"/>
              <w:right w:w="15" w:type="dxa"/>
            </w:tcMar>
            <w:vAlign w:val="both"/>
            <w:hideMark/>
          </w:tcPr>
          <w:p w:rsidR="00414336" w:rsidP="006D23DC" w:rsidRDefault="00414336">
            <w:pPr>
              <w:ind w:firstLine="360" w:firstLineChars="200"/>
              <w:rPr>
                <w:rFonts w:ascii="Verdana" w:hAnsi="Verdana"/>
                <w:sz w:val="18"/>
                <w:szCs w:val="18"/>
              </w:rPr>
            </w:pPr>
            <w:r>
              <w:rPr>
                <w:rFonts w:ascii="Verdana" w:hAnsi="Verdana"/>
                <w:sz w:val="18"/>
                <w:szCs w:val="18"/>
              </w:rPr>
              <w:t>Tweede terugbetaling naheffing 2014</w:t>
            </w:r>
          </w:p>
        </w:tc>
        <w:tc>
          <w:tcPr>
            <w:tcW w:w="0" w:type="auto"/>
            <w:gridSpan w:val="2"/>
            <w:tcBorders>
              <w:left w:val="nil"/>
              <w:right w:val="nil"/>
            </w:tcBorders>
            <w:hideMark/>
          </w:tcPr>
          <w:p w:rsidR="00414336" w:rsidP="006D23DC" w:rsidRDefault="00414336">
            <w:pPr>
              <w:jc w:val="right"/>
              <w:rPr>
                <w:rFonts w:ascii="Verdana" w:hAnsi="Verdana"/>
                <w:sz w:val="18"/>
                <w:szCs w:val="18"/>
              </w:rPr>
            </w:pPr>
            <w:r>
              <w:rPr>
                <w:rFonts w:ascii="Verdana" w:hAnsi="Verdana"/>
                <w:sz w:val="18"/>
                <w:szCs w:val="18"/>
              </w:rPr>
              <w:t>251,6</w:t>
            </w:r>
          </w:p>
        </w:tc>
      </w:tr>
      <w:tr w:rsidR="00414336" w:rsidTr="006D23DC">
        <w:tc>
          <w:tcPr>
            <w:tcW w:w="0" w:type="auto"/>
            <w:tcBorders>
              <w:left w:val="nil"/>
              <w:right w:val="nil"/>
            </w:tcBorders>
            <w:hideMark/>
          </w:tcPr>
          <w:p w:rsidR="00414336" w:rsidP="006D23DC" w:rsidRDefault="00414336">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414336" w:rsidP="006D23DC" w:rsidRDefault="00414336">
            <w:pPr>
              <w:jc w:val="right"/>
              <w:rPr>
                <w:rFonts w:ascii="Verdana" w:hAnsi="Verdana"/>
                <w:sz w:val="18"/>
                <w:szCs w:val="18"/>
              </w:rPr>
            </w:pPr>
            <w:r>
              <w:rPr>
                <w:rFonts w:ascii="Verdana" w:hAnsi="Verdana"/>
                <w:sz w:val="18"/>
                <w:szCs w:val="18"/>
              </w:rPr>
              <w:t>909,1</w:t>
            </w:r>
          </w:p>
        </w:tc>
      </w:tr>
      <w:tr w:rsidR="00414336" w:rsidTr="006D23DC">
        <w:tc>
          <w:tcPr>
            <w:tcW w:w="0" w:type="auto"/>
            <w:tcBorders>
              <w:left w:val="nil"/>
              <w:right w:val="nil"/>
            </w:tcBorders>
            <w:hideMark/>
          </w:tcPr>
          <w:p w:rsidR="00414336" w:rsidP="006D23DC" w:rsidRDefault="00414336">
            <w:pPr>
              <w:rPr>
                <w:rFonts w:ascii="Verdana" w:hAnsi="Verdana"/>
                <w:sz w:val="18"/>
                <w:szCs w:val="18"/>
              </w:rPr>
            </w:pPr>
            <w:r>
              <w:rPr>
                <w:rFonts w:ascii="Verdana" w:hAnsi="Verdana"/>
                <w:sz w:val="18"/>
                <w:szCs w:val="18"/>
              </w:rPr>
              <w:t>Totaal mutaties sinds Miljoenennota 2016</w:t>
            </w:r>
          </w:p>
        </w:tc>
        <w:tc>
          <w:tcPr>
            <w:tcW w:w="0" w:type="auto"/>
            <w:gridSpan w:val="2"/>
            <w:tcBorders>
              <w:left w:val="nil"/>
              <w:right w:val="nil"/>
            </w:tcBorders>
            <w:hideMark/>
          </w:tcPr>
          <w:p w:rsidR="00414336" w:rsidP="006D23DC" w:rsidRDefault="00414336">
            <w:pPr>
              <w:jc w:val="right"/>
              <w:rPr>
                <w:rFonts w:ascii="Verdana" w:hAnsi="Verdana"/>
                <w:sz w:val="18"/>
                <w:szCs w:val="18"/>
              </w:rPr>
            </w:pPr>
            <w:r>
              <w:rPr>
                <w:rFonts w:ascii="Verdana" w:hAnsi="Verdana"/>
                <w:sz w:val="18"/>
                <w:szCs w:val="18"/>
              </w:rPr>
              <w:t>909,0</w:t>
            </w:r>
          </w:p>
        </w:tc>
      </w:tr>
      <w:tr w:rsidR="00414336" w:rsidTr="006D23DC">
        <w:tc>
          <w:tcPr>
            <w:tcW w:w="0" w:type="auto"/>
            <w:tcBorders>
              <w:left w:val="nil"/>
              <w:right w:val="nil"/>
            </w:tcBorders>
            <w:hideMark/>
          </w:tcPr>
          <w:p w:rsidR="00414336" w:rsidP="006D23DC" w:rsidRDefault="00414336">
            <w:pPr>
              <w:rPr>
                <w:rFonts w:ascii="Verdana" w:hAnsi="Verdana"/>
                <w:sz w:val="18"/>
                <w:szCs w:val="18"/>
              </w:rPr>
            </w:pPr>
            <w:r>
              <w:rPr>
                <w:rFonts w:ascii="Verdana" w:hAnsi="Verdana"/>
                <w:sz w:val="18"/>
                <w:szCs w:val="18"/>
              </w:rPr>
              <w:t> </w:t>
            </w:r>
          </w:p>
        </w:tc>
        <w:tc>
          <w:tcPr>
            <w:tcW w:w="0" w:type="auto"/>
            <w:gridSpan w:val="2"/>
            <w:hideMark/>
          </w:tcPr>
          <w:p w:rsidR="00414336" w:rsidP="006D23DC" w:rsidRDefault="00414336">
            <w:pPr>
              <w:rPr>
                <w:sz w:val="20"/>
                <w:szCs w:val="20"/>
              </w:rPr>
            </w:pPr>
          </w:p>
        </w:tc>
      </w:tr>
      <w:tr w:rsidR="00414336" w:rsidTr="006D23DC">
        <w:tc>
          <w:tcPr>
            <w:tcW w:w="0" w:type="auto"/>
            <w:tcBorders>
              <w:left w:val="nil"/>
              <w:right w:val="nil"/>
            </w:tcBorders>
            <w:hideMark/>
          </w:tcPr>
          <w:p w:rsidR="00414336" w:rsidP="006D23DC" w:rsidRDefault="00414336">
            <w:pPr>
              <w:rPr>
                <w:rFonts w:ascii="Verdana" w:hAnsi="Verdana"/>
                <w:sz w:val="18"/>
                <w:szCs w:val="18"/>
              </w:rPr>
            </w:pPr>
            <w:r>
              <w:rPr>
                <w:rFonts w:ascii="Verdana" w:hAnsi="Verdana"/>
                <w:sz w:val="18"/>
                <w:szCs w:val="18"/>
              </w:rPr>
              <w:t>Stand Najaarsnota 2015 (subtotaal)</w:t>
            </w:r>
          </w:p>
        </w:tc>
        <w:tc>
          <w:tcPr>
            <w:tcW w:w="0" w:type="auto"/>
            <w:gridSpan w:val="2"/>
            <w:tcBorders>
              <w:top w:val="single" w:color="000000" w:sz="6" w:space="0"/>
              <w:left w:val="nil"/>
              <w:right w:val="nil"/>
            </w:tcBorders>
            <w:hideMark/>
          </w:tcPr>
          <w:p w:rsidR="00414336" w:rsidP="006D23DC" w:rsidRDefault="00414336">
            <w:pPr>
              <w:jc w:val="right"/>
              <w:rPr>
                <w:rFonts w:ascii="Verdana" w:hAnsi="Verdana"/>
                <w:sz w:val="18"/>
                <w:szCs w:val="18"/>
              </w:rPr>
            </w:pPr>
            <w:r>
              <w:rPr>
                <w:rFonts w:ascii="Verdana" w:hAnsi="Verdana"/>
                <w:sz w:val="18"/>
                <w:szCs w:val="18"/>
              </w:rPr>
              <w:t>8.978,8</w:t>
            </w:r>
          </w:p>
        </w:tc>
      </w:tr>
      <w:tr w:rsidR="00414336" w:rsidTr="006D23DC">
        <w:tc>
          <w:tcPr>
            <w:tcW w:w="0" w:type="auto"/>
            <w:tcBorders>
              <w:left w:val="nil"/>
              <w:right w:val="nil"/>
            </w:tcBorders>
            <w:hideMark/>
          </w:tcPr>
          <w:p w:rsidR="00414336" w:rsidP="006D23DC" w:rsidRDefault="00414336">
            <w:pPr>
              <w:rPr>
                <w:rFonts w:ascii="Verdana" w:hAnsi="Verdana"/>
                <w:sz w:val="18"/>
                <w:szCs w:val="18"/>
              </w:rPr>
            </w:pPr>
            <w:r>
              <w:rPr>
                <w:rFonts w:ascii="Verdana" w:hAnsi="Verdana"/>
                <w:sz w:val="18"/>
                <w:szCs w:val="18"/>
              </w:rPr>
              <w:t>Totaal Internationale samenwerking</w:t>
            </w:r>
          </w:p>
        </w:tc>
        <w:tc>
          <w:tcPr>
            <w:tcW w:w="0" w:type="auto"/>
            <w:gridSpan w:val="2"/>
            <w:tcBorders>
              <w:left w:val="nil"/>
              <w:right w:val="nil"/>
            </w:tcBorders>
            <w:hideMark/>
          </w:tcPr>
          <w:p w:rsidR="00414336" w:rsidP="006D23DC" w:rsidRDefault="00414336">
            <w:pPr>
              <w:jc w:val="right"/>
              <w:rPr>
                <w:rFonts w:ascii="Verdana" w:hAnsi="Verdana"/>
                <w:sz w:val="18"/>
                <w:szCs w:val="18"/>
              </w:rPr>
            </w:pPr>
            <w:r>
              <w:rPr>
                <w:rFonts w:ascii="Verdana" w:hAnsi="Verdana"/>
                <w:sz w:val="18"/>
                <w:szCs w:val="18"/>
              </w:rPr>
              <w:t>1.370,3</w:t>
            </w:r>
          </w:p>
        </w:tc>
      </w:tr>
      <w:tr w:rsidR="00414336" w:rsidTr="006D23DC">
        <w:tc>
          <w:tcPr>
            <w:tcW w:w="0" w:type="auto"/>
            <w:tcBorders>
              <w:left w:val="nil"/>
              <w:right w:val="nil"/>
            </w:tcBorders>
            <w:hideMark/>
          </w:tcPr>
          <w:p w:rsidR="00414336" w:rsidP="006D23DC" w:rsidRDefault="00414336">
            <w:pPr>
              <w:rPr>
                <w:rFonts w:ascii="Verdana" w:hAnsi="Verdana"/>
                <w:sz w:val="18"/>
                <w:szCs w:val="18"/>
              </w:rPr>
            </w:pPr>
            <w:r>
              <w:rPr>
                <w:rFonts w:ascii="Verdana" w:hAnsi="Verdana"/>
                <w:sz w:val="18"/>
                <w:szCs w:val="18"/>
              </w:rPr>
              <w:t>Stand Najaarsnota 2015</w:t>
            </w:r>
          </w:p>
        </w:tc>
        <w:tc>
          <w:tcPr>
            <w:tcW w:w="0" w:type="auto"/>
            <w:gridSpan w:val="2"/>
            <w:tcBorders>
              <w:top w:val="single" w:color="000000" w:sz="6" w:space="0"/>
              <w:left w:val="nil"/>
              <w:right w:val="nil"/>
            </w:tcBorders>
            <w:hideMark/>
          </w:tcPr>
          <w:p w:rsidR="00414336" w:rsidP="006D23DC" w:rsidRDefault="00414336">
            <w:pPr>
              <w:jc w:val="right"/>
              <w:rPr>
                <w:rFonts w:ascii="Verdana" w:hAnsi="Verdana"/>
                <w:sz w:val="18"/>
                <w:szCs w:val="18"/>
              </w:rPr>
            </w:pPr>
            <w:r>
              <w:rPr>
                <w:rFonts w:ascii="Verdana" w:hAnsi="Verdana"/>
                <w:sz w:val="18"/>
                <w:szCs w:val="18"/>
              </w:rPr>
              <w:t>10.349,0</w:t>
            </w:r>
          </w:p>
        </w:tc>
      </w:tr>
      <w:tr w:rsidR="00414336" w:rsidTr="00414336">
        <w:tc>
          <w:tcPr>
            <w:tcW w:w="8246" w:type="dxa"/>
            <w:gridSpan w:val="2"/>
            <w:tcBorders>
              <w:left w:val="nil"/>
              <w:right w:val="nil"/>
            </w:tcBorders>
            <w:hideMark/>
          </w:tcPr>
          <w:p w:rsidR="00414336" w:rsidP="006D23DC" w:rsidRDefault="00414336">
            <w:pPr>
              <w:rPr>
                <w:rFonts w:ascii="Verdana" w:hAnsi="Verdana"/>
                <w:sz w:val="18"/>
                <w:szCs w:val="18"/>
              </w:rPr>
            </w:pPr>
            <w:r>
              <w:rPr>
                <w:rFonts w:ascii="Verdana" w:hAnsi="Verdana"/>
                <w:sz w:val="18"/>
                <w:szCs w:val="18"/>
              </w:rPr>
              <w:t> </w:t>
            </w:r>
          </w:p>
        </w:tc>
        <w:tc>
          <w:tcPr>
            <w:tcW w:w="856" w:type="dxa"/>
            <w:tcBorders>
              <w:left w:val="nil"/>
              <w:right w:val="nil"/>
            </w:tcBorders>
            <w:hideMark/>
          </w:tcPr>
          <w:p w:rsidR="00414336" w:rsidP="006D23DC" w:rsidRDefault="00414336">
            <w:pPr>
              <w:rPr>
                <w:rFonts w:ascii="Verdana" w:hAnsi="Verdana"/>
                <w:sz w:val="18"/>
                <w:szCs w:val="18"/>
              </w:rPr>
            </w:pPr>
            <w:r>
              <w:rPr>
                <w:rFonts w:ascii="Verdana" w:hAnsi="Verdana"/>
                <w:sz w:val="18"/>
                <w:szCs w:val="18"/>
              </w:rPr>
              <w:t> </w:t>
            </w:r>
          </w:p>
        </w:tc>
      </w:tr>
      <w:tr w:rsidR="00414336" w:rsidTr="006D23DC">
        <w:tc>
          <w:tcPr>
            <w:tcW w:w="0" w:type="auto"/>
            <w:gridSpan w:val="2"/>
            <w:tcBorders>
              <w:left w:val="nil"/>
              <w:right w:val="nil"/>
            </w:tcBorders>
            <w:hideMark/>
          </w:tcPr>
          <w:p w:rsidR="00414336" w:rsidP="006D23DC" w:rsidRDefault="00414336">
            <w:pPr>
              <w:rPr>
                <w:rFonts w:ascii="Verdana" w:hAnsi="Verdana"/>
                <w:sz w:val="18"/>
                <w:szCs w:val="18"/>
              </w:rPr>
            </w:pPr>
            <w:r>
              <w:rPr>
                <w:rFonts w:ascii="Verdana" w:hAnsi="Verdana"/>
                <w:sz w:val="18"/>
                <w:szCs w:val="18"/>
              </w:rPr>
              <w:t>V BUITENLANDSE ZAKEN: NIET-BELASTINGONTVANGSTEN</w:t>
            </w:r>
          </w:p>
        </w:tc>
        <w:tc>
          <w:tcPr>
            <w:tcW w:w="0" w:type="auto"/>
            <w:hideMark/>
          </w:tcPr>
          <w:p w:rsidR="00414336" w:rsidP="006D23DC" w:rsidRDefault="00414336">
            <w:pPr>
              <w:rPr>
                <w:sz w:val="20"/>
                <w:szCs w:val="20"/>
              </w:rPr>
            </w:pPr>
          </w:p>
        </w:tc>
      </w:tr>
      <w:tr w:rsidR="00414336" w:rsidTr="006D23DC">
        <w:tc>
          <w:tcPr>
            <w:tcW w:w="0" w:type="auto"/>
            <w:gridSpan w:val="2"/>
            <w:tcBorders>
              <w:top w:val="single" w:color="000000" w:sz="6" w:space="0"/>
              <w:left w:val="nil"/>
              <w:bottom w:val="single" w:color="000000" w:sz="6" w:space="0"/>
              <w:right w:val="nil"/>
            </w:tcBorders>
            <w:hideMark/>
          </w:tcPr>
          <w:p w:rsidR="00414336" w:rsidP="006D23DC" w:rsidRDefault="00414336">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414336" w:rsidP="006D23DC" w:rsidRDefault="00414336">
            <w:pPr>
              <w:jc w:val="right"/>
              <w:rPr>
                <w:rFonts w:ascii="Verdana" w:hAnsi="Verdana"/>
                <w:sz w:val="18"/>
                <w:szCs w:val="18"/>
              </w:rPr>
            </w:pPr>
            <w:r>
              <w:rPr>
                <w:rFonts w:ascii="Verdana" w:hAnsi="Verdana"/>
                <w:sz w:val="18"/>
                <w:szCs w:val="18"/>
              </w:rPr>
              <w:t>2015</w:t>
            </w:r>
          </w:p>
        </w:tc>
      </w:tr>
      <w:tr w:rsidR="00414336" w:rsidTr="006D23DC">
        <w:tc>
          <w:tcPr>
            <w:tcW w:w="0" w:type="auto"/>
            <w:gridSpan w:val="2"/>
            <w:tcBorders>
              <w:left w:val="nil"/>
              <w:right w:val="nil"/>
            </w:tcBorders>
            <w:hideMark/>
          </w:tcPr>
          <w:p w:rsidR="00414336" w:rsidP="006D23DC" w:rsidRDefault="00414336">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414336" w:rsidP="006D23DC" w:rsidRDefault="00414336">
            <w:pPr>
              <w:jc w:val="right"/>
              <w:rPr>
                <w:rFonts w:ascii="Verdana" w:hAnsi="Verdana"/>
                <w:sz w:val="18"/>
                <w:szCs w:val="18"/>
              </w:rPr>
            </w:pPr>
            <w:r>
              <w:rPr>
                <w:rFonts w:ascii="Verdana" w:hAnsi="Verdana"/>
                <w:sz w:val="18"/>
                <w:szCs w:val="18"/>
              </w:rPr>
              <w:t>695,1</w:t>
            </w:r>
          </w:p>
        </w:tc>
      </w:tr>
      <w:tr w:rsidR="00414336" w:rsidTr="006D23DC">
        <w:tc>
          <w:tcPr>
            <w:tcW w:w="0" w:type="auto"/>
            <w:gridSpan w:val="2"/>
            <w:tcBorders>
              <w:left w:val="nil"/>
              <w:right w:val="nil"/>
            </w:tcBorders>
            <w:hideMark/>
          </w:tcPr>
          <w:p w:rsidR="00414336" w:rsidP="006D23DC" w:rsidRDefault="00414336">
            <w:pPr>
              <w:rPr>
                <w:rFonts w:ascii="Verdana" w:hAnsi="Verdana"/>
                <w:sz w:val="18"/>
                <w:szCs w:val="18"/>
              </w:rPr>
            </w:pPr>
            <w:r>
              <w:rPr>
                <w:rFonts w:ascii="Verdana" w:hAnsi="Verdana"/>
                <w:sz w:val="18"/>
                <w:szCs w:val="18"/>
              </w:rPr>
              <w:t>Beleidsmatige mutaties</w:t>
            </w:r>
          </w:p>
        </w:tc>
        <w:tc>
          <w:tcPr>
            <w:tcW w:w="0" w:type="auto"/>
            <w:hideMark/>
          </w:tcPr>
          <w:p w:rsidR="00414336" w:rsidP="006D23DC" w:rsidRDefault="00414336">
            <w:pPr>
              <w:rPr>
                <w:sz w:val="20"/>
                <w:szCs w:val="20"/>
              </w:rPr>
            </w:pPr>
          </w:p>
        </w:tc>
      </w:tr>
      <w:tr w:rsidR="00414336" w:rsidTr="006D23DC">
        <w:tc>
          <w:tcPr>
            <w:tcW w:w="0" w:type="auto"/>
            <w:gridSpan w:val="2"/>
            <w:tcBorders>
              <w:left w:val="nil"/>
              <w:right w:val="nil"/>
            </w:tcBorders>
            <w:tcMar>
              <w:top w:w="15" w:type="dxa"/>
              <w:left w:w="180" w:type="dxa"/>
              <w:bottom w:w="15" w:type="dxa"/>
              <w:right w:w="15" w:type="dxa"/>
            </w:tcMar>
            <w:vAlign w:val="both"/>
            <w:hideMark/>
          </w:tcPr>
          <w:p w:rsidR="00414336" w:rsidP="006D23DC" w:rsidRDefault="00414336">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414336" w:rsidP="006D23DC" w:rsidRDefault="00414336">
            <w:pPr>
              <w:rPr>
                <w:sz w:val="20"/>
                <w:szCs w:val="20"/>
              </w:rPr>
            </w:pPr>
          </w:p>
        </w:tc>
      </w:tr>
      <w:tr w:rsidR="00414336" w:rsidTr="006D23DC">
        <w:tc>
          <w:tcPr>
            <w:tcW w:w="0" w:type="auto"/>
            <w:gridSpan w:val="2"/>
            <w:tcBorders>
              <w:left w:val="nil"/>
              <w:right w:val="nil"/>
            </w:tcBorders>
            <w:tcMar>
              <w:top w:w="15" w:type="dxa"/>
              <w:left w:w="360" w:type="dxa"/>
              <w:bottom w:w="15" w:type="dxa"/>
              <w:right w:w="15" w:type="dxa"/>
            </w:tcMar>
            <w:vAlign w:val="both"/>
            <w:hideMark/>
          </w:tcPr>
          <w:p w:rsidR="00414336" w:rsidP="006D23DC" w:rsidRDefault="00414336">
            <w:pPr>
              <w:ind w:firstLine="360" w:firstLineChars="200"/>
              <w:rPr>
                <w:rFonts w:ascii="Verdana" w:hAnsi="Verdana"/>
                <w:sz w:val="18"/>
                <w:szCs w:val="18"/>
              </w:rPr>
            </w:pPr>
            <w:r>
              <w:rPr>
                <w:rFonts w:ascii="Verdana" w:hAnsi="Verdana"/>
                <w:sz w:val="18"/>
                <w:szCs w:val="18"/>
              </w:rPr>
              <w:t>Perceptiekostenvergoedingen</w:t>
            </w:r>
          </w:p>
        </w:tc>
        <w:tc>
          <w:tcPr>
            <w:tcW w:w="0" w:type="auto"/>
            <w:tcBorders>
              <w:left w:val="nil"/>
              <w:right w:val="nil"/>
            </w:tcBorders>
            <w:hideMark/>
          </w:tcPr>
          <w:p w:rsidR="00414336" w:rsidP="006D23DC" w:rsidRDefault="00414336">
            <w:pPr>
              <w:jc w:val="right"/>
              <w:rPr>
                <w:rFonts w:ascii="Verdana" w:hAnsi="Verdana"/>
                <w:sz w:val="18"/>
                <w:szCs w:val="18"/>
              </w:rPr>
            </w:pPr>
            <w:r>
              <w:rPr>
                <w:rFonts w:ascii="Verdana" w:hAnsi="Verdana"/>
                <w:sz w:val="18"/>
                <w:szCs w:val="18"/>
              </w:rPr>
              <w:t>49,5</w:t>
            </w:r>
          </w:p>
        </w:tc>
      </w:tr>
      <w:tr w:rsidR="00414336" w:rsidTr="006D23DC">
        <w:tc>
          <w:tcPr>
            <w:tcW w:w="0" w:type="auto"/>
            <w:gridSpan w:val="2"/>
            <w:tcBorders>
              <w:left w:val="nil"/>
              <w:right w:val="nil"/>
            </w:tcBorders>
            <w:hideMark/>
          </w:tcPr>
          <w:p w:rsidR="00414336" w:rsidP="006D23DC" w:rsidRDefault="00414336">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414336" w:rsidP="006D23DC" w:rsidRDefault="00414336">
            <w:pPr>
              <w:jc w:val="right"/>
              <w:rPr>
                <w:rFonts w:ascii="Verdana" w:hAnsi="Verdana"/>
                <w:sz w:val="18"/>
                <w:szCs w:val="18"/>
              </w:rPr>
            </w:pPr>
            <w:r>
              <w:rPr>
                <w:rFonts w:ascii="Verdana" w:hAnsi="Verdana"/>
                <w:sz w:val="18"/>
                <w:szCs w:val="18"/>
              </w:rPr>
              <w:t>49,5</w:t>
            </w:r>
          </w:p>
        </w:tc>
      </w:tr>
      <w:tr w:rsidR="00414336" w:rsidTr="006D23DC">
        <w:tc>
          <w:tcPr>
            <w:tcW w:w="0" w:type="auto"/>
            <w:gridSpan w:val="2"/>
            <w:tcBorders>
              <w:left w:val="nil"/>
              <w:right w:val="nil"/>
            </w:tcBorders>
            <w:hideMark/>
          </w:tcPr>
          <w:p w:rsidR="00414336" w:rsidP="006D23DC" w:rsidRDefault="00414336">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414336" w:rsidP="006D23DC" w:rsidRDefault="00414336">
            <w:pPr>
              <w:jc w:val="right"/>
              <w:rPr>
                <w:rFonts w:ascii="Verdana" w:hAnsi="Verdana"/>
                <w:sz w:val="18"/>
                <w:szCs w:val="18"/>
              </w:rPr>
            </w:pPr>
            <w:r>
              <w:rPr>
                <w:rFonts w:ascii="Verdana" w:hAnsi="Verdana"/>
                <w:sz w:val="18"/>
                <w:szCs w:val="18"/>
              </w:rPr>
              <w:t>49,5</w:t>
            </w:r>
          </w:p>
        </w:tc>
      </w:tr>
      <w:tr w:rsidR="00414336" w:rsidTr="006D23DC">
        <w:tc>
          <w:tcPr>
            <w:tcW w:w="0" w:type="auto"/>
            <w:gridSpan w:val="2"/>
            <w:tcBorders>
              <w:left w:val="nil"/>
              <w:right w:val="nil"/>
            </w:tcBorders>
            <w:hideMark/>
          </w:tcPr>
          <w:p w:rsidR="00414336" w:rsidP="006D23DC" w:rsidRDefault="00414336">
            <w:pPr>
              <w:rPr>
                <w:rFonts w:ascii="Verdana" w:hAnsi="Verdana"/>
                <w:sz w:val="18"/>
                <w:szCs w:val="18"/>
              </w:rPr>
            </w:pPr>
            <w:r>
              <w:rPr>
                <w:rFonts w:ascii="Verdana" w:hAnsi="Verdana"/>
                <w:sz w:val="18"/>
                <w:szCs w:val="18"/>
              </w:rPr>
              <w:t> </w:t>
            </w:r>
          </w:p>
        </w:tc>
        <w:tc>
          <w:tcPr>
            <w:tcW w:w="0" w:type="auto"/>
            <w:hideMark/>
          </w:tcPr>
          <w:p w:rsidR="00414336" w:rsidP="006D23DC" w:rsidRDefault="00414336">
            <w:pPr>
              <w:rPr>
                <w:sz w:val="20"/>
                <w:szCs w:val="20"/>
              </w:rPr>
            </w:pPr>
          </w:p>
        </w:tc>
      </w:tr>
      <w:tr w:rsidR="00414336" w:rsidTr="006D23DC">
        <w:tc>
          <w:tcPr>
            <w:tcW w:w="0" w:type="auto"/>
            <w:gridSpan w:val="2"/>
            <w:tcBorders>
              <w:left w:val="nil"/>
              <w:right w:val="nil"/>
            </w:tcBorders>
            <w:hideMark/>
          </w:tcPr>
          <w:p w:rsidR="00414336" w:rsidP="006D23DC" w:rsidRDefault="00414336">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414336" w:rsidP="006D23DC" w:rsidRDefault="00414336">
            <w:pPr>
              <w:jc w:val="right"/>
              <w:rPr>
                <w:rFonts w:ascii="Verdana" w:hAnsi="Verdana"/>
                <w:sz w:val="18"/>
                <w:szCs w:val="18"/>
              </w:rPr>
            </w:pPr>
            <w:r>
              <w:rPr>
                <w:rFonts w:ascii="Verdana" w:hAnsi="Verdana"/>
                <w:sz w:val="18"/>
                <w:szCs w:val="18"/>
              </w:rPr>
              <w:t>744,6</w:t>
            </w:r>
          </w:p>
        </w:tc>
      </w:tr>
      <w:tr w:rsidR="00414336" w:rsidTr="006D23DC">
        <w:tc>
          <w:tcPr>
            <w:tcW w:w="0" w:type="auto"/>
            <w:gridSpan w:val="2"/>
            <w:tcBorders>
              <w:left w:val="nil"/>
              <w:right w:val="nil"/>
            </w:tcBorders>
            <w:hideMark/>
          </w:tcPr>
          <w:p w:rsidR="00414336" w:rsidP="006D23DC" w:rsidRDefault="00414336">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414336" w:rsidP="006D23DC" w:rsidRDefault="00414336">
            <w:pPr>
              <w:jc w:val="right"/>
              <w:rPr>
                <w:rFonts w:ascii="Verdana" w:hAnsi="Verdana"/>
                <w:sz w:val="18"/>
                <w:szCs w:val="18"/>
              </w:rPr>
            </w:pPr>
            <w:r>
              <w:rPr>
                <w:rFonts w:ascii="Verdana" w:hAnsi="Verdana"/>
                <w:sz w:val="18"/>
                <w:szCs w:val="18"/>
              </w:rPr>
              <w:t>80,2</w:t>
            </w:r>
          </w:p>
        </w:tc>
      </w:tr>
      <w:tr w:rsidR="00414336" w:rsidTr="006D23DC">
        <w:tc>
          <w:tcPr>
            <w:tcW w:w="0" w:type="auto"/>
            <w:gridSpan w:val="2"/>
            <w:tcBorders>
              <w:left w:val="nil"/>
              <w:right w:val="nil"/>
            </w:tcBorders>
            <w:hideMark/>
          </w:tcPr>
          <w:p w:rsidR="00414336" w:rsidP="006D23DC" w:rsidRDefault="00414336">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414336" w:rsidP="006D23DC" w:rsidRDefault="00414336">
            <w:pPr>
              <w:jc w:val="right"/>
              <w:rPr>
                <w:rFonts w:ascii="Verdana" w:hAnsi="Verdana"/>
                <w:sz w:val="18"/>
                <w:szCs w:val="18"/>
              </w:rPr>
            </w:pPr>
            <w:r>
              <w:rPr>
                <w:rFonts w:ascii="Verdana" w:hAnsi="Verdana"/>
                <w:sz w:val="18"/>
                <w:szCs w:val="18"/>
              </w:rPr>
              <w:t>824,8</w:t>
            </w:r>
          </w:p>
        </w:tc>
      </w:tr>
    </w:tbl>
    <w:p w:rsidR="00414336" w:rsidP="00533D5C" w:rsidRDefault="00414336">
      <w:pPr>
        <w:spacing w:line="240" w:lineRule="exact"/>
        <w:rPr>
          <w:rFonts w:ascii="Verdana" w:hAnsi="Verdana" w:cs="Verdana"/>
          <w:sz w:val="18"/>
          <w:szCs w:val="18"/>
        </w:rPr>
      </w:pPr>
    </w:p>
    <w:p w:rsidR="00AA4A16" w:rsidP="00533D5C" w:rsidRDefault="00AA4A16">
      <w:pPr>
        <w:spacing w:line="240" w:lineRule="exact"/>
        <w:rPr>
          <w:rFonts w:ascii="Verdana" w:hAnsi="Verdana" w:cs="Verdana"/>
          <w:sz w:val="18"/>
          <w:szCs w:val="18"/>
        </w:rPr>
      </w:pPr>
    </w:p>
    <w:p w:rsidRPr="00AA4A16" w:rsidR="00AA4A16" w:rsidP="00AA4A16" w:rsidRDefault="00AA4A16">
      <w:pPr>
        <w:spacing w:line="240" w:lineRule="exact"/>
        <w:rPr>
          <w:rFonts w:ascii="Verdana" w:hAnsi="Verdana"/>
          <w:sz w:val="18"/>
          <w:szCs w:val="18"/>
        </w:rPr>
      </w:pPr>
      <w:r w:rsidRPr="00AA4A16">
        <w:rPr>
          <w:rFonts w:ascii="Verdana" w:hAnsi="Verdana"/>
          <w:sz w:val="18"/>
          <w:szCs w:val="18"/>
        </w:rPr>
        <w:t>Een overzicht van de bruto mutaties van de EU-afdrachten sinds de Miljoenennota 2016 treft u aan in de tabel hierboven. Nadere informatie over de mutaties is terug te vinden in brieven aan de Kamer van 7</w:t>
      </w:r>
      <w:r w:rsidRPr="00AA4A16">
        <w:rPr>
          <w:rStyle w:val="Voetnootmarkering"/>
          <w:rFonts w:ascii="Verdana" w:hAnsi="Verdana"/>
          <w:sz w:val="18"/>
          <w:szCs w:val="18"/>
        </w:rPr>
        <w:footnoteReference w:id="1"/>
      </w:r>
      <w:r w:rsidRPr="00AA4A16">
        <w:rPr>
          <w:rFonts w:ascii="Verdana" w:hAnsi="Verdana"/>
          <w:sz w:val="18"/>
          <w:szCs w:val="18"/>
        </w:rPr>
        <w:t xml:space="preserve"> en 20</w:t>
      </w:r>
      <w:r w:rsidRPr="00AA4A16">
        <w:rPr>
          <w:rStyle w:val="Voetnootmarkering"/>
          <w:rFonts w:ascii="Verdana" w:hAnsi="Verdana"/>
          <w:sz w:val="18"/>
          <w:szCs w:val="18"/>
        </w:rPr>
        <w:footnoteReference w:id="2"/>
      </w:r>
      <w:r w:rsidRPr="00AA4A16">
        <w:rPr>
          <w:rFonts w:ascii="Verdana" w:hAnsi="Verdana"/>
          <w:sz w:val="18"/>
          <w:szCs w:val="18"/>
        </w:rPr>
        <w:t xml:space="preserve"> oktober </w:t>
      </w:r>
      <w:proofErr w:type="spellStart"/>
      <w:r w:rsidRPr="00AA4A16">
        <w:rPr>
          <w:rFonts w:ascii="Verdana" w:hAnsi="Verdana"/>
          <w:sz w:val="18"/>
          <w:szCs w:val="18"/>
        </w:rPr>
        <w:t>j.l</w:t>
      </w:r>
      <w:proofErr w:type="spellEnd"/>
      <w:r w:rsidRPr="00AA4A16">
        <w:rPr>
          <w:rFonts w:ascii="Verdana" w:hAnsi="Verdana"/>
          <w:sz w:val="18"/>
          <w:szCs w:val="18"/>
        </w:rPr>
        <w:t>.</w:t>
      </w:r>
    </w:p>
    <w:p w:rsidRPr="00AA4A16" w:rsidR="00AA4A16" w:rsidP="00AA4A16" w:rsidRDefault="00AA4A16">
      <w:pPr>
        <w:spacing w:line="240" w:lineRule="exact"/>
        <w:rPr>
          <w:rFonts w:ascii="Verdana" w:hAnsi="Verdana"/>
          <w:sz w:val="18"/>
          <w:szCs w:val="18"/>
        </w:rPr>
      </w:pPr>
    </w:p>
    <w:p w:rsidRPr="00AA4A16" w:rsidR="00AA4A16" w:rsidP="00AA4A16" w:rsidRDefault="00AA4A16">
      <w:pPr>
        <w:spacing w:line="240" w:lineRule="exact"/>
        <w:rPr>
          <w:rFonts w:ascii="Verdana" w:hAnsi="Verdana"/>
          <w:sz w:val="18"/>
          <w:szCs w:val="18"/>
        </w:rPr>
      </w:pPr>
      <w:r w:rsidRPr="00AA4A16">
        <w:rPr>
          <w:rFonts w:ascii="Verdana" w:hAnsi="Verdana"/>
          <w:sz w:val="18"/>
          <w:szCs w:val="18"/>
        </w:rPr>
        <w:t>Sinds de Miljoenennota 2016 zijn twee aanvullende Europese begrotingen (DAB7 en DAB8) ingediend door de Europese Commissie</w:t>
      </w:r>
      <w:r w:rsidR="00B03A24">
        <w:rPr>
          <w:rFonts w:ascii="Verdana" w:hAnsi="Verdana"/>
          <w:sz w:val="18"/>
          <w:szCs w:val="18"/>
        </w:rPr>
        <w:t>.</w:t>
      </w:r>
      <w:r w:rsidRPr="00AA4A16">
        <w:rPr>
          <w:rFonts w:ascii="Verdana" w:hAnsi="Verdana"/>
          <w:sz w:val="18"/>
          <w:szCs w:val="18"/>
        </w:rPr>
        <w:t xml:space="preserve"> DAB8 wordt niet tijdig genoeg aangenomen in het Europees Parlement, waardoor de restituties behorende bij de nacalculatie niet meer in 2015 verwerkt kunnen worden. De uitbetaling van de restituties vindt nu plaats in 2016, dit resulteert voor 2015 in een aanvullende </w:t>
      </w:r>
      <w:proofErr w:type="spellStart"/>
      <w:r w:rsidRPr="00AA4A16">
        <w:rPr>
          <w:rFonts w:ascii="Verdana" w:hAnsi="Verdana"/>
          <w:sz w:val="18"/>
          <w:szCs w:val="18"/>
        </w:rPr>
        <w:t>netto-afdracht</w:t>
      </w:r>
      <w:proofErr w:type="spellEnd"/>
      <w:r w:rsidRPr="00AA4A16">
        <w:rPr>
          <w:rFonts w:ascii="Verdana" w:hAnsi="Verdana"/>
          <w:sz w:val="18"/>
          <w:szCs w:val="18"/>
        </w:rPr>
        <w:t xml:space="preserve"> van 859,6 mln., waarvoor 612 mln. reeds gereserveerd was op de aanvullende post (H86). Zie daarvoor de VT van hoofdstuk 86. In onderstaand tabel is schematisch weergegeven wat het effect van de EU-afdrachten en de reservering op het kader is. </w:t>
      </w:r>
    </w:p>
    <w:p w:rsidRPr="00AA4A16" w:rsidR="00AA4A16" w:rsidP="00AA4A16" w:rsidRDefault="00AA4A16">
      <w:pPr>
        <w:spacing w:line="240" w:lineRule="exact"/>
        <w:rPr>
          <w:rFonts w:ascii="Verdana" w:hAnsi="Verdana"/>
          <w:sz w:val="18"/>
          <w:szCs w:val="18"/>
        </w:rPr>
      </w:pPr>
    </w:p>
    <w:tbl>
      <w:tblPr>
        <w:tblW w:w="4680" w:type="dxa"/>
        <w:tblInd w:w="55" w:type="dxa"/>
        <w:tblCellMar>
          <w:left w:w="70" w:type="dxa"/>
          <w:right w:w="70" w:type="dxa"/>
        </w:tblCellMar>
        <w:tblLook w:val="04A0"/>
      </w:tblPr>
      <w:tblGrid>
        <w:gridCol w:w="3600"/>
        <w:gridCol w:w="1080"/>
      </w:tblGrid>
      <w:tr w:rsidRPr="00AA4A16" w:rsidR="00B6030F" w:rsidTr="005A1460">
        <w:trPr>
          <w:trHeight w:val="225"/>
        </w:trPr>
        <w:tc>
          <w:tcPr>
            <w:tcW w:w="3600" w:type="dxa"/>
            <w:tcBorders>
              <w:top w:val="single" w:color="9BBB59" w:sz="4" w:space="0"/>
              <w:left w:val="single" w:color="9BBB59" w:sz="4" w:space="0"/>
              <w:bottom w:val="nil"/>
              <w:right w:val="nil"/>
            </w:tcBorders>
            <w:shd w:val="clear" w:color="9BBB59" w:fill="9BBB59"/>
            <w:noWrap/>
            <w:vAlign w:val="bottom"/>
            <w:hideMark/>
          </w:tcPr>
          <w:p w:rsidRPr="00AA4A16" w:rsidR="00B6030F" w:rsidP="005A1460" w:rsidRDefault="00B6030F">
            <w:pPr>
              <w:spacing w:line="240" w:lineRule="exact"/>
              <w:rPr>
                <w:rFonts w:ascii="Verdana" w:hAnsi="Verdana"/>
                <w:b/>
                <w:bCs/>
                <w:color w:val="FFFFFF"/>
                <w:sz w:val="18"/>
                <w:szCs w:val="18"/>
              </w:rPr>
            </w:pPr>
            <w:r w:rsidRPr="00AA4A16">
              <w:rPr>
                <w:rFonts w:ascii="Verdana" w:hAnsi="Verdana"/>
                <w:b/>
                <w:bCs/>
                <w:color w:val="FFFFFF"/>
                <w:sz w:val="18"/>
                <w:szCs w:val="18"/>
              </w:rPr>
              <w:t xml:space="preserve">x mln. </w:t>
            </w:r>
          </w:p>
        </w:tc>
        <w:tc>
          <w:tcPr>
            <w:tcW w:w="1080" w:type="dxa"/>
            <w:tcBorders>
              <w:top w:val="single" w:color="9BBB59" w:sz="4" w:space="0"/>
              <w:left w:val="nil"/>
              <w:bottom w:val="nil"/>
              <w:right w:val="single" w:color="9BBB59" w:sz="4" w:space="0"/>
            </w:tcBorders>
            <w:shd w:val="clear" w:color="9BBB59" w:fill="9BBB59"/>
            <w:noWrap/>
            <w:vAlign w:val="bottom"/>
            <w:hideMark/>
          </w:tcPr>
          <w:p w:rsidRPr="00AA4A16" w:rsidR="00B6030F" w:rsidP="005A1460" w:rsidRDefault="00B6030F">
            <w:pPr>
              <w:spacing w:line="240" w:lineRule="exact"/>
              <w:jc w:val="center"/>
              <w:rPr>
                <w:rFonts w:ascii="Verdana" w:hAnsi="Verdana"/>
                <w:b/>
                <w:bCs/>
                <w:color w:val="FFFFFF"/>
                <w:sz w:val="18"/>
                <w:szCs w:val="18"/>
              </w:rPr>
            </w:pPr>
            <w:r w:rsidRPr="00AA4A16">
              <w:rPr>
                <w:rFonts w:ascii="Verdana" w:hAnsi="Verdana"/>
                <w:b/>
                <w:bCs/>
                <w:color w:val="FFFFFF"/>
                <w:sz w:val="18"/>
                <w:szCs w:val="18"/>
              </w:rPr>
              <w:t>2015</w:t>
            </w:r>
          </w:p>
        </w:tc>
      </w:tr>
      <w:tr w:rsidRPr="00AA4A16" w:rsidR="00B6030F" w:rsidTr="005A1460">
        <w:trPr>
          <w:trHeight w:val="225"/>
        </w:trPr>
        <w:tc>
          <w:tcPr>
            <w:tcW w:w="3600" w:type="dxa"/>
            <w:tcBorders>
              <w:top w:val="single" w:color="9BBB59" w:sz="4" w:space="0"/>
              <w:left w:val="single" w:color="9BBB59" w:sz="4" w:space="0"/>
              <w:bottom w:val="nil"/>
              <w:right w:val="nil"/>
            </w:tcBorders>
            <w:shd w:val="clear" w:color="auto" w:fill="auto"/>
            <w:noWrap/>
            <w:vAlign w:val="bottom"/>
            <w:hideMark/>
          </w:tcPr>
          <w:p w:rsidRPr="00AA4A16" w:rsidR="00B6030F" w:rsidP="005A1460" w:rsidRDefault="00B6030F">
            <w:pPr>
              <w:spacing w:line="240" w:lineRule="exact"/>
              <w:rPr>
                <w:rFonts w:ascii="Verdana" w:hAnsi="Verdana"/>
                <w:color w:val="000000"/>
                <w:sz w:val="18"/>
                <w:szCs w:val="18"/>
              </w:rPr>
            </w:pPr>
            <w:r>
              <w:rPr>
                <w:rFonts w:ascii="Verdana" w:hAnsi="Verdana"/>
                <w:color w:val="000000"/>
                <w:sz w:val="18"/>
                <w:szCs w:val="18"/>
              </w:rPr>
              <w:t xml:space="preserve">Mutaties </w:t>
            </w:r>
            <w:r w:rsidRPr="00AA4A16">
              <w:rPr>
                <w:rFonts w:ascii="Verdana" w:hAnsi="Verdana"/>
                <w:color w:val="000000"/>
                <w:sz w:val="18"/>
                <w:szCs w:val="18"/>
              </w:rPr>
              <w:t>Bruto uitgaven EU-afdrachten</w:t>
            </w:r>
            <w:r>
              <w:rPr>
                <w:rFonts w:ascii="Verdana" w:hAnsi="Verdana"/>
                <w:color w:val="000000"/>
                <w:sz w:val="18"/>
                <w:szCs w:val="18"/>
              </w:rPr>
              <w:t xml:space="preserve"> </w:t>
            </w:r>
          </w:p>
        </w:tc>
        <w:tc>
          <w:tcPr>
            <w:tcW w:w="1080" w:type="dxa"/>
            <w:tcBorders>
              <w:top w:val="single" w:color="9BBB59" w:sz="4" w:space="0"/>
              <w:left w:val="nil"/>
              <w:bottom w:val="nil"/>
              <w:right w:val="single" w:color="9BBB59" w:sz="4" w:space="0"/>
            </w:tcBorders>
            <w:shd w:val="clear" w:color="auto" w:fill="auto"/>
            <w:noWrap/>
            <w:vAlign w:val="bottom"/>
            <w:hideMark/>
          </w:tcPr>
          <w:p w:rsidRPr="00AA4A16" w:rsidR="00B6030F" w:rsidP="005A1460" w:rsidRDefault="00B6030F">
            <w:pPr>
              <w:spacing w:line="240" w:lineRule="exact"/>
              <w:jc w:val="center"/>
              <w:rPr>
                <w:rFonts w:ascii="Verdana" w:hAnsi="Verdana"/>
                <w:color w:val="000000"/>
                <w:sz w:val="18"/>
                <w:szCs w:val="18"/>
              </w:rPr>
            </w:pPr>
            <w:r w:rsidRPr="00AA4A16">
              <w:rPr>
                <w:rFonts w:ascii="Verdana" w:hAnsi="Verdana"/>
                <w:color w:val="000000"/>
                <w:sz w:val="18"/>
                <w:szCs w:val="18"/>
              </w:rPr>
              <w:t>909,1</w:t>
            </w:r>
          </w:p>
        </w:tc>
      </w:tr>
      <w:tr w:rsidRPr="00AA4A16" w:rsidR="00B6030F" w:rsidTr="005A1460">
        <w:trPr>
          <w:trHeight w:val="225"/>
        </w:trPr>
        <w:tc>
          <w:tcPr>
            <w:tcW w:w="3600" w:type="dxa"/>
            <w:tcBorders>
              <w:top w:val="single" w:color="9BBB59" w:sz="4" w:space="0"/>
              <w:left w:val="single" w:color="9BBB59" w:sz="4" w:space="0"/>
              <w:bottom w:val="nil"/>
              <w:right w:val="nil"/>
            </w:tcBorders>
            <w:shd w:val="clear" w:color="auto" w:fill="auto"/>
            <w:noWrap/>
            <w:vAlign w:val="bottom"/>
            <w:hideMark/>
          </w:tcPr>
          <w:p w:rsidRPr="00AA4A16" w:rsidR="00B6030F" w:rsidP="005A1460" w:rsidRDefault="00B6030F">
            <w:pPr>
              <w:spacing w:line="240" w:lineRule="exact"/>
              <w:ind w:firstLine="180" w:firstLineChars="100"/>
              <w:rPr>
                <w:rFonts w:ascii="Verdana" w:hAnsi="Verdana"/>
                <w:i/>
                <w:iCs/>
                <w:color w:val="808080"/>
                <w:sz w:val="18"/>
                <w:szCs w:val="18"/>
              </w:rPr>
            </w:pPr>
            <w:r w:rsidRPr="00AA4A16">
              <w:rPr>
                <w:rFonts w:ascii="Verdana" w:hAnsi="Verdana"/>
                <w:i/>
                <w:iCs/>
                <w:color w:val="808080"/>
                <w:sz w:val="18"/>
                <w:szCs w:val="18"/>
              </w:rPr>
              <w:t>waarvan bruto nacalculatie</w:t>
            </w:r>
          </w:p>
        </w:tc>
        <w:tc>
          <w:tcPr>
            <w:tcW w:w="1080" w:type="dxa"/>
            <w:tcBorders>
              <w:top w:val="single" w:color="9BBB59" w:sz="4" w:space="0"/>
              <w:left w:val="nil"/>
              <w:bottom w:val="nil"/>
              <w:right w:val="single" w:color="9BBB59" w:sz="4" w:space="0"/>
            </w:tcBorders>
            <w:shd w:val="clear" w:color="auto" w:fill="auto"/>
            <w:noWrap/>
            <w:vAlign w:val="bottom"/>
            <w:hideMark/>
          </w:tcPr>
          <w:p w:rsidRPr="00AA4A16" w:rsidR="00B6030F" w:rsidP="005A1460" w:rsidRDefault="00B6030F">
            <w:pPr>
              <w:spacing w:line="240" w:lineRule="exact"/>
              <w:jc w:val="center"/>
              <w:rPr>
                <w:rFonts w:ascii="Verdana" w:hAnsi="Verdana"/>
                <w:i/>
                <w:iCs/>
                <w:color w:val="808080"/>
                <w:sz w:val="18"/>
                <w:szCs w:val="18"/>
              </w:rPr>
            </w:pPr>
            <w:r w:rsidRPr="00AA4A16">
              <w:rPr>
                <w:rFonts w:ascii="Verdana" w:hAnsi="Verdana"/>
                <w:i/>
                <w:iCs/>
                <w:color w:val="808080"/>
                <w:sz w:val="18"/>
                <w:szCs w:val="18"/>
              </w:rPr>
              <w:t>512,4</w:t>
            </w:r>
          </w:p>
        </w:tc>
      </w:tr>
      <w:tr w:rsidRPr="00AA4A16" w:rsidR="00B6030F" w:rsidTr="005A1460">
        <w:trPr>
          <w:trHeight w:val="225"/>
        </w:trPr>
        <w:tc>
          <w:tcPr>
            <w:tcW w:w="3600" w:type="dxa"/>
            <w:tcBorders>
              <w:top w:val="single" w:color="9BBB59" w:sz="4" w:space="0"/>
              <w:left w:val="single" w:color="9BBB59" w:sz="4" w:space="0"/>
              <w:bottom w:val="nil"/>
              <w:right w:val="nil"/>
            </w:tcBorders>
            <w:shd w:val="clear" w:color="auto" w:fill="auto"/>
            <w:noWrap/>
            <w:vAlign w:val="bottom"/>
            <w:hideMark/>
          </w:tcPr>
          <w:p w:rsidRPr="00AA4A16" w:rsidR="00B6030F" w:rsidP="005A1460" w:rsidRDefault="00B6030F">
            <w:pPr>
              <w:spacing w:line="240" w:lineRule="exact"/>
              <w:ind w:firstLine="180" w:firstLineChars="100"/>
              <w:rPr>
                <w:rFonts w:ascii="Verdana" w:hAnsi="Verdana"/>
                <w:i/>
                <w:iCs/>
                <w:color w:val="808080"/>
                <w:sz w:val="18"/>
                <w:szCs w:val="18"/>
              </w:rPr>
            </w:pPr>
            <w:r w:rsidRPr="00AA4A16">
              <w:rPr>
                <w:rFonts w:ascii="Verdana" w:hAnsi="Verdana"/>
                <w:i/>
                <w:iCs/>
                <w:color w:val="808080"/>
                <w:sz w:val="18"/>
                <w:szCs w:val="18"/>
              </w:rPr>
              <w:t>waarvan 2e nabetaling naheffing 2014</w:t>
            </w:r>
          </w:p>
        </w:tc>
        <w:tc>
          <w:tcPr>
            <w:tcW w:w="1080" w:type="dxa"/>
            <w:tcBorders>
              <w:top w:val="single" w:color="9BBB59" w:sz="4" w:space="0"/>
              <w:left w:val="nil"/>
              <w:bottom w:val="nil"/>
              <w:right w:val="single" w:color="9BBB59" w:sz="4" w:space="0"/>
            </w:tcBorders>
            <w:shd w:val="clear" w:color="auto" w:fill="auto"/>
            <w:noWrap/>
            <w:vAlign w:val="bottom"/>
            <w:hideMark/>
          </w:tcPr>
          <w:p w:rsidRPr="00AA4A16" w:rsidR="00B6030F" w:rsidP="005A1460" w:rsidRDefault="00B6030F">
            <w:pPr>
              <w:spacing w:line="240" w:lineRule="exact"/>
              <w:jc w:val="center"/>
              <w:rPr>
                <w:rFonts w:ascii="Verdana" w:hAnsi="Verdana"/>
                <w:i/>
                <w:iCs/>
                <w:color w:val="808080"/>
                <w:sz w:val="18"/>
                <w:szCs w:val="18"/>
              </w:rPr>
            </w:pPr>
            <w:r w:rsidRPr="00AA4A16">
              <w:rPr>
                <w:rFonts w:ascii="Verdana" w:hAnsi="Verdana"/>
                <w:i/>
                <w:iCs/>
                <w:color w:val="808080"/>
                <w:sz w:val="18"/>
                <w:szCs w:val="18"/>
              </w:rPr>
              <w:t>251,6</w:t>
            </w:r>
          </w:p>
        </w:tc>
      </w:tr>
      <w:tr w:rsidRPr="00AA4A16" w:rsidR="00B6030F" w:rsidTr="005A1460">
        <w:trPr>
          <w:trHeight w:val="225"/>
        </w:trPr>
        <w:tc>
          <w:tcPr>
            <w:tcW w:w="3600" w:type="dxa"/>
            <w:tcBorders>
              <w:top w:val="single" w:color="9BBB59" w:sz="4" w:space="0"/>
              <w:left w:val="single" w:color="9BBB59" w:sz="4" w:space="0"/>
              <w:bottom w:val="nil"/>
              <w:right w:val="nil"/>
            </w:tcBorders>
            <w:shd w:val="clear" w:color="auto" w:fill="auto"/>
            <w:noWrap/>
            <w:vAlign w:val="bottom"/>
            <w:hideMark/>
          </w:tcPr>
          <w:p w:rsidRPr="00AA4A16" w:rsidR="00B6030F" w:rsidP="005A1460" w:rsidRDefault="00B6030F">
            <w:pPr>
              <w:spacing w:line="240" w:lineRule="exact"/>
              <w:ind w:firstLine="180" w:firstLineChars="100"/>
              <w:rPr>
                <w:rFonts w:ascii="Verdana" w:hAnsi="Verdana"/>
                <w:i/>
                <w:iCs/>
                <w:color w:val="808080"/>
                <w:sz w:val="18"/>
                <w:szCs w:val="18"/>
              </w:rPr>
            </w:pPr>
            <w:r w:rsidRPr="00AA4A16">
              <w:rPr>
                <w:rFonts w:ascii="Verdana" w:hAnsi="Verdana"/>
                <w:i/>
                <w:iCs/>
                <w:color w:val="808080"/>
                <w:sz w:val="18"/>
                <w:szCs w:val="18"/>
              </w:rPr>
              <w:t>waarvan invoerrechten</w:t>
            </w:r>
          </w:p>
        </w:tc>
        <w:tc>
          <w:tcPr>
            <w:tcW w:w="1080" w:type="dxa"/>
            <w:tcBorders>
              <w:top w:val="single" w:color="9BBB59" w:sz="4" w:space="0"/>
              <w:left w:val="nil"/>
              <w:bottom w:val="nil"/>
              <w:right w:val="single" w:color="9BBB59" w:sz="4" w:space="0"/>
            </w:tcBorders>
            <w:shd w:val="clear" w:color="auto" w:fill="auto"/>
            <w:noWrap/>
            <w:vAlign w:val="bottom"/>
            <w:hideMark/>
          </w:tcPr>
          <w:p w:rsidRPr="00AA4A16" w:rsidR="00B6030F" w:rsidP="005A1460" w:rsidRDefault="00B6030F">
            <w:pPr>
              <w:spacing w:line="240" w:lineRule="exact"/>
              <w:jc w:val="center"/>
              <w:rPr>
                <w:rFonts w:ascii="Verdana" w:hAnsi="Verdana"/>
                <w:i/>
                <w:iCs/>
                <w:color w:val="808080"/>
                <w:sz w:val="18"/>
                <w:szCs w:val="18"/>
              </w:rPr>
            </w:pPr>
            <w:r w:rsidRPr="00AA4A16">
              <w:rPr>
                <w:rFonts w:ascii="Verdana" w:hAnsi="Verdana"/>
                <w:i/>
                <w:iCs/>
                <w:color w:val="808080"/>
                <w:sz w:val="18"/>
                <w:szCs w:val="18"/>
              </w:rPr>
              <w:t>145,1</w:t>
            </w:r>
          </w:p>
        </w:tc>
      </w:tr>
      <w:tr w:rsidRPr="00AA4A16" w:rsidR="00B6030F" w:rsidTr="005A1460">
        <w:trPr>
          <w:trHeight w:val="225"/>
        </w:trPr>
        <w:tc>
          <w:tcPr>
            <w:tcW w:w="3600" w:type="dxa"/>
            <w:tcBorders>
              <w:top w:val="single" w:color="9BBB59" w:sz="4" w:space="0"/>
              <w:left w:val="single" w:color="9BBB59" w:sz="4" w:space="0"/>
              <w:bottom w:val="nil"/>
              <w:right w:val="nil"/>
            </w:tcBorders>
            <w:shd w:val="clear" w:color="auto" w:fill="auto"/>
            <w:noWrap/>
            <w:vAlign w:val="bottom"/>
            <w:hideMark/>
          </w:tcPr>
          <w:p w:rsidRPr="00AA4A16" w:rsidR="00B6030F" w:rsidP="005A1460" w:rsidRDefault="00B6030F">
            <w:pPr>
              <w:spacing w:line="240" w:lineRule="exact"/>
              <w:rPr>
                <w:rFonts w:ascii="Verdana" w:hAnsi="Verdana"/>
                <w:color w:val="000000"/>
                <w:sz w:val="18"/>
                <w:szCs w:val="18"/>
              </w:rPr>
            </w:pPr>
            <w:r>
              <w:rPr>
                <w:rFonts w:ascii="Verdana" w:hAnsi="Verdana"/>
                <w:color w:val="000000"/>
                <w:sz w:val="18"/>
                <w:szCs w:val="18"/>
              </w:rPr>
              <w:t xml:space="preserve">Mutatie </w:t>
            </w:r>
            <w:r w:rsidRPr="00AA4A16">
              <w:rPr>
                <w:rFonts w:ascii="Verdana" w:hAnsi="Verdana"/>
                <w:color w:val="000000"/>
                <w:sz w:val="18"/>
                <w:szCs w:val="18"/>
              </w:rPr>
              <w:t>Bruto ontvangsten EU-afdrachten</w:t>
            </w:r>
          </w:p>
        </w:tc>
        <w:tc>
          <w:tcPr>
            <w:tcW w:w="1080" w:type="dxa"/>
            <w:tcBorders>
              <w:top w:val="single" w:color="9BBB59" w:sz="4" w:space="0"/>
              <w:left w:val="nil"/>
              <w:bottom w:val="nil"/>
              <w:right w:val="single" w:color="9BBB59" w:sz="4" w:space="0"/>
            </w:tcBorders>
            <w:shd w:val="clear" w:color="auto" w:fill="auto"/>
            <w:noWrap/>
            <w:vAlign w:val="bottom"/>
            <w:hideMark/>
          </w:tcPr>
          <w:p w:rsidRPr="00AA4A16" w:rsidR="00B6030F" w:rsidP="005A1460" w:rsidRDefault="00B6030F">
            <w:pPr>
              <w:spacing w:line="240" w:lineRule="exact"/>
              <w:jc w:val="center"/>
              <w:rPr>
                <w:rFonts w:ascii="Verdana" w:hAnsi="Verdana"/>
                <w:color w:val="000000"/>
                <w:sz w:val="18"/>
                <w:szCs w:val="18"/>
              </w:rPr>
            </w:pPr>
            <w:r w:rsidRPr="00AA4A16">
              <w:rPr>
                <w:rFonts w:ascii="Verdana" w:hAnsi="Verdana"/>
                <w:color w:val="000000"/>
                <w:sz w:val="18"/>
                <w:szCs w:val="18"/>
              </w:rPr>
              <w:t>-49,5</w:t>
            </w:r>
          </w:p>
        </w:tc>
      </w:tr>
      <w:tr w:rsidRPr="00AA4A16" w:rsidR="00B6030F" w:rsidTr="005A1460">
        <w:trPr>
          <w:trHeight w:val="240"/>
        </w:trPr>
        <w:tc>
          <w:tcPr>
            <w:tcW w:w="3600" w:type="dxa"/>
            <w:tcBorders>
              <w:top w:val="single" w:color="9BBB59" w:sz="4" w:space="0"/>
              <w:left w:val="single" w:color="9BBB59" w:sz="4" w:space="0"/>
              <w:bottom w:val="nil"/>
              <w:right w:val="nil"/>
            </w:tcBorders>
            <w:shd w:val="clear" w:color="auto" w:fill="auto"/>
            <w:noWrap/>
            <w:vAlign w:val="bottom"/>
            <w:hideMark/>
          </w:tcPr>
          <w:p w:rsidRPr="00AA4A16" w:rsidR="00B6030F" w:rsidP="005A1460" w:rsidRDefault="00B6030F">
            <w:pPr>
              <w:spacing w:line="240" w:lineRule="exact"/>
              <w:ind w:firstLine="180" w:firstLineChars="100"/>
              <w:rPr>
                <w:rFonts w:ascii="Verdana" w:hAnsi="Verdana"/>
                <w:i/>
                <w:iCs/>
                <w:color w:val="808080"/>
                <w:sz w:val="18"/>
                <w:szCs w:val="18"/>
              </w:rPr>
            </w:pPr>
            <w:r w:rsidRPr="00AA4A16">
              <w:rPr>
                <w:rFonts w:ascii="Verdana" w:hAnsi="Verdana"/>
                <w:i/>
                <w:iCs/>
                <w:color w:val="808080"/>
                <w:sz w:val="18"/>
                <w:szCs w:val="18"/>
              </w:rPr>
              <w:lastRenderedPageBreak/>
              <w:t>waarvan perceptiekostenvergoedingen</w:t>
            </w:r>
          </w:p>
        </w:tc>
        <w:tc>
          <w:tcPr>
            <w:tcW w:w="1080" w:type="dxa"/>
            <w:tcBorders>
              <w:top w:val="single" w:color="9BBB59" w:sz="4" w:space="0"/>
              <w:left w:val="nil"/>
              <w:bottom w:val="nil"/>
              <w:right w:val="single" w:color="9BBB59" w:sz="4" w:space="0"/>
            </w:tcBorders>
            <w:shd w:val="clear" w:color="auto" w:fill="auto"/>
            <w:noWrap/>
            <w:vAlign w:val="bottom"/>
            <w:hideMark/>
          </w:tcPr>
          <w:p w:rsidRPr="00AA4A16" w:rsidR="00B6030F" w:rsidP="005A1460" w:rsidRDefault="00B6030F">
            <w:pPr>
              <w:spacing w:line="240" w:lineRule="exact"/>
              <w:jc w:val="center"/>
              <w:rPr>
                <w:rFonts w:ascii="Verdana" w:hAnsi="Verdana"/>
                <w:i/>
                <w:iCs/>
                <w:color w:val="808080"/>
                <w:sz w:val="18"/>
                <w:szCs w:val="18"/>
              </w:rPr>
            </w:pPr>
            <w:r w:rsidRPr="00AA4A16">
              <w:rPr>
                <w:rFonts w:ascii="Verdana" w:hAnsi="Verdana"/>
                <w:i/>
                <w:iCs/>
                <w:color w:val="808080"/>
                <w:sz w:val="18"/>
                <w:szCs w:val="18"/>
              </w:rPr>
              <w:t>-49,5</w:t>
            </w:r>
          </w:p>
        </w:tc>
      </w:tr>
      <w:tr w:rsidRPr="00AA4A16" w:rsidR="00B6030F" w:rsidTr="005A1460">
        <w:trPr>
          <w:trHeight w:val="225"/>
        </w:trPr>
        <w:tc>
          <w:tcPr>
            <w:tcW w:w="3600" w:type="dxa"/>
            <w:tcBorders>
              <w:top w:val="single" w:color="auto" w:sz="8" w:space="0"/>
              <w:left w:val="single" w:color="9BBB59" w:sz="4" w:space="0"/>
              <w:bottom w:val="nil"/>
              <w:right w:val="nil"/>
            </w:tcBorders>
            <w:shd w:val="clear" w:color="auto" w:fill="auto"/>
            <w:noWrap/>
            <w:vAlign w:val="bottom"/>
            <w:hideMark/>
          </w:tcPr>
          <w:p w:rsidRPr="00AA4A16" w:rsidR="00B6030F" w:rsidP="005A1460" w:rsidRDefault="00B6030F">
            <w:pPr>
              <w:spacing w:line="240" w:lineRule="exact"/>
              <w:rPr>
                <w:rFonts w:ascii="Verdana" w:hAnsi="Verdana"/>
                <w:color w:val="000000"/>
                <w:sz w:val="18"/>
                <w:szCs w:val="18"/>
              </w:rPr>
            </w:pPr>
            <w:r w:rsidRPr="00AA4A16">
              <w:rPr>
                <w:rFonts w:ascii="Verdana" w:hAnsi="Verdana"/>
                <w:color w:val="000000"/>
                <w:sz w:val="18"/>
                <w:szCs w:val="18"/>
              </w:rPr>
              <w:t xml:space="preserve">Netto </w:t>
            </w:r>
            <w:r>
              <w:rPr>
                <w:rFonts w:ascii="Verdana" w:hAnsi="Verdana"/>
                <w:color w:val="000000"/>
                <w:sz w:val="18"/>
                <w:szCs w:val="18"/>
              </w:rPr>
              <w:t xml:space="preserve">mutatie </w:t>
            </w:r>
            <w:r w:rsidRPr="00AA4A16">
              <w:rPr>
                <w:rFonts w:ascii="Verdana" w:hAnsi="Verdana"/>
                <w:color w:val="000000"/>
                <w:sz w:val="18"/>
                <w:szCs w:val="18"/>
              </w:rPr>
              <w:t>uitgaven EU-afdrachten</w:t>
            </w:r>
          </w:p>
        </w:tc>
        <w:tc>
          <w:tcPr>
            <w:tcW w:w="1080" w:type="dxa"/>
            <w:tcBorders>
              <w:top w:val="single" w:color="auto" w:sz="8" w:space="0"/>
              <w:left w:val="nil"/>
              <w:bottom w:val="nil"/>
              <w:right w:val="single" w:color="9BBB59" w:sz="4" w:space="0"/>
            </w:tcBorders>
            <w:shd w:val="clear" w:color="auto" w:fill="auto"/>
            <w:noWrap/>
            <w:vAlign w:val="bottom"/>
            <w:hideMark/>
          </w:tcPr>
          <w:p w:rsidRPr="00AA4A16" w:rsidR="00B6030F" w:rsidP="005A1460" w:rsidRDefault="00B6030F">
            <w:pPr>
              <w:spacing w:line="240" w:lineRule="exact"/>
              <w:jc w:val="center"/>
              <w:rPr>
                <w:rFonts w:ascii="Verdana" w:hAnsi="Verdana"/>
                <w:color w:val="000000"/>
                <w:sz w:val="18"/>
                <w:szCs w:val="18"/>
              </w:rPr>
            </w:pPr>
            <w:r w:rsidRPr="00AA4A16">
              <w:rPr>
                <w:rFonts w:ascii="Verdana" w:hAnsi="Verdana"/>
                <w:color w:val="000000"/>
                <w:sz w:val="18"/>
                <w:szCs w:val="18"/>
              </w:rPr>
              <w:t>859,6</w:t>
            </w:r>
          </w:p>
        </w:tc>
      </w:tr>
      <w:tr w:rsidRPr="00AA4A16" w:rsidR="00B6030F" w:rsidTr="005A1460">
        <w:trPr>
          <w:trHeight w:val="240"/>
        </w:trPr>
        <w:tc>
          <w:tcPr>
            <w:tcW w:w="3600" w:type="dxa"/>
            <w:tcBorders>
              <w:top w:val="single" w:color="9BBB59" w:sz="4" w:space="0"/>
              <w:left w:val="single" w:color="9BBB59" w:sz="4" w:space="0"/>
              <w:bottom w:val="single" w:color="auto" w:sz="8" w:space="0"/>
              <w:right w:val="nil"/>
            </w:tcBorders>
            <w:shd w:val="clear" w:color="auto" w:fill="auto"/>
            <w:noWrap/>
            <w:vAlign w:val="bottom"/>
            <w:hideMark/>
          </w:tcPr>
          <w:p w:rsidRPr="00AA4A16" w:rsidR="00B6030F" w:rsidP="005A1460" w:rsidRDefault="00B6030F">
            <w:pPr>
              <w:spacing w:line="240" w:lineRule="exact"/>
              <w:rPr>
                <w:rFonts w:ascii="Verdana" w:hAnsi="Verdana"/>
                <w:color w:val="000000"/>
                <w:sz w:val="18"/>
                <w:szCs w:val="18"/>
              </w:rPr>
            </w:pPr>
            <w:r>
              <w:rPr>
                <w:rFonts w:ascii="Verdana" w:hAnsi="Verdana"/>
                <w:color w:val="000000"/>
                <w:sz w:val="18"/>
                <w:szCs w:val="18"/>
              </w:rPr>
              <w:t>Reeds gereserveerde middelen</w:t>
            </w:r>
            <w:r w:rsidRPr="00AA4A16">
              <w:rPr>
                <w:rFonts w:ascii="Verdana" w:hAnsi="Verdana"/>
                <w:color w:val="000000"/>
                <w:sz w:val="18"/>
                <w:szCs w:val="18"/>
              </w:rPr>
              <w:t>aanvullende post</w:t>
            </w:r>
          </w:p>
        </w:tc>
        <w:tc>
          <w:tcPr>
            <w:tcW w:w="1080" w:type="dxa"/>
            <w:tcBorders>
              <w:top w:val="single" w:color="9BBB59" w:sz="4" w:space="0"/>
              <w:left w:val="nil"/>
              <w:bottom w:val="single" w:color="auto" w:sz="8" w:space="0"/>
              <w:right w:val="single" w:color="9BBB59" w:sz="4" w:space="0"/>
            </w:tcBorders>
            <w:shd w:val="clear" w:color="auto" w:fill="auto"/>
            <w:noWrap/>
            <w:vAlign w:val="bottom"/>
            <w:hideMark/>
          </w:tcPr>
          <w:p w:rsidRPr="00AA4A16" w:rsidR="00B6030F" w:rsidP="005A1460" w:rsidRDefault="00B6030F">
            <w:pPr>
              <w:spacing w:line="240" w:lineRule="exact"/>
              <w:jc w:val="center"/>
              <w:rPr>
                <w:rFonts w:ascii="Verdana" w:hAnsi="Verdana"/>
                <w:color w:val="000000"/>
                <w:sz w:val="18"/>
                <w:szCs w:val="18"/>
              </w:rPr>
            </w:pPr>
            <w:r w:rsidRPr="00AA4A16">
              <w:rPr>
                <w:rFonts w:ascii="Verdana" w:hAnsi="Verdana"/>
                <w:color w:val="000000"/>
                <w:sz w:val="18"/>
                <w:szCs w:val="18"/>
              </w:rPr>
              <w:t>-612,0</w:t>
            </w:r>
          </w:p>
        </w:tc>
      </w:tr>
      <w:tr w:rsidRPr="00AA4A16" w:rsidR="00B6030F" w:rsidTr="005A1460">
        <w:trPr>
          <w:trHeight w:val="225"/>
        </w:trPr>
        <w:tc>
          <w:tcPr>
            <w:tcW w:w="3600" w:type="dxa"/>
            <w:tcBorders>
              <w:top w:val="nil"/>
              <w:left w:val="single" w:color="9BBB59" w:sz="4" w:space="0"/>
              <w:bottom w:val="single" w:color="9BBB59" w:sz="4" w:space="0"/>
              <w:right w:val="nil"/>
            </w:tcBorders>
            <w:shd w:val="clear" w:color="auto" w:fill="auto"/>
            <w:noWrap/>
            <w:vAlign w:val="bottom"/>
            <w:hideMark/>
          </w:tcPr>
          <w:p w:rsidRPr="00AA4A16" w:rsidR="00B6030F" w:rsidP="005A1460" w:rsidRDefault="00B6030F">
            <w:pPr>
              <w:spacing w:line="240" w:lineRule="exact"/>
              <w:rPr>
                <w:rFonts w:ascii="Verdana" w:hAnsi="Verdana"/>
                <w:color w:val="000000"/>
                <w:sz w:val="18"/>
                <w:szCs w:val="18"/>
              </w:rPr>
            </w:pPr>
            <w:r w:rsidRPr="00AA4A16">
              <w:rPr>
                <w:rFonts w:ascii="Verdana" w:hAnsi="Verdana"/>
                <w:color w:val="000000"/>
                <w:sz w:val="18"/>
                <w:szCs w:val="18"/>
              </w:rPr>
              <w:t>Netto effect EU-afdrachten op kader</w:t>
            </w:r>
            <w:r>
              <w:rPr>
                <w:rFonts w:ascii="Verdana" w:hAnsi="Verdana"/>
                <w:color w:val="000000"/>
                <w:sz w:val="18"/>
                <w:szCs w:val="18"/>
              </w:rPr>
              <w:t xml:space="preserve"> NJN</w:t>
            </w:r>
          </w:p>
        </w:tc>
        <w:tc>
          <w:tcPr>
            <w:tcW w:w="1080" w:type="dxa"/>
            <w:tcBorders>
              <w:top w:val="nil"/>
              <w:left w:val="nil"/>
              <w:bottom w:val="single" w:color="9BBB59" w:sz="4" w:space="0"/>
              <w:right w:val="single" w:color="9BBB59" w:sz="4" w:space="0"/>
            </w:tcBorders>
            <w:shd w:val="clear" w:color="auto" w:fill="auto"/>
            <w:noWrap/>
            <w:vAlign w:val="bottom"/>
            <w:hideMark/>
          </w:tcPr>
          <w:p w:rsidRPr="00AA4A16" w:rsidR="00B6030F" w:rsidP="005A1460" w:rsidRDefault="00B6030F">
            <w:pPr>
              <w:spacing w:line="240" w:lineRule="exact"/>
              <w:jc w:val="center"/>
              <w:rPr>
                <w:rFonts w:ascii="Verdana" w:hAnsi="Verdana"/>
                <w:color w:val="000000"/>
                <w:sz w:val="18"/>
                <w:szCs w:val="18"/>
              </w:rPr>
            </w:pPr>
            <w:r w:rsidRPr="00AA4A16">
              <w:rPr>
                <w:rFonts w:ascii="Verdana" w:hAnsi="Verdana"/>
                <w:color w:val="000000"/>
                <w:sz w:val="18"/>
                <w:szCs w:val="18"/>
              </w:rPr>
              <w:t>247,6</w:t>
            </w:r>
          </w:p>
        </w:tc>
      </w:tr>
    </w:tbl>
    <w:p w:rsidRPr="00AA4A16" w:rsidR="00AA4A16" w:rsidP="00AA4A16" w:rsidRDefault="00AA4A16">
      <w:pPr>
        <w:spacing w:line="240" w:lineRule="exact"/>
        <w:rPr>
          <w:rFonts w:ascii="Verdana" w:hAnsi="Verdana"/>
          <w:sz w:val="18"/>
          <w:szCs w:val="18"/>
        </w:rPr>
      </w:pPr>
    </w:p>
    <w:p w:rsidRPr="00AA4A16" w:rsidR="00AA4A16" w:rsidP="00AA4A16" w:rsidRDefault="00AA4A16">
      <w:pPr>
        <w:spacing w:line="240" w:lineRule="exact"/>
        <w:rPr>
          <w:rFonts w:ascii="Verdana" w:hAnsi="Verdana"/>
          <w:i/>
          <w:sz w:val="18"/>
          <w:szCs w:val="18"/>
        </w:rPr>
      </w:pPr>
      <w:r w:rsidRPr="00AA4A16">
        <w:rPr>
          <w:rFonts w:ascii="Verdana" w:hAnsi="Verdana"/>
          <w:i/>
          <w:sz w:val="18"/>
          <w:szCs w:val="18"/>
        </w:rPr>
        <w:t>Bruto nacalculatie</w:t>
      </w:r>
    </w:p>
    <w:p w:rsidRPr="00AA4A16" w:rsidR="00AA4A16" w:rsidP="00AA4A16" w:rsidRDefault="00AA4A16">
      <w:pPr>
        <w:spacing w:line="240" w:lineRule="exact"/>
        <w:rPr>
          <w:rFonts w:ascii="Verdana" w:hAnsi="Verdana"/>
          <w:sz w:val="18"/>
          <w:szCs w:val="18"/>
        </w:rPr>
      </w:pPr>
      <w:r w:rsidRPr="00AA4A16">
        <w:rPr>
          <w:rFonts w:ascii="Verdana" w:hAnsi="Verdana"/>
          <w:sz w:val="18"/>
          <w:szCs w:val="18"/>
        </w:rPr>
        <w:t xml:space="preserve">De bruto nacalculatie van 512,4 mln. is het gevolg van enkele opwaartse bijstelling van de BTW- en </w:t>
      </w:r>
      <w:proofErr w:type="spellStart"/>
      <w:r w:rsidRPr="00AA4A16">
        <w:rPr>
          <w:rFonts w:ascii="Verdana" w:hAnsi="Verdana"/>
          <w:sz w:val="18"/>
          <w:szCs w:val="18"/>
        </w:rPr>
        <w:t>BNI-grondslagen</w:t>
      </w:r>
      <w:proofErr w:type="spellEnd"/>
      <w:r w:rsidRPr="00AA4A16">
        <w:rPr>
          <w:rFonts w:ascii="Verdana" w:hAnsi="Verdana"/>
          <w:sz w:val="18"/>
          <w:szCs w:val="18"/>
        </w:rPr>
        <w:t xml:space="preserve"> voor de Nederlandse afdrachten aan de EU-begroting. De opwaartse bijstellingen van de grondslagen vloeien voort uit de bronnenrevisie die in 2014 plaatsvond en uit een nieuwe herziening door het CBS en in samenwerking met DNB, waardoor de nationale rekeningen en de betalingsbalans beter op elkaar aansluiten. </w:t>
      </w:r>
    </w:p>
    <w:p w:rsidR="00D75847" w:rsidP="00D75847" w:rsidRDefault="00D75847">
      <w:pPr>
        <w:spacing w:line="240" w:lineRule="exact"/>
        <w:rPr>
          <w:rFonts w:ascii="Verdana" w:hAnsi="Verdana"/>
          <w:i/>
          <w:sz w:val="18"/>
          <w:szCs w:val="18"/>
        </w:rPr>
      </w:pPr>
    </w:p>
    <w:p w:rsidRPr="00AA4A16" w:rsidR="00D75847" w:rsidP="00D75847" w:rsidRDefault="00D75847">
      <w:pPr>
        <w:spacing w:line="240" w:lineRule="exact"/>
        <w:rPr>
          <w:rFonts w:ascii="Verdana" w:hAnsi="Verdana"/>
          <w:i/>
          <w:sz w:val="18"/>
          <w:szCs w:val="18"/>
        </w:rPr>
      </w:pPr>
      <w:r w:rsidRPr="00AA4A16">
        <w:rPr>
          <w:rFonts w:ascii="Verdana" w:hAnsi="Verdana"/>
          <w:i/>
          <w:sz w:val="18"/>
          <w:szCs w:val="18"/>
        </w:rPr>
        <w:t>Invoerrechten en perceptiekostenvergoedingen</w:t>
      </w:r>
    </w:p>
    <w:p w:rsidRPr="00AA4A16" w:rsidR="00D75847" w:rsidP="00D75847" w:rsidRDefault="00D75847">
      <w:pPr>
        <w:spacing w:line="240" w:lineRule="exact"/>
        <w:rPr>
          <w:rFonts w:ascii="Verdana" w:hAnsi="Verdana"/>
          <w:sz w:val="18"/>
          <w:szCs w:val="18"/>
        </w:rPr>
      </w:pPr>
      <w:r w:rsidRPr="00AA4A16">
        <w:rPr>
          <w:rFonts w:ascii="Verdana" w:hAnsi="Verdana"/>
          <w:sz w:val="18"/>
          <w:szCs w:val="18"/>
        </w:rPr>
        <w:t xml:space="preserve">De EU heeft de raming voor de invoerrechten voor 2015 verhoogd. Dit leidt voor Nederland tot een verwachte extra afdracht van per saldo ca. 95,6 mln. (145,1 mln. aanvullende uitgaven en daaraan gekoppeld 49,5 mln. hogere perceptiekostenvergoedingen).  </w:t>
      </w:r>
    </w:p>
    <w:p w:rsidRPr="00FF0F2B" w:rsidR="00AA4A16" w:rsidP="00AA4A16" w:rsidRDefault="00AA4A16">
      <w:pPr>
        <w:spacing w:line="240" w:lineRule="exact"/>
        <w:rPr>
          <w:rFonts w:ascii="Verdana" w:hAnsi="Verdana"/>
          <w:i/>
          <w:sz w:val="18"/>
          <w:szCs w:val="18"/>
        </w:rPr>
      </w:pPr>
    </w:p>
    <w:p w:rsidRPr="00FF0F2B" w:rsidR="00FF0F2B" w:rsidP="00FF0F2B" w:rsidRDefault="00FF0F2B">
      <w:pPr>
        <w:spacing w:line="240" w:lineRule="exact"/>
        <w:rPr>
          <w:rFonts w:ascii="Verdana" w:hAnsi="Verdana"/>
          <w:i/>
          <w:sz w:val="18"/>
          <w:szCs w:val="18"/>
        </w:rPr>
      </w:pPr>
      <w:r w:rsidRPr="00FF0F2B">
        <w:rPr>
          <w:rFonts w:ascii="Verdana" w:hAnsi="Verdana"/>
          <w:i/>
          <w:sz w:val="18"/>
          <w:szCs w:val="18"/>
        </w:rPr>
        <w:t>Tweede terugbetaling naheffing 2014</w:t>
      </w:r>
    </w:p>
    <w:p w:rsidRPr="00FF0F2B" w:rsidR="00FF0F2B" w:rsidP="00FF0F2B" w:rsidRDefault="00FF0F2B">
      <w:pPr>
        <w:spacing w:line="240" w:lineRule="exact"/>
        <w:rPr>
          <w:rFonts w:ascii="Verdana" w:hAnsi="Verdana"/>
          <w:sz w:val="18"/>
          <w:szCs w:val="18"/>
        </w:rPr>
      </w:pPr>
      <w:r w:rsidRPr="00FF0F2B">
        <w:rPr>
          <w:rFonts w:ascii="Verdana" w:hAnsi="Verdana"/>
          <w:sz w:val="18"/>
          <w:szCs w:val="18"/>
        </w:rPr>
        <w:t xml:space="preserve">De tweede terugbetaling van de naheffing over 2014 (251,6 mln.) zal, door de vertraging van de aanname van de DAB8 door het Europees Parlement, in 2016 plaatsvinden. Door valuta-effecten (samenhangend met de wisselkoers van de Britse Pond) wordt de restitutie verhoogd naar 269 mln.. Nu blijkt dat deze ontvangst pas in 2016 zal plaatsvinden, moet er voor 2015 de eerder ingeboekte 251,6 mln. weer worden afgeboekt. </w:t>
      </w:r>
    </w:p>
    <w:p w:rsidRPr="00AA4A16" w:rsidR="00AA4A16" w:rsidP="00AA4A16" w:rsidRDefault="00AA4A16">
      <w:pPr>
        <w:spacing w:line="240" w:lineRule="exact"/>
        <w:rPr>
          <w:rFonts w:ascii="Verdana" w:hAnsi="Verdana"/>
          <w:sz w:val="18"/>
          <w:szCs w:val="18"/>
        </w:rPr>
      </w:pPr>
    </w:p>
    <w:p w:rsidRPr="00533D5C" w:rsidR="00512EDB" w:rsidP="00533D5C" w:rsidRDefault="00C05141">
      <w:pPr>
        <w:spacing w:line="240" w:lineRule="exact"/>
        <w:rPr>
          <w:rFonts w:ascii="Verdana" w:hAnsi="Verdana" w:cs="Verdana"/>
          <w:b/>
          <w:bCs/>
          <w:sz w:val="18"/>
          <w:szCs w:val="18"/>
        </w:rPr>
      </w:pPr>
      <w:r w:rsidRPr="00533D5C">
        <w:rPr>
          <w:rFonts w:ascii="Verdana" w:hAnsi="Verdana" w:cs="Verdana"/>
          <w:sz w:val="18"/>
          <w:szCs w:val="18"/>
        </w:rPr>
        <w:br w:type="page"/>
      </w:r>
      <w:r w:rsidRPr="00AB76B5">
        <w:rPr>
          <w:rFonts w:ascii="Verdana" w:hAnsi="Verdana" w:cs="Verdana"/>
          <w:b/>
          <w:bCs/>
          <w:sz w:val="18"/>
          <w:szCs w:val="18"/>
        </w:rPr>
        <w:lastRenderedPageBreak/>
        <w:t>Veiligheid en Justitie</w:t>
      </w:r>
    </w:p>
    <w:tbl>
      <w:tblPr>
        <w:tblW w:w="0" w:type="auto"/>
        <w:tblCellMar>
          <w:top w:w="15" w:type="dxa"/>
          <w:left w:w="15" w:type="dxa"/>
          <w:bottom w:w="15" w:type="dxa"/>
          <w:right w:w="15" w:type="dxa"/>
        </w:tblCellMar>
        <w:tblLook w:val="04A0"/>
      </w:tblPr>
      <w:tblGrid>
        <w:gridCol w:w="8208"/>
        <w:gridCol w:w="14"/>
        <w:gridCol w:w="880"/>
      </w:tblGrid>
      <w:tr w:rsidR="006C6CC2" w:rsidTr="006C6CC2">
        <w:tc>
          <w:tcPr>
            <w:tcW w:w="8208" w:type="dxa"/>
            <w:tcBorders>
              <w:left w:val="nil"/>
              <w:right w:val="nil"/>
            </w:tcBorders>
            <w:hideMark/>
          </w:tcPr>
          <w:p w:rsidR="006C6CC2" w:rsidP="006D23DC" w:rsidRDefault="006C6CC2">
            <w:pPr>
              <w:rPr>
                <w:rFonts w:ascii="Verdana" w:hAnsi="Verdana"/>
                <w:sz w:val="18"/>
                <w:szCs w:val="18"/>
              </w:rPr>
            </w:pPr>
          </w:p>
        </w:tc>
        <w:tc>
          <w:tcPr>
            <w:tcW w:w="894" w:type="dxa"/>
            <w:gridSpan w:val="2"/>
            <w:tcBorders>
              <w:left w:val="nil"/>
              <w:right w:val="nil"/>
            </w:tcBorders>
            <w:hideMark/>
          </w:tcPr>
          <w:p w:rsidR="006C6CC2" w:rsidP="006D23DC" w:rsidRDefault="006C6CC2">
            <w:pPr>
              <w:rPr>
                <w:rFonts w:ascii="Verdana" w:hAnsi="Verdana"/>
                <w:sz w:val="18"/>
                <w:szCs w:val="18"/>
              </w:rPr>
            </w:pPr>
            <w:r>
              <w:rPr>
                <w:rFonts w:ascii="Verdana" w:hAnsi="Verdana"/>
                <w:sz w:val="18"/>
                <w:szCs w:val="18"/>
              </w:rPr>
              <w:t> </w:t>
            </w:r>
          </w:p>
        </w:tc>
      </w:tr>
      <w:tr w:rsidR="006C6CC2" w:rsidTr="006D23DC">
        <w:tc>
          <w:tcPr>
            <w:tcW w:w="0" w:type="auto"/>
            <w:tcBorders>
              <w:left w:val="nil"/>
              <w:right w:val="nil"/>
            </w:tcBorders>
            <w:hideMark/>
          </w:tcPr>
          <w:p w:rsidR="006C6CC2" w:rsidP="006D23DC" w:rsidRDefault="006C6CC2">
            <w:pPr>
              <w:rPr>
                <w:rFonts w:ascii="Verdana" w:hAnsi="Verdana"/>
                <w:sz w:val="18"/>
                <w:szCs w:val="18"/>
              </w:rPr>
            </w:pPr>
            <w:r>
              <w:rPr>
                <w:rFonts w:ascii="Verdana" w:hAnsi="Verdana"/>
                <w:sz w:val="18"/>
                <w:szCs w:val="18"/>
              </w:rPr>
              <w:t>VI VEILIGHEID EN JUSTITIE: UITGAVEN</w:t>
            </w:r>
          </w:p>
        </w:tc>
        <w:tc>
          <w:tcPr>
            <w:tcW w:w="0" w:type="auto"/>
            <w:gridSpan w:val="2"/>
            <w:hideMark/>
          </w:tcPr>
          <w:p w:rsidR="006C6CC2" w:rsidP="006D23DC" w:rsidRDefault="006C6CC2">
            <w:pPr>
              <w:rPr>
                <w:sz w:val="20"/>
                <w:szCs w:val="20"/>
              </w:rPr>
            </w:pPr>
          </w:p>
        </w:tc>
      </w:tr>
      <w:tr w:rsidR="006C6CC2" w:rsidTr="006D23DC">
        <w:tc>
          <w:tcPr>
            <w:tcW w:w="0" w:type="auto"/>
            <w:tcBorders>
              <w:top w:val="single" w:color="000000" w:sz="6" w:space="0"/>
              <w:left w:val="nil"/>
              <w:bottom w:val="single" w:color="000000" w:sz="6" w:space="0"/>
              <w:right w:val="nil"/>
            </w:tcBorders>
            <w:hideMark/>
          </w:tcPr>
          <w:p w:rsidR="006C6CC2" w:rsidP="006D23DC" w:rsidRDefault="006C6CC2">
            <w:pPr>
              <w:jc w:val="right"/>
              <w:rPr>
                <w:rFonts w:ascii="Verdana" w:hAnsi="Verdana"/>
                <w:sz w:val="18"/>
                <w:szCs w:val="18"/>
              </w:rPr>
            </w:pPr>
          </w:p>
        </w:tc>
        <w:tc>
          <w:tcPr>
            <w:tcW w:w="0" w:type="auto"/>
            <w:gridSpan w:val="2"/>
            <w:tcBorders>
              <w:top w:val="single" w:color="000000" w:sz="6" w:space="0"/>
              <w:left w:val="nil"/>
              <w:bottom w:val="single" w:color="000000" w:sz="6" w:space="0"/>
              <w:right w:val="nil"/>
            </w:tcBorders>
            <w:hideMark/>
          </w:tcPr>
          <w:p w:rsidR="006C6CC2" w:rsidP="006D23DC" w:rsidRDefault="006C6CC2">
            <w:pPr>
              <w:jc w:val="right"/>
              <w:rPr>
                <w:rFonts w:ascii="Verdana" w:hAnsi="Verdana"/>
                <w:sz w:val="18"/>
                <w:szCs w:val="18"/>
              </w:rPr>
            </w:pPr>
            <w:r>
              <w:rPr>
                <w:rFonts w:ascii="Verdana" w:hAnsi="Verdana"/>
                <w:sz w:val="18"/>
                <w:szCs w:val="18"/>
              </w:rPr>
              <w:t>2015</w:t>
            </w:r>
          </w:p>
        </w:tc>
      </w:tr>
      <w:tr w:rsidR="006C6CC2" w:rsidTr="006D23DC">
        <w:tc>
          <w:tcPr>
            <w:tcW w:w="0" w:type="auto"/>
            <w:tcBorders>
              <w:left w:val="nil"/>
              <w:right w:val="nil"/>
            </w:tcBorders>
            <w:hideMark/>
          </w:tcPr>
          <w:p w:rsidR="006C6CC2" w:rsidP="006D23DC" w:rsidRDefault="006C6CC2">
            <w:pPr>
              <w:rPr>
                <w:rFonts w:ascii="Verdana" w:hAnsi="Verdana"/>
                <w:sz w:val="18"/>
                <w:szCs w:val="18"/>
              </w:rPr>
            </w:pPr>
            <w:r>
              <w:rPr>
                <w:rFonts w:ascii="Verdana" w:hAnsi="Verdana"/>
                <w:sz w:val="18"/>
                <w:szCs w:val="18"/>
              </w:rPr>
              <w:t>Stand Miljoenennota 2016 (excl. IS)</w:t>
            </w:r>
          </w:p>
        </w:tc>
        <w:tc>
          <w:tcPr>
            <w:tcW w:w="0" w:type="auto"/>
            <w:gridSpan w:val="2"/>
            <w:tcBorders>
              <w:top w:val="single" w:color="000000" w:sz="6" w:space="0"/>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12.294,5</w:t>
            </w:r>
          </w:p>
        </w:tc>
      </w:tr>
      <w:tr w:rsidR="006C6CC2" w:rsidTr="006D23DC">
        <w:tc>
          <w:tcPr>
            <w:tcW w:w="0" w:type="auto"/>
            <w:tcBorders>
              <w:left w:val="nil"/>
              <w:right w:val="nil"/>
            </w:tcBorders>
            <w:hideMark/>
          </w:tcPr>
          <w:p w:rsidR="006C6CC2" w:rsidP="006D23DC" w:rsidRDefault="006C6CC2">
            <w:pPr>
              <w:rPr>
                <w:rFonts w:ascii="Verdana" w:hAnsi="Verdana"/>
                <w:sz w:val="18"/>
                <w:szCs w:val="18"/>
              </w:rPr>
            </w:pPr>
            <w:r>
              <w:rPr>
                <w:rFonts w:ascii="Verdana" w:hAnsi="Verdana"/>
                <w:sz w:val="18"/>
                <w:szCs w:val="18"/>
              </w:rPr>
              <w:t>Beleidsmatige mutaties</w:t>
            </w:r>
          </w:p>
        </w:tc>
        <w:tc>
          <w:tcPr>
            <w:tcW w:w="0" w:type="auto"/>
            <w:gridSpan w:val="2"/>
            <w:hideMark/>
          </w:tcPr>
          <w:p w:rsidR="006C6CC2" w:rsidP="006D23DC" w:rsidRDefault="006C6CC2">
            <w:pPr>
              <w:rPr>
                <w:sz w:val="20"/>
                <w:szCs w:val="20"/>
              </w:rPr>
            </w:pPr>
          </w:p>
        </w:tc>
      </w:tr>
      <w:tr w:rsidR="006C6CC2" w:rsidTr="006D23DC">
        <w:tc>
          <w:tcPr>
            <w:tcW w:w="0" w:type="auto"/>
            <w:tcBorders>
              <w:left w:val="nil"/>
              <w:right w:val="nil"/>
            </w:tcBorders>
            <w:tcMar>
              <w:top w:w="15" w:type="dxa"/>
              <w:left w:w="180" w:type="dxa"/>
              <w:bottom w:w="15" w:type="dxa"/>
              <w:right w:w="15" w:type="dxa"/>
            </w:tcMar>
            <w:vAlign w:val="both"/>
            <w:hideMark/>
          </w:tcPr>
          <w:p w:rsidR="006C6CC2" w:rsidP="006D23DC" w:rsidRDefault="006C6CC2">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6C6CC2" w:rsidP="006D23DC" w:rsidRDefault="006C6CC2">
            <w:pPr>
              <w:rPr>
                <w:sz w:val="20"/>
                <w:szCs w:val="20"/>
              </w:rPr>
            </w:pPr>
          </w:p>
        </w:tc>
      </w:tr>
      <w:tr w:rsidR="006C6CC2" w:rsidTr="006D23DC">
        <w:tc>
          <w:tcPr>
            <w:tcW w:w="0" w:type="auto"/>
            <w:tcBorders>
              <w:left w:val="nil"/>
              <w:right w:val="nil"/>
            </w:tcBorders>
            <w:tcMar>
              <w:top w:w="15" w:type="dxa"/>
              <w:left w:w="360" w:type="dxa"/>
              <w:bottom w:w="15" w:type="dxa"/>
              <w:right w:w="15" w:type="dxa"/>
            </w:tcMar>
            <w:vAlign w:val="both"/>
            <w:hideMark/>
          </w:tcPr>
          <w:p w:rsidR="006C6CC2" w:rsidP="006D23DC" w:rsidRDefault="006C6CC2">
            <w:pPr>
              <w:ind w:firstLine="360" w:firstLineChars="200"/>
              <w:rPr>
                <w:rFonts w:ascii="Verdana" w:hAnsi="Verdana"/>
                <w:sz w:val="18"/>
                <w:szCs w:val="18"/>
              </w:rPr>
            </w:pPr>
            <w:r>
              <w:rPr>
                <w:rFonts w:ascii="Verdana" w:hAnsi="Verdana"/>
                <w:sz w:val="18"/>
                <w:szCs w:val="18"/>
              </w:rPr>
              <w:t xml:space="preserve">Aanpassen bijdrage </w:t>
            </w:r>
            <w:proofErr w:type="spellStart"/>
            <w:r>
              <w:rPr>
                <w:rFonts w:ascii="Verdana" w:hAnsi="Verdana"/>
                <w:sz w:val="18"/>
                <w:szCs w:val="18"/>
              </w:rPr>
              <w:t>dji</w:t>
            </w:r>
            <w:proofErr w:type="spellEnd"/>
          </w:p>
        </w:tc>
        <w:tc>
          <w:tcPr>
            <w:tcW w:w="0" w:type="auto"/>
            <w:gridSpan w:val="2"/>
            <w:tcBorders>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-44,1</w:t>
            </w:r>
          </w:p>
        </w:tc>
      </w:tr>
      <w:tr w:rsidR="006C6CC2" w:rsidTr="006D23DC">
        <w:tc>
          <w:tcPr>
            <w:tcW w:w="0" w:type="auto"/>
            <w:tcBorders>
              <w:left w:val="nil"/>
              <w:right w:val="nil"/>
            </w:tcBorders>
            <w:tcMar>
              <w:top w:w="15" w:type="dxa"/>
              <w:left w:w="360" w:type="dxa"/>
              <w:bottom w:w="15" w:type="dxa"/>
              <w:right w:w="15" w:type="dxa"/>
            </w:tcMar>
            <w:vAlign w:val="both"/>
            <w:hideMark/>
          </w:tcPr>
          <w:p w:rsidR="006C6CC2" w:rsidP="006D23DC" w:rsidRDefault="006C6CC2">
            <w:pPr>
              <w:ind w:firstLine="360" w:firstLineChars="200"/>
              <w:rPr>
                <w:rFonts w:ascii="Verdana" w:hAnsi="Verdana"/>
                <w:sz w:val="18"/>
                <w:szCs w:val="18"/>
              </w:rPr>
            </w:pPr>
            <w:r>
              <w:rPr>
                <w:rFonts w:ascii="Verdana" w:hAnsi="Verdana"/>
                <w:sz w:val="18"/>
                <w:szCs w:val="18"/>
              </w:rPr>
              <w:t>Cao politie</w:t>
            </w:r>
          </w:p>
        </w:tc>
        <w:tc>
          <w:tcPr>
            <w:tcW w:w="0" w:type="auto"/>
            <w:gridSpan w:val="2"/>
            <w:tcBorders>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-49,4</w:t>
            </w:r>
          </w:p>
        </w:tc>
      </w:tr>
      <w:tr w:rsidR="006C6CC2" w:rsidTr="006D23DC">
        <w:tc>
          <w:tcPr>
            <w:tcW w:w="0" w:type="auto"/>
            <w:tcBorders>
              <w:left w:val="nil"/>
              <w:right w:val="nil"/>
            </w:tcBorders>
            <w:tcMar>
              <w:top w:w="15" w:type="dxa"/>
              <w:left w:w="360" w:type="dxa"/>
              <w:bottom w:w="15" w:type="dxa"/>
              <w:right w:w="15" w:type="dxa"/>
            </w:tcMar>
            <w:vAlign w:val="both"/>
            <w:hideMark/>
          </w:tcPr>
          <w:p w:rsidR="006C6CC2" w:rsidP="006D23DC" w:rsidRDefault="006C6CC2">
            <w:pPr>
              <w:ind w:firstLine="360" w:firstLineChars="200"/>
              <w:rPr>
                <w:rFonts w:ascii="Verdana" w:hAnsi="Verdana"/>
                <w:sz w:val="18"/>
                <w:szCs w:val="18"/>
              </w:rPr>
            </w:pPr>
            <w:r>
              <w:rPr>
                <w:rFonts w:ascii="Verdana" w:hAnsi="Verdana"/>
                <w:sz w:val="18"/>
                <w:szCs w:val="18"/>
              </w:rPr>
              <w:t xml:space="preserve">Overboeking </w:t>
            </w:r>
            <w:proofErr w:type="spellStart"/>
            <w:r>
              <w:rPr>
                <w:rFonts w:ascii="Verdana" w:hAnsi="Verdana"/>
                <w:sz w:val="18"/>
                <w:szCs w:val="18"/>
              </w:rPr>
              <w:t>bhos</w:t>
            </w:r>
            <w:proofErr w:type="spellEnd"/>
            <w:r>
              <w:rPr>
                <w:rFonts w:ascii="Verdana" w:hAnsi="Verdana"/>
                <w:sz w:val="18"/>
                <w:szCs w:val="18"/>
              </w:rPr>
              <w:t xml:space="preserve"> asiel</w:t>
            </w:r>
          </w:p>
        </w:tc>
        <w:tc>
          <w:tcPr>
            <w:tcW w:w="0" w:type="auto"/>
            <w:gridSpan w:val="2"/>
            <w:tcBorders>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350,0</w:t>
            </w:r>
          </w:p>
        </w:tc>
      </w:tr>
      <w:tr w:rsidR="006C6CC2" w:rsidTr="006D23DC">
        <w:tc>
          <w:tcPr>
            <w:tcW w:w="0" w:type="auto"/>
            <w:tcBorders>
              <w:left w:val="nil"/>
              <w:right w:val="nil"/>
            </w:tcBorders>
            <w:tcMar>
              <w:top w:w="15" w:type="dxa"/>
              <w:left w:w="360" w:type="dxa"/>
              <w:bottom w:w="15" w:type="dxa"/>
              <w:right w:w="15" w:type="dxa"/>
            </w:tcMar>
            <w:vAlign w:val="both"/>
            <w:hideMark/>
          </w:tcPr>
          <w:p w:rsidR="006C6CC2" w:rsidP="006D23DC" w:rsidRDefault="006C6CC2">
            <w:pPr>
              <w:ind w:firstLine="360" w:firstLineChars="200"/>
              <w:rPr>
                <w:rFonts w:ascii="Verdana" w:hAnsi="Verdana"/>
                <w:sz w:val="18"/>
                <w:szCs w:val="18"/>
              </w:rPr>
            </w:pPr>
            <w:r>
              <w:rPr>
                <w:rFonts w:ascii="Verdana" w:hAnsi="Verdana"/>
                <w:sz w:val="18"/>
                <w:szCs w:val="18"/>
              </w:rPr>
              <w:t xml:space="preserve">Problematiek </w:t>
            </w:r>
            <w:proofErr w:type="spellStart"/>
            <w:r>
              <w:rPr>
                <w:rFonts w:ascii="Verdana" w:hAnsi="Verdana"/>
                <w:sz w:val="18"/>
                <w:szCs w:val="18"/>
              </w:rPr>
              <w:t>ind</w:t>
            </w:r>
            <w:proofErr w:type="spellEnd"/>
            <w:r>
              <w:rPr>
                <w:rFonts w:ascii="Verdana" w:hAnsi="Verdana"/>
                <w:sz w:val="18"/>
                <w:szCs w:val="18"/>
              </w:rPr>
              <w:t>/</w:t>
            </w:r>
            <w:proofErr w:type="spellStart"/>
            <w:r>
              <w:rPr>
                <w:rFonts w:ascii="Verdana" w:hAnsi="Verdana"/>
                <w:sz w:val="18"/>
                <w:szCs w:val="18"/>
              </w:rPr>
              <w:t>nidos</w:t>
            </w:r>
            <w:proofErr w:type="spellEnd"/>
          </w:p>
        </w:tc>
        <w:tc>
          <w:tcPr>
            <w:tcW w:w="0" w:type="auto"/>
            <w:gridSpan w:val="2"/>
            <w:tcBorders>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26,5</w:t>
            </w:r>
          </w:p>
        </w:tc>
      </w:tr>
      <w:tr w:rsidR="006C6CC2" w:rsidTr="006D23DC">
        <w:tc>
          <w:tcPr>
            <w:tcW w:w="0" w:type="auto"/>
            <w:tcBorders>
              <w:left w:val="nil"/>
              <w:right w:val="nil"/>
            </w:tcBorders>
            <w:tcMar>
              <w:top w:w="15" w:type="dxa"/>
              <w:left w:w="360" w:type="dxa"/>
              <w:bottom w:w="15" w:type="dxa"/>
              <w:right w:w="15" w:type="dxa"/>
            </w:tcMar>
            <w:vAlign w:val="both"/>
            <w:hideMark/>
          </w:tcPr>
          <w:p w:rsidR="006C6CC2" w:rsidP="006D23DC" w:rsidRDefault="006C6CC2">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22,6</w:t>
            </w:r>
          </w:p>
        </w:tc>
      </w:tr>
      <w:tr w:rsidR="006C6CC2" w:rsidTr="006D23DC">
        <w:tc>
          <w:tcPr>
            <w:tcW w:w="0" w:type="auto"/>
            <w:tcBorders>
              <w:left w:val="nil"/>
              <w:right w:val="nil"/>
            </w:tcBorders>
            <w:hideMark/>
          </w:tcPr>
          <w:p w:rsidR="006C6CC2" w:rsidP="006D23DC" w:rsidRDefault="006C6CC2">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305,6</w:t>
            </w:r>
          </w:p>
        </w:tc>
      </w:tr>
      <w:tr w:rsidR="006C6CC2" w:rsidTr="006D23DC">
        <w:tc>
          <w:tcPr>
            <w:tcW w:w="0" w:type="auto"/>
            <w:tcBorders>
              <w:left w:val="nil"/>
              <w:right w:val="nil"/>
            </w:tcBorders>
            <w:hideMark/>
          </w:tcPr>
          <w:p w:rsidR="006C6CC2" w:rsidP="006D23DC" w:rsidRDefault="006C6CC2">
            <w:pPr>
              <w:rPr>
                <w:rFonts w:ascii="Verdana" w:hAnsi="Verdana"/>
                <w:sz w:val="18"/>
                <w:szCs w:val="18"/>
              </w:rPr>
            </w:pPr>
            <w:r>
              <w:rPr>
                <w:rFonts w:ascii="Verdana" w:hAnsi="Verdana"/>
                <w:sz w:val="18"/>
                <w:szCs w:val="18"/>
              </w:rPr>
              <w:t>Technische mutaties</w:t>
            </w:r>
          </w:p>
        </w:tc>
        <w:tc>
          <w:tcPr>
            <w:tcW w:w="0" w:type="auto"/>
            <w:gridSpan w:val="2"/>
            <w:hideMark/>
          </w:tcPr>
          <w:p w:rsidR="006C6CC2" w:rsidP="006D23DC" w:rsidRDefault="006C6CC2">
            <w:pPr>
              <w:rPr>
                <w:sz w:val="20"/>
                <w:szCs w:val="20"/>
              </w:rPr>
            </w:pPr>
          </w:p>
        </w:tc>
      </w:tr>
      <w:tr w:rsidR="006C6CC2" w:rsidTr="006D23DC">
        <w:tc>
          <w:tcPr>
            <w:tcW w:w="0" w:type="auto"/>
            <w:tcBorders>
              <w:left w:val="nil"/>
              <w:right w:val="nil"/>
            </w:tcBorders>
            <w:tcMar>
              <w:top w:w="15" w:type="dxa"/>
              <w:left w:w="180" w:type="dxa"/>
              <w:bottom w:w="15" w:type="dxa"/>
              <w:right w:w="15" w:type="dxa"/>
            </w:tcMar>
            <w:vAlign w:val="both"/>
            <w:hideMark/>
          </w:tcPr>
          <w:p w:rsidR="006C6CC2" w:rsidP="006D23DC" w:rsidRDefault="006C6CC2">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6C6CC2" w:rsidP="006D23DC" w:rsidRDefault="006C6CC2">
            <w:pPr>
              <w:rPr>
                <w:sz w:val="20"/>
                <w:szCs w:val="20"/>
              </w:rPr>
            </w:pPr>
          </w:p>
        </w:tc>
      </w:tr>
      <w:tr w:rsidR="006C6CC2" w:rsidTr="006D23DC">
        <w:tc>
          <w:tcPr>
            <w:tcW w:w="0" w:type="auto"/>
            <w:tcBorders>
              <w:left w:val="nil"/>
              <w:right w:val="nil"/>
            </w:tcBorders>
            <w:tcMar>
              <w:top w:w="15" w:type="dxa"/>
              <w:left w:w="360" w:type="dxa"/>
              <w:bottom w:w="15" w:type="dxa"/>
              <w:right w:w="15" w:type="dxa"/>
            </w:tcMar>
            <w:vAlign w:val="both"/>
            <w:hideMark/>
          </w:tcPr>
          <w:p w:rsidR="006C6CC2" w:rsidP="006D23DC" w:rsidRDefault="006C6CC2">
            <w:pPr>
              <w:ind w:firstLine="360" w:firstLineChars="200"/>
              <w:rPr>
                <w:rFonts w:ascii="Verdana" w:hAnsi="Verdana"/>
                <w:sz w:val="18"/>
                <w:szCs w:val="18"/>
              </w:rPr>
            </w:pPr>
            <w:r>
              <w:rPr>
                <w:rFonts w:ascii="Verdana" w:hAnsi="Verdana"/>
                <w:sz w:val="18"/>
                <w:szCs w:val="18"/>
              </w:rPr>
              <w:t>Loonbijstelling bovensectorale loonruimte deal</w:t>
            </w:r>
          </w:p>
        </w:tc>
        <w:tc>
          <w:tcPr>
            <w:tcW w:w="0" w:type="auto"/>
            <w:gridSpan w:val="2"/>
            <w:tcBorders>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71,2</w:t>
            </w:r>
          </w:p>
        </w:tc>
      </w:tr>
      <w:tr w:rsidR="006C6CC2" w:rsidTr="006D23DC">
        <w:tc>
          <w:tcPr>
            <w:tcW w:w="0" w:type="auto"/>
            <w:tcBorders>
              <w:left w:val="nil"/>
              <w:right w:val="nil"/>
            </w:tcBorders>
            <w:tcMar>
              <w:top w:w="15" w:type="dxa"/>
              <w:left w:w="360" w:type="dxa"/>
              <w:bottom w:w="15" w:type="dxa"/>
              <w:right w:w="15" w:type="dxa"/>
            </w:tcMar>
            <w:vAlign w:val="both"/>
            <w:hideMark/>
          </w:tcPr>
          <w:p w:rsidR="006C6CC2" w:rsidP="006D23DC" w:rsidRDefault="006C6CC2">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16,7</w:t>
            </w:r>
          </w:p>
        </w:tc>
      </w:tr>
      <w:tr w:rsidR="006C6CC2" w:rsidTr="006D23DC">
        <w:tc>
          <w:tcPr>
            <w:tcW w:w="0" w:type="auto"/>
            <w:tcBorders>
              <w:left w:val="nil"/>
              <w:right w:val="nil"/>
            </w:tcBorders>
            <w:hideMark/>
          </w:tcPr>
          <w:p w:rsidR="006C6CC2" w:rsidP="006D23DC" w:rsidRDefault="006C6CC2">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87,9</w:t>
            </w:r>
          </w:p>
        </w:tc>
      </w:tr>
      <w:tr w:rsidR="006C6CC2" w:rsidTr="006D23DC">
        <w:tc>
          <w:tcPr>
            <w:tcW w:w="0" w:type="auto"/>
            <w:tcBorders>
              <w:left w:val="nil"/>
              <w:right w:val="nil"/>
            </w:tcBorders>
            <w:hideMark/>
          </w:tcPr>
          <w:p w:rsidR="006C6CC2" w:rsidP="006D23DC" w:rsidRDefault="006C6CC2">
            <w:pPr>
              <w:rPr>
                <w:rFonts w:ascii="Verdana" w:hAnsi="Verdana"/>
                <w:sz w:val="18"/>
                <w:szCs w:val="18"/>
              </w:rPr>
            </w:pPr>
            <w:r>
              <w:rPr>
                <w:rFonts w:ascii="Verdana" w:hAnsi="Verdana"/>
                <w:sz w:val="18"/>
                <w:szCs w:val="18"/>
              </w:rPr>
              <w:t>Totaal mutaties sinds Miljoenennota 2016</w:t>
            </w:r>
          </w:p>
        </w:tc>
        <w:tc>
          <w:tcPr>
            <w:tcW w:w="0" w:type="auto"/>
            <w:gridSpan w:val="2"/>
            <w:tcBorders>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393,6</w:t>
            </w:r>
          </w:p>
        </w:tc>
      </w:tr>
      <w:tr w:rsidR="006C6CC2" w:rsidTr="006D23DC">
        <w:tc>
          <w:tcPr>
            <w:tcW w:w="0" w:type="auto"/>
            <w:tcBorders>
              <w:left w:val="nil"/>
              <w:right w:val="nil"/>
            </w:tcBorders>
            <w:hideMark/>
          </w:tcPr>
          <w:p w:rsidR="006C6CC2" w:rsidP="006D23DC" w:rsidRDefault="006C6CC2">
            <w:pPr>
              <w:rPr>
                <w:rFonts w:ascii="Verdana" w:hAnsi="Verdana"/>
                <w:sz w:val="18"/>
                <w:szCs w:val="18"/>
              </w:rPr>
            </w:pPr>
            <w:r>
              <w:rPr>
                <w:rFonts w:ascii="Verdana" w:hAnsi="Verdana"/>
                <w:sz w:val="18"/>
                <w:szCs w:val="18"/>
              </w:rPr>
              <w:t> </w:t>
            </w:r>
          </w:p>
        </w:tc>
        <w:tc>
          <w:tcPr>
            <w:tcW w:w="0" w:type="auto"/>
            <w:gridSpan w:val="2"/>
            <w:hideMark/>
          </w:tcPr>
          <w:p w:rsidR="006C6CC2" w:rsidP="006D23DC" w:rsidRDefault="006C6CC2">
            <w:pPr>
              <w:rPr>
                <w:sz w:val="20"/>
                <w:szCs w:val="20"/>
              </w:rPr>
            </w:pPr>
          </w:p>
        </w:tc>
      </w:tr>
      <w:tr w:rsidR="006C6CC2" w:rsidTr="006D23DC">
        <w:tc>
          <w:tcPr>
            <w:tcW w:w="0" w:type="auto"/>
            <w:tcBorders>
              <w:left w:val="nil"/>
              <w:right w:val="nil"/>
            </w:tcBorders>
            <w:hideMark/>
          </w:tcPr>
          <w:p w:rsidR="006C6CC2" w:rsidP="006D23DC" w:rsidRDefault="006C6CC2">
            <w:pPr>
              <w:rPr>
                <w:rFonts w:ascii="Verdana" w:hAnsi="Verdana"/>
                <w:sz w:val="18"/>
                <w:szCs w:val="18"/>
              </w:rPr>
            </w:pPr>
            <w:r>
              <w:rPr>
                <w:rFonts w:ascii="Verdana" w:hAnsi="Verdana"/>
                <w:sz w:val="18"/>
                <w:szCs w:val="18"/>
              </w:rPr>
              <w:t>Stand Najaarsnota 2015 (subtotaal)</w:t>
            </w:r>
          </w:p>
        </w:tc>
        <w:tc>
          <w:tcPr>
            <w:tcW w:w="0" w:type="auto"/>
            <w:gridSpan w:val="2"/>
            <w:tcBorders>
              <w:top w:val="single" w:color="000000" w:sz="6" w:space="0"/>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12.688,1</w:t>
            </w:r>
          </w:p>
        </w:tc>
      </w:tr>
      <w:tr w:rsidR="006C6CC2" w:rsidTr="006D23DC">
        <w:tc>
          <w:tcPr>
            <w:tcW w:w="0" w:type="auto"/>
            <w:tcBorders>
              <w:left w:val="nil"/>
              <w:right w:val="nil"/>
            </w:tcBorders>
            <w:hideMark/>
          </w:tcPr>
          <w:p w:rsidR="006C6CC2" w:rsidP="006D23DC" w:rsidRDefault="006C6CC2">
            <w:pPr>
              <w:rPr>
                <w:rFonts w:ascii="Verdana" w:hAnsi="Verdana"/>
                <w:sz w:val="18"/>
                <w:szCs w:val="18"/>
              </w:rPr>
            </w:pPr>
            <w:r>
              <w:rPr>
                <w:rFonts w:ascii="Verdana" w:hAnsi="Verdana"/>
                <w:sz w:val="18"/>
                <w:szCs w:val="18"/>
              </w:rPr>
              <w:t>Totaal Internationale samenwerking</w:t>
            </w:r>
          </w:p>
        </w:tc>
        <w:tc>
          <w:tcPr>
            <w:tcW w:w="0" w:type="auto"/>
            <w:gridSpan w:val="2"/>
            <w:tcBorders>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40,9</w:t>
            </w:r>
          </w:p>
        </w:tc>
      </w:tr>
      <w:tr w:rsidR="006C6CC2" w:rsidTr="006D23DC">
        <w:tc>
          <w:tcPr>
            <w:tcW w:w="0" w:type="auto"/>
            <w:tcBorders>
              <w:left w:val="nil"/>
              <w:right w:val="nil"/>
            </w:tcBorders>
            <w:hideMark/>
          </w:tcPr>
          <w:p w:rsidR="006C6CC2" w:rsidP="006D23DC" w:rsidRDefault="006C6CC2">
            <w:pPr>
              <w:rPr>
                <w:rFonts w:ascii="Verdana" w:hAnsi="Verdana"/>
                <w:sz w:val="18"/>
                <w:szCs w:val="18"/>
              </w:rPr>
            </w:pPr>
            <w:r>
              <w:rPr>
                <w:rFonts w:ascii="Verdana" w:hAnsi="Verdana"/>
                <w:sz w:val="18"/>
                <w:szCs w:val="18"/>
              </w:rPr>
              <w:t>Stand Najaarsnota 2015</w:t>
            </w:r>
          </w:p>
        </w:tc>
        <w:tc>
          <w:tcPr>
            <w:tcW w:w="0" w:type="auto"/>
            <w:gridSpan w:val="2"/>
            <w:tcBorders>
              <w:top w:val="single" w:color="000000" w:sz="6" w:space="0"/>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12.729,0</w:t>
            </w:r>
          </w:p>
        </w:tc>
      </w:tr>
      <w:tr w:rsidR="006C6CC2" w:rsidTr="006C6CC2">
        <w:tc>
          <w:tcPr>
            <w:tcW w:w="8222" w:type="dxa"/>
            <w:gridSpan w:val="2"/>
            <w:tcBorders>
              <w:left w:val="nil"/>
              <w:right w:val="nil"/>
            </w:tcBorders>
            <w:hideMark/>
          </w:tcPr>
          <w:p w:rsidR="006C6CC2" w:rsidP="006D23DC" w:rsidRDefault="006C6CC2">
            <w:pPr>
              <w:rPr>
                <w:rFonts w:ascii="Verdana" w:hAnsi="Verdana"/>
                <w:sz w:val="18"/>
                <w:szCs w:val="18"/>
              </w:rPr>
            </w:pPr>
            <w:r>
              <w:rPr>
                <w:rFonts w:ascii="Verdana" w:hAnsi="Verdana"/>
                <w:sz w:val="18"/>
                <w:szCs w:val="18"/>
              </w:rPr>
              <w:t> </w:t>
            </w:r>
          </w:p>
        </w:tc>
        <w:tc>
          <w:tcPr>
            <w:tcW w:w="880" w:type="dxa"/>
            <w:tcBorders>
              <w:left w:val="nil"/>
              <w:right w:val="nil"/>
            </w:tcBorders>
            <w:hideMark/>
          </w:tcPr>
          <w:p w:rsidR="006C6CC2" w:rsidP="006D23DC" w:rsidRDefault="006C6CC2">
            <w:pPr>
              <w:rPr>
                <w:rFonts w:ascii="Verdana" w:hAnsi="Verdana"/>
                <w:sz w:val="18"/>
                <w:szCs w:val="18"/>
              </w:rPr>
            </w:pPr>
            <w:r>
              <w:rPr>
                <w:rFonts w:ascii="Verdana" w:hAnsi="Verdana"/>
                <w:sz w:val="18"/>
                <w:szCs w:val="18"/>
              </w:rPr>
              <w:t> </w:t>
            </w:r>
          </w:p>
        </w:tc>
      </w:tr>
      <w:tr w:rsidR="006C6CC2" w:rsidTr="006D23DC">
        <w:tc>
          <w:tcPr>
            <w:tcW w:w="0" w:type="auto"/>
            <w:gridSpan w:val="2"/>
            <w:tcBorders>
              <w:left w:val="nil"/>
              <w:right w:val="nil"/>
            </w:tcBorders>
            <w:hideMark/>
          </w:tcPr>
          <w:p w:rsidR="006C6CC2" w:rsidP="006D23DC" w:rsidRDefault="006C6CC2">
            <w:pPr>
              <w:rPr>
                <w:rFonts w:ascii="Verdana" w:hAnsi="Verdana"/>
                <w:sz w:val="18"/>
                <w:szCs w:val="18"/>
              </w:rPr>
            </w:pPr>
            <w:r>
              <w:rPr>
                <w:rFonts w:ascii="Verdana" w:hAnsi="Verdana"/>
                <w:sz w:val="18"/>
                <w:szCs w:val="18"/>
              </w:rPr>
              <w:t>VI VEILIGHEID EN JUSTITIE: NIET-BELASTINGONTVANGSTEN</w:t>
            </w:r>
          </w:p>
        </w:tc>
        <w:tc>
          <w:tcPr>
            <w:tcW w:w="0" w:type="auto"/>
            <w:hideMark/>
          </w:tcPr>
          <w:p w:rsidR="006C6CC2" w:rsidP="006D23DC" w:rsidRDefault="006C6CC2">
            <w:pPr>
              <w:rPr>
                <w:sz w:val="20"/>
                <w:szCs w:val="20"/>
              </w:rPr>
            </w:pPr>
          </w:p>
        </w:tc>
      </w:tr>
      <w:tr w:rsidR="006C6CC2" w:rsidTr="006D23DC">
        <w:tc>
          <w:tcPr>
            <w:tcW w:w="0" w:type="auto"/>
            <w:gridSpan w:val="2"/>
            <w:tcBorders>
              <w:top w:val="single" w:color="000000" w:sz="6" w:space="0"/>
              <w:left w:val="nil"/>
              <w:bottom w:val="single" w:color="000000" w:sz="6" w:space="0"/>
              <w:right w:val="nil"/>
            </w:tcBorders>
            <w:hideMark/>
          </w:tcPr>
          <w:p w:rsidR="006C6CC2" w:rsidP="006D23DC" w:rsidRDefault="006C6CC2">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6C6CC2" w:rsidP="006D23DC" w:rsidRDefault="006C6CC2">
            <w:pPr>
              <w:jc w:val="right"/>
              <w:rPr>
                <w:rFonts w:ascii="Verdana" w:hAnsi="Verdana"/>
                <w:sz w:val="18"/>
                <w:szCs w:val="18"/>
              </w:rPr>
            </w:pPr>
            <w:r>
              <w:rPr>
                <w:rFonts w:ascii="Verdana" w:hAnsi="Verdana"/>
                <w:sz w:val="18"/>
                <w:szCs w:val="18"/>
              </w:rPr>
              <w:t>2015</w:t>
            </w:r>
          </w:p>
        </w:tc>
      </w:tr>
      <w:tr w:rsidR="006C6CC2" w:rsidTr="006D23DC">
        <w:tc>
          <w:tcPr>
            <w:tcW w:w="0" w:type="auto"/>
            <w:gridSpan w:val="2"/>
            <w:tcBorders>
              <w:left w:val="nil"/>
              <w:right w:val="nil"/>
            </w:tcBorders>
            <w:hideMark/>
          </w:tcPr>
          <w:p w:rsidR="006C6CC2" w:rsidP="006D23DC" w:rsidRDefault="006C6CC2">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1.454,2</w:t>
            </w:r>
          </w:p>
        </w:tc>
      </w:tr>
      <w:tr w:rsidR="006C6CC2" w:rsidTr="006D23DC">
        <w:tc>
          <w:tcPr>
            <w:tcW w:w="0" w:type="auto"/>
            <w:gridSpan w:val="2"/>
            <w:tcBorders>
              <w:left w:val="nil"/>
              <w:right w:val="nil"/>
            </w:tcBorders>
            <w:hideMark/>
          </w:tcPr>
          <w:p w:rsidR="006C6CC2" w:rsidP="006D23DC" w:rsidRDefault="006C6CC2">
            <w:pPr>
              <w:rPr>
                <w:rFonts w:ascii="Verdana" w:hAnsi="Verdana"/>
                <w:sz w:val="18"/>
                <w:szCs w:val="18"/>
              </w:rPr>
            </w:pPr>
            <w:r>
              <w:rPr>
                <w:rFonts w:ascii="Verdana" w:hAnsi="Verdana"/>
                <w:sz w:val="18"/>
                <w:szCs w:val="18"/>
              </w:rPr>
              <w:t>Beleidsmatige mutaties</w:t>
            </w:r>
          </w:p>
        </w:tc>
        <w:tc>
          <w:tcPr>
            <w:tcW w:w="0" w:type="auto"/>
            <w:hideMark/>
          </w:tcPr>
          <w:p w:rsidR="006C6CC2" w:rsidP="006D23DC" w:rsidRDefault="006C6CC2">
            <w:pPr>
              <w:rPr>
                <w:sz w:val="20"/>
                <w:szCs w:val="20"/>
              </w:rPr>
            </w:pPr>
          </w:p>
        </w:tc>
      </w:tr>
      <w:tr w:rsidR="006C6CC2" w:rsidTr="006D23DC">
        <w:tc>
          <w:tcPr>
            <w:tcW w:w="0" w:type="auto"/>
            <w:gridSpan w:val="2"/>
            <w:tcBorders>
              <w:left w:val="nil"/>
              <w:right w:val="nil"/>
            </w:tcBorders>
            <w:tcMar>
              <w:top w:w="15" w:type="dxa"/>
              <w:left w:w="180" w:type="dxa"/>
              <w:bottom w:w="15" w:type="dxa"/>
              <w:right w:w="15" w:type="dxa"/>
            </w:tcMar>
            <w:vAlign w:val="both"/>
            <w:hideMark/>
          </w:tcPr>
          <w:p w:rsidR="006C6CC2" w:rsidP="006D23DC" w:rsidRDefault="006C6CC2">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6C6CC2" w:rsidP="006D23DC" w:rsidRDefault="006C6CC2">
            <w:pPr>
              <w:rPr>
                <w:sz w:val="20"/>
                <w:szCs w:val="20"/>
              </w:rPr>
            </w:pPr>
          </w:p>
        </w:tc>
      </w:tr>
      <w:tr w:rsidR="006C6CC2" w:rsidTr="006D23DC">
        <w:tc>
          <w:tcPr>
            <w:tcW w:w="0" w:type="auto"/>
            <w:gridSpan w:val="2"/>
            <w:tcBorders>
              <w:left w:val="nil"/>
              <w:right w:val="nil"/>
            </w:tcBorders>
            <w:tcMar>
              <w:top w:w="15" w:type="dxa"/>
              <w:left w:w="360" w:type="dxa"/>
              <w:bottom w:w="15" w:type="dxa"/>
              <w:right w:w="15" w:type="dxa"/>
            </w:tcMar>
            <w:vAlign w:val="both"/>
            <w:hideMark/>
          </w:tcPr>
          <w:p w:rsidR="006C6CC2" w:rsidP="006D23DC" w:rsidRDefault="006C6CC2">
            <w:pPr>
              <w:ind w:firstLine="360" w:firstLineChars="200"/>
              <w:rPr>
                <w:rFonts w:ascii="Verdana" w:hAnsi="Verdana"/>
                <w:sz w:val="18"/>
                <w:szCs w:val="18"/>
              </w:rPr>
            </w:pPr>
            <w:r>
              <w:rPr>
                <w:rFonts w:ascii="Verdana" w:hAnsi="Verdana"/>
                <w:sz w:val="18"/>
                <w:szCs w:val="18"/>
              </w:rPr>
              <w:t>Tegenvaller b&amp;t</w:t>
            </w:r>
          </w:p>
        </w:tc>
        <w:tc>
          <w:tcPr>
            <w:tcW w:w="0" w:type="auto"/>
            <w:tcBorders>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-51,3</w:t>
            </w:r>
          </w:p>
        </w:tc>
      </w:tr>
      <w:tr w:rsidR="006C6CC2" w:rsidTr="006D23DC">
        <w:tc>
          <w:tcPr>
            <w:tcW w:w="0" w:type="auto"/>
            <w:gridSpan w:val="2"/>
            <w:tcBorders>
              <w:left w:val="nil"/>
              <w:right w:val="nil"/>
            </w:tcBorders>
            <w:tcMar>
              <w:top w:w="15" w:type="dxa"/>
              <w:left w:w="360" w:type="dxa"/>
              <w:bottom w:w="15" w:type="dxa"/>
              <w:right w:w="15" w:type="dxa"/>
            </w:tcMar>
            <w:vAlign w:val="both"/>
            <w:hideMark/>
          </w:tcPr>
          <w:p w:rsidR="006C6CC2" w:rsidP="006D23DC" w:rsidRDefault="006C6CC2">
            <w:pPr>
              <w:ind w:firstLine="360" w:firstLineChars="200"/>
              <w:rPr>
                <w:rFonts w:ascii="Verdana" w:hAnsi="Verdana"/>
                <w:sz w:val="18"/>
                <w:szCs w:val="18"/>
              </w:rPr>
            </w:pPr>
            <w:r>
              <w:rPr>
                <w:rFonts w:ascii="Verdana" w:hAnsi="Verdana"/>
                <w:sz w:val="18"/>
                <w:szCs w:val="18"/>
              </w:rPr>
              <w:t>Tegenvaller lagere griffie ontvangsten</w:t>
            </w:r>
          </w:p>
        </w:tc>
        <w:tc>
          <w:tcPr>
            <w:tcW w:w="0" w:type="auto"/>
            <w:tcBorders>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-25,8</w:t>
            </w:r>
          </w:p>
        </w:tc>
      </w:tr>
      <w:tr w:rsidR="006C6CC2" w:rsidTr="006D23DC">
        <w:tc>
          <w:tcPr>
            <w:tcW w:w="0" w:type="auto"/>
            <w:gridSpan w:val="2"/>
            <w:tcBorders>
              <w:left w:val="nil"/>
              <w:right w:val="nil"/>
            </w:tcBorders>
            <w:tcMar>
              <w:top w:w="15" w:type="dxa"/>
              <w:left w:w="360" w:type="dxa"/>
              <w:bottom w:w="15" w:type="dxa"/>
              <w:right w:w="15" w:type="dxa"/>
            </w:tcMar>
            <w:vAlign w:val="both"/>
            <w:hideMark/>
          </w:tcPr>
          <w:p w:rsidR="006C6CC2" w:rsidP="006D23DC" w:rsidRDefault="006C6CC2">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-2,2</w:t>
            </w:r>
          </w:p>
        </w:tc>
      </w:tr>
      <w:tr w:rsidR="006C6CC2" w:rsidTr="006D23DC">
        <w:tc>
          <w:tcPr>
            <w:tcW w:w="0" w:type="auto"/>
            <w:gridSpan w:val="2"/>
            <w:tcBorders>
              <w:left w:val="nil"/>
              <w:right w:val="nil"/>
            </w:tcBorders>
            <w:hideMark/>
          </w:tcPr>
          <w:p w:rsidR="006C6CC2" w:rsidP="006D23DC" w:rsidRDefault="006C6CC2">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-79,3</w:t>
            </w:r>
          </w:p>
        </w:tc>
      </w:tr>
      <w:tr w:rsidR="006C6CC2" w:rsidTr="006D23DC">
        <w:tc>
          <w:tcPr>
            <w:tcW w:w="0" w:type="auto"/>
            <w:gridSpan w:val="2"/>
            <w:tcBorders>
              <w:left w:val="nil"/>
              <w:right w:val="nil"/>
            </w:tcBorders>
            <w:hideMark/>
          </w:tcPr>
          <w:p w:rsidR="006C6CC2" w:rsidP="006D23DC" w:rsidRDefault="006C6CC2">
            <w:pPr>
              <w:rPr>
                <w:rFonts w:ascii="Verdana" w:hAnsi="Verdana"/>
                <w:sz w:val="18"/>
                <w:szCs w:val="18"/>
              </w:rPr>
            </w:pPr>
            <w:r>
              <w:rPr>
                <w:rFonts w:ascii="Verdana" w:hAnsi="Verdana"/>
                <w:sz w:val="18"/>
                <w:szCs w:val="18"/>
              </w:rPr>
              <w:t>Technische mutaties</w:t>
            </w:r>
          </w:p>
        </w:tc>
        <w:tc>
          <w:tcPr>
            <w:tcW w:w="0" w:type="auto"/>
            <w:hideMark/>
          </w:tcPr>
          <w:p w:rsidR="006C6CC2" w:rsidP="006D23DC" w:rsidRDefault="006C6CC2">
            <w:pPr>
              <w:rPr>
                <w:sz w:val="20"/>
                <w:szCs w:val="20"/>
              </w:rPr>
            </w:pPr>
          </w:p>
        </w:tc>
      </w:tr>
      <w:tr w:rsidR="006C6CC2" w:rsidTr="006D23DC">
        <w:tc>
          <w:tcPr>
            <w:tcW w:w="0" w:type="auto"/>
            <w:gridSpan w:val="2"/>
            <w:tcBorders>
              <w:left w:val="nil"/>
              <w:right w:val="nil"/>
            </w:tcBorders>
            <w:tcMar>
              <w:top w:w="15" w:type="dxa"/>
              <w:left w:w="180" w:type="dxa"/>
              <w:bottom w:w="15" w:type="dxa"/>
              <w:right w:w="15" w:type="dxa"/>
            </w:tcMar>
            <w:vAlign w:val="both"/>
            <w:hideMark/>
          </w:tcPr>
          <w:p w:rsidR="006C6CC2" w:rsidP="006D23DC" w:rsidRDefault="006C6CC2">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6C6CC2" w:rsidP="006D23DC" w:rsidRDefault="006C6CC2">
            <w:pPr>
              <w:rPr>
                <w:sz w:val="20"/>
                <w:szCs w:val="20"/>
              </w:rPr>
            </w:pPr>
          </w:p>
        </w:tc>
      </w:tr>
      <w:tr w:rsidR="006C6CC2" w:rsidTr="006D23DC">
        <w:tc>
          <w:tcPr>
            <w:tcW w:w="0" w:type="auto"/>
            <w:gridSpan w:val="2"/>
            <w:tcBorders>
              <w:left w:val="nil"/>
              <w:right w:val="nil"/>
            </w:tcBorders>
            <w:tcMar>
              <w:top w:w="15" w:type="dxa"/>
              <w:left w:w="360" w:type="dxa"/>
              <w:bottom w:w="15" w:type="dxa"/>
              <w:right w:w="15" w:type="dxa"/>
            </w:tcMar>
            <w:vAlign w:val="both"/>
            <w:hideMark/>
          </w:tcPr>
          <w:p w:rsidR="006C6CC2" w:rsidP="006D23DC" w:rsidRDefault="006C6CC2">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12,0</w:t>
            </w:r>
          </w:p>
        </w:tc>
      </w:tr>
      <w:tr w:rsidR="006C6CC2" w:rsidTr="006D23DC">
        <w:tc>
          <w:tcPr>
            <w:tcW w:w="0" w:type="auto"/>
            <w:gridSpan w:val="2"/>
            <w:tcBorders>
              <w:left w:val="nil"/>
              <w:right w:val="nil"/>
            </w:tcBorders>
            <w:hideMark/>
          </w:tcPr>
          <w:p w:rsidR="006C6CC2" w:rsidP="006D23DC" w:rsidRDefault="006C6CC2">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12,0</w:t>
            </w:r>
          </w:p>
        </w:tc>
      </w:tr>
      <w:tr w:rsidR="006C6CC2" w:rsidTr="006D23DC">
        <w:tc>
          <w:tcPr>
            <w:tcW w:w="0" w:type="auto"/>
            <w:gridSpan w:val="2"/>
            <w:tcBorders>
              <w:left w:val="nil"/>
              <w:right w:val="nil"/>
            </w:tcBorders>
            <w:hideMark/>
          </w:tcPr>
          <w:p w:rsidR="006C6CC2" w:rsidP="006D23DC" w:rsidRDefault="006C6CC2">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-67,3</w:t>
            </w:r>
          </w:p>
        </w:tc>
      </w:tr>
      <w:tr w:rsidR="006C6CC2" w:rsidTr="006D23DC">
        <w:tc>
          <w:tcPr>
            <w:tcW w:w="0" w:type="auto"/>
            <w:gridSpan w:val="2"/>
            <w:tcBorders>
              <w:left w:val="nil"/>
              <w:right w:val="nil"/>
            </w:tcBorders>
            <w:hideMark/>
          </w:tcPr>
          <w:p w:rsidR="006C6CC2" w:rsidP="006D23DC" w:rsidRDefault="006C6CC2">
            <w:pPr>
              <w:rPr>
                <w:rFonts w:ascii="Verdana" w:hAnsi="Verdana"/>
                <w:sz w:val="18"/>
                <w:szCs w:val="18"/>
              </w:rPr>
            </w:pPr>
            <w:r>
              <w:rPr>
                <w:rFonts w:ascii="Verdana" w:hAnsi="Verdana"/>
                <w:sz w:val="18"/>
                <w:szCs w:val="18"/>
              </w:rPr>
              <w:t> </w:t>
            </w:r>
          </w:p>
        </w:tc>
        <w:tc>
          <w:tcPr>
            <w:tcW w:w="0" w:type="auto"/>
            <w:hideMark/>
          </w:tcPr>
          <w:p w:rsidR="006C6CC2" w:rsidP="006D23DC" w:rsidRDefault="006C6CC2">
            <w:pPr>
              <w:rPr>
                <w:sz w:val="20"/>
                <w:szCs w:val="20"/>
              </w:rPr>
            </w:pPr>
          </w:p>
        </w:tc>
      </w:tr>
      <w:tr w:rsidR="006C6CC2" w:rsidTr="006D23DC">
        <w:tc>
          <w:tcPr>
            <w:tcW w:w="0" w:type="auto"/>
            <w:gridSpan w:val="2"/>
            <w:tcBorders>
              <w:left w:val="nil"/>
              <w:right w:val="nil"/>
            </w:tcBorders>
            <w:hideMark/>
          </w:tcPr>
          <w:p w:rsidR="006C6CC2" w:rsidP="006D23DC" w:rsidRDefault="006C6CC2">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1.386,9</w:t>
            </w:r>
          </w:p>
        </w:tc>
      </w:tr>
      <w:tr w:rsidR="006C6CC2" w:rsidTr="006D23DC">
        <w:tc>
          <w:tcPr>
            <w:tcW w:w="0" w:type="auto"/>
            <w:gridSpan w:val="2"/>
            <w:tcBorders>
              <w:left w:val="nil"/>
              <w:right w:val="nil"/>
            </w:tcBorders>
            <w:hideMark/>
          </w:tcPr>
          <w:p w:rsidR="006C6CC2" w:rsidP="006D23DC" w:rsidRDefault="006C6CC2">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2,2</w:t>
            </w:r>
          </w:p>
        </w:tc>
      </w:tr>
      <w:tr w:rsidR="006C6CC2" w:rsidTr="006D23DC">
        <w:tc>
          <w:tcPr>
            <w:tcW w:w="0" w:type="auto"/>
            <w:gridSpan w:val="2"/>
            <w:tcBorders>
              <w:left w:val="nil"/>
              <w:right w:val="nil"/>
            </w:tcBorders>
            <w:hideMark/>
          </w:tcPr>
          <w:p w:rsidR="006C6CC2" w:rsidP="006D23DC" w:rsidRDefault="006C6CC2">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6C6CC2" w:rsidP="006D23DC" w:rsidRDefault="006C6CC2">
            <w:pPr>
              <w:jc w:val="right"/>
              <w:rPr>
                <w:rFonts w:ascii="Verdana" w:hAnsi="Verdana"/>
                <w:sz w:val="18"/>
                <w:szCs w:val="18"/>
              </w:rPr>
            </w:pPr>
            <w:r>
              <w:rPr>
                <w:rFonts w:ascii="Verdana" w:hAnsi="Verdana"/>
                <w:sz w:val="18"/>
                <w:szCs w:val="18"/>
              </w:rPr>
              <w:t>1.389,1</w:t>
            </w:r>
          </w:p>
        </w:tc>
      </w:tr>
    </w:tbl>
    <w:p w:rsidRPr="00917308" w:rsidR="006C6CC2" w:rsidP="00917308" w:rsidRDefault="006C6CC2">
      <w:pPr>
        <w:spacing w:line="240" w:lineRule="exact"/>
        <w:rPr>
          <w:rFonts w:ascii="Verdana" w:hAnsi="Verdana" w:cs="Verdana"/>
          <w:b/>
          <w:bCs/>
          <w:sz w:val="18"/>
          <w:szCs w:val="18"/>
        </w:rPr>
      </w:pPr>
    </w:p>
    <w:p w:rsidRPr="00917308" w:rsidR="00917308" w:rsidP="00917308" w:rsidRDefault="00917308">
      <w:pPr>
        <w:spacing w:line="240" w:lineRule="exact"/>
        <w:rPr>
          <w:rFonts w:ascii="Verdana" w:hAnsi="Verdana" w:cs="Verdana"/>
          <w:b/>
          <w:bCs/>
          <w:sz w:val="18"/>
          <w:szCs w:val="18"/>
        </w:rPr>
      </w:pPr>
    </w:p>
    <w:p w:rsidRPr="00917308" w:rsidR="00917308" w:rsidP="00917308" w:rsidRDefault="00917308">
      <w:pPr>
        <w:spacing w:line="240" w:lineRule="exact"/>
        <w:rPr>
          <w:rFonts w:ascii="Verdana" w:hAnsi="Verdana"/>
          <w:sz w:val="18"/>
          <w:szCs w:val="18"/>
        </w:rPr>
      </w:pPr>
      <w:r w:rsidRPr="00917308">
        <w:rPr>
          <w:rFonts w:ascii="Verdana" w:hAnsi="Verdana"/>
          <w:i/>
          <w:sz w:val="18"/>
          <w:szCs w:val="18"/>
        </w:rPr>
        <w:t xml:space="preserve">Aanpassen bijdrage </w:t>
      </w:r>
      <w:proofErr w:type="spellStart"/>
      <w:r w:rsidRPr="00917308">
        <w:rPr>
          <w:rFonts w:ascii="Verdana" w:hAnsi="Verdana"/>
          <w:i/>
          <w:sz w:val="18"/>
          <w:szCs w:val="18"/>
        </w:rPr>
        <w:t>dji</w:t>
      </w:r>
      <w:proofErr w:type="spellEnd"/>
      <w:r w:rsidRPr="00917308">
        <w:rPr>
          <w:rFonts w:ascii="Verdana" w:hAnsi="Verdana"/>
          <w:i/>
          <w:sz w:val="18"/>
          <w:szCs w:val="18"/>
        </w:rPr>
        <w:br/>
      </w:r>
      <w:r w:rsidRPr="00917308">
        <w:rPr>
          <w:rFonts w:ascii="Verdana" w:hAnsi="Verdana"/>
          <w:sz w:val="18"/>
          <w:szCs w:val="18"/>
        </w:rPr>
        <w:t xml:space="preserve">De kasbijdrage aan DJI is bijgesteld omdat de geraamde uitgaven voor o.a. planmatig onderhoud, Van Werk Naar </w:t>
      </w:r>
      <w:proofErr w:type="spellStart"/>
      <w:r w:rsidRPr="00917308">
        <w:rPr>
          <w:rFonts w:ascii="Verdana" w:hAnsi="Verdana"/>
          <w:sz w:val="18"/>
          <w:szCs w:val="18"/>
        </w:rPr>
        <w:t>Werk-budgetten</w:t>
      </w:r>
      <w:proofErr w:type="spellEnd"/>
      <w:r w:rsidRPr="00917308">
        <w:rPr>
          <w:rFonts w:ascii="Verdana" w:hAnsi="Verdana"/>
          <w:sz w:val="18"/>
          <w:szCs w:val="18"/>
        </w:rPr>
        <w:t xml:space="preserve"> en de transitiekosten voor Veldzicht niet in 2015, maar in latere jaren besteed zullen worden. Bij 1e suppletoire begroting 2016 zal de meerjarige bijdrage aan DJI binnen de begroting van </w:t>
      </w:r>
      <w:proofErr w:type="spellStart"/>
      <w:r w:rsidRPr="00917308">
        <w:rPr>
          <w:rFonts w:ascii="Verdana" w:hAnsi="Verdana"/>
          <w:sz w:val="18"/>
          <w:szCs w:val="18"/>
        </w:rPr>
        <w:t>VenJ</w:t>
      </w:r>
      <w:proofErr w:type="spellEnd"/>
      <w:r w:rsidRPr="00917308">
        <w:rPr>
          <w:rFonts w:ascii="Verdana" w:hAnsi="Verdana"/>
          <w:sz w:val="18"/>
          <w:szCs w:val="18"/>
        </w:rPr>
        <w:t xml:space="preserve"> in lijn worden gebracht met het actuele ritme van deze bestedingen. </w:t>
      </w:r>
    </w:p>
    <w:p w:rsidRPr="00917308" w:rsidR="00917308" w:rsidP="00917308" w:rsidRDefault="00917308">
      <w:pPr>
        <w:spacing w:line="240" w:lineRule="exact"/>
        <w:rPr>
          <w:rFonts w:ascii="Verdana" w:hAnsi="Verdana"/>
          <w:color w:val="1F497D"/>
          <w:sz w:val="18"/>
          <w:szCs w:val="18"/>
        </w:rPr>
      </w:pPr>
    </w:p>
    <w:p w:rsidRPr="00917308" w:rsidR="00917308" w:rsidP="00917308" w:rsidRDefault="00917308">
      <w:pPr>
        <w:spacing w:line="240" w:lineRule="exact"/>
        <w:rPr>
          <w:rFonts w:ascii="Verdana" w:hAnsi="Verdana"/>
          <w:sz w:val="18"/>
          <w:szCs w:val="18"/>
        </w:rPr>
      </w:pPr>
      <w:r w:rsidRPr="00917308">
        <w:rPr>
          <w:rFonts w:ascii="Verdana" w:hAnsi="Verdana"/>
          <w:i/>
          <w:sz w:val="18"/>
          <w:szCs w:val="18"/>
        </w:rPr>
        <w:t>Cao politie</w:t>
      </w:r>
      <w:r w:rsidRPr="00917308">
        <w:rPr>
          <w:rFonts w:ascii="Verdana" w:hAnsi="Verdana"/>
          <w:i/>
          <w:sz w:val="18"/>
          <w:szCs w:val="18"/>
        </w:rPr>
        <w:br/>
      </w:r>
      <w:r w:rsidRPr="00917308">
        <w:rPr>
          <w:rFonts w:ascii="Verdana" w:hAnsi="Verdana"/>
          <w:sz w:val="18"/>
          <w:szCs w:val="18"/>
        </w:rPr>
        <w:t xml:space="preserve">De beschikbare middelen voor de </w:t>
      </w:r>
      <w:proofErr w:type="spellStart"/>
      <w:r w:rsidRPr="00917308">
        <w:rPr>
          <w:rFonts w:ascii="Verdana" w:hAnsi="Verdana"/>
          <w:sz w:val="18"/>
          <w:szCs w:val="18"/>
        </w:rPr>
        <w:t>Politie-CAO</w:t>
      </w:r>
      <w:proofErr w:type="spellEnd"/>
      <w:r w:rsidRPr="00917308">
        <w:rPr>
          <w:rFonts w:ascii="Verdana" w:hAnsi="Verdana"/>
          <w:sz w:val="18"/>
          <w:szCs w:val="18"/>
        </w:rPr>
        <w:t xml:space="preserve"> komen niet tot uitbetaling in 2015. Daarom worden deze middelen d.m.v. een kasschuif doorgeschoven naar 2016. </w:t>
      </w:r>
    </w:p>
    <w:p w:rsidR="004605F2" w:rsidP="00917308" w:rsidRDefault="004605F2">
      <w:pPr>
        <w:pStyle w:val="Geenafstand"/>
        <w:spacing w:line="240" w:lineRule="exact"/>
        <w:rPr>
          <w:rFonts w:ascii="Verdana" w:hAnsi="Verdana"/>
          <w:i/>
          <w:sz w:val="18"/>
          <w:szCs w:val="18"/>
        </w:rPr>
      </w:pPr>
    </w:p>
    <w:p w:rsidR="004605F2" w:rsidP="00917308" w:rsidRDefault="004605F2">
      <w:pPr>
        <w:pStyle w:val="Geenafstand"/>
        <w:spacing w:line="240" w:lineRule="exact"/>
        <w:rPr>
          <w:rFonts w:ascii="Verdana" w:hAnsi="Verdana"/>
          <w:i/>
          <w:sz w:val="18"/>
          <w:szCs w:val="18"/>
        </w:rPr>
      </w:pPr>
    </w:p>
    <w:p w:rsidR="004605F2" w:rsidP="00917308" w:rsidRDefault="004605F2">
      <w:pPr>
        <w:pStyle w:val="Geenafstand"/>
        <w:spacing w:line="240" w:lineRule="exact"/>
        <w:rPr>
          <w:rFonts w:ascii="Verdana" w:hAnsi="Verdana"/>
          <w:i/>
          <w:sz w:val="18"/>
          <w:szCs w:val="18"/>
        </w:rPr>
      </w:pPr>
    </w:p>
    <w:p w:rsidRPr="004605F2" w:rsidR="004605F2" w:rsidP="004605F2" w:rsidRDefault="004605F2">
      <w:pPr>
        <w:spacing w:line="240" w:lineRule="exact"/>
        <w:rPr>
          <w:rFonts w:ascii="Verdana" w:hAnsi="Verdana"/>
          <w:i/>
          <w:sz w:val="18"/>
          <w:szCs w:val="18"/>
        </w:rPr>
      </w:pPr>
      <w:r w:rsidRPr="004605F2">
        <w:rPr>
          <w:rFonts w:ascii="Verdana" w:hAnsi="Verdana"/>
          <w:i/>
          <w:sz w:val="18"/>
          <w:szCs w:val="18"/>
        </w:rPr>
        <w:lastRenderedPageBreak/>
        <w:t xml:space="preserve">Overboeking </w:t>
      </w:r>
      <w:proofErr w:type="spellStart"/>
      <w:r w:rsidRPr="004605F2">
        <w:rPr>
          <w:rFonts w:ascii="Verdana" w:hAnsi="Verdana"/>
          <w:i/>
          <w:sz w:val="18"/>
          <w:szCs w:val="18"/>
        </w:rPr>
        <w:t>bhos</w:t>
      </w:r>
      <w:proofErr w:type="spellEnd"/>
      <w:r w:rsidRPr="004605F2">
        <w:rPr>
          <w:rFonts w:ascii="Verdana" w:hAnsi="Verdana"/>
          <w:i/>
          <w:sz w:val="18"/>
          <w:szCs w:val="18"/>
        </w:rPr>
        <w:t xml:space="preserve"> asiel</w:t>
      </w:r>
    </w:p>
    <w:p w:rsidRPr="004605F2" w:rsidR="004605F2" w:rsidP="004605F2" w:rsidRDefault="004605F2">
      <w:pPr>
        <w:spacing w:line="240" w:lineRule="exact"/>
        <w:rPr>
          <w:rFonts w:ascii="Verdana" w:hAnsi="Verdana"/>
          <w:sz w:val="18"/>
          <w:szCs w:val="18"/>
        </w:rPr>
      </w:pPr>
      <w:r w:rsidRPr="004605F2">
        <w:rPr>
          <w:rFonts w:ascii="Verdana" w:hAnsi="Verdana"/>
          <w:sz w:val="18"/>
          <w:szCs w:val="18"/>
        </w:rPr>
        <w:t xml:space="preserve">De raming voor de asielinstroom is naar boven bijgesteld. Dit leidt tot hogere opvangkosten bij het COA voor de opvang van asielzoekers in 2015 en 2016, immers de opvangkosten lopen door na de jaargrens. De kosten voor de eerstejaarsopvang van asielzoekers uit </w:t>
      </w:r>
      <w:proofErr w:type="spellStart"/>
      <w:r w:rsidRPr="004605F2">
        <w:rPr>
          <w:rFonts w:ascii="Verdana" w:hAnsi="Verdana"/>
          <w:sz w:val="18"/>
          <w:szCs w:val="18"/>
        </w:rPr>
        <w:t>DAC-landen</w:t>
      </w:r>
      <w:proofErr w:type="spellEnd"/>
      <w:r w:rsidRPr="004605F2">
        <w:rPr>
          <w:rFonts w:ascii="Verdana" w:hAnsi="Verdana"/>
          <w:sz w:val="18"/>
          <w:szCs w:val="18"/>
        </w:rPr>
        <w:t xml:space="preserve"> worden toegerekend aan ODA. Door de verhoogde raming van de asielinstroom neemt de toerekening aan ODA in 2015 toe.</w:t>
      </w:r>
    </w:p>
    <w:p w:rsidR="004605F2" w:rsidP="00917308" w:rsidRDefault="004605F2">
      <w:pPr>
        <w:pStyle w:val="Geenafstand"/>
        <w:spacing w:line="240" w:lineRule="exact"/>
        <w:rPr>
          <w:rFonts w:ascii="Verdana" w:hAnsi="Verdana"/>
          <w:i/>
          <w:sz w:val="18"/>
          <w:szCs w:val="18"/>
        </w:rPr>
      </w:pPr>
    </w:p>
    <w:p w:rsidRPr="004605F2" w:rsidR="004605F2" w:rsidP="004605F2" w:rsidRDefault="004605F2">
      <w:pPr>
        <w:spacing w:line="240" w:lineRule="exact"/>
        <w:rPr>
          <w:rFonts w:ascii="Verdana" w:hAnsi="Verdana"/>
          <w:i/>
          <w:sz w:val="18"/>
          <w:szCs w:val="18"/>
        </w:rPr>
      </w:pPr>
      <w:r w:rsidRPr="004605F2">
        <w:rPr>
          <w:rFonts w:ascii="Verdana" w:hAnsi="Verdana"/>
          <w:i/>
          <w:sz w:val="18"/>
          <w:szCs w:val="18"/>
        </w:rPr>
        <w:t>Problematiek IND/NIDOS</w:t>
      </w:r>
    </w:p>
    <w:p w:rsidRPr="004605F2" w:rsidR="004605F2" w:rsidP="004605F2" w:rsidRDefault="004605F2">
      <w:pPr>
        <w:spacing w:line="240" w:lineRule="exact"/>
        <w:rPr>
          <w:rFonts w:ascii="Verdana" w:hAnsi="Verdana"/>
          <w:sz w:val="18"/>
          <w:szCs w:val="18"/>
        </w:rPr>
      </w:pPr>
      <w:r w:rsidRPr="004605F2">
        <w:rPr>
          <w:rFonts w:ascii="Verdana" w:hAnsi="Verdana"/>
          <w:sz w:val="18"/>
          <w:szCs w:val="18"/>
        </w:rPr>
        <w:t>De raming voor de asielinstroom is bijgesteld. Dit leidt tot hogere kosten bij de IND en NIDOS voor het in procedure nemen van asielzoekers en de begeleiding en opvang van minderjarige vreemdelingen (niet ODA). Onderuitputting op verschillende begrotingen wordt ingezet als dekking voor deze problematiek. Deze middelen zullen niet tot besteding komen in 2015 en worden d.m.v. de asielreserve doorgeschoven naar 2016.    </w:t>
      </w:r>
    </w:p>
    <w:p w:rsidRPr="00917308" w:rsidR="00917308" w:rsidP="00917308" w:rsidRDefault="00917308">
      <w:pPr>
        <w:pStyle w:val="Geenafstand"/>
        <w:spacing w:line="240" w:lineRule="exact"/>
        <w:rPr>
          <w:rFonts w:ascii="Verdana" w:hAnsi="Verdana"/>
          <w:i/>
          <w:iCs/>
          <w:sz w:val="18"/>
          <w:szCs w:val="18"/>
        </w:rPr>
      </w:pPr>
      <w:r w:rsidRPr="00917308">
        <w:rPr>
          <w:rFonts w:ascii="Verdana" w:hAnsi="Verdana"/>
          <w:i/>
          <w:sz w:val="18"/>
          <w:szCs w:val="18"/>
        </w:rPr>
        <w:br/>
        <w:t>Diversen (Beleidsmatige mutaties)</w:t>
      </w:r>
      <w:r w:rsidRPr="00917308">
        <w:rPr>
          <w:rFonts w:ascii="Verdana" w:hAnsi="Verdana"/>
          <w:i/>
          <w:sz w:val="18"/>
          <w:szCs w:val="18"/>
        </w:rPr>
        <w:br/>
      </w:r>
      <w:r w:rsidRPr="00917308">
        <w:rPr>
          <w:rFonts w:ascii="Verdana" w:hAnsi="Verdana"/>
          <w:sz w:val="18"/>
          <w:szCs w:val="18"/>
        </w:rPr>
        <w:t>De post diversen is een optelling van verschillende mee- en tegenvallers, waaronder extra uitgaven</w:t>
      </w:r>
      <w:r w:rsidR="00811F95">
        <w:rPr>
          <w:rFonts w:ascii="Verdana" w:hAnsi="Verdana"/>
          <w:sz w:val="18"/>
          <w:szCs w:val="18"/>
        </w:rPr>
        <w:t xml:space="preserve"> </w:t>
      </w:r>
      <w:r w:rsidRPr="00917308">
        <w:rPr>
          <w:rFonts w:ascii="Verdana" w:hAnsi="Verdana"/>
          <w:sz w:val="18"/>
          <w:szCs w:val="18"/>
        </w:rPr>
        <w:t xml:space="preserve">van 9 mln. ter dekking van de </w:t>
      </w:r>
      <w:proofErr w:type="spellStart"/>
      <w:r w:rsidRPr="00917308">
        <w:rPr>
          <w:rFonts w:ascii="Verdana" w:hAnsi="Verdana"/>
          <w:sz w:val="18"/>
          <w:szCs w:val="18"/>
        </w:rPr>
        <w:t>CAO-deal</w:t>
      </w:r>
      <w:proofErr w:type="spellEnd"/>
      <w:r w:rsidRPr="00917308">
        <w:rPr>
          <w:rFonts w:ascii="Verdana" w:hAnsi="Verdana"/>
          <w:sz w:val="18"/>
          <w:szCs w:val="18"/>
        </w:rPr>
        <w:t xml:space="preserve"> voor de kabinetssectoren en een intensivering van 6,6 mln. bij de Raad voor de Kinderbescherming. Dit betreft een bijdrage aan de verbetering van inkoop, financieel beheer en </w:t>
      </w:r>
      <w:proofErr w:type="spellStart"/>
      <w:r w:rsidRPr="00917308">
        <w:rPr>
          <w:rFonts w:ascii="Verdana" w:hAnsi="Verdana"/>
          <w:sz w:val="18"/>
          <w:szCs w:val="18"/>
        </w:rPr>
        <w:t>ICT-beheer</w:t>
      </w:r>
      <w:proofErr w:type="spellEnd"/>
      <w:r w:rsidRPr="00917308">
        <w:rPr>
          <w:rFonts w:ascii="Verdana" w:hAnsi="Verdana"/>
          <w:sz w:val="18"/>
          <w:szCs w:val="18"/>
        </w:rPr>
        <w:t xml:space="preserve"> bij de Raad voor de Kinderbescherming.  </w:t>
      </w:r>
      <w:r w:rsidRPr="00917308">
        <w:rPr>
          <w:rFonts w:ascii="Verdana" w:hAnsi="Verdana"/>
          <w:i/>
          <w:sz w:val="18"/>
          <w:szCs w:val="18"/>
        </w:rPr>
        <w:br/>
      </w:r>
      <w:r w:rsidRPr="00917308">
        <w:rPr>
          <w:rFonts w:ascii="Verdana" w:hAnsi="Verdana"/>
          <w:i/>
          <w:sz w:val="18"/>
          <w:szCs w:val="18"/>
        </w:rPr>
        <w:br/>
      </w:r>
      <w:r w:rsidRPr="00917308">
        <w:rPr>
          <w:rFonts w:ascii="Verdana" w:hAnsi="Verdana"/>
          <w:i/>
          <w:iCs/>
          <w:sz w:val="18"/>
          <w:szCs w:val="18"/>
        </w:rPr>
        <w:t>Loonbijstelling bovensectorale loonruimte deal</w:t>
      </w:r>
    </w:p>
    <w:p w:rsidRPr="00917308" w:rsidR="00917308" w:rsidP="00917308" w:rsidRDefault="00917308">
      <w:pPr>
        <w:pStyle w:val="Geenafstand"/>
        <w:spacing w:line="240" w:lineRule="exact"/>
        <w:rPr>
          <w:rFonts w:ascii="Verdana" w:hAnsi="Verdana"/>
          <w:sz w:val="18"/>
          <w:szCs w:val="18"/>
        </w:rPr>
      </w:pPr>
      <w:r w:rsidRPr="00917308">
        <w:rPr>
          <w:rFonts w:ascii="Verdana" w:hAnsi="Verdana"/>
          <w:sz w:val="18"/>
          <w:szCs w:val="18"/>
        </w:rPr>
        <w:t xml:space="preserve">Dit betreft de aanvullende middelen ten behoeve van de uitvoering van de loonruimteovereenkomst publieke sector. </w:t>
      </w:r>
    </w:p>
    <w:p w:rsidRPr="00917308" w:rsidR="00917308" w:rsidP="00917308" w:rsidRDefault="00917308">
      <w:pPr>
        <w:spacing w:line="240" w:lineRule="exact"/>
        <w:rPr>
          <w:rFonts w:ascii="Verdana" w:hAnsi="Verdana"/>
          <w:sz w:val="18"/>
          <w:szCs w:val="18"/>
        </w:rPr>
      </w:pPr>
      <w:r w:rsidRPr="00917308">
        <w:rPr>
          <w:rFonts w:ascii="Verdana" w:hAnsi="Verdana"/>
          <w:i/>
          <w:sz w:val="18"/>
          <w:szCs w:val="18"/>
        </w:rPr>
        <w:br/>
        <w:t>Diversen (Technische mutaties)</w:t>
      </w:r>
      <w:r w:rsidRPr="00917308">
        <w:rPr>
          <w:rFonts w:ascii="Verdana" w:hAnsi="Verdana"/>
          <w:i/>
          <w:sz w:val="18"/>
          <w:szCs w:val="18"/>
        </w:rPr>
        <w:br/>
      </w:r>
      <w:r w:rsidRPr="00917308">
        <w:rPr>
          <w:rFonts w:ascii="Verdana" w:hAnsi="Verdana"/>
          <w:sz w:val="18"/>
          <w:szCs w:val="18"/>
        </w:rPr>
        <w:t xml:space="preserve">Deze post is een optelling van verschillende mutaties, waaronder een </w:t>
      </w:r>
      <w:proofErr w:type="spellStart"/>
      <w:r w:rsidRPr="00917308">
        <w:rPr>
          <w:rFonts w:ascii="Verdana" w:hAnsi="Verdana"/>
          <w:sz w:val="18"/>
          <w:szCs w:val="18"/>
        </w:rPr>
        <w:t>desaldering</w:t>
      </w:r>
      <w:proofErr w:type="spellEnd"/>
      <w:r w:rsidRPr="00917308">
        <w:rPr>
          <w:rFonts w:ascii="Verdana" w:hAnsi="Verdana"/>
          <w:sz w:val="18"/>
          <w:szCs w:val="18"/>
        </w:rPr>
        <w:t xml:space="preserve"> van 16,2 mln. bij </w:t>
      </w:r>
      <w:proofErr w:type="spellStart"/>
      <w:r w:rsidRPr="00917308">
        <w:rPr>
          <w:rFonts w:ascii="Verdana" w:hAnsi="Verdana"/>
          <w:sz w:val="18"/>
          <w:szCs w:val="18"/>
        </w:rPr>
        <w:t>JustID</w:t>
      </w:r>
      <w:proofErr w:type="spellEnd"/>
      <w:r w:rsidRPr="00917308">
        <w:rPr>
          <w:rFonts w:ascii="Verdana" w:hAnsi="Verdana"/>
          <w:sz w:val="18"/>
          <w:szCs w:val="18"/>
        </w:rPr>
        <w:t xml:space="preserve">. Naast reguliere taken voert </w:t>
      </w:r>
      <w:proofErr w:type="spellStart"/>
      <w:r w:rsidRPr="00917308">
        <w:rPr>
          <w:rFonts w:ascii="Verdana" w:hAnsi="Verdana"/>
          <w:sz w:val="18"/>
          <w:szCs w:val="18"/>
        </w:rPr>
        <w:t>JustID</w:t>
      </w:r>
      <w:proofErr w:type="spellEnd"/>
      <w:r w:rsidRPr="00917308">
        <w:rPr>
          <w:rFonts w:ascii="Verdana" w:hAnsi="Verdana"/>
          <w:sz w:val="18"/>
          <w:szCs w:val="18"/>
        </w:rPr>
        <w:t xml:space="preserve"> ook een aantal opdrachten uit voor derden, zoals het beheer van systemen. De vergoedingen voor deze opdrachten worden door middel van een </w:t>
      </w:r>
      <w:proofErr w:type="spellStart"/>
      <w:r w:rsidRPr="00917308">
        <w:rPr>
          <w:rFonts w:ascii="Verdana" w:hAnsi="Verdana"/>
          <w:sz w:val="18"/>
          <w:szCs w:val="18"/>
        </w:rPr>
        <w:t>desaldering</w:t>
      </w:r>
      <w:proofErr w:type="spellEnd"/>
      <w:r w:rsidRPr="00917308">
        <w:rPr>
          <w:rFonts w:ascii="Verdana" w:hAnsi="Verdana"/>
          <w:sz w:val="18"/>
          <w:szCs w:val="18"/>
        </w:rPr>
        <w:t xml:space="preserve"> toegevoegd aan de uitgaven (zie ook </w:t>
      </w:r>
      <w:r w:rsidRPr="00917308">
        <w:rPr>
          <w:rFonts w:ascii="Verdana" w:hAnsi="Verdana"/>
          <w:i/>
          <w:sz w:val="18"/>
          <w:szCs w:val="18"/>
        </w:rPr>
        <w:t>ontvangsten – diversen</w:t>
      </w:r>
      <w:r w:rsidRPr="00917308">
        <w:rPr>
          <w:rFonts w:ascii="Verdana" w:hAnsi="Verdana"/>
          <w:sz w:val="18"/>
          <w:szCs w:val="18"/>
        </w:rPr>
        <w:t>).</w:t>
      </w:r>
    </w:p>
    <w:p w:rsidRPr="00917308" w:rsidR="00917308" w:rsidP="00917308" w:rsidRDefault="00917308">
      <w:pPr>
        <w:spacing w:line="240" w:lineRule="exact"/>
        <w:rPr>
          <w:rFonts w:ascii="Verdana" w:hAnsi="Verdana"/>
          <w:sz w:val="18"/>
          <w:szCs w:val="18"/>
        </w:rPr>
      </w:pPr>
      <w:r w:rsidRPr="00917308">
        <w:rPr>
          <w:rFonts w:ascii="Verdana" w:hAnsi="Verdana"/>
          <w:i/>
          <w:sz w:val="18"/>
          <w:szCs w:val="18"/>
        </w:rPr>
        <w:br/>
        <w:t>Tegenvaller B&amp;T</w:t>
      </w:r>
      <w:r w:rsidRPr="00917308">
        <w:rPr>
          <w:rFonts w:ascii="Verdana" w:hAnsi="Verdana"/>
          <w:i/>
          <w:sz w:val="18"/>
          <w:szCs w:val="18"/>
        </w:rPr>
        <w:br/>
      </w:r>
      <w:r w:rsidRPr="00917308">
        <w:rPr>
          <w:rFonts w:ascii="Verdana" w:hAnsi="Verdana"/>
          <w:sz w:val="18"/>
          <w:szCs w:val="18"/>
        </w:rPr>
        <w:t xml:space="preserve">Door een terugloop in de ontvangsten uit boetes en transacties is een nieuwe tegenvaller ontstaan op de </w:t>
      </w:r>
      <w:proofErr w:type="spellStart"/>
      <w:r w:rsidRPr="00917308">
        <w:rPr>
          <w:rFonts w:ascii="Verdana" w:hAnsi="Verdana"/>
          <w:sz w:val="18"/>
          <w:szCs w:val="18"/>
        </w:rPr>
        <w:t>VenJ-begroting</w:t>
      </w:r>
      <w:proofErr w:type="spellEnd"/>
      <w:r w:rsidRPr="00917308">
        <w:rPr>
          <w:rFonts w:ascii="Verdana" w:hAnsi="Verdana"/>
          <w:sz w:val="18"/>
          <w:szCs w:val="18"/>
        </w:rPr>
        <w:t xml:space="preserve">. Op basis van de huidige realisatiecijfers wordt vooralsnog uitgegaan van een tekort van 51 mln. in 2015, grotendeels het gevolg van de coulance acties van de politie. </w:t>
      </w:r>
    </w:p>
    <w:p w:rsidRPr="00917308" w:rsidR="00917308" w:rsidP="00917308" w:rsidRDefault="00917308">
      <w:pPr>
        <w:spacing w:line="240" w:lineRule="exact"/>
        <w:rPr>
          <w:rFonts w:ascii="Verdana" w:hAnsi="Verdana"/>
          <w:iCs/>
          <w:sz w:val="18"/>
          <w:szCs w:val="18"/>
        </w:rPr>
      </w:pPr>
      <w:r w:rsidRPr="00917308">
        <w:rPr>
          <w:rFonts w:ascii="Verdana" w:hAnsi="Verdana"/>
          <w:i/>
          <w:sz w:val="18"/>
          <w:szCs w:val="18"/>
        </w:rPr>
        <w:br/>
        <w:t>Tegenvaller lagere griffieontvangsten</w:t>
      </w:r>
      <w:r w:rsidRPr="00917308">
        <w:rPr>
          <w:rFonts w:ascii="Verdana" w:hAnsi="Verdana"/>
          <w:i/>
          <w:sz w:val="18"/>
          <w:szCs w:val="18"/>
        </w:rPr>
        <w:br/>
      </w:r>
      <w:r w:rsidRPr="00917308">
        <w:rPr>
          <w:rFonts w:ascii="Verdana" w:hAnsi="Verdana"/>
          <w:iCs/>
          <w:sz w:val="18"/>
          <w:szCs w:val="18"/>
        </w:rPr>
        <w:t xml:space="preserve">Als gevolg van een daling van het aantal zaken bij de Raad voor de Rechtspraak dalen ook de griffieontvangsten op de </w:t>
      </w:r>
      <w:proofErr w:type="spellStart"/>
      <w:r w:rsidRPr="00917308">
        <w:rPr>
          <w:rFonts w:ascii="Verdana" w:hAnsi="Verdana"/>
          <w:iCs/>
          <w:sz w:val="18"/>
          <w:szCs w:val="18"/>
        </w:rPr>
        <w:t>VenJ</w:t>
      </w:r>
      <w:proofErr w:type="spellEnd"/>
      <w:r w:rsidRPr="00917308">
        <w:rPr>
          <w:rFonts w:ascii="Verdana" w:hAnsi="Verdana"/>
          <w:iCs/>
          <w:sz w:val="18"/>
          <w:szCs w:val="18"/>
        </w:rPr>
        <w:t xml:space="preserve"> begroting.  </w:t>
      </w:r>
    </w:p>
    <w:p w:rsidRPr="00917308" w:rsidR="00917308" w:rsidP="00917308" w:rsidRDefault="00917308">
      <w:pPr>
        <w:spacing w:line="240" w:lineRule="exact"/>
        <w:rPr>
          <w:rFonts w:ascii="Verdana" w:hAnsi="Verdana"/>
          <w:sz w:val="18"/>
          <w:szCs w:val="18"/>
        </w:rPr>
      </w:pPr>
      <w:r w:rsidRPr="00917308">
        <w:rPr>
          <w:rFonts w:ascii="Verdana" w:hAnsi="Verdana"/>
          <w:i/>
          <w:sz w:val="18"/>
          <w:szCs w:val="18"/>
        </w:rPr>
        <w:br/>
        <w:t xml:space="preserve">Diversen (Technische mutaties) </w:t>
      </w:r>
      <w:r w:rsidRPr="00917308">
        <w:rPr>
          <w:rFonts w:ascii="Verdana" w:hAnsi="Verdana"/>
          <w:i/>
          <w:sz w:val="18"/>
          <w:szCs w:val="18"/>
        </w:rPr>
        <w:br/>
      </w:r>
      <w:r w:rsidRPr="00917308">
        <w:rPr>
          <w:rFonts w:ascii="Verdana" w:hAnsi="Verdana"/>
          <w:sz w:val="18"/>
          <w:szCs w:val="18"/>
        </w:rPr>
        <w:t xml:space="preserve">De post diversen is een optelling van verschillende mee- en tegenvallers, waaronder een </w:t>
      </w:r>
      <w:proofErr w:type="spellStart"/>
      <w:r w:rsidRPr="00917308">
        <w:rPr>
          <w:rFonts w:ascii="Verdana" w:hAnsi="Verdana"/>
          <w:sz w:val="18"/>
          <w:szCs w:val="18"/>
        </w:rPr>
        <w:t>desaldering</w:t>
      </w:r>
      <w:proofErr w:type="spellEnd"/>
      <w:r w:rsidRPr="00917308">
        <w:rPr>
          <w:rFonts w:ascii="Verdana" w:hAnsi="Verdana"/>
          <w:sz w:val="18"/>
          <w:szCs w:val="18"/>
        </w:rPr>
        <w:t xml:space="preserve"> van 16,2 mln. bij </w:t>
      </w:r>
      <w:proofErr w:type="spellStart"/>
      <w:r w:rsidRPr="00917308">
        <w:rPr>
          <w:rFonts w:ascii="Verdana" w:hAnsi="Verdana"/>
          <w:sz w:val="18"/>
          <w:szCs w:val="18"/>
        </w:rPr>
        <w:t>JustID</w:t>
      </w:r>
      <w:proofErr w:type="spellEnd"/>
      <w:r w:rsidRPr="00917308">
        <w:rPr>
          <w:rFonts w:ascii="Verdana" w:hAnsi="Verdana"/>
          <w:sz w:val="18"/>
          <w:szCs w:val="18"/>
        </w:rPr>
        <w:t xml:space="preserve"> (zie ook </w:t>
      </w:r>
      <w:r w:rsidRPr="00917308">
        <w:rPr>
          <w:rFonts w:ascii="Verdana" w:hAnsi="Verdana"/>
          <w:i/>
          <w:sz w:val="18"/>
          <w:szCs w:val="18"/>
        </w:rPr>
        <w:t>uitgaven – diversen</w:t>
      </w:r>
      <w:r w:rsidRPr="00917308">
        <w:rPr>
          <w:rFonts w:ascii="Verdana" w:hAnsi="Verdana"/>
          <w:sz w:val="18"/>
          <w:szCs w:val="18"/>
        </w:rPr>
        <w:t xml:space="preserve">). </w:t>
      </w:r>
    </w:p>
    <w:p w:rsidRPr="00917308" w:rsidR="00D57CD6" w:rsidP="00917308" w:rsidRDefault="00D57CD6">
      <w:pPr>
        <w:spacing w:line="240" w:lineRule="exact"/>
        <w:rPr>
          <w:rFonts w:ascii="Verdana" w:hAnsi="Verdana" w:cs="Verdana"/>
          <w:b/>
          <w:bCs/>
          <w:sz w:val="18"/>
          <w:szCs w:val="18"/>
        </w:rPr>
      </w:pPr>
      <w:r w:rsidRPr="00917308">
        <w:rPr>
          <w:rFonts w:ascii="Verdana" w:hAnsi="Verdana" w:cs="Verdana"/>
          <w:b/>
          <w:bCs/>
          <w:sz w:val="18"/>
          <w:szCs w:val="18"/>
        </w:rPr>
        <w:br w:type="page"/>
      </w:r>
    </w:p>
    <w:p w:rsidRPr="00533D5C" w:rsidR="00512EDB" w:rsidP="00533D5C" w:rsidRDefault="00C05141">
      <w:pPr>
        <w:spacing w:line="240" w:lineRule="exact"/>
        <w:rPr>
          <w:rFonts w:ascii="Verdana" w:hAnsi="Verdana" w:cs="Verdana"/>
          <w:b/>
          <w:bCs/>
          <w:sz w:val="18"/>
          <w:szCs w:val="18"/>
        </w:rPr>
      </w:pPr>
      <w:r w:rsidRPr="00BD4161">
        <w:rPr>
          <w:rFonts w:ascii="Verdana" w:hAnsi="Verdana" w:cs="Verdana"/>
          <w:b/>
          <w:bCs/>
          <w:sz w:val="18"/>
          <w:szCs w:val="18"/>
        </w:rPr>
        <w:lastRenderedPageBreak/>
        <w:t>Binnenlandse Zaken</w:t>
      </w:r>
    </w:p>
    <w:tbl>
      <w:tblPr>
        <w:tblW w:w="0" w:type="auto"/>
        <w:tblCellMar>
          <w:top w:w="15" w:type="dxa"/>
          <w:left w:w="15" w:type="dxa"/>
          <w:bottom w:w="15" w:type="dxa"/>
          <w:right w:w="15" w:type="dxa"/>
        </w:tblCellMar>
        <w:tblLook w:val="04A0"/>
      </w:tblPr>
      <w:tblGrid>
        <w:gridCol w:w="8241"/>
        <w:gridCol w:w="861"/>
      </w:tblGrid>
      <w:tr w:rsidR="00F15246" w:rsidTr="00F15246">
        <w:tc>
          <w:tcPr>
            <w:tcW w:w="8241" w:type="dxa"/>
            <w:tcBorders>
              <w:left w:val="nil"/>
              <w:right w:val="nil"/>
            </w:tcBorders>
            <w:hideMark/>
          </w:tcPr>
          <w:p w:rsidR="00F15246" w:rsidP="006D23DC" w:rsidRDefault="00F15246">
            <w:pPr>
              <w:rPr>
                <w:rFonts w:ascii="Verdana" w:hAnsi="Verdana"/>
                <w:sz w:val="18"/>
                <w:szCs w:val="18"/>
              </w:rPr>
            </w:pPr>
          </w:p>
        </w:tc>
        <w:tc>
          <w:tcPr>
            <w:tcW w:w="861" w:type="dxa"/>
            <w:tcBorders>
              <w:left w:val="nil"/>
              <w:right w:val="nil"/>
            </w:tcBorders>
            <w:hideMark/>
          </w:tcPr>
          <w:p w:rsidR="00F15246" w:rsidP="006D23DC" w:rsidRDefault="00F15246">
            <w:pPr>
              <w:rPr>
                <w:rFonts w:ascii="Verdana" w:hAnsi="Verdana"/>
                <w:sz w:val="18"/>
                <w:szCs w:val="18"/>
              </w:rPr>
            </w:pPr>
            <w:r>
              <w:rPr>
                <w:rFonts w:ascii="Verdana" w:hAnsi="Verdana"/>
                <w:sz w:val="18"/>
                <w:szCs w:val="18"/>
              </w:rPr>
              <w:t> </w:t>
            </w:r>
          </w:p>
        </w:tc>
      </w:tr>
      <w:tr w:rsidR="00F15246" w:rsidTr="006D23DC">
        <w:tc>
          <w:tcPr>
            <w:tcW w:w="0" w:type="auto"/>
            <w:tcBorders>
              <w:left w:val="nil"/>
              <w:right w:val="nil"/>
            </w:tcBorders>
            <w:hideMark/>
          </w:tcPr>
          <w:p w:rsidR="00F15246" w:rsidP="006D23DC" w:rsidRDefault="00F15246">
            <w:pPr>
              <w:rPr>
                <w:rFonts w:ascii="Verdana" w:hAnsi="Verdana"/>
                <w:sz w:val="18"/>
                <w:szCs w:val="18"/>
              </w:rPr>
            </w:pPr>
            <w:r>
              <w:rPr>
                <w:rFonts w:ascii="Verdana" w:hAnsi="Verdana"/>
                <w:sz w:val="18"/>
                <w:szCs w:val="18"/>
              </w:rPr>
              <w:t>VII BINNENLANDSE ZAKEN EN KONINKRIJKSRELATIES: UITGAVEN</w:t>
            </w:r>
          </w:p>
        </w:tc>
        <w:tc>
          <w:tcPr>
            <w:tcW w:w="0" w:type="auto"/>
            <w:hideMark/>
          </w:tcPr>
          <w:p w:rsidR="00F15246" w:rsidP="006D23DC" w:rsidRDefault="00F15246">
            <w:pPr>
              <w:rPr>
                <w:sz w:val="20"/>
                <w:szCs w:val="20"/>
              </w:rPr>
            </w:pPr>
          </w:p>
        </w:tc>
      </w:tr>
      <w:tr w:rsidR="00F15246" w:rsidTr="006D23DC">
        <w:tc>
          <w:tcPr>
            <w:tcW w:w="0" w:type="auto"/>
            <w:tcBorders>
              <w:top w:val="single" w:color="000000" w:sz="6" w:space="0"/>
              <w:left w:val="nil"/>
              <w:bottom w:val="single" w:color="000000" w:sz="6" w:space="0"/>
              <w:right w:val="nil"/>
            </w:tcBorders>
            <w:hideMark/>
          </w:tcPr>
          <w:p w:rsidR="00F15246" w:rsidP="006D23DC" w:rsidRDefault="00F15246">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F15246" w:rsidP="006D23DC" w:rsidRDefault="00F15246">
            <w:pPr>
              <w:jc w:val="right"/>
              <w:rPr>
                <w:rFonts w:ascii="Verdana" w:hAnsi="Verdana"/>
                <w:sz w:val="18"/>
                <w:szCs w:val="18"/>
              </w:rPr>
            </w:pPr>
            <w:r>
              <w:rPr>
                <w:rFonts w:ascii="Verdana" w:hAnsi="Verdana"/>
                <w:sz w:val="18"/>
                <w:szCs w:val="18"/>
              </w:rPr>
              <w:t>2015</w:t>
            </w:r>
          </w:p>
        </w:tc>
      </w:tr>
      <w:tr w:rsidR="00F15246" w:rsidTr="006D23DC">
        <w:tc>
          <w:tcPr>
            <w:tcW w:w="0" w:type="auto"/>
            <w:tcBorders>
              <w:left w:val="nil"/>
              <w:right w:val="nil"/>
            </w:tcBorders>
            <w:hideMark/>
          </w:tcPr>
          <w:p w:rsidR="00F15246" w:rsidP="006D23DC" w:rsidRDefault="00F15246">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F15246" w:rsidP="006D23DC" w:rsidRDefault="00F15246">
            <w:pPr>
              <w:jc w:val="right"/>
              <w:rPr>
                <w:rFonts w:ascii="Verdana" w:hAnsi="Verdana"/>
                <w:sz w:val="18"/>
                <w:szCs w:val="18"/>
              </w:rPr>
            </w:pPr>
            <w:r>
              <w:rPr>
                <w:rFonts w:ascii="Verdana" w:hAnsi="Verdana"/>
                <w:sz w:val="18"/>
                <w:szCs w:val="18"/>
              </w:rPr>
              <w:t>803,0</w:t>
            </w:r>
          </w:p>
        </w:tc>
      </w:tr>
      <w:tr w:rsidR="00F15246" w:rsidTr="006D23DC">
        <w:tc>
          <w:tcPr>
            <w:tcW w:w="0" w:type="auto"/>
            <w:tcBorders>
              <w:left w:val="nil"/>
              <w:right w:val="nil"/>
            </w:tcBorders>
            <w:hideMark/>
          </w:tcPr>
          <w:p w:rsidR="00F15246" w:rsidP="006D23DC" w:rsidRDefault="00F15246">
            <w:pPr>
              <w:rPr>
                <w:rFonts w:ascii="Verdana" w:hAnsi="Verdana"/>
                <w:sz w:val="18"/>
                <w:szCs w:val="18"/>
              </w:rPr>
            </w:pPr>
            <w:r>
              <w:rPr>
                <w:rFonts w:ascii="Verdana" w:hAnsi="Verdana"/>
                <w:sz w:val="18"/>
                <w:szCs w:val="18"/>
              </w:rPr>
              <w:t>Beleidsmatige mutaties</w:t>
            </w:r>
          </w:p>
        </w:tc>
        <w:tc>
          <w:tcPr>
            <w:tcW w:w="0" w:type="auto"/>
            <w:hideMark/>
          </w:tcPr>
          <w:p w:rsidR="00F15246" w:rsidP="006D23DC" w:rsidRDefault="00F15246">
            <w:pPr>
              <w:rPr>
                <w:sz w:val="20"/>
                <w:szCs w:val="20"/>
              </w:rPr>
            </w:pPr>
          </w:p>
        </w:tc>
      </w:tr>
      <w:tr w:rsidR="00F15246" w:rsidTr="006D23DC">
        <w:tc>
          <w:tcPr>
            <w:tcW w:w="0" w:type="auto"/>
            <w:tcBorders>
              <w:left w:val="nil"/>
              <w:right w:val="nil"/>
            </w:tcBorders>
            <w:tcMar>
              <w:top w:w="15" w:type="dxa"/>
              <w:left w:w="180" w:type="dxa"/>
              <w:bottom w:w="15" w:type="dxa"/>
              <w:right w:w="15" w:type="dxa"/>
            </w:tcMar>
            <w:vAlign w:val="both"/>
            <w:hideMark/>
          </w:tcPr>
          <w:p w:rsidR="00F15246" w:rsidP="006D23DC" w:rsidRDefault="00F15246">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F15246" w:rsidP="006D23DC" w:rsidRDefault="00F15246">
            <w:pPr>
              <w:rPr>
                <w:sz w:val="20"/>
                <w:szCs w:val="20"/>
              </w:rPr>
            </w:pPr>
          </w:p>
        </w:tc>
      </w:tr>
      <w:tr w:rsidR="00F15246" w:rsidTr="006D23DC">
        <w:tc>
          <w:tcPr>
            <w:tcW w:w="0" w:type="auto"/>
            <w:tcBorders>
              <w:left w:val="nil"/>
              <w:right w:val="nil"/>
            </w:tcBorders>
            <w:tcMar>
              <w:top w:w="15" w:type="dxa"/>
              <w:left w:w="360" w:type="dxa"/>
              <w:bottom w:w="15" w:type="dxa"/>
              <w:right w:w="15" w:type="dxa"/>
            </w:tcMar>
            <w:vAlign w:val="both"/>
            <w:hideMark/>
          </w:tcPr>
          <w:p w:rsidR="00F15246" w:rsidP="006D23DC" w:rsidRDefault="00F15246">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F15246" w:rsidP="006D23DC" w:rsidRDefault="00F15246">
            <w:pPr>
              <w:jc w:val="right"/>
              <w:rPr>
                <w:rFonts w:ascii="Verdana" w:hAnsi="Verdana"/>
                <w:sz w:val="18"/>
                <w:szCs w:val="18"/>
              </w:rPr>
            </w:pPr>
            <w:r>
              <w:rPr>
                <w:rFonts w:ascii="Verdana" w:hAnsi="Verdana"/>
                <w:sz w:val="18"/>
                <w:szCs w:val="18"/>
              </w:rPr>
              <w:t>-0,6</w:t>
            </w:r>
          </w:p>
        </w:tc>
      </w:tr>
      <w:tr w:rsidR="00F15246" w:rsidTr="006D23DC">
        <w:tc>
          <w:tcPr>
            <w:tcW w:w="0" w:type="auto"/>
            <w:tcBorders>
              <w:left w:val="nil"/>
              <w:right w:val="nil"/>
            </w:tcBorders>
            <w:hideMark/>
          </w:tcPr>
          <w:p w:rsidR="00F15246" w:rsidP="006D23DC" w:rsidRDefault="00F15246">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F15246" w:rsidP="006D23DC" w:rsidRDefault="00F15246">
            <w:pPr>
              <w:jc w:val="right"/>
              <w:rPr>
                <w:rFonts w:ascii="Verdana" w:hAnsi="Verdana"/>
                <w:sz w:val="18"/>
                <w:szCs w:val="18"/>
              </w:rPr>
            </w:pPr>
            <w:r>
              <w:rPr>
                <w:rFonts w:ascii="Verdana" w:hAnsi="Verdana"/>
                <w:sz w:val="18"/>
                <w:szCs w:val="18"/>
              </w:rPr>
              <w:t>-0,6</w:t>
            </w:r>
          </w:p>
        </w:tc>
      </w:tr>
      <w:tr w:rsidR="00F15246" w:rsidTr="006D23DC">
        <w:tc>
          <w:tcPr>
            <w:tcW w:w="0" w:type="auto"/>
            <w:tcBorders>
              <w:left w:val="nil"/>
              <w:right w:val="nil"/>
            </w:tcBorders>
            <w:hideMark/>
          </w:tcPr>
          <w:p w:rsidR="00F15246" w:rsidP="006D23DC" w:rsidRDefault="00F15246">
            <w:pPr>
              <w:rPr>
                <w:rFonts w:ascii="Verdana" w:hAnsi="Verdana"/>
                <w:sz w:val="18"/>
                <w:szCs w:val="18"/>
              </w:rPr>
            </w:pPr>
            <w:r>
              <w:rPr>
                <w:rFonts w:ascii="Verdana" w:hAnsi="Verdana"/>
                <w:sz w:val="18"/>
                <w:szCs w:val="18"/>
              </w:rPr>
              <w:t>Technische mutaties</w:t>
            </w:r>
          </w:p>
        </w:tc>
        <w:tc>
          <w:tcPr>
            <w:tcW w:w="0" w:type="auto"/>
            <w:hideMark/>
          </w:tcPr>
          <w:p w:rsidR="00F15246" w:rsidP="006D23DC" w:rsidRDefault="00F15246">
            <w:pPr>
              <w:rPr>
                <w:sz w:val="20"/>
                <w:szCs w:val="20"/>
              </w:rPr>
            </w:pPr>
          </w:p>
        </w:tc>
      </w:tr>
      <w:tr w:rsidR="00F15246" w:rsidTr="006D23DC">
        <w:tc>
          <w:tcPr>
            <w:tcW w:w="0" w:type="auto"/>
            <w:tcBorders>
              <w:left w:val="nil"/>
              <w:right w:val="nil"/>
            </w:tcBorders>
            <w:tcMar>
              <w:top w:w="15" w:type="dxa"/>
              <w:left w:w="180" w:type="dxa"/>
              <w:bottom w:w="15" w:type="dxa"/>
              <w:right w:w="15" w:type="dxa"/>
            </w:tcMar>
            <w:vAlign w:val="both"/>
            <w:hideMark/>
          </w:tcPr>
          <w:p w:rsidR="00F15246" w:rsidP="006D23DC" w:rsidRDefault="00F15246">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F15246" w:rsidP="006D23DC" w:rsidRDefault="00F15246">
            <w:pPr>
              <w:rPr>
                <w:sz w:val="20"/>
                <w:szCs w:val="20"/>
              </w:rPr>
            </w:pPr>
          </w:p>
        </w:tc>
      </w:tr>
      <w:tr w:rsidR="00F15246" w:rsidTr="006D23DC">
        <w:tc>
          <w:tcPr>
            <w:tcW w:w="0" w:type="auto"/>
            <w:tcBorders>
              <w:left w:val="nil"/>
              <w:right w:val="nil"/>
            </w:tcBorders>
            <w:tcMar>
              <w:top w:w="15" w:type="dxa"/>
              <w:left w:w="360" w:type="dxa"/>
              <w:bottom w:w="15" w:type="dxa"/>
              <w:right w:w="15" w:type="dxa"/>
            </w:tcMar>
            <w:vAlign w:val="both"/>
            <w:hideMark/>
          </w:tcPr>
          <w:p w:rsidR="00F15246" w:rsidP="006D23DC" w:rsidRDefault="00F15246">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F15246" w:rsidP="006D23DC" w:rsidRDefault="00F15246">
            <w:pPr>
              <w:jc w:val="right"/>
              <w:rPr>
                <w:rFonts w:ascii="Verdana" w:hAnsi="Verdana"/>
                <w:sz w:val="18"/>
                <w:szCs w:val="18"/>
              </w:rPr>
            </w:pPr>
            <w:r>
              <w:rPr>
                <w:rFonts w:ascii="Verdana" w:hAnsi="Verdana"/>
                <w:sz w:val="18"/>
                <w:szCs w:val="18"/>
              </w:rPr>
              <w:t>-1,0</w:t>
            </w:r>
          </w:p>
        </w:tc>
      </w:tr>
      <w:tr w:rsidR="00F15246" w:rsidTr="006D23DC">
        <w:tc>
          <w:tcPr>
            <w:tcW w:w="0" w:type="auto"/>
            <w:tcBorders>
              <w:left w:val="nil"/>
              <w:right w:val="nil"/>
            </w:tcBorders>
            <w:hideMark/>
          </w:tcPr>
          <w:p w:rsidR="00F15246" w:rsidP="006D23DC" w:rsidRDefault="00F15246">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F15246" w:rsidP="006D23DC" w:rsidRDefault="00F15246">
            <w:pPr>
              <w:jc w:val="right"/>
              <w:rPr>
                <w:rFonts w:ascii="Verdana" w:hAnsi="Verdana"/>
                <w:sz w:val="18"/>
                <w:szCs w:val="18"/>
              </w:rPr>
            </w:pPr>
            <w:r>
              <w:rPr>
                <w:rFonts w:ascii="Verdana" w:hAnsi="Verdana"/>
                <w:sz w:val="18"/>
                <w:szCs w:val="18"/>
              </w:rPr>
              <w:t>-1,0</w:t>
            </w:r>
          </w:p>
        </w:tc>
      </w:tr>
      <w:tr w:rsidR="00F15246" w:rsidTr="006D23DC">
        <w:tc>
          <w:tcPr>
            <w:tcW w:w="0" w:type="auto"/>
            <w:tcBorders>
              <w:left w:val="nil"/>
              <w:right w:val="nil"/>
            </w:tcBorders>
            <w:hideMark/>
          </w:tcPr>
          <w:p w:rsidR="00F15246" w:rsidP="006D23DC" w:rsidRDefault="00F15246">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F15246" w:rsidP="006D23DC" w:rsidRDefault="00F15246">
            <w:pPr>
              <w:jc w:val="right"/>
              <w:rPr>
                <w:rFonts w:ascii="Verdana" w:hAnsi="Verdana"/>
                <w:sz w:val="18"/>
                <w:szCs w:val="18"/>
              </w:rPr>
            </w:pPr>
            <w:r>
              <w:rPr>
                <w:rFonts w:ascii="Verdana" w:hAnsi="Verdana"/>
                <w:sz w:val="18"/>
                <w:szCs w:val="18"/>
              </w:rPr>
              <w:t>-1,6</w:t>
            </w:r>
          </w:p>
        </w:tc>
      </w:tr>
      <w:tr w:rsidR="00F15246" w:rsidTr="006D23DC">
        <w:tc>
          <w:tcPr>
            <w:tcW w:w="0" w:type="auto"/>
            <w:tcBorders>
              <w:left w:val="nil"/>
              <w:right w:val="nil"/>
            </w:tcBorders>
            <w:hideMark/>
          </w:tcPr>
          <w:p w:rsidR="00F15246" w:rsidP="006D23DC" w:rsidRDefault="00F15246">
            <w:pPr>
              <w:rPr>
                <w:rFonts w:ascii="Verdana" w:hAnsi="Verdana"/>
                <w:sz w:val="18"/>
                <w:szCs w:val="18"/>
              </w:rPr>
            </w:pPr>
            <w:r>
              <w:rPr>
                <w:rFonts w:ascii="Verdana" w:hAnsi="Verdana"/>
                <w:sz w:val="18"/>
                <w:szCs w:val="18"/>
              </w:rPr>
              <w:t> </w:t>
            </w:r>
          </w:p>
        </w:tc>
        <w:tc>
          <w:tcPr>
            <w:tcW w:w="0" w:type="auto"/>
            <w:hideMark/>
          </w:tcPr>
          <w:p w:rsidR="00F15246" w:rsidP="006D23DC" w:rsidRDefault="00F15246">
            <w:pPr>
              <w:rPr>
                <w:sz w:val="20"/>
                <w:szCs w:val="20"/>
              </w:rPr>
            </w:pPr>
          </w:p>
        </w:tc>
      </w:tr>
      <w:tr w:rsidR="00F15246" w:rsidTr="006D23DC">
        <w:tc>
          <w:tcPr>
            <w:tcW w:w="0" w:type="auto"/>
            <w:tcBorders>
              <w:left w:val="nil"/>
              <w:right w:val="nil"/>
            </w:tcBorders>
            <w:hideMark/>
          </w:tcPr>
          <w:p w:rsidR="00F15246" w:rsidP="006D23DC" w:rsidRDefault="00F15246">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F15246" w:rsidP="006D23DC" w:rsidRDefault="00F15246">
            <w:pPr>
              <w:jc w:val="right"/>
              <w:rPr>
                <w:rFonts w:ascii="Verdana" w:hAnsi="Verdana"/>
                <w:sz w:val="18"/>
                <w:szCs w:val="18"/>
              </w:rPr>
            </w:pPr>
            <w:r>
              <w:rPr>
                <w:rFonts w:ascii="Verdana" w:hAnsi="Verdana"/>
                <w:sz w:val="18"/>
                <w:szCs w:val="18"/>
              </w:rPr>
              <w:t>801,4</w:t>
            </w:r>
          </w:p>
        </w:tc>
      </w:tr>
      <w:tr w:rsidR="00F15246" w:rsidTr="006D23DC">
        <w:tc>
          <w:tcPr>
            <w:tcW w:w="0" w:type="auto"/>
            <w:tcBorders>
              <w:left w:val="nil"/>
              <w:right w:val="nil"/>
            </w:tcBorders>
            <w:hideMark/>
          </w:tcPr>
          <w:p w:rsidR="00F15246" w:rsidP="006D23DC" w:rsidRDefault="00F15246">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F15246" w:rsidP="006D23DC" w:rsidRDefault="00F15246">
            <w:pPr>
              <w:jc w:val="right"/>
              <w:rPr>
                <w:rFonts w:ascii="Verdana" w:hAnsi="Verdana"/>
                <w:sz w:val="18"/>
                <w:szCs w:val="18"/>
              </w:rPr>
            </w:pPr>
            <w:r>
              <w:rPr>
                <w:rFonts w:ascii="Verdana" w:hAnsi="Verdana"/>
                <w:sz w:val="18"/>
                <w:szCs w:val="18"/>
              </w:rPr>
              <w:t>0,2</w:t>
            </w:r>
          </w:p>
        </w:tc>
      </w:tr>
      <w:tr w:rsidR="00F15246" w:rsidTr="006D23DC">
        <w:tc>
          <w:tcPr>
            <w:tcW w:w="0" w:type="auto"/>
            <w:tcBorders>
              <w:left w:val="nil"/>
              <w:right w:val="nil"/>
            </w:tcBorders>
            <w:hideMark/>
          </w:tcPr>
          <w:p w:rsidR="00F15246" w:rsidP="006D23DC" w:rsidRDefault="00F15246">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F15246" w:rsidP="006D23DC" w:rsidRDefault="00F15246">
            <w:pPr>
              <w:jc w:val="right"/>
              <w:rPr>
                <w:rFonts w:ascii="Verdana" w:hAnsi="Verdana"/>
                <w:sz w:val="18"/>
                <w:szCs w:val="18"/>
              </w:rPr>
            </w:pPr>
            <w:r>
              <w:rPr>
                <w:rFonts w:ascii="Verdana" w:hAnsi="Verdana"/>
                <w:sz w:val="18"/>
                <w:szCs w:val="18"/>
              </w:rPr>
              <w:t>801,6</w:t>
            </w:r>
          </w:p>
        </w:tc>
      </w:tr>
      <w:tr w:rsidR="00F15246" w:rsidTr="00F15246">
        <w:tc>
          <w:tcPr>
            <w:tcW w:w="8242" w:type="dxa"/>
            <w:tcBorders>
              <w:left w:val="nil"/>
              <w:right w:val="nil"/>
            </w:tcBorders>
            <w:hideMark/>
          </w:tcPr>
          <w:p w:rsidR="00F15246" w:rsidP="006D23DC" w:rsidRDefault="00F15246">
            <w:pPr>
              <w:rPr>
                <w:rFonts w:ascii="Verdana" w:hAnsi="Verdana"/>
                <w:sz w:val="18"/>
                <w:szCs w:val="18"/>
              </w:rPr>
            </w:pPr>
            <w:r>
              <w:rPr>
                <w:rFonts w:ascii="Verdana" w:hAnsi="Verdana"/>
                <w:sz w:val="18"/>
                <w:szCs w:val="18"/>
              </w:rPr>
              <w:t> </w:t>
            </w:r>
          </w:p>
        </w:tc>
        <w:tc>
          <w:tcPr>
            <w:tcW w:w="860" w:type="dxa"/>
            <w:tcBorders>
              <w:left w:val="nil"/>
              <w:right w:val="nil"/>
            </w:tcBorders>
            <w:hideMark/>
          </w:tcPr>
          <w:p w:rsidR="00F15246" w:rsidP="006D23DC" w:rsidRDefault="00F15246">
            <w:pPr>
              <w:rPr>
                <w:rFonts w:ascii="Verdana" w:hAnsi="Verdana"/>
                <w:sz w:val="18"/>
                <w:szCs w:val="18"/>
              </w:rPr>
            </w:pPr>
            <w:r>
              <w:rPr>
                <w:rFonts w:ascii="Verdana" w:hAnsi="Verdana"/>
                <w:sz w:val="18"/>
                <w:szCs w:val="18"/>
              </w:rPr>
              <w:t> </w:t>
            </w:r>
          </w:p>
        </w:tc>
      </w:tr>
      <w:tr w:rsidR="00F15246" w:rsidTr="006D23DC">
        <w:tc>
          <w:tcPr>
            <w:tcW w:w="0" w:type="auto"/>
            <w:tcBorders>
              <w:left w:val="nil"/>
              <w:right w:val="nil"/>
            </w:tcBorders>
            <w:hideMark/>
          </w:tcPr>
          <w:p w:rsidR="00F15246" w:rsidP="006D23DC" w:rsidRDefault="00F15246">
            <w:pPr>
              <w:rPr>
                <w:rFonts w:ascii="Verdana" w:hAnsi="Verdana"/>
                <w:sz w:val="18"/>
                <w:szCs w:val="18"/>
              </w:rPr>
            </w:pPr>
            <w:r>
              <w:rPr>
                <w:rFonts w:ascii="Verdana" w:hAnsi="Verdana"/>
                <w:sz w:val="18"/>
                <w:szCs w:val="18"/>
              </w:rPr>
              <w:t>VII BINNENLANDSE ZAKEN EN KONINKRIJKSRELATIES: NIET-BELASTINGONTVANGSTEN</w:t>
            </w:r>
          </w:p>
        </w:tc>
        <w:tc>
          <w:tcPr>
            <w:tcW w:w="0" w:type="auto"/>
            <w:hideMark/>
          </w:tcPr>
          <w:p w:rsidR="00F15246" w:rsidP="006D23DC" w:rsidRDefault="00F15246">
            <w:pPr>
              <w:rPr>
                <w:sz w:val="20"/>
                <w:szCs w:val="20"/>
              </w:rPr>
            </w:pPr>
          </w:p>
        </w:tc>
      </w:tr>
      <w:tr w:rsidR="00F15246" w:rsidTr="006D23DC">
        <w:tc>
          <w:tcPr>
            <w:tcW w:w="0" w:type="auto"/>
            <w:tcBorders>
              <w:top w:val="single" w:color="000000" w:sz="6" w:space="0"/>
              <w:left w:val="nil"/>
              <w:bottom w:val="single" w:color="000000" w:sz="6" w:space="0"/>
              <w:right w:val="nil"/>
            </w:tcBorders>
            <w:hideMark/>
          </w:tcPr>
          <w:p w:rsidR="00F15246" w:rsidP="006D23DC" w:rsidRDefault="00F15246">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F15246" w:rsidP="006D23DC" w:rsidRDefault="00F15246">
            <w:pPr>
              <w:jc w:val="right"/>
              <w:rPr>
                <w:rFonts w:ascii="Verdana" w:hAnsi="Verdana"/>
                <w:sz w:val="18"/>
                <w:szCs w:val="18"/>
              </w:rPr>
            </w:pPr>
            <w:r>
              <w:rPr>
                <w:rFonts w:ascii="Verdana" w:hAnsi="Verdana"/>
                <w:sz w:val="18"/>
                <w:szCs w:val="18"/>
              </w:rPr>
              <w:t>2015</w:t>
            </w:r>
          </w:p>
        </w:tc>
      </w:tr>
      <w:tr w:rsidR="00F15246" w:rsidTr="006D23DC">
        <w:tc>
          <w:tcPr>
            <w:tcW w:w="0" w:type="auto"/>
            <w:tcBorders>
              <w:left w:val="nil"/>
              <w:right w:val="nil"/>
            </w:tcBorders>
            <w:hideMark/>
          </w:tcPr>
          <w:p w:rsidR="00F15246" w:rsidP="006D23DC" w:rsidRDefault="00F15246">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F15246" w:rsidP="006D23DC" w:rsidRDefault="00F15246">
            <w:pPr>
              <w:jc w:val="right"/>
              <w:rPr>
                <w:rFonts w:ascii="Verdana" w:hAnsi="Verdana"/>
                <w:sz w:val="18"/>
                <w:szCs w:val="18"/>
              </w:rPr>
            </w:pPr>
            <w:r>
              <w:rPr>
                <w:rFonts w:ascii="Verdana" w:hAnsi="Verdana"/>
                <w:sz w:val="18"/>
                <w:szCs w:val="18"/>
              </w:rPr>
              <w:t>920,7</w:t>
            </w:r>
          </w:p>
        </w:tc>
      </w:tr>
      <w:tr w:rsidR="00F15246" w:rsidTr="006D23DC">
        <w:tc>
          <w:tcPr>
            <w:tcW w:w="0" w:type="auto"/>
            <w:tcBorders>
              <w:left w:val="nil"/>
              <w:right w:val="nil"/>
            </w:tcBorders>
            <w:hideMark/>
          </w:tcPr>
          <w:p w:rsidR="00F15246" w:rsidP="006D23DC" w:rsidRDefault="00F15246">
            <w:pPr>
              <w:rPr>
                <w:rFonts w:ascii="Verdana" w:hAnsi="Verdana"/>
                <w:sz w:val="18"/>
                <w:szCs w:val="18"/>
              </w:rPr>
            </w:pPr>
            <w:r>
              <w:rPr>
                <w:rFonts w:ascii="Verdana" w:hAnsi="Verdana"/>
                <w:sz w:val="18"/>
                <w:szCs w:val="18"/>
              </w:rPr>
              <w:t>Mee- en tegenvallers</w:t>
            </w:r>
          </w:p>
        </w:tc>
        <w:tc>
          <w:tcPr>
            <w:tcW w:w="0" w:type="auto"/>
            <w:hideMark/>
          </w:tcPr>
          <w:p w:rsidR="00F15246" w:rsidP="006D23DC" w:rsidRDefault="00F15246">
            <w:pPr>
              <w:rPr>
                <w:sz w:val="20"/>
                <w:szCs w:val="20"/>
              </w:rPr>
            </w:pPr>
          </w:p>
        </w:tc>
      </w:tr>
      <w:tr w:rsidR="00F15246" w:rsidTr="006D23DC">
        <w:tc>
          <w:tcPr>
            <w:tcW w:w="0" w:type="auto"/>
            <w:tcBorders>
              <w:left w:val="nil"/>
              <w:right w:val="nil"/>
            </w:tcBorders>
            <w:tcMar>
              <w:top w:w="15" w:type="dxa"/>
              <w:left w:w="180" w:type="dxa"/>
              <w:bottom w:w="15" w:type="dxa"/>
              <w:right w:w="15" w:type="dxa"/>
            </w:tcMar>
            <w:vAlign w:val="both"/>
            <w:hideMark/>
          </w:tcPr>
          <w:p w:rsidR="00F15246" w:rsidP="006D23DC" w:rsidRDefault="00F15246">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F15246" w:rsidP="006D23DC" w:rsidRDefault="00F15246">
            <w:pPr>
              <w:rPr>
                <w:sz w:val="20"/>
                <w:szCs w:val="20"/>
              </w:rPr>
            </w:pPr>
          </w:p>
        </w:tc>
      </w:tr>
      <w:tr w:rsidR="00F15246" w:rsidTr="006D23DC">
        <w:tc>
          <w:tcPr>
            <w:tcW w:w="0" w:type="auto"/>
            <w:tcBorders>
              <w:left w:val="nil"/>
              <w:right w:val="nil"/>
            </w:tcBorders>
            <w:tcMar>
              <w:top w:w="15" w:type="dxa"/>
              <w:left w:w="360" w:type="dxa"/>
              <w:bottom w:w="15" w:type="dxa"/>
              <w:right w:w="15" w:type="dxa"/>
            </w:tcMar>
            <w:vAlign w:val="both"/>
            <w:hideMark/>
          </w:tcPr>
          <w:p w:rsidR="00F15246" w:rsidP="006D23DC" w:rsidRDefault="00F15246">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F15246" w:rsidP="006D23DC" w:rsidRDefault="00F15246">
            <w:pPr>
              <w:jc w:val="right"/>
              <w:rPr>
                <w:rFonts w:ascii="Verdana" w:hAnsi="Verdana"/>
                <w:sz w:val="18"/>
                <w:szCs w:val="18"/>
              </w:rPr>
            </w:pPr>
            <w:r>
              <w:rPr>
                <w:rFonts w:ascii="Verdana" w:hAnsi="Verdana"/>
                <w:sz w:val="18"/>
                <w:szCs w:val="18"/>
              </w:rPr>
              <w:t>-1,4</w:t>
            </w:r>
          </w:p>
        </w:tc>
      </w:tr>
      <w:tr w:rsidR="00F15246" w:rsidTr="006D23DC">
        <w:tc>
          <w:tcPr>
            <w:tcW w:w="0" w:type="auto"/>
            <w:tcBorders>
              <w:left w:val="nil"/>
              <w:right w:val="nil"/>
            </w:tcBorders>
            <w:hideMark/>
          </w:tcPr>
          <w:p w:rsidR="00F15246" w:rsidP="006D23DC" w:rsidRDefault="00F15246">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F15246" w:rsidP="006D23DC" w:rsidRDefault="00F15246">
            <w:pPr>
              <w:jc w:val="right"/>
              <w:rPr>
                <w:rFonts w:ascii="Verdana" w:hAnsi="Verdana"/>
                <w:sz w:val="18"/>
                <w:szCs w:val="18"/>
              </w:rPr>
            </w:pPr>
            <w:r>
              <w:rPr>
                <w:rFonts w:ascii="Verdana" w:hAnsi="Verdana"/>
                <w:sz w:val="18"/>
                <w:szCs w:val="18"/>
              </w:rPr>
              <w:t>-1,4</w:t>
            </w:r>
          </w:p>
        </w:tc>
      </w:tr>
      <w:tr w:rsidR="00F15246" w:rsidTr="006D23DC">
        <w:tc>
          <w:tcPr>
            <w:tcW w:w="0" w:type="auto"/>
            <w:tcBorders>
              <w:left w:val="nil"/>
              <w:right w:val="nil"/>
            </w:tcBorders>
            <w:hideMark/>
          </w:tcPr>
          <w:p w:rsidR="00F15246" w:rsidP="006D23DC" w:rsidRDefault="00F15246">
            <w:pPr>
              <w:rPr>
                <w:rFonts w:ascii="Verdana" w:hAnsi="Verdana"/>
                <w:sz w:val="18"/>
                <w:szCs w:val="18"/>
              </w:rPr>
            </w:pPr>
            <w:r>
              <w:rPr>
                <w:rFonts w:ascii="Verdana" w:hAnsi="Verdana"/>
                <w:sz w:val="18"/>
                <w:szCs w:val="18"/>
              </w:rPr>
              <w:t>Technische mutaties</w:t>
            </w:r>
          </w:p>
        </w:tc>
        <w:tc>
          <w:tcPr>
            <w:tcW w:w="0" w:type="auto"/>
            <w:hideMark/>
          </w:tcPr>
          <w:p w:rsidR="00F15246" w:rsidP="006D23DC" w:rsidRDefault="00F15246">
            <w:pPr>
              <w:rPr>
                <w:sz w:val="20"/>
                <w:szCs w:val="20"/>
              </w:rPr>
            </w:pPr>
          </w:p>
        </w:tc>
      </w:tr>
      <w:tr w:rsidR="00F15246" w:rsidTr="006D23DC">
        <w:tc>
          <w:tcPr>
            <w:tcW w:w="0" w:type="auto"/>
            <w:tcBorders>
              <w:left w:val="nil"/>
              <w:right w:val="nil"/>
            </w:tcBorders>
            <w:tcMar>
              <w:top w:w="15" w:type="dxa"/>
              <w:left w:w="180" w:type="dxa"/>
              <w:bottom w:w="15" w:type="dxa"/>
              <w:right w:w="15" w:type="dxa"/>
            </w:tcMar>
            <w:vAlign w:val="both"/>
            <w:hideMark/>
          </w:tcPr>
          <w:p w:rsidR="00F15246" w:rsidP="006D23DC" w:rsidRDefault="00F15246">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F15246" w:rsidP="006D23DC" w:rsidRDefault="00F15246">
            <w:pPr>
              <w:rPr>
                <w:sz w:val="20"/>
                <w:szCs w:val="20"/>
              </w:rPr>
            </w:pPr>
          </w:p>
        </w:tc>
      </w:tr>
      <w:tr w:rsidR="00F15246" w:rsidTr="006D23DC">
        <w:tc>
          <w:tcPr>
            <w:tcW w:w="0" w:type="auto"/>
            <w:tcBorders>
              <w:left w:val="nil"/>
              <w:right w:val="nil"/>
            </w:tcBorders>
            <w:tcMar>
              <w:top w:w="15" w:type="dxa"/>
              <w:left w:w="360" w:type="dxa"/>
              <w:bottom w:w="15" w:type="dxa"/>
              <w:right w:w="15" w:type="dxa"/>
            </w:tcMar>
            <w:vAlign w:val="both"/>
            <w:hideMark/>
          </w:tcPr>
          <w:p w:rsidR="00F15246" w:rsidP="006D23DC" w:rsidRDefault="00F15246">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F15246" w:rsidP="006D23DC" w:rsidRDefault="00F15246">
            <w:pPr>
              <w:jc w:val="right"/>
              <w:rPr>
                <w:rFonts w:ascii="Verdana" w:hAnsi="Verdana"/>
                <w:sz w:val="18"/>
                <w:szCs w:val="18"/>
              </w:rPr>
            </w:pPr>
            <w:r>
              <w:rPr>
                <w:rFonts w:ascii="Verdana" w:hAnsi="Verdana"/>
                <w:sz w:val="18"/>
                <w:szCs w:val="18"/>
              </w:rPr>
              <w:t>14,6</w:t>
            </w:r>
          </w:p>
        </w:tc>
      </w:tr>
      <w:tr w:rsidR="00F15246" w:rsidTr="006D23DC">
        <w:tc>
          <w:tcPr>
            <w:tcW w:w="0" w:type="auto"/>
            <w:tcBorders>
              <w:left w:val="nil"/>
              <w:right w:val="nil"/>
            </w:tcBorders>
            <w:tcMar>
              <w:top w:w="15" w:type="dxa"/>
              <w:left w:w="180" w:type="dxa"/>
              <w:bottom w:w="15" w:type="dxa"/>
              <w:right w:w="15" w:type="dxa"/>
            </w:tcMar>
            <w:vAlign w:val="both"/>
            <w:hideMark/>
          </w:tcPr>
          <w:p w:rsidR="00F15246" w:rsidP="006D23DC" w:rsidRDefault="00F15246">
            <w:pPr>
              <w:ind w:firstLine="180" w:firstLineChars="100"/>
              <w:rPr>
                <w:rFonts w:ascii="Verdana" w:hAnsi="Verdana"/>
                <w:sz w:val="18"/>
                <w:szCs w:val="18"/>
              </w:rPr>
            </w:pPr>
            <w:r>
              <w:rPr>
                <w:rFonts w:ascii="Verdana" w:hAnsi="Verdana"/>
                <w:sz w:val="18"/>
                <w:szCs w:val="18"/>
              </w:rPr>
              <w:t xml:space="preserve">Niet tot een </w:t>
            </w:r>
            <w:proofErr w:type="spellStart"/>
            <w:r>
              <w:rPr>
                <w:rFonts w:ascii="Verdana" w:hAnsi="Verdana"/>
                <w:sz w:val="18"/>
                <w:szCs w:val="18"/>
              </w:rPr>
              <w:t>ijklijn</w:t>
            </w:r>
            <w:proofErr w:type="spellEnd"/>
            <w:r>
              <w:rPr>
                <w:rFonts w:ascii="Verdana" w:hAnsi="Verdana"/>
                <w:sz w:val="18"/>
                <w:szCs w:val="18"/>
              </w:rPr>
              <w:t xml:space="preserve"> behorend</w:t>
            </w:r>
          </w:p>
        </w:tc>
        <w:tc>
          <w:tcPr>
            <w:tcW w:w="0" w:type="auto"/>
            <w:hideMark/>
          </w:tcPr>
          <w:p w:rsidR="00F15246" w:rsidP="006D23DC" w:rsidRDefault="00F15246">
            <w:pPr>
              <w:rPr>
                <w:sz w:val="20"/>
                <w:szCs w:val="20"/>
              </w:rPr>
            </w:pPr>
          </w:p>
        </w:tc>
      </w:tr>
      <w:tr w:rsidR="00F15246" w:rsidTr="006D23DC">
        <w:tc>
          <w:tcPr>
            <w:tcW w:w="0" w:type="auto"/>
            <w:tcBorders>
              <w:left w:val="nil"/>
              <w:right w:val="nil"/>
            </w:tcBorders>
            <w:tcMar>
              <w:top w:w="15" w:type="dxa"/>
              <w:left w:w="360" w:type="dxa"/>
              <w:bottom w:w="15" w:type="dxa"/>
              <w:right w:w="15" w:type="dxa"/>
            </w:tcMar>
            <w:vAlign w:val="both"/>
            <w:hideMark/>
          </w:tcPr>
          <w:p w:rsidR="00F15246" w:rsidP="006D23DC" w:rsidRDefault="00F15246">
            <w:pPr>
              <w:ind w:firstLine="360" w:firstLineChars="200"/>
              <w:rPr>
                <w:rFonts w:ascii="Verdana" w:hAnsi="Verdana"/>
                <w:sz w:val="18"/>
                <w:szCs w:val="18"/>
              </w:rPr>
            </w:pPr>
            <w:r>
              <w:rPr>
                <w:rFonts w:ascii="Verdana" w:hAnsi="Verdana"/>
                <w:sz w:val="18"/>
                <w:szCs w:val="18"/>
              </w:rPr>
              <w:t xml:space="preserve">Herziening </w:t>
            </w:r>
            <w:proofErr w:type="spellStart"/>
            <w:r>
              <w:rPr>
                <w:rFonts w:ascii="Verdana" w:hAnsi="Verdana"/>
                <w:sz w:val="18"/>
                <w:szCs w:val="18"/>
              </w:rPr>
              <w:t>vut-fonds</w:t>
            </w:r>
            <w:proofErr w:type="spellEnd"/>
          </w:p>
        </w:tc>
        <w:tc>
          <w:tcPr>
            <w:tcW w:w="0" w:type="auto"/>
            <w:tcBorders>
              <w:left w:val="nil"/>
              <w:right w:val="nil"/>
            </w:tcBorders>
            <w:hideMark/>
          </w:tcPr>
          <w:p w:rsidR="00F15246" w:rsidP="006D23DC" w:rsidRDefault="00F15246">
            <w:pPr>
              <w:jc w:val="right"/>
              <w:rPr>
                <w:rFonts w:ascii="Verdana" w:hAnsi="Verdana"/>
                <w:sz w:val="18"/>
                <w:szCs w:val="18"/>
              </w:rPr>
            </w:pPr>
            <w:r>
              <w:rPr>
                <w:rFonts w:ascii="Verdana" w:hAnsi="Verdana"/>
                <w:sz w:val="18"/>
                <w:szCs w:val="18"/>
              </w:rPr>
              <w:t>-50,0</w:t>
            </w:r>
          </w:p>
        </w:tc>
      </w:tr>
      <w:tr w:rsidR="00F15246" w:rsidTr="006D23DC">
        <w:tc>
          <w:tcPr>
            <w:tcW w:w="0" w:type="auto"/>
            <w:tcBorders>
              <w:left w:val="nil"/>
              <w:right w:val="nil"/>
            </w:tcBorders>
            <w:hideMark/>
          </w:tcPr>
          <w:p w:rsidR="00F15246" w:rsidP="006D23DC" w:rsidRDefault="00F15246">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F15246" w:rsidP="006D23DC" w:rsidRDefault="00F15246">
            <w:pPr>
              <w:jc w:val="right"/>
              <w:rPr>
                <w:rFonts w:ascii="Verdana" w:hAnsi="Verdana"/>
                <w:sz w:val="18"/>
                <w:szCs w:val="18"/>
              </w:rPr>
            </w:pPr>
            <w:r>
              <w:rPr>
                <w:rFonts w:ascii="Verdana" w:hAnsi="Verdana"/>
                <w:sz w:val="18"/>
                <w:szCs w:val="18"/>
              </w:rPr>
              <w:t>-35,4</w:t>
            </w:r>
          </w:p>
        </w:tc>
      </w:tr>
      <w:tr w:rsidR="00F15246" w:rsidTr="006D23DC">
        <w:tc>
          <w:tcPr>
            <w:tcW w:w="0" w:type="auto"/>
            <w:tcBorders>
              <w:left w:val="nil"/>
              <w:right w:val="nil"/>
            </w:tcBorders>
            <w:hideMark/>
          </w:tcPr>
          <w:p w:rsidR="00F15246" w:rsidP="006D23DC" w:rsidRDefault="00F15246">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F15246" w:rsidP="006D23DC" w:rsidRDefault="00F15246">
            <w:pPr>
              <w:jc w:val="right"/>
              <w:rPr>
                <w:rFonts w:ascii="Verdana" w:hAnsi="Verdana"/>
                <w:sz w:val="18"/>
                <w:szCs w:val="18"/>
              </w:rPr>
            </w:pPr>
            <w:r>
              <w:rPr>
                <w:rFonts w:ascii="Verdana" w:hAnsi="Verdana"/>
                <w:sz w:val="18"/>
                <w:szCs w:val="18"/>
              </w:rPr>
              <w:t>-36,8</w:t>
            </w:r>
          </w:p>
        </w:tc>
      </w:tr>
      <w:tr w:rsidR="00F15246" w:rsidTr="006D23DC">
        <w:tc>
          <w:tcPr>
            <w:tcW w:w="0" w:type="auto"/>
            <w:tcBorders>
              <w:left w:val="nil"/>
              <w:right w:val="nil"/>
            </w:tcBorders>
            <w:hideMark/>
          </w:tcPr>
          <w:p w:rsidR="00F15246" w:rsidP="006D23DC" w:rsidRDefault="00F15246">
            <w:pPr>
              <w:rPr>
                <w:rFonts w:ascii="Verdana" w:hAnsi="Verdana"/>
                <w:sz w:val="18"/>
                <w:szCs w:val="18"/>
              </w:rPr>
            </w:pPr>
            <w:r>
              <w:rPr>
                <w:rFonts w:ascii="Verdana" w:hAnsi="Verdana"/>
                <w:sz w:val="18"/>
                <w:szCs w:val="18"/>
              </w:rPr>
              <w:t> </w:t>
            </w:r>
          </w:p>
        </w:tc>
        <w:tc>
          <w:tcPr>
            <w:tcW w:w="0" w:type="auto"/>
            <w:hideMark/>
          </w:tcPr>
          <w:p w:rsidR="00F15246" w:rsidP="006D23DC" w:rsidRDefault="00F15246">
            <w:pPr>
              <w:rPr>
                <w:sz w:val="20"/>
                <w:szCs w:val="20"/>
              </w:rPr>
            </w:pPr>
          </w:p>
        </w:tc>
      </w:tr>
      <w:tr w:rsidR="00F15246" w:rsidTr="006D23DC">
        <w:tc>
          <w:tcPr>
            <w:tcW w:w="0" w:type="auto"/>
            <w:tcBorders>
              <w:left w:val="nil"/>
              <w:right w:val="nil"/>
            </w:tcBorders>
            <w:hideMark/>
          </w:tcPr>
          <w:p w:rsidR="00F15246" w:rsidP="006D23DC" w:rsidRDefault="00F15246">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F15246" w:rsidP="006D23DC" w:rsidRDefault="00F15246">
            <w:pPr>
              <w:jc w:val="right"/>
              <w:rPr>
                <w:rFonts w:ascii="Verdana" w:hAnsi="Verdana"/>
                <w:sz w:val="18"/>
                <w:szCs w:val="18"/>
              </w:rPr>
            </w:pPr>
            <w:r>
              <w:rPr>
                <w:rFonts w:ascii="Verdana" w:hAnsi="Verdana"/>
                <w:sz w:val="18"/>
                <w:szCs w:val="18"/>
              </w:rPr>
              <w:t>884,0</w:t>
            </w:r>
          </w:p>
        </w:tc>
      </w:tr>
      <w:tr w:rsidR="00F15246" w:rsidTr="006D23DC">
        <w:tc>
          <w:tcPr>
            <w:tcW w:w="0" w:type="auto"/>
            <w:tcBorders>
              <w:left w:val="nil"/>
              <w:right w:val="nil"/>
            </w:tcBorders>
            <w:hideMark/>
          </w:tcPr>
          <w:p w:rsidR="00F15246" w:rsidP="006D23DC" w:rsidRDefault="00F15246">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F15246" w:rsidP="006D23DC" w:rsidRDefault="00F15246">
            <w:pPr>
              <w:jc w:val="right"/>
              <w:rPr>
                <w:rFonts w:ascii="Verdana" w:hAnsi="Verdana"/>
                <w:sz w:val="18"/>
                <w:szCs w:val="18"/>
              </w:rPr>
            </w:pPr>
            <w:r>
              <w:rPr>
                <w:rFonts w:ascii="Verdana" w:hAnsi="Verdana"/>
                <w:sz w:val="18"/>
                <w:szCs w:val="18"/>
              </w:rPr>
              <w:t>0,0</w:t>
            </w:r>
          </w:p>
        </w:tc>
      </w:tr>
      <w:tr w:rsidR="00F15246" w:rsidTr="006D23DC">
        <w:tc>
          <w:tcPr>
            <w:tcW w:w="0" w:type="auto"/>
            <w:tcBorders>
              <w:left w:val="nil"/>
              <w:right w:val="nil"/>
            </w:tcBorders>
            <w:hideMark/>
          </w:tcPr>
          <w:p w:rsidR="00F15246" w:rsidP="006D23DC" w:rsidRDefault="00F15246">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F15246" w:rsidP="006D23DC" w:rsidRDefault="00F15246">
            <w:pPr>
              <w:jc w:val="right"/>
              <w:rPr>
                <w:rFonts w:ascii="Verdana" w:hAnsi="Verdana"/>
                <w:sz w:val="18"/>
                <w:szCs w:val="18"/>
              </w:rPr>
            </w:pPr>
            <w:r>
              <w:rPr>
                <w:rFonts w:ascii="Verdana" w:hAnsi="Verdana"/>
                <w:sz w:val="18"/>
                <w:szCs w:val="18"/>
              </w:rPr>
              <w:t>884,0</w:t>
            </w:r>
          </w:p>
        </w:tc>
      </w:tr>
    </w:tbl>
    <w:p w:rsidR="00F15246" w:rsidP="00533D5C" w:rsidRDefault="00F15246">
      <w:pPr>
        <w:spacing w:line="240" w:lineRule="exact"/>
        <w:rPr>
          <w:rFonts w:ascii="Verdana" w:hAnsi="Verdana" w:cs="Courier New"/>
          <w:i/>
          <w:sz w:val="18"/>
          <w:szCs w:val="18"/>
        </w:rPr>
      </w:pPr>
    </w:p>
    <w:p w:rsidRPr="00265F81" w:rsidR="00265F81" w:rsidP="00265F81" w:rsidRDefault="00265F81">
      <w:pPr>
        <w:spacing w:line="240" w:lineRule="exact"/>
        <w:rPr>
          <w:rFonts w:ascii="Verdana" w:hAnsi="Verdana" w:cs="Courier New"/>
          <w:i/>
          <w:sz w:val="18"/>
          <w:szCs w:val="18"/>
        </w:rPr>
      </w:pPr>
    </w:p>
    <w:p w:rsidRPr="00265F81" w:rsidR="00265F81" w:rsidP="00265F81" w:rsidRDefault="00265F81">
      <w:pPr>
        <w:spacing w:line="240" w:lineRule="exact"/>
        <w:rPr>
          <w:rFonts w:ascii="Verdana" w:hAnsi="Verdana"/>
          <w:i/>
          <w:sz w:val="18"/>
          <w:szCs w:val="18"/>
        </w:rPr>
      </w:pPr>
      <w:r w:rsidRPr="00265F81">
        <w:rPr>
          <w:rFonts w:ascii="Verdana" w:hAnsi="Verdana"/>
          <w:i/>
          <w:sz w:val="18"/>
          <w:szCs w:val="18"/>
        </w:rPr>
        <w:t>Diversen (Technische mutaties – uitgaven en niet-belastingontvangsten)</w:t>
      </w:r>
    </w:p>
    <w:p w:rsidRPr="00265F81" w:rsidR="00265F81" w:rsidP="00265F81" w:rsidRDefault="00265F81">
      <w:pPr>
        <w:spacing w:line="240" w:lineRule="exact"/>
        <w:rPr>
          <w:rFonts w:ascii="Verdana" w:hAnsi="Verdana" w:cs="Arial"/>
          <w:color w:val="000000"/>
          <w:sz w:val="18"/>
          <w:szCs w:val="18"/>
        </w:rPr>
      </w:pPr>
      <w:r w:rsidRPr="00265F81">
        <w:rPr>
          <w:rFonts w:ascii="Verdana" w:hAnsi="Verdana"/>
          <w:sz w:val="18"/>
          <w:szCs w:val="18"/>
        </w:rPr>
        <w:t xml:space="preserve">Zowel ontvangsten als uitgaven zijn opgehoogd in verband met additionele ontvangsten voor dienstverleningsafspraken (DVA). </w:t>
      </w:r>
      <w:r w:rsidRPr="00265F81">
        <w:rPr>
          <w:rFonts w:ascii="Verdana" w:hAnsi="Verdana" w:cs="Arial"/>
          <w:color w:val="000000"/>
          <w:sz w:val="18"/>
          <w:szCs w:val="18"/>
        </w:rPr>
        <w:t xml:space="preserve">De ontvangsten en uitgaven die voortvloeien uit de DVA betreft de dienstverlening tussen de </w:t>
      </w:r>
      <w:proofErr w:type="spellStart"/>
      <w:r w:rsidRPr="00265F81">
        <w:rPr>
          <w:rFonts w:ascii="Verdana" w:hAnsi="Verdana" w:cs="Arial"/>
          <w:color w:val="000000"/>
          <w:sz w:val="18"/>
          <w:szCs w:val="18"/>
        </w:rPr>
        <w:t>baten-en-lastenagentschappen</w:t>
      </w:r>
      <w:proofErr w:type="spellEnd"/>
      <w:r w:rsidRPr="00265F81">
        <w:rPr>
          <w:rFonts w:ascii="Verdana" w:hAnsi="Verdana" w:cs="Arial"/>
          <w:color w:val="000000"/>
          <w:sz w:val="18"/>
          <w:szCs w:val="18"/>
        </w:rPr>
        <w:t xml:space="preserve"> die via het kerndepartement worden verrekend. Hiernaast is er bij de uitgaven sprake van onderuitputting op het budget voor de generieke digitale infrastructuur (GDI). Dit betreft het deel dat bij Voorjaarsnota aan BZK is uitgekeerd vanaf de Aanvullende Post. </w:t>
      </w:r>
      <w:r w:rsidRPr="00265F81">
        <w:rPr>
          <w:rFonts w:ascii="Verdana" w:hAnsi="Verdana"/>
          <w:sz w:val="18"/>
          <w:szCs w:val="18"/>
        </w:rPr>
        <w:t>Het resterende budget vloeit terug naar de Aanvullende Post en schuift door naar 2016.</w:t>
      </w:r>
    </w:p>
    <w:p w:rsidRPr="00265F81" w:rsidR="00265F81" w:rsidP="00265F81" w:rsidRDefault="00265F81">
      <w:pPr>
        <w:spacing w:line="240" w:lineRule="exact"/>
        <w:rPr>
          <w:rFonts w:ascii="Verdana" w:hAnsi="Verdana"/>
          <w:i/>
          <w:sz w:val="18"/>
          <w:szCs w:val="18"/>
        </w:rPr>
      </w:pPr>
    </w:p>
    <w:p w:rsidRPr="00265F81" w:rsidR="00265F81" w:rsidP="00265F81" w:rsidRDefault="00265F81">
      <w:pPr>
        <w:spacing w:line="240" w:lineRule="exact"/>
        <w:rPr>
          <w:rFonts w:ascii="Verdana" w:hAnsi="Verdana"/>
          <w:i/>
          <w:sz w:val="18"/>
          <w:szCs w:val="18"/>
        </w:rPr>
      </w:pPr>
      <w:r w:rsidRPr="00265F81">
        <w:rPr>
          <w:rFonts w:ascii="Verdana" w:hAnsi="Verdana"/>
          <w:i/>
          <w:sz w:val="18"/>
          <w:szCs w:val="18"/>
        </w:rPr>
        <w:t xml:space="preserve">Herziening VUT-fonds ontvangsten </w:t>
      </w:r>
    </w:p>
    <w:p w:rsidRPr="00265F81" w:rsidR="00265F81" w:rsidP="00265F81" w:rsidRDefault="00265F81">
      <w:pPr>
        <w:spacing w:line="240" w:lineRule="exact"/>
        <w:rPr>
          <w:rFonts w:ascii="Verdana" w:hAnsi="Verdana" w:cs="Courier New"/>
          <w:sz w:val="18"/>
          <w:szCs w:val="18"/>
        </w:rPr>
      </w:pPr>
      <w:r w:rsidRPr="00265F81">
        <w:rPr>
          <w:rFonts w:ascii="Verdana" w:hAnsi="Verdana" w:cs="Courier New"/>
          <w:sz w:val="18"/>
          <w:szCs w:val="18"/>
        </w:rPr>
        <w:t xml:space="preserve">De raming van de ontvangsten voor 2015 uit rente en aflossing van de lening aan het VUT-fonds wordt ten opzichte van de raming bij Voorjaarsnota 2015 bijgesteld op basis van de meest actuele inzichten in de liquiditeitsplanning van het fonds. </w:t>
      </w:r>
    </w:p>
    <w:p w:rsidRPr="00533D5C" w:rsidR="00C14317" w:rsidP="00533D5C" w:rsidRDefault="00C14317">
      <w:pPr>
        <w:spacing w:line="240" w:lineRule="exact"/>
        <w:rPr>
          <w:rFonts w:ascii="Verdana" w:hAnsi="Verdana" w:cs="Courier New"/>
          <w:i/>
          <w:sz w:val="18"/>
          <w:szCs w:val="18"/>
        </w:rPr>
      </w:pPr>
      <w:r w:rsidRPr="00533D5C">
        <w:rPr>
          <w:rFonts w:ascii="Verdana" w:hAnsi="Verdana" w:cs="Courier New"/>
          <w:i/>
          <w:sz w:val="18"/>
          <w:szCs w:val="18"/>
        </w:rPr>
        <w:br w:type="page"/>
      </w:r>
    </w:p>
    <w:p w:rsidRPr="00533D5C" w:rsidR="00512EDB" w:rsidP="00533D5C" w:rsidRDefault="00C05141">
      <w:pPr>
        <w:spacing w:line="240" w:lineRule="exact"/>
        <w:rPr>
          <w:rFonts w:ascii="Verdana" w:hAnsi="Verdana" w:cs="Verdana"/>
          <w:b/>
          <w:bCs/>
          <w:sz w:val="18"/>
          <w:szCs w:val="18"/>
        </w:rPr>
      </w:pPr>
      <w:r w:rsidRPr="001D5DCF">
        <w:rPr>
          <w:rFonts w:ascii="Verdana" w:hAnsi="Verdana" w:cs="Verdana"/>
          <w:b/>
          <w:bCs/>
          <w:sz w:val="18"/>
          <w:szCs w:val="18"/>
        </w:rPr>
        <w:lastRenderedPageBreak/>
        <w:t>Onderwijs, Cultuur en wetenschap</w:t>
      </w:r>
    </w:p>
    <w:tbl>
      <w:tblPr>
        <w:tblW w:w="0" w:type="auto"/>
        <w:tblCellMar>
          <w:top w:w="15" w:type="dxa"/>
          <w:left w:w="15" w:type="dxa"/>
          <w:bottom w:w="15" w:type="dxa"/>
          <w:right w:w="15" w:type="dxa"/>
        </w:tblCellMar>
        <w:tblLook w:val="04A0"/>
      </w:tblPr>
      <w:tblGrid>
        <w:gridCol w:w="8208"/>
        <w:gridCol w:w="14"/>
        <w:gridCol w:w="880"/>
      </w:tblGrid>
      <w:tr w:rsidR="00AB68B0" w:rsidTr="00AB68B0">
        <w:tc>
          <w:tcPr>
            <w:tcW w:w="8208" w:type="dxa"/>
            <w:tcBorders>
              <w:left w:val="nil"/>
              <w:right w:val="nil"/>
            </w:tcBorders>
            <w:hideMark/>
          </w:tcPr>
          <w:p w:rsidR="00AB68B0" w:rsidP="006D23DC" w:rsidRDefault="00AB68B0">
            <w:pPr>
              <w:rPr>
                <w:rFonts w:ascii="Verdana" w:hAnsi="Verdana"/>
                <w:sz w:val="18"/>
                <w:szCs w:val="18"/>
              </w:rPr>
            </w:pPr>
          </w:p>
        </w:tc>
        <w:tc>
          <w:tcPr>
            <w:tcW w:w="894" w:type="dxa"/>
            <w:gridSpan w:val="2"/>
            <w:tcBorders>
              <w:left w:val="nil"/>
              <w:right w:val="nil"/>
            </w:tcBorders>
            <w:hideMark/>
          </w:tcPr>
          <w:p w:rsidR="00AB68B0" w:rsidP="006D23DC" w:rsidRDefault="00AB68B0">
            <w:pPr>
              <w:rPr>
                <w:rFonts w:ascii="Verdana" w:hAnsi="Verdana"/>
                <w:sz w:val="18"/>
                <w:szCs w:val="18"/>
              </w:rPr>
            </w:pPr>
            <w:r>
              <w:rPr>
                <w:rFonts w:ascii="Verdana" w:hAnsi="Verdana"/>
                <w:sz w:val="18"/>
                <w:szCs w:val="18"/>
              </w:rPr>
              <w:t> </w:t>
            </w:r>
          </w:p>
        </w:tc>
      </w:tr>
      <w:tr w:rsidR="00AB68B0" w:rsidTr="006D23DC">
        <w:tc>
          <w:tcPr>
            <w:tcW w:w="0" w:type="auto"/>
            <w:tcBorders>
              <w:left w:val="nil"/>
              <w:right w:val="nil"/>
            </w:tcBorders>
            <w:hideMark/>
          </w:tcPr>
          <w:p w:rsidR="00AB68B0" w:rsidP="006D23DC" w:rsidRDefault="00AB68B0">
            <w:pPr>
              <w:rPr>
                <w:rFonts w:ascii="Verdana" w:hAnsi="Verdana"/>
                <w:sz w:val="18"/>
                <w:szCs w:val="18"/>
              </w:rPr>
            </w:pPr>
            <w:r>
              <w:rPr>
                <w:rFonts w:ascii="Verdana" w:hAnsi="Verdana"/>
                <w:sz w:val="18"/>
                <w:szCs w:val="18"/>
              </w:rPr>
              <w:t>VIII ONDERWIJS, CULTUUR EN WETENSCHAP: UITGAVEN</w:t>
            </w:r>
          </w:p>
        </w:tc>
        <w:tc>
          <w:tcPr>
            <w:tcW w:w="0" w:type="auto"/>
            <w:gridSpan w:val="2"/>
            <w:hideMark/>
          </w:tcPr>
          <w:p w:rsidR="00AB68B0" w:rsidP="006D23DC" w:rsidRDefault="00AB68B0">
            <w:pPr>
              <w:rPr>
                <w:sz w:val="20"/>
                <w:szCs w:val="20"/>
              </w:rPr>
            </w:pPr>
          </w:p>
        </w:tc>
      </w:tr>
      <w:tr w:rsidR="00AB68B0" w:rsidTr="006D23DC">
        <w:tc>
          <w:tcPr>
            <w:tcW w:w="0" w:type="auto"/>
            <w:tcBorders>
              <w:top w:val="single" w:color="000000" w:sz="6" w:space="0"/>
              <w:left w:val="nil"/>
              <w:bottom w:val="single" w:color="000000" w:sz="6" w:space="0"/>
              <w:right w:val="nil"/>
            </w:tcBorders>
            <w:hideMark/>
          </w:tcPr>
          <w:p w:rsidR="00AB68B0" w:rsidP="006D23DC" w:rsidRDefault="00AB68B0">
            <w:pPr>
              <w:jc w:val="right"/>
              <w:rPr>
                <w:rFonts w:ascii="Verdana" w:hAnsi="Verdana"/>
                <w:sz w:val="18"/>
                <w:szCs w:val="18"/>
              </w:rPr>
            </w:pPr>
          </w:p>
        </w:tc>
        <w:tc>
          <w:tcPr>
            <w:tcW w:w="0" w:type="auto"/>
            <w:gridSpan w:val="2"/>
            <w:tcBorders>
              <w:top w:val="single" w:color="000000" w:sz="6" w:space="0"/>
              <w:left w:val="nil"/>
              <w:bottom w:val="single" w:color="000000" w:sz="6" w:space="0"/>
              <w:right w:val="nil"/>
            </w:tcBorders>
            <w:hideMark/>
          </w:tcPr>
          <w:p w:rsidR="00AB68B0" w:rsidP="006D23DC" w:rsidRDefault="00AB68B0">
            <w:pPr>
              <w:jc w:val="right"/>
              <w:rPr>
                <w:rFonts w:ascii="Verdana" w:hAnsi="Verdana"/>
                <w:sz w:val="18"/>
                <w:szCs w:val="18"/>
              </w:rPr>
            </w:pPr>
            <w:r>
              <w:rPr>
                <w:rFonts w:ascii="Verdana" w:hAnsi="Verdana"/>
                <w:sz w:val="18"/>
                <w:szCs w:val="18"/>
              </w:rPr>
              <w:t>2015</w:t>
            </w:r>
          </w:p>
        </w:tc>
      </w:tr>
      <w:tr w:rsidR="00AB68B0" w:rsidTr="006D23DC">
        <w:tc>
          <w:tcPr>
            <w:tcW w:w="0" w:type="auto"/>
            <w:tcBorders>
              <w:left w:val="nil"/>
              <w:right w:val="nil"/>
            </w:tcBorders>
            <w:hideMark/>
          </w:tcPr>
          <w:p w:rsidR="00AB68B0" w:rsidP="006D23DC" w:rsidRDefault="00AB68B0">
            <w:pPr>
              <w:rPr>
                <w:rFonts w:ascii="Verdana" w:hAnsi="Verdana"/>
                <w:sz w:val="18"/>
                <w:szCs w:val="18"/>
              </w:rPr>
            </w:pPr>
            <w:r>
              <w:rPr>
                <w:rFonts w:ascii="Verdana" w:hAnsi="Verdana"/>
                <w:sz w:val="18"/>
                <w:szCs w:val="18"/>
              </w:rPr>
              <w:t>Stand Miljoenennota 2016 (excl. IS)</w:t>
            </w:r>
          </w:p>
        </w:tc>
        <w:tc>
          <w:tcPr>
            <w:tcW w:w="0" w:type="auto"/>
            <w:gridSpan w:val="2"/>
            <w:tcBorders>
              <w:top w:val="single" w:color="000000" w:sz="6" w:space="0"/>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36.086,6</w:t>
            </w:r>
          </w:p>
        </w:tc>
      </w:tr>
      <w:tr w:rsidR="00AB68B0" w:rsidTr="006D23DC">
        <w:tc>
          <w:tcPr>
            <w:tcW w:w="0" w:type="auto"/>
            <w:tcBorders>
              <w:left w:val="nil"/>
              <w:right w:val="nil"/>
            </w:tcBorders>
            <w:hideMark/>
          </w:tcPr>
          <w:p w:rsidR="00AB68B0" w:rsidP="006D23DC" w:rsidRDefault="00AB68B0">
            <w:pPr>
              <w:rPr>
                <w:rFonts w:ascii="Verdana" w:hAnsi="Verdana"/>
                <w:sz w:val="18"/>
                <w:szCs w:val="18"/>
              </w:rPr>
            </w:pPr>
            <w:r>
              <w:rPr>
                <w:rFonts w:ascii="Verdana" w:hAnsi="Verdana"/>
                <w:sz w:val="18"/>
                <w:szCs w:val="18"/>
              </w:rPr>
              <w:t>Mee- en tegenvallers</w:t>
            </w:r>
          </w:p>
        </w:tc>
        <w:tc>
          <w:tcPr>
            <w:tcW w:w="0" w:type="auto"/>
            <w:gridSpan w:val="2"/>
            <w:hideMark/>
          </w:tcPr>
          <w:p w:rsidR="00AB68B0" w:rsidP="006D23DC" w:rsidRDefault="00AB68B0">
            <w:pPr>
              <w:rPr>
                <w:sz w:val="20"/>
                <w:szCs w:val="20"/>
              </w:rPr>
            </w:pPr>
          </w:p>
        </w:tc>
      </w:tr>
      <w:tr w:rsidR="00AB68B0" w:rsidTr="006D23DC">
        <w:tc>
          <w:tcPr>
            <w:tcW w:w="0" w:type="auto"/>
            <w:tcBorders>
              <w:left w:val="nil"/>
              <w:right w:val="nil"/>
            </w:tcBorders>
            <w:tcMar>
              <w:top w:w="15" w:type="dxa"/>
              <w:left w:w="180" w:type="dxa"/>
              <w:bottom w:w="15" w:type="dxa"/>
              <w:right w:w="15" w:type="dxa"/>
            </w:tcMar>
            <w:vAlign w:val="both"/>
            <w:hideMark/>
          </w:tcPr>
          <w:p w:rsidR="00AB68B0" w:rsidP="006D23DC" w:rsidRDefault="00AB68B0">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AB68B0" w:rsidP="006D23DC" w:rsidRDefault="00AB68B0">
            <w:pPr>
              <w:rPr>
                <w:sz w:val="20"/>
                <w:szCs w:val="20"/>
              </w:rPr>
            </w:pPr>
          </w:p>
        </w:tc>
      </w:tr>
      <w:tr w:rsidR="00AB68B0" w:rsidTr="006D23DC">
        <w:tc>
          <w:tcPr>
            <w:tcW w:w="0" w:type="auto"/>
            <w:tcBorders>
              <w:left w:val="nil"/>
              <w:right w:val="nil"/>
            </w:tcBorders>
            <w:tcMar>
              <w:top w:w="15" w:type="dxa"/>
              <w:left w:w="360" w:type="dxa"/>
              <w:bottom w:w="15" w:type="dxa"/>
              <w:right w:w="15" w:type="dxa"/>
            </w:tcMar>
            <w:vAlign w:val="both"/>
            <w:hideMark/>
          </w:tcPr>
          <w:p w:rsidR="00AB68B0" w:rsidP="006D23DC" w:rsidRDefault="00AB68B0">
            <w:pPr>
              <w:ind w:firstLine="360" w:firstLineChars="200"/>
              <w:rPr>
                <w:rFonts w:ascii="Verdana" w:hAnsi="Verdana"/>
                <w:sz w:val="18"/>
                <w:szCs w:val="18"/>
              </w:rPr>
            </w:pPr>
            <w:proofErr w:type="spellStart"/>
            <w:r>
              <w:rPr>
                <w:rFonts w:ascii="Verdana" w:hAnsi="Verdana"/>
                <w:sz w:val="18"/>
                <w:szCs w:val="18"/>
              </w:rPr>
              <w:t>Bijstellling</w:t>
            </w:r>
            <w:proofErr w:type="spellEnd"/>
            <w:r>
              <w:rPr>
                <w:rFonts w:ascii="Verdana" w:hAnsi="Verdana"/>
                <w:sz w:val="18"/>
                <w:szCs w:val="18"/>
              </w:rPr>
              <w:t xml:space="preserve"> autonome raming studiefinanciering</w:t>
            </w:r>
          </w:p>
        </w:tc>
        <w:tc>
          <w:tcPr>
            <w:tcW w:w="0" w:type="auto"/>
            <w:gridSpan w:val="2"/>
            <w:tcBorders>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-25,0</w:t>
            </w:r>
          </w:p>
        </w:tc>
      </w:tr>
      <w:tr w:rsidR="00AB68B0" w:rsidTr="006D23DC">
        <w:tc>
          <w:tcPr>
            <w:tcW w:w="0" w:type="auto"/>
            <w:tcBorders>
              <w:left w:val="nil"/>
              <w:right w:val="nil"/>
            </w:tcBorders>
            <w:tcMar>
              <w:top w:w="15" w:type="dxa"/>
              <w:left w:w="360" w:type="dxa"/>
              <w:bottom w:w="15" w:type="dxa"/>
              <w:right w:w="15" w:type="dxa"/>
            </w:tcMar>
            <w:vAlign w:val="both"/>
            <w:hideMark/>
          </w:tcPr>
          <w:p w:rsidR="00AB68B0" w:rsidP="006D23DC" w:rsidRDefault="00AB68B0">
            <w:pPr>
              <w:ind w:firstLine="360" w:firstLineChars="200"/>
              <w:rPr>
                <w:rFonts w:ascii="Verdana" w:hAnsi="Verdana"/>
                <w:sz w:val="18"/>
                <w:szCs w:val="18"/>
              </w:rPr>
            </w:pPr>
            <w:r>
              <w:rPr>
                <w:rFonts w:ascii="Verdana" w:hAnsi="Verdana"/>
                <w:sz w:val="18"/>
                <w:szCs w:val="18"/>
              </w:rPr>
              <w:t>Uitputting lerarenbeurs</w:t>
            </w:r>
          </w:p>
        </w:tc>
        <w:tc>
          <w:tcPr>
            <w:tcW w:w="0" w:type="auto"/>
            <w:gridSpan w:val="2"/>
            <w:tcBorders>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-31,5</w:t>
            </w:r>
          </w:p>
        </w:tc>
      </w:tr>
      <w:tr w:rsidR="00AB68B0" w:rsidTr="006D23DC">
        <w:tc>
          <w:tcPr>
            <w:tcW w:w="0" w:type="auto"/>
            <w:tcBorders>
              <w:left w:val="nil"/>
              <w:right w:val="nil"/>
            </w:tcBorders>
            <w:tcMar>
              <w:top w:w="15" w:type="dxa"/>
              <w:left w:w="360" w:type="dxa"/>
              <w:bottom w:w="15" w:type="dxa"/>
              <w:right w:w="15" w:type="dxa"/>
            </w:tcMar>
            <w:vAlign w:val="both"/>
            <w:hideMark/>
          </w:tcPr>
          <w:p w:rsidR="00AB68B0" w:rsidP="006D23DC" w:rsidRDefault="00AB68B0">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-11,7</w:t>
            </w:r>
          </w:p>
        </w:tc>
      </w:tr>
      <w:tr w:rsidR="00AB68B0" w:rsidTr="006D23DC">
        <w:tc>
          <w:tcPr>
            <w:tcW w:w="0" w:type="auto"/>
            <w:tcBorders>
              <w:left w:val="nil"/>
              <w:right w:val="nil"/>
            </w:tcBorders>
            <w:hideMark/>
          </w:tcPr>
          <w:p w:rsidR="00AB68B0" w:rsidP="006D23DC" w:rsidRDefault="00AB68B0">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-68,2</w:t>
            </w:r>
          </w:p>
        </w:tc>
      </w:tr>
      <w:tr w:rsidR="00AB68B0" w:rsidTr="006D23DC">
        <w:tc>
          <w:tcPr>
            <w:tcW w:w="0" w:type="auto"/>
            <w:tcBorders>
              <w:left w:val="nil"/>
              <w:right w:val="nil"/>
            </w:tcBorders>
            <w:hideMark/>
          </w:tcPr>
          <w:p w:rsidR="00AB68B0" w:rsidP="006D23DC" w:rsidRDefault="00AB68B0">
            <w:pPr>
              <w:rPr>
                <w:rFonts w:ascii="Verdana" w:hAnsi="Verdana"/>
                <w:sz w:val="18"/>
                <w:szCs w:val="18"/>
              </w:rPr>
            </w:pPr>
            <w:r>
              <w:rPr>
                <w:rFonts w:ascii="Verdana" w:hAnsi="Verdana"/>
                <w:sz w:val="18"/>
                <w:szCs w:val="18"/>
              </w:rPr>
              <w:t>Beleidsmatige mutaties</w:t>
            </w:r>
          </w:p>
        </w:tc>
        <w:tc>
          <w:tcPr>
            <w:tcW w:w="0" w:type="auto"/>
            <w:gridSpan w:val="2"/>
            <w:hideMark/>
          </w:tcPr>
          <w:p w:rsidR="00AB68B0" w:rsidP="006D23DC" w:rsidRDefault="00AB68B0">
            <w:pPr>
              <w:rPr>
                <w:sz w:val="20"/>
                <w:szCs w:val="20"/>
              </w:rPr>
            </w:pPr>
          </w:p>
        </w:tc>
      </w:tr>
      <w:tr w:rsidR="00AB68B0" w:rsidTr="006D23DC">
        <w:tc>
          <w:tcPr>
            <w:tcW w:w="0" w:type="auto"/>
            <w:tcBorders>
              <w:left w:val="nil"/>
              <w:right w:val="nil"/>
            </w:tcBorders>
            <w:tcMar>
              <w:top w:w="15" w:type="dxa"/>
              <w:left w:w="180" w:type="dxa"/>
              <w:bottom w:w="15" w:type="dxa"/>
              <w:right w:w="15" w:type="dxa"/>
            </w:tcMar>
            <w:vAlign w:val="both"/>
            <w:hideMark/>
          </w:tcPr>
          <w:p w:rsidR="00AB68B0" w:rsidP="006D23DC" w:rsidRDefault="00AB68B0">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AB68B0" w:rsidP="006D23DC" w:rsidRDefault="00AB68B0">
            <w:pPr>
              <w:rPr>
                <w:sz w:val="20"/>
                <w:szCs w:val="20"/>
              </w:rPr>
            </w:pPr>
          </w:p>
        </w:tc>
      </w:tr>
      <w:tr w:rsidR="00AB68B0" w:rsidTr="006D23DC">
        <w:tc>
          <w:tcPr>
            <w:tcW w:w="0" w:type="auto"/>
            <w:tcBorders>
              <w:left w:val="nil"/>
              <w:right w:val="nil"/>
            </w:tcBorders>
            <w:tcMar>
              <w:top w:w="15" w:type="dxa"/>
              <w:left w:w="360" w:type="dxa"/>
              <w:bottom w:w="15" w:type="dxa"/>
              <w:right w:w="15" w:type="dxa"/>
            </w:tcMar>
            <w:vAlign w:val="both"/>
            <w:hideMark/>
          </w:tcPr>
          <w:p w:rsidR="00AB68B0" w:rsidP="006D23DC" w:rsidRDefault="00AB68B0">
            <w:pPr>
              <w:ind w:firstLine="360" w:firstLineChars="200"/>
              <w:rPr>
                <w:rFonts w:ascii="Verdana" w:hAnsi="Verdana"/>
                <w:sz w:val="18"/>
                <w:szCs w:val="18"/>
              </w:rPr>
            </w:pPr>
            <w:proofErr w:type="spellStart"/>
            <w:r>
              <w:rPr>
                <w:rFonts w:ascii="Verdana" w:hAnsi="Verdana"/>
                <w:sz w:val="18"/>
                <w:szCs w:val="18"/>
              </w:rPr>
              <w:t>Intertemporele</w:t>
            </w:r>
            <w:proofErr w:type="spellEnd"/>
            <w:r>
              <w:rPr>
                <w:rFonts w:ascii="Verdana" w:hAnsi="Verdana"/>
                <w:sz w:val="18"/>
                <w:szCs w:val="18"/>
              </w:rPr>
              <w:t xml:space="preserve"> compensatie</w:t>
            </w:r>
          </w:p>
        </w:tc>
        <w:tc>
          <w:tcPr>
            <w:tcW w:w="0" w:type="auto"/>
            <w:gridSpan w:val="2"/>
            <w:tcBorders>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-40,2</w:t>
            </w:r>
          </w:p>
        </w:tc>
      </w:tr>
      <w:tr w:rsidR="00AB68B0" w:rsidTr="006D23DC">
        <w:tc>
          <w:tcPr>
            <w:tcW w:w="0" w:type="auto"/>
            <w:tcBorders>
              <w:left w:val="nil"/>
              <w:right w:val="nil"/>
            </w:tcBorders>
            <w:tcMar>
              <w:top w:w="15" w:type="dxa"/>
              <w:left w:w="360" w:type="dxa"/>
              <w:bottom w:w="15" w:type="dxa"/>
              <w:right w:w="15" w:type="dxa"/>
            </w:tcMar>
            <w:vAlign w:val="both"/>
            <w:hideMark/>
          </w:tcPr>
          <w:p w:rsidR="00AB68B0" w:rsidP="006D23DC" w:rsidRDefault="00AB68B0">
            <w:pPr>
              <w:ind w:firstLine="360" w:firstLineChars="200"/>
              <w:rPr>
                <w:rFonts w:ascii="Verdana" w:hAnsi="Verdana"/>
                <w:sz w:val="18"/>
                <w:szCs w:val="18"/>
              </w:rPr>
            </w:pPr>
            <w:proofErr w:type="spellStart"/>
            <w:r>
              <w:rPr>
                <w:rFonts w:ascii="Verdana" w:hAnsi="Verdana"/>
                <w:sz w:val="18"/>
                <w:szCs w:val="18"/>
              </w:rPr>
              <w:t>Isb</w:t>
            </w:r>
            <w:proofErr w:type="spellEnd"/>
            <w:r>
              <w:rPr>
                <w:rFonts w:ascii="Verdana" w:hAnsi="Verdana"/>
                <w:sz w:val="18"/>
                <w:szCs w:val="18"/>
              </w:rPr>
              <w:t xml:space="preserve"> 2015 inzake verwerving kunstwerk</w:t>
            </w:r>
          </w:p>
        </w:tc>
        <w:tc>
          <w:tcPr>
            <w:tcW w:w="0" w:type="auto"/>
            <w:gridSpan w:val="2"/>
            <w:tcBorders>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50,0</w:t>
            </w:r>
          </w:p>
        </w:tc>
      </w:tr>
      <w:tr w:rsidR="00AB68B0" w:rsidTr="006D23DC">
        <w:tc>
          <w:tcPr>
            <w:tcW w:w="0" w:type="auto"/>
            <w:tcBorders>
              <w:left w:val="nil"/>
              <w:right w:val="nil"/>
            </w:tcBorders>
            <w:tcMar>
              <w:top w:w="15" w:type="dxa"/>
              <w:left w:w="360" w:type="dxa"/>
              <w:bottom w:w="15" w:type="dxa"/>
              <w:right w:w="15" w:type="dxa"/>
            </w:tcMar>
            <w:vAlign w:val="both"/>
            <w:hideMark/>
          </w:tcPr>
          <w:p w:rsidR="00AB68B0" w:rsidP="006D23DC" w:rsidRDefault="00AB68B0">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0,0</w:t>
            </w:r>
          </w:p>
        </w:tc>
      </w:tr>
      <w:tr w:rsidR="00AB68B0" w:rsidTr="006D23DC">
        <w:tc>
          <w:tcPr>
            <w:tcW w:w="0" w:type="auto"/>
            <w:tcBorders>
              <w:left w:val="nil"/>
              <w:right w:val="nil"/>
            </w:tcBorders>
            <w:hideMark/>
          </w:tcPr>
          <w:p w:rsidR="00AB68B0" w:rsidP="006D23DC" w:rsidRDefault="00AB68B0">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9,8</w:t>
            </w:r>
          </w:p>
        </w:tc>
      </w:tr>
      <w:tr w:rsidR="00AB68B0" w:rsidTr="006D23DC">
        <w:tc>
          <w:tcPr>
            <w:tcW w:w="0" w:type="auto"/>
            <w:tcBorders>
              <w:left w:val="nil"/>
              <w:right w:val="nil"/>
            </w:tcBorders>
            <w:hideMark/>
          </w:tcPr>
          <w:p w:rsidR="00AB68B0" w:rsidP="006D23DC" w:rsidRDefault="00AB68B0">
            <w:pPr>
              <w:rPr>
                <w:rFonts w:ascii="Verdana" w:hAnsi="Verdana"/>
                <w:sz w:val="18"/>
                <w:szCs w:val="18"/>
              </w:rPr>
            </w:pPr>
            <w:r>
              <w:rPr>
                <w:rFonts w:ascii="Verdana" w:hAnsi="Verdana"/>
                <w:sz w:val="18"/>
                <w:szCs w:val="18"/>
              </w:rPr>
              <w:t>Technische mutaties</w:t>
            </w:r>
          </w:p>
        </w:tc>
        <w:tc>
          <w:tcPr>
            <w:tcW w:w="0" w:type="auto"/>
            <w:gridSpan w:val="2"/>
            <w:hideMark/>
          </w:tcPr>
          <w:p w:rsidR="00AB68B0" w:rsidP="006D23DC" w:rsidRDefault="00AB68B0">
            <w:pPr>
              <w:rPr>
                <w:sz w:val="20"/>
                <w:szCs w:val="20"/>
              </w:rPr>
            </w:pPr>
          </w:p>
        </w:tc>
      </w:tr>
      <w:tr w:rsidR="00AB68B0" w:rsidTr="006D23DC">
        <w:tc>
          <w:tcPr>
            <w:tcW w:w="0" w:type="auto"/>
            <w:tcBorders>
              <w:left w:val="nil"/>
              <w:right w:val="nil"/>
            </w:tcBorders>
            <w:tcMar>
              <w:top w:w="15" w:type="dxa"/>
              <w:left w:w="180" w:type="dxa"/>
              <w:bottom w:w="15" w:type="dxa"/>
              <w:right w:w="15" w:type="dxa"/>
            </w:tcMar>
            <w:vAlign w:val="both"/>
            <w:hideMark/>
          </w:tcPr>
          <w:p w:rsidR="00AB68B0" w:rsidP="006D23DC" w:rsidRDefault="00AB68B0">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AB68B0" w:rsidP="006D23DC" w:rsidRDefault="00AB68B0">
            <w:pPr>
              <w:rPr>
                <w:sz w:val="20"/>
                <w:szCs w:val="20"/>
              </w:rPr>
            </w:pPr>
          </w:p>
        </w:tc>
      </w:tr>
      <w:tr w:rsidR="00AB68B0" w:rsidTr="006D23DC">
        <w:tc>
          <w:tcPr>
            <w:tcW w:w="0" w:type="auto"/>
            <w:tcBorders>
              <w:left w:val="nil"/>
              <w:right w:val="nil"/>
            </w:tcBorders>
            <w:tcMar>
              <w:top w:w="15" w:type="dxa"/>
              <w:left w:w="360" w:type="dxa"/>
              <w:bottom w:w="15" w:type="dxa"/>
              <w:right w:w="15" w:type="dxa"/>
            </w:tcMar>
            <w:vAlign w:val="both"/>
            <w:hideMark/>
          </w:tcPr>
          <w:p w:rsidR="00AB68B0" w:rsidP="006D23DC" w:rsidRDefault="00AB68B0">
            <w:pPr>
              <w:ind w:firstLine="360" w:firstLineChars="200"/>
              <w:rPr>
                <w:rFonts w:ascii="Verdana" w:hAnsi="Verdana"/>
                <w:sz w:val="18"/>
                <w:szCs w:val="18"/>
              </w:rPr>
            </w:pPr>
            <w:r>
              <w:rPr>
                <w:rFonts w:ascii="Verdana" w:hAnsi="Verdana"/>
                <w:sz w:val="18"/>
                <w:szCs w:val="18"/>
              </w:rPr>
              <w:t>Loonbijstelling bovensectorale loonruimte deal</w:t>
            </w:r>
          </w:p>
        </w:tc>
        <w:tc>
          <w:tcPr>
            <w:tcW w:w="0" w:type="auto"/>
            <w:gridSpan w:val="2"/>
            <w:tcBorders>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231,4</w:t>
            </w:r>
          </w:p>
        </w:tc>
      </w:tr>
      <w:tr w:rsidR="00AB68B0" w:rsidTr="006D23DC">
        <w:tc>
          <w:tcPr>
            <w:tcW w:w="0" w:type="auto"/>
            <w:tcBorders>
              <w:left w:val="nil"/>
              <w:right w:val="nil"/>
            </w:tcBorders>
            <w:tcMar>
              <w:top w:w="15" w:type="dxa"/>
              <w:left w:w="360" w:type="dxa"/>
              <w:bottom w:w="15" w:type="dxa"/>
              <w:right w:w="15" w:type="dxa"/>
            </w:tcMar>
            <w:vAlign w:val="both"/>
            <w:hideMark/>
          </w:tcPr>
          <w:p w:rsidR="00AB68B0" w:rsidP="006D23DC" w:rsidRDefault="00AB68B0">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43,1</w:t>
            </w:r>
          </w:p>
        </w:tc>
      </w:tr>
      <w:tr w:rsidR="00AB68B0" w:rsidTr="006D23DC">
        <w:tc>
          <w:tcPr>
            <w:tcW w:w="0" w:type="auto"/>
            <w:tcBorders>
              <w:left w:val="nil"/>
              <w:right w:val="nil"/>
            </w:tcBorders>
            <w:tcMar>
              <w:top w:w="15" w:type="dxa"/>
              <w:left w:w="180" w:type="dxa"/>
              <w:bottom w:w="15" w:type="dxa"/>
              <w:right w:w="15" w:type="dxa"/>
            </w:tcMar>
            <w:vAlign w:val="both"/>
            <w:hideMark/>
          </w:tcPr>
          <w:p w:rsidR="00AB68B0" w:rsidP="006D23DC" w:rsidRDefault="00AB68B0">
            <w:pPr>
              <w:ind w:firstLine="180" w:firstLineChars="100"/>
              <w:rPr>
                <w:rFonts w:ascii="Verdana" w:hAnsi="Verdana"/>
                <w:sz w:val="18"/>
                <w:szCs w:val="18"/>
              </w:rPr>
            </w:pPr>
            <w:r>
              <w:rPr>
                <w:rFonts w:ascii="Verdana" w:hAnsi="Verdana"/>
                <w:sz w:val="18"/>
                <w:szCs w:val="18"/>
              </w:rPr>
              <w:t xml:space="preserve">Niet tot een </w:t>
            </w:r>
            <w:proofErr w:type="spellStart"/>
            <w:r>
              <w:rPr>
                <w:rFonts w:ascii="Verdana" w:hAnsi="Verdana"/>
                <w:sz w:val="18"/>
                <w:szCs w:val="18"/>
              </w:rPr>
              <w:t>ijklijn</w:t>
            </w:r>
            <w:proofErr w:type="spellEnd"/>
            <w:r>
              <w:rPr>
                <w:rFonts w:ascii="Verdana" w:hAnsi="Verdana"/>
                <w:sz w:val="18"/>
                <w:szCs w:val="18"/>
              </w:rPr>
              <w:t xml:space="preserve"> behorend</w:t>
            </w:r>
          </w:p>
        </w:tc>
        <w:tc>
          <w:tcPr>
            <w:tcW w:w="0" w:type="auto"/>
            <w:gridSpan w:val="2"/>
            <w:hideMark/>
          </w:tcPr>
          <w:p w:rsidR="00AB68B0" w:rsidP="006D23DC" w:rsidRDefault="00AB68B0">
            <w:pPr>
              <w:rPr>
                <w:sz w:val="20"/>
                <w:szCs w:val="20"/>
              </w:rPr>
            </w:pPr>
          </w:p>
        </w:tc>
      </w:tr>
      <w:tr w:rsidR="00AB68B0" w:rsidTr="006D23DC">
        <w:tc>
          <w:tcPr>
            <w:tcW w:w="0" w:type="auto"/>
            <w:tcBorders>
              <w:left w:val="nil"/>
              <w:right w:val="nil"/>
            </w:tcBorders>
            <w:tcMar>
              <w:top w:w="15" w:type="dxa"/>
              <w:left w:w="360" w:type="dxa"/>
              <w:bottom w:w="15" w:type="dxa"/>
              <w:right w:w="15" w:type="dxa"/>
            </w:tcMar>
            <w:vAlign w:val="both"/>
            <w:hideMark/>
          </w:tcPr>
          <w:p w:rsidR="00AB68B0" w:rsidP="006D23DC" w:rsidRDefault="00AB68B0">
            <w:pPr>
              <w:ind w:firstLine="360" w:firstLineChars="200"/>
              <w:rPr>
                <w:rFonts w:ascii="Verdana" w:hAnsi="Verdana"/>
                <w:sz w:val="18"/>
                <w:szCs w:val="18"/>
              </w:rPr>
            </w:pPr>
            <w:r>
              <w:rPr>
                <w:rFonts w:ascii="Verdana" w:hAnsi="Verdana"/>
                <w:sz w:val="18"/>
                <w:szCs w:val="18"/>
              </w:rPr>
              <w:t>Niet relevant bijstelling autonome raming</w:t>
            </w:r>
          </w:p>
        </w:tc>
        <w:tc>
          <w:tcPr>
            <w:tcW w:w="0" w:type="auto"/>
            <w:gridSpan w:val="2"/>
            <w:tcBorders>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70,0</w:t>
            </w:r>
          </w:p>
        </w:tc>
      </w:tr>
      <w:tr w:rsidR="00AB68B0" w:rsidTr="006D23DC">
        <w:tc>
          <w:tcPr>
            <w:tcW w:w="0" w:type="auto"/>
            <w:tcBorders>
              <w:left w:val="nil"/>
              <w:right w:val="nil"/>
            </w:tcBorders>
            <w:hideMark/>
          </w:tcPr>
          <w:p w:rsidR="00AB68B0" w:rsidP="006D23DC" w:rsidRDefault="00AB68B0">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344,5</w:t>
            </w:r>
          </w:p>
        </w:tc>
      </w:tr>
      <w:tr w:rsidR="00AB68B0" w:rsidTr="006D23DC">
        <w:tc>
          <w:tcPr>
            <w:tcW w:w="0" w:type="auto"/>
            <w:tcBorders>
              <w:left w:val="nil"/>
              <w:right w:val="nil"/>
            </w:tcBorders>
            <w:hideMark/>
          </w:tcPr>
          <w:p w:rsidR="00AB68B0" w:rsidP="006D23DC" w:rsidRDefault="00AB68B0">
            <w:pPr>
              <w:rPr>
                <w:rFonts w:ascii="Verdana" w:hAnsi="Verdana"/>
                <w:sz w:val="18"/>
                <w:szCs w:val="18"/>
              </w:rPr>
            </w:pPr>
            <w:r>
              <w:rPr>
                <w:rFonts w:ascii="Verdana" w:hAnsi="Verdana"/>
                <w:sz w:val="18"/>
                <w:szCs w:val="18"/>
              </w:rPr>
              <w:t>Totaal mutaties sinds Miljoenennota 2016</w:t>
            </w:r>
          </w:p>
        </w:tc>
        <w:tc>
          <w:tcPr>
            <w:tcW w:w="0" w:type="auto"/>
            <w:gridSpan w:val="2"/>
            <w:tcBorders>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286,1</w:t>
            </w:r>
          </w:p>
        </w:tc>
      </w:tr>
      <w:tr w:rsidR="00AB68B0" w:rsidTr="006D23DC">
        <w:tc>
          <w:tcPr>
            <w:tcW w:w="0" w:type="auto"/>
            <w:tcBorders>
              <w:left w:val="nil"/>
              <w:right w:val="nil"/>
            </w:tcBorders>
            <w:hideMark/>
          </w:tcPr>
          <w:p w:rsidR="00AB68B0" w:rsidP="006D23DC" w:rsidRDefault="00AB68B0">
            <w:pPr>
              <w:rPr>
                <w:rFonts w:ascii="Verdana" w:hAnsi="Verdana"/>
                <w:sz w:val="18"/>
                <w:szCs w:val="18"/>
              </w:rPr>
            </w:pPr>
            <w:r>
              <w:rPr>
                <w:rFonts w:ascii="Verdana" w:hAnsi="Verdana"/>
                <w:sz w:val="18"/>
                <w:szCs w:val="18"/>
              </w:rPr>
              <w:t> </w:t>
            </w:r>
          </w:p>
        </w:tc>
        <w:tc>
          <w:tcPr>
            <w:tcW w:w="0" w:type="auto"/>
            <w:gridSpan w:val="2"/>
            <w:hideMark/>
          </w:tcPr>
          <w:p w:rsidR="00AB68B0" w:rsidP="006D23DC" w:rsidRDefault="00AB68B0">
            <w:pPr>
              <w:rPr>
                <w:sz w:val="20"/>
                <w:szCs w:val="20"/>
              </w:rPr>
            </w:pPr>
          </w:p>
        </w:tc>
      </w:tr>
      <w:tr w:rsidR="00AB68B0" w:rsidTr="006D23DC">
        <w:tc>
          <w:tcPr>
            <w:tcW w:w="0" w:type="auto"/>
            <w:tcBorders>
              <w:left w:val="nil"/>
              <w:right w:val="nil"/>
            </w:tcBorders>
            <w:hideMark/>
          </w:tcPr>
          <w:p w:rsidR="00AB68B0" w:rsidP="006D23DC" w:rsidRDefault="00AB68B0">
            <w:pPr>
              <w:rPr>
                <w:rFonts w:ascii="Verdana" w:hAnsi="Verdana"/>
                <w:sz w:val="18"/>
                <w:szCs w:val="18"/>
              </w:rPr>
            </w:pPr>
            <w:r>
              <w:rPr>
                <w:rFonts w:ascii="Verdana" w:hAnsi="Verdana"/>
                <w:sz w:val="18"/>
                <w:szCs w:val="18"/>
              </w:rPr>
              <w:t>Stand Najaarsnota 2015 (subtotaal)</w:t>
            </w:r>
          </w:p>
        </w:tc>
        <w:tc>
          <w:tcPr>
            <w:tcW w:w="0" w:type="auto"/>
            <w:gridSpan w:val="2"/>
            <w:tcBorders>
              <w:top w:val="single" w:color="000000" w:sz="6" w:space="0"/>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36.372,6</w:t>
            </w:r>
          </w:p>
        </w:tc>
      </w:tr>
      <w:tr w:rsidR="00AB68B0" w:rsidTr="006D23DC">
        <w:tc>
          <w:tcPr>
            <w:tcW w:w="0" w:type="auto"/>
            <w:tcBorders>
              <w:left w:val="nil"/>
              <w:right w:val="nil"/>
            </w:tcBorders>
            <w:hideMark/>
          </w:tcPr>
          <w:p w:rsidR="00AB68B0" w:rsidP="006D23DC" w:rsidRDefault="00AB68B0">
            <w:pPr>
              <w:rPr>
                <w:rFonts w:ascii="Verdana" w:hAnsi="Verdana"/>
                <w:sz w:val="18"/>
                <w:szCs w:val="18"/>
              </w:rPr>
            </w:pPr>
            <w:r>
              <w:rPr>
                <w:rFonts w:ascii="Verdana" w:hAnsi="Verdana"/>
                <w:sz w:val="18"/>
                <w:szCs w:val="18"/>
              </w:rPr>
              <w:t>Totaal Internationale samenwerking</w:t>
            </w:r>
          </w:p>
        </w:tc>
        <w:tc>
          <w:tcPr>
            <w:tcW w:w="0" w:type="auto"/>
            <w:gridSpan w:val="2"/>
            <w:tcBorders>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61,4</w:t>
            </w:r>
          </w:p>
        </w:tc>
      </w:tr>
      <w:tr w:rsidR="00AB68B0" w:rsidTr="006D23DC">
        <w:tc>
          <w:tcPr>
            <w:tcW w:w="0" w:type="auto"/>
            <w:tcBorders>
              <w:left w:val="nil"/>
              <w:right w:val="nil"/>
            </w:tcBorders>
            <w:hideMark/>
          </w:tcPr>
          <w:p w:rsidR="00AB68B0" w:rsidP="006D23DC" w:rsidRDefault="00AB68B0">
            <w:pPr>
              <w:rPr>
                <w:rFonts w:ascii="Verdana" w:hAnsi="Verdana"/>
                <w:sz w:val="18"/>
                <w:szCs w:val="18"/>
              </w:rPr>
            </w:pPr>
            <w:r>
              <w:rPr>
                <w:rFonts w:ascii="Verdana" w:hAnsi="Verdana"/>
                <w:sz w:val="18"/>
                <w:szCs w:val="18"/>
              </w:rPr>
              <w:t>Stand Najaarsnota 2015</w:t>
            </w:r>
          </w:p>
        </w:tc>
        <w:tc>
          <w:tcPr>
            <w:tcW w:w="0" w:type="auto"/>
            <w:gridSpan w:val="2"/>
            <w:tcBorders>
              <w:top w:val="single" w:color="000000" w:sz="6" w:space="0"/>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36.434,0</w:t>
            </w:r>
          </w:p>
        </w:tc>
      </w:tr>
      <w:tr w:rsidR="00AB68B0" w:rsidTr="00AB68B0">
        <w:tc>
          <w:tcPr>
            <w:tcW w:w="8222" w:type="dxa"/>
            <w:gridSpan w:val="2"/>
            <w:tcBorders>
              <w:left w:val="nil"/>
              <w:right w:val="nil"/>
            </w:tcBorders>
            <w:hideMark/>
          </w:tcPr>
          <w:p w:rsidR="00AB68B0" w:rsidP="006D23DC" w:rsidRDefault="00AB68B0">
            <w:pPr>
              <w:rPr>
                <w:rFonts w:ascii="Verdana" w:hAnsi="Verdana"/>
                <w:sz w:val="18"/>
                <w:szCs w:val="18"/>
              </w:rPr>
            </w:pPr>
            <w:r>
              <w:rPr>
                <w:rFonts w:ascii="Verdana" w:hAnsi="Verdana"/>
                <w:sz w:val="18"/>
                <w:szCs w:val="18"/>
              </w:rPr>
              <w:t> </w:t>
            </w:r>
          </w:p>
        </w:tc>
        <w:tc>
          <w:tcPr>
            <w:tcW w:w="880" w:type="dxa"/>
            <w:tcBorders>
              <w:left w:val="nil"/>
              <w:right w:val="nil"/>
            </w:tcBorders>
            <w:hideMark/>
          </w:tcPr>
          <w:p w:rsidR="00AB68B0" w:rsidP="006D23DC" w:rsidRDefault="00AB68B0">
            <w:pPr>
              <w:rPr>
                <w:rFonts w:ascii="Verdana" w:hAnsi="Verdana"/>
                <w:sz w:val="18"/>
                <w:szCs w:val="18"/>
              </w:rPr>
            </w:pPr>
            <w:r>
              <w:rPr>
                <w:rFonts w:ascii="Verdana" w:hAnsi="Verdana"/>
                <w:sz w:val="18"/>
                <w:szCs w:val="18"/>
              </w:rPr>
              <w:t> </w:t>
            </w:r>
          </w:p>
        </w:tc>
      </w:tr>
      <w:tr w:rsidR="00AB68B0" w:rsidTr="006D23DC">
        <w:tc>
          <w:tcPr>
            <w:tcW w:w="0" w:type="auto"/>
            <w:gridSpan w:val="2"/>
            <w:tcBorders>
              <w:left w:val="nil"/>
              <w:right w:val="nil"/>
            </w:tcBorders>
            <w:hideMark/>
          </w:tcPr>
          <w:p w:rsidR="00AB68B0" w:rsidP="006D23DC" w:rsidRDefault="00AB68B0">
            <w:pPr>
              <w:rPr>
                <w:rFonts w:ascii="Verdana" w:hAnsi="Verdana"/>
                <w:sz w:val="18"/>
                <w:szCs w:val="18"/>
              </w:rPr>
            </w:pPr>
            <w:r>
              <w:rPr>
                <w:rFonts w:ascii="Verdana" w:hAnsi="Verdana"/>
                <w:sz w:val="18"/>
                <w:szCs w:val="18"/>
              </w:rPr>
              <w:t>VIII ONDERWIJS, CULTUUR EN WETENSCHAP: NIET-BELASTINGONTVANGSTEN</w:t>
            </w:r>
          </w:p>
        </w:tc>
        <w:tc>
          <w:tcPr>
            <w:tcW w:w="0" w:type="auto"/>
            <w:hideMark/>
          </w:tcPr>
          <w:p w:rsidR="00AB68B0" w:rsidP="006D23DC" w:rsidRDefault="00AB68B0">
            <w:pPr>
              <w:rPr>
                <w:sz w:val="20"/>
                <w:szCs w:val="20"/>
              </w:rPr>
            </w:pPr>
          </w:p>
        </w:tc>
      </w:tr>
      <w:tr w:rsidR="00AB68B0" w:rsidTr="006D23DC">
        <w:tc>
          <w:tcPr>
            <w:tcW w:w="0" w:type="auto"/>
            <w:gridSpan w:val="2"/>
            <w:tcBorders>
              <w:top w:val="single" w:color="000000" w:sz="6" w:space="0"/>
              <w:left w:val="nil"/>
              <w:bottom w:val="single" w:color="000000" w:sz="6" w:space="0"/>
              <w:right w:val="nil"/>
            </w:tcBorders>
            <w:hideMark/>
          </w:tcPr>
          <w:p w:rsidR="00AB68B0" w:rsidP="006D23DC" w:rsidRDefault="00AB68B0">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AB68B0" w:rsidP="006D23DC" w:rsidRDefault="00AB68B0">
            <w:pPr>
              <w:jc w:val="right"/>
              <w:rPr>
                <w:rFonts w:ascii="Verdana" w:hAnsi="Verdana"/>
                <w:sz w:val="18"/>
                <w:szCs w:val="18"/>
              </w:rPr>
            </w:pPr>
            <w:r>
              <w:rPr>
                <w:rFonts w:ascii="Verdana" w:hAnsi="Verdana"/>
                <w:sz w:val="18"/>
                <w:szCs w:val="18"/>
              </w:rPr>
              <w:t>2015</w:t>
            </w:r>
          </w:p>
        </w:tc>
      </w:tr>
      <w:tr w:rsidR="00AB68B0" w:rsidTr="006D23DC">
        <w:tc>
          <w:tcPr>
            <w:tcW w:w="0" w:type="auto"/>
            <w:gridSpan w:val="2"/>
            <w:tcBorders>
              <w:left w:val="nil"/>
              <w:right w:val="nil"/>
            </w:tcBorders>
            <w:hideMark/>
          </w:tcPr>
          <w:p w:rsidR="00AB68B0" w:rsidP="006D23DC" w:rsidRDefault="00AB68B0">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1.274,6</w:t>
            </w:r>
          </w:p>
        </w:tc>
      </w:tr>
      <w:tr w:rsidR="00AB68B0" w:rsidTr="006D23DC">
        <w:tc>
          <w:tcPr>
            <w:tcW w:w="0" w:type="auto"/>
            <w:gridSpan w:val="2"/>
            <w:tcBorders>
              <w:left w:val="nil"/>
              <w:right w:val="nil"/>
            </w:tcBorders>
            <w:hideMark/>
          </w:tcPr>
          <w:p w:rsidR="00AB68B0" w:rsidP="006D23DC" w:rsidRDefault="00AB68B0">
            <w:pPr>
              <w:rPr>
                <w:rFonts w:ascii="Verdana" w:hAnsi="Verdana"/>
                <w:sz w:val="18"/>
                <w:szCs w:val="18"/>
              </w:rPr>
            </w:pPr>
            <w:r>
              <w:rPr>
                <w:rFonts w:ascii="Verdana" w:hAnsi="Verdana"/>
                <w:sz w:val="18"/>
                <w:szCs w:val="18"/>
              </w:rPr>
              <w:t>Mee- en tegenvallers</w:t>
            </w:r>
          </w:p>
        </w:tc>
        <w:tc>
          <w:tcPr>
            <w:tcW w:w="0" w:type="auto"/>
            <w:hideMark/>
          </w:tcPr>
          <w:p w:rsidR="00AB68B0" w:rsidP="006D23DC" w:rsidRDefault="00AB68B0">
            <w:pPr>
              <w:rPr>
                <w:sz w:val="20"/>
                <w:szCs w:val="20"/>
              </w:rPr>
            </w:pPr>
          </w:p>
        </w:tc>
      </w:tr>
      <w:tr w:rsidR="00AB68B0" w:rsidTr="006D23DC">
        <w:tc>
          <w:tcPr>
            <w:tcW w:w="0" w:type="auto"/>
            <w:gridSpan w:val="2"/>
            <w:tcBorders>
              <w:left w:val="nil"/>
              <w:right w:val="nil"/>
            </w:tcBorders>
            <w:tcMar>
              <w:top w:w="15" w:type="dxa"/>
              <w:left w:w="180" w:type="dxa"/>
              <w:bottom w:w="15" w:type="dxa"/>
              <w:right w:w="15" w:type="dxa"/>
            </w:tcMar>
            <w:vAlign w:val="both"/>
            <w:hideMark/>
          </w:tcPr>
          <w:p w:rsidR="00AB68B0" w:rsidP="006D23DC" w:rsidRDefault="00AB68B0">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AB68B0" w:rsidP="006D23DC" w:rsidRDefault="00AB68B0">
            <w:pPr>
              <w:rPr>
                <w:sz w:val="20"/>
                <w:szCs w:val="20"/>
              </w:rPr>
            </w:pPr>
          </w:p>
        </w:tc>
      </w:tr>
      <w:tr w:rsidR="00AB68B0" w:rsidTr="006D23DC">
        <w:tc>
          <w:tcPr>
            <w:tcW w:w="0" w:type="auto"/>
            <w:gridSpan w:val="2"/>
            <w:tcBorders>
              <w:left w:val="nil"/>
              <w:right w:val="nil"/>
            </w:tcBorders>
            <w:tcMar>
              <w:top w:w="15" w:type="dxa"/>
              <w:left w:w="360" w:type="dxa"/>
              <w:bottom w:w="15" w:type="dxa"/>
              <w:right w:w="15" w:type="dxa"/>
            </w:tcMar>
            <w:vAlign w:val="both"/>
            <w:hideMark/>
          </w:tcPr>
          <w:p w:rsidR="00AB68B0" w:rsidP="006D23DC" w:rsidRDefault="00AB68B0">
            <w:pPr>
              <w:ind w:firstLine="360" w:firstLineChars="200"/>
              <w:rPr>
                <w:rFonts w:ascii="Verdana" w:hAnsi="Verdana"/>
                <w:sz w:val="18"/>
                <w:szCs w:val="18"/>
              </w:rPr>
            </w:pPr>
            <w:r>
              <w:rPr>
                <w:rFonts w:ascii="Verdana" w:hAnsi="Verdana"/>
                <w:sz w:val="18"/>
                <w:szCs w:val="18"/>
              </w:rPr>
              <w:t>Rente ontvangsten</w:t>
            </w:r>
          </w:p>
        </w:tc>
        <w:tc>
          <w:tcPr>
            <w:tcW w:w="0" w:type="auto"/>
            <w:tcBorders>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-40,0</w:t>
            </w:r>
          </w:p>
        </w:tc>
      </w:tr>
      <w:tr w:rsidR="00AB68B0" w:rsidTr="006D23DC">
        <w:tc>
          <w:tcPr>
            <w:tcW w:w="0" w:type="auto"/>
            <w:gridSpan w:val="2"/>
            <w:tcBorders>
              <w:left w:val="nil"/>
              <w:right w:val="nil"/>
            </w:tcBorders>
            <w:tcMar>
              <w:top w:w="15" w:type="dxa"/>
              <w:left w:w="360" w:type="dxa"/>
              <w:bottom w:w="15" w:type="dxa"/>
              <w:right w:w="15" w:type="dxa"/>
            </w:tcMar>
            <w:vAlign w:val="both"/>
            <w:hideMark/>
          </w:tcPr>
          <w:p w:rsidR="00AB68B0" w:rsidP="006D23DC" w:rsidRDefault="00AB68B0">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14,3</w:t>
            </w:r>
          </w:p>
        </w:tc>
      </w:tr>
      <w:tr w:rsidR="00AB68B0" w:rsidTr="006D23DC">
        <w:tc>
          <w:tcPr>
            <w:tcW w:w="0" w:type="auto"/>
            <w:gridSpan w:val="2"/>
            <w:tcBorders>
              <w:left w:val="nil"/>
              <w:right w:val="nil"/>
            </w:tcBorders>
            <w:hideMark/>
          </w:tcPr>
          <w:p w:rsidR="00AB68B0" w:rsidP="006D23DC" w:rsidRDefault="00AB68B0">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-25,7</w:t>
            </w:r>
          </w:p>
        </w:tc>
      </w:tr>
      <w:tr w:rsidR="00AB68B0" w:rsidTr="006D23DC">
        <w:tc>
          <w:tcPr>
            <w:tcW w:w="0" w:type="auto"/>
            <w:gridSpan w:val="2"/>
            <w:tcBorders>
              <w:left w:val="nil"/>
              <w:right w:val="nil"/>
            </w:tcBorders>
            <w:hideMark/>
          </w:tcPr>
          <w:p w:rsidR="00AB68B0" w:rsidP="006D23DC" w:rsidRDefault="00AB68B0">
            <w:pPr>
              <w:rPr>
                <w:rFonts w:ascii="Verdana" w:hAnsi="Verdana"/>
                <w:sz w:val="18"/>
                <w:szCs w:val="18"/>
              </w:rPr>
            </w:pPr>
            <w:r>
              <w:rPr>
                <w:rFonts w:ascii="Verdana" w:hAnsi="Verdana"/>
                <w:sz w:val="18"/>
                <w:szCs w:val="18"/>
              </w:rPr>
              <w:t>Technische mutaties</w:t>
            </w:r>
          </w:p>
        </w:tc>
        <w:tc>
          <w:tcPr>
            <w:tcW w:w="0" w:type="auto"/>
            <w:hideMark/>
          </w:tcPr>
          <w:p w:rsidR="00AB68B0" w:rsidP="006D23DC" w:rsidRDefault="00AB68B0">
            <w:pPr>
              <w:rPr>
                <w:sz w:val="20"/>
                <w:szCs w:val="20"/>
              </w:rPr>
            </w:pPr>
          </w:p>
        </w:tc>
      </w:tr>
      <w:tr w:rsidR="00AB68B0" w:rsidTr="006D23DC">
        <w:tc>
          <w:tcPr>
            <w:tcW w:w="0" w:type="auto"/>
            <w:gridSpan w:val="2"/>
            <w:tcBorders>
              <w:left w:val="nil"/>
              <w:right w:val="nil"/>
            </w:tcBorders>
            <w:tcMar>
              <w:top w:w="15" w:type="dxa"/>
              <w:left w:w="180" w:type="dxa"/>
              <w:bottom w:w="15" w:type="dxa"/>
              <w:right w:w="15" w:type="dxa"/>
            </w:tcMar>
            <w:vAlign w:val="both"/>
            <w:hideMark/>
          </w:tcPr>
          <w:p w:rsidR="00AB68B0" w:rsidP="006D23DC" w:rsidRDefault="00AB68B0">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AB68B0" w:rsidP="006D23DC" w:rsidRDefault="00AB68B0">
            <w:pPr>
              <w:rPr>
                <w:sz w:val="20"/>
                <w:szCs w:val="20"/>
              </w:rPr>
            </w:pPr>
          </w:p>
        </w:tc>
      </w:tr>
      <w:tr w:rsidR="00AB68B0" w:rsidTr="006D23DC">
        <w:tc>
          <w:tcPr>
            <w:tcW w:w="0" w:type="auto"/>
            <w:gridSpan w:val="2"/>
            <w:tcBorders>
              <w:left w:val="nil"/>
              <w:right w:val="nil"/>
            </w:tcBorders>
            <w:tcMar>
              <w:top w:w="15" w:type="dxa"/>
              <w:left w:w="360" w:type="dxa"/>
              <w:bottom w:w="15" w:type="dxa"/>
              <w:right w:w="15" w:type="dxa"/>
            </w:tcMar>
            <w:vAlign w:val="both"/>
            <w:hideMark/>
          </w:tcPr>
          <w:p w:rsidR="00AB68B0" w:rsidP="006D23DC" w:rsidRDefault="00AB68B0">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46,5</w:t>
            </w:r>
          </w:p>
        </w:tc>
      </w:tr>
      <w:tr w:rsidR="00AB68B0" w:rsidTr="006D23DC">
        <w:tc>
          <w:tcPr>
            <w:tcW w:w="0" w:type="auto"/>
            <w:gridSpan w:val="2"/>
            <w:tcBorders>
              <w:left w:val="nil"/>
              <w:right w:val="nil"/>
            </w:tcBorders>
            <w:hideMark/>
          </w:tcPr>
          <w:p w:rsidR="00AB68B0" w:rsidP="006D23DC" w:rsidRDefault="00AB68B0">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46,5</w:t>
            </w:r>
          </w:p>
        </w:tc>
      </w:tr>
      <w:tr w:rsidR="00AB68B0" w:rsidTr="006D23DC">
        <w:tc>
          <w:tcPr>
            <w:tcW w:w="0" w:type="auto"/>
            <w:gridSpan w:val="2"/>
            <w:tcBorders>
              <w:left w:val="nil"/>
              <w:right w:val="nil"/>
            </w:tcBorders>
            <w:hideMark/>
          </w:tcPr>
          <w:p w:rsidR="00AB68B0" w:rsidP="006D23DC" w:rsidRDefault="00AB68B0">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20,8</w:t>
            </w:r>
          </w:p>
        </w:tc>
      </w:tr>
      <w:tr w:rsidR="00AB68B0" w:rsidTr="006D23DC">
        <w:tc>
          <w:tcPr>
            <w:tcW w:w="0" w:type="auto"/>
            <w:gridSpan w:val="2"/>
            <w:tcBorders>
              <w:left w:val="nil"/>
              <w:right w:val="nil"/>
            </w:tcBorders>
            <w:hideMark/>
          </w:tcPr>
          <w:p w:rsidR="00AB68B0" w:rsidP="006D23DC" w:rsidRDefault="00AB68B0">
            <w:pPr>
              <w:rPr>
                <w:rFonts w:ascii="Verdana" w:hAnsi="Verdana"/>
                <w:sz w:val="18"/>
                <w:szCs w:val="18"/>
              </w:rPr>
            </w:pPr>
            <w:r>
              <w:rPr>
                <w:rFonts w:ascii="Verdana" w:hAnsi="Verdana"/>
                <w:sz w:val="18"/>
                <w:szCs w:val="18"/>
              </w:rPr>
              <w:t> </w:t>
            </w:r>
          </w:p>
        </w:tc>
        <w:tc>
          <w:tcPr>
            <w:tcW w:w="0" w:type="auto"/>
            <w:hideMark/>
          </w:tcPr>
          <w:p w:rsidR="00AB68B0" w:rsidP="006D23DC" w:rsidRDefault="00AB68B0">
            <w:pPr>
              <w:rPr>
                <w:sz w:val="20"/>
                <w:szCs w:val="20"/>
              </w:rPr>
            </w:pPr>
          </w:p>
        </w:tc>
      </w:tr>
      <w:tr w:rsidR="00AB68B0" w:rsidTr="006D23DC">
        <w:tc>
          <w:tcPr>
            <w:tcW w:w="0" w:type="auto"/>
            <w:gridSpan w:val="2"/>
            <w:tcBorders>
              <w:left w:val="nil"/>
              <w:right w:val="nil"/>
            </w:tcBorders>
            <w:hideMark/>
          </w:tcPr>
          <w:p w:rsidR="00AB68B0" w:rsidP="006D23DC" w:rsidRDefault="00AB68B0">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1.295,4</w:t>
            </w:r>
          </w:p>
        </w:tc>
      </w:tr>
      <w:tr w:rsidR="00AB68B0" w:rsidTr="006D23DC">
        <w:tc>
          <w:tcPr>
            <w:tcW w:w="0" w:type="auto"/>
            <w:gridSpan w:val="2"/>
            <w:tcBorders>
              <w:left w:val="nil"/>
              <w:right w:val="nil"/>
            </w:tcBorders>
            <w:hideMark/>
          </w:tcPr>
          <w:p w:rsidR="00AB68B0" w:rsidP="006D23DC" w:rsidRDefault="00AB68B0">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0,0</w:t>
            </w:r>
          </w:p>
        </w:tc>
      </w:tr>
      <w:tr w:rsidR="00AB68B0" w:rsidTr="006D23DC">
        <w:tc>
          <w:tcPr>
            <w:tcW w:w="0" w:type="auto"/>
            <w:gridSpan w:val="2"/>
            <w:tcBorders>
              <w:left w:val="nil"/>
              <w:right w:val="nil"/>
            </w:tcBorders>
            <w:hideMark/>
          </w:tcPr>
          <w:p w:rsidR="00AB68B0" w:rsidP="006D23DC" w:rsidRDefault="00AB68B0">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AB68B0" w:rsidP="006D23DC" w:rsidRDefault="00AB68B0">
            <w:pPr>
              <w:jc w:val="right"/>
              <w:rPr>
                <w:rFonts w:ascii="Verdana" w:hAnsi="Verdana"/>
                <w:sz w:val="18"/>
                <w:szCs w:val="18"/>
              </w:rPr>
            </w:pPr>
            <w:r>
              <w:rPr>
                <w:rFonts w:ascii="Verdana" w:hAnsi="Verdana"/>
                <w:sz w:val="18"/>
                <w:szCs w:val="18"/>
              </w:rPr>
              <w:t>1.295,4</w:t>
            </w:r>
          </w:p>
        </w:tc>
      </w:tr>
    </w:tbl>
    <w:p w:rsidRPr="008A5388" w:rsidR="00AB68B0" w:rsidP="008A5388" w:rsidRDefault="00AB68B0">
      <w:pPr>
        <w:spacing w:line="240" w:lineRule="exact"/>
        <w:rPr>
          <w:rFonts w:ascii="Verdana" w:hAnsi="Verdana"/>
          <w:b/>
          <w:sz w:val="18"/>
          <w:szCs w:val="18"/>
        </w:rPr>
      </w:pPr>
    </w:p>
    <w:p w:rsidRPr="008A5388" w:rsidR="008A5388" w:rsidP="008A5388" w:rsidRDefault="008A5388">
      <w:pPr>
        <w:spacing w:line="240" w:lineRule="exact"/>
        <w:rPr>
          <w:rFonts w:ascii="Verdana" w:hAnsi="Verdana"/>
          <w:b/>
          <w:sz w:val="18"/>
          <w:szCs w:val="18"/>
        </w:rPr>
      </w:pPr>
    </w:p>
    <w:p w:rsidRPr="008A5388" w:rsidR="008A5388" w:rsidP="008A5388" w:rsidRDefault="008A5388">
      <w:pPr>
        <w:pStyle w:val="Geenafstand"/>
        <w:spacing w:line="240" w:lineRule="exact"/>
        <w:rPr>
          <w:rFonts w:ascii="Verdana" w:hAnsi="Verdana"/>
          <w:i/>
          <w:sz w:val="18"/>
          <w:szCs w:val="18"/>
        </w:rPr>
      </w:pPr>
      <w:r w:rsidRPr="008A5388">
        <w:rPr>
          <w:rFonts w:ascii="Verdana" w:hAnsi="Verdana"/>
          <w:i/>
          <w:sz w:val="18"/>
          <w:szCs w:val="18"/>
        </w:rPr>
        <w:t>Bijstelling autonome raming studiefinanciering</w:t>
      </w:r>
    </w:p>
    <w:p w:rsidRPr="008A5388" w:rsidR="008A5388" w:rsidP="008A5388" w:rsidRDefault="008A5388">
      <w:pPr>
        <w:pStyle w:val="Geenafstand"/>
        <w:spacing w:line="240" w:lineRule="exact"/>
        <w:rPr>
          <w:rFonts w:ascii="Verdana" w:hAnsi="Verdana"/>
          <w:sz w:val="18"/>
          <w:szCs w:val="18"/>
        </w:rPr>
      </w:pPr>
      <w:r w:rsidRPr="008A5388">
        <w:rPr>
          <w:rFonts w:ascii="Verdana" w:hAnsi="Verdana"/>
          <w:sz w:val="18"/>
          <w:szCs w:val="18"/>
        </w:rPr>
        <w:t xml:space="preserve">De laatste realisatiegegevens van DUO laten zien dat er minder uitgaven aan studiefinanciering zijn dan eerder geraamd, voornamelijk bij de basis- en aanvullende beurs in de </w:t>
      </w:r>
      <w:r>
        <w:rPr>
          <w:rFonts w:ascii="Verdana" w:hAnsi="Verdana"/>
          <w:sz w:val="18"/>
          <w:szCs w:val="18"/>
        </w:rPr>
        <w:t>b</w:t>
      </w:r>
      <w:r w:rsidRPr="008A5388">
        <w:rPr>
          <w:rFonts w:ascii="Verdana" w:hAnsi="Verdana"/>
          <w:sz w:val="18"/>
          <w:szCs w:val="18"/>
        </w:rPr>
        <w:t xml:space="preserve">eroeps </w:t>
      </w:r>
      <w:r>
        <w:rPr>
          <w:rFonts w:ascii="Verdana" w:hAnsi="Verdana"/>
          <w:sz w:val="18"/>
          <w:szCs w:val="18"/>
        </w:rPr>
        <w:t>opleidende l</w:t>
      </w:r>
      <w:r w:rsidRPr="008A5388">
        <w:rPr>
          <w:rFonts w:ascii="Verdana" w:hAnsi="Verdana"/>
          <w:sz w:val="18"/>
          <w:szCs w:val="18"/>
        </w:rPr>
        <w:t>eer</w:t>
      </w:r>
      <w:r>
        <w:rPr>
          <w:rFonts w:ascii="Verdana" w:hAnsi="Verdana"/>
          <w:sz w:val="18"/>
          <w:szCs w:val="18"/>
        </w:rPr>
        <w:t>weg</w:t>
      </w:r>
      <w:r w:rsidRPr="008A5388">
        <w:rPr>
          <w:rFonts w:ascii="Verdana" w:hAnsi="Verdana"/>
          <w:sz w:val="18"/>
          <w:szCs w:val="18"/>
        </w:rPr>
        <w:t xml:space="preserve"> van het mbo. </w:t>
      </w:r>
    </w:p>
    <w:p w:rsidRPr="008A5388" w:rsidR="008A5388" w:rsidP="008A5388" w:rsidRDefault="008A5388">
      <w:pPr>
        <w:pStyle w:val="Geenafstand"/>
        <w:spacing w:line="240" w:lineRule="exact"/>
        <w:rPr>
          <w:rFonts w:ascii="Verdana" w:hAnsi="Verdana"/>
          <w:sz w:val="18"/>
          <w:szCs w:val="18"/>
        </w:rPr>
      </w:pPr>
    </w:p>
    <w:p w:rsidRPr="008A5388" w:rsidR="008A5388" w:rsidP="008A5388" w:rsidRDefault="008A5388">
      <w:pPr>
        <w:pStyle w:val="Geenafstand"/>
        <w:spacing w:line="240" w:lineRule="exact"/>
        <w:rPr>
          <w:rFonts w:ascii="Verdana" w:hAnsi="Verdana"/>
          <w:sz w:val="18"/>
          <w:szCs w:val="18"/>
        </w:rPr>
      </w:pPr>
    </w:p>
    <w:p w:rsidRPr="008A5388" w:rsidR="008A5388" w:rsidP="008A5388" w:rsidRDefault="008A5388">
      <w:pPr>
        <w:pStyle w:val="Geenafstand"/>
        <w:spacing w:line="240" w:lineRule="exact"/>
        <w:rPr>
          <w:rFonts w:ascii="Verdana" w:hAnsi="Verdana"/>
          <w:i/>
          <w:sz w:val="18"/>
          <w:szCs w:val="18"/>
        </w:rPr>
      </w:pPr>
      <w:r w:rsidRPr="008A5388">
        <w:rPr>
          <w:rFonts w:ascii="Verdana" w:hAnsi="Verdana"/>
          <w:i/>
          <w:sz w:val="18"/>
          <w:szCs w:val="18"/>
        </w:rPr>
        <w:lastRenderedPageBreak/>
        <w:t>Uitputting lerarenbeurs</w:t>
      </w:r>
    </w:p>
    <w:p w:rsidRPr="008A5388" w:rsidR="008A5388" w:rsidP="008A5388" w:rsidRDefault="008A5388">
      <w:pPr>
        <w:pStyle w:val="Geenafstand"/>
        <w:spacing w:line="240" w:lineRule="exact"/>
        <w:rPr>
          <w:rFonts w:ascii="Verdana" w:hAnsi="Verdana"/>
          <w:sz w:val="18"/>
          <w:szCs w:val="18"/>
        </w:rPr>
      </w:pPr>
      <w:r w:rsidRPr="008A5388">
        <w:rPr>
          <w:rFonts w:ascii="Verdana" w:hAnsi="Verdana"/>
          <w:sz w:val="18"/>
          <w:szCs w:val="18"/>
        </w:rPr>
        <w:t xml:space="preserve">Bij de lerarenbeurs zijn minder aanvragen dan voorzien. Dit leidt tot onderuitputting. </w:t>
      </w:r>
    </w:p>
    <w:p w:rsidRPr="008A5388" w:rsidR="008A5388" w:rsidP="008A5388" w:rsidRDefault="008A5388">
      <w:pPr>
        <w:pStyle w:val="Geenafstand"/>
        <w:spacing w:line="240" w:lineRule="exact"/>
        <w:rPr>
          <w:rFonts w:ascii="Verdana" w:hAnsi="Verdana"/>
          <w:sz w:val="18"/>
          <w:szCs w:val="18"/>
        </w:rPr>
      </w:pPr>
    </w:p>
    <w:p w:rsidRPr="008A5388" w:rsidR="008A5388" w:rsidP="008A5388" w:rsidRDefault="008A5388">
      <w:pPr>
        <w:pStyle w:val="Geenafstand"/>
        <w:spacing w:line="240" w:lineRule="exact"/>
        <w:rPr>
          <w:rFonts w:ascii="Verdana" w:hAnsi="Verdana"/>
          <w:i/>
          <w:sz w:val="18"/>
          <w:szCs w:val="18"/>
        </w:rPr>
      </w:pPr>
      <w:proofErr w:type="spellStart"/>
      <w:r w:rsidRPr="008A5388">
        <w:rPr>
          <w:rFonts w:ascii="Verdana" w:hAnsi="Verdana"/>
          <w:i/>
          <w:sz w:val="18"/>
          <w:szCs w:val="18"/>
        </w:rPr>
        <w:t>Intertemporele</w:t>
      </w:r>
      <w:proofErr w:type="spellEnd"/>
      <w:r w:rsidRPr="008A5388">
        <w:rPr>
          <w:rFonts w:ascii="Verdana" w:hAnsi="Verdana"/>
          <w:i/>
          <w:sz w:val="18"/>
          <w:szCs w:val="18"/>
        </w:rPr>
        <w:t xml:space="preserve"> compensatie</w:t>
      </w:r>
    </w:p>
    <w:p w:rsidRPr="008A5388" w:rsidR="008A5388" w:rsidP="008A5388" w:rsidRDefault="008A5388">
      <w:pPr>
        <w:pStyle w:val="Geenafstand"/>
        <w:spacing w:line="240" w:lineRule="exact"/>
        <w:rPr>
          <w:rFonts w:ascii="Verdana" w:hAnsi="Verdana"/>
          <w:sz w:val="18"/>
          <w:szCs w:val="18"/>
        </w:rPr>
      </w:pPr>
      <w:r w:rsidRPr="008A5388">
        <w:rPr>
          <w:rFonts w:ascii="Verdana" w:hAnsi="Verdana"/>
          <w:sz w:val="18"/>
          <w:szCs w:val="18"/>
        </w:rPr>
        <w:t xml:space="preserve">Dit betreft het totaal van overlopende verplichtingen die niet in 2015 maar in 2016 worden gedaan, wegens vertragingen. De belangrijkste hierbij zijn uitgaven aan het lerarenregister en uitgaven voor flexibel hoger onderwijs voor volwassenen. </w:t>
      </w:r>
    </w:p>
    <w:p w:rsidRPr="008A5388" w:rsidR="008A5388" w:rsidP="008A5388" w:rsidRDefault="008A5388">
      <w:pPr>
        <w:pStyle w:val="Geenafstand"/>
        <w:spacing w:line="240" w:lineRule="exact"/>
        <w:rPr>
          <w:rFonts w:ascii="Verdana" w:hAnsi="Verdana"/>
          <w:i/>
          <w:sz w:val="18"/>
          <w:szCs w:val="18"/>
        </w:rPr>
      </w:pPr>
    </w:p>
    <w:p w:rsidRPr="008A5388" w:rsidR="008A5388" w:rsidP="008A5388" w:rsidRDefault="008A5388">
      <w:pPr>
        <w:pStyle w:val="Geenafstand"/>
        <w:spacing w:line="240" w:lineRule="exact"/>
        <w:rPr>
          <w:rFonts w:ascii="Verdana" w:hAnsi="Verdana"/>
          <w:i/>
          <w:sz w:val="18"/>
          <w:szCs w:val="18"/>
        </w:rPr>
      </w:pPr>
      <w:r w:rsidRPr="008A5388">
        <w:rPr>
          <w:rFonts w:ascii="Verdana" w:hAnsi="Verdana"/>
          <w:i/>
          <w:sz w:val="18"/>
          <w:szCs w:val="18"/>
        </w:rPr>
        <w:t xml:space="preserve">ISB 2015 inzake verwerving kunstwerk </w:t>
      </w:r>
    </w:p>
    <w:p w:rsidRPr="008A5388" w:rsidR="008A5388" w:rsidP="008A5388" w:rsidRDefault="008A5388">
      <w:pPr>
        <w:pStyle w:val="Geenafstand"/>
        <w:spacing w:line="240" w:lineRule="exact"/>
        <w:rPr>
          <w:rFonts w:ascii="Verdana" w:hAnsi="Verdana"/>
          <w:sz w:val="18"/>
          <w:szCs w:val="18"/>
        </w:rPr>
      </w:pPr>
      <w:r w:rsidRPr="008A5388">
        <w:rPr>
          <w:rFonts w:ascii="Verdana" w:hAnsi="Verdana"/>
          <w:sz w:val="18"/>
          <w:szCs w:val="18"/>
        </w:rPr>
        <w:t xml:space="preserve">Dit betreft 50 mln. van de 80 mln. die beschikbaar is gesteld voor de aanschaf van de door Rembrandt van </w:t>
      </w:r>
      <w:proofErr w:type="spellStart"/>
      <w:r w:rsidRPr="008A5388">
        <w:rPr>
          <w:rFonts w:ascii="Verdana" w:hAnsi="Verdana"/>
          <w:sz w:val="18"/>
          <w:szCs w:val="18"/>
        </w:rPr>
        <w:t>R</w:t>
      </w:r>
      <w:r w:rsidR="00312FEE">
        <w:rPr>
          <w:rFonts w:ascii="Verdana" w:hAnsi="Verdana"/>
          <w:sz w:val="18"/>
          <w:szCs w:val="18"/>
        </w:rPr>
        <w:t>h</w:t>
      </w:r>
      <w:r w:rsidRPr="008A5388">
        <w:rPr>
          <w:rFonts w:ascii="Verdana" w:hAnsi="Verdana"/>
          <w:sz w:val="18"/>
          <w:szCs w:val="18"/>
        </w:rPr>
        <w:t>ijn</w:t>
      </w:r>
      <w:proofErr w:type="spellEnd"/>
      <w:r w:rsidRPr="008A5388">
        <w:rPr>
          <w:rFonts w:ascii="Verdana" w:hAnsi="Verdana"/>
          <w:sz w:val="18"/>
          <w:szCs w:val="18"/>
        </w:rPr>
        <w:t xml:space="preserve"> geschilderde huwelijksportretten van </w:t>
      </w:r>
      <w:proofErr w:type="spellStart"/>
      <w:r w:rsidRPr="008A5388">
        <w:rPr>
          <w:rFonts w:ascii="Verdana" w:hAnsi="Verdana"/>
          <w:sz w:val="18"/>
          <w:szCs w:val="18"/>
        </w:rPr>
        <w:t>Maerten</w:t>
      </w:r>
      <w:proofErr w:type="spellEnd"/>
      <w:r w:rsidRPr="008A5388">
        <w:rPr>
          <w:rFonts w:ascii="Verdana" w:hAnsi="Verdana"/>
          <w:sz w:val="18"/>
          <w:szCs w:val="18"/>
        </w:rPr>
        <w:t xml:space="preserve"> </w:t>
      </w:r>
      <w:proofErr w:type="spellStart"/>
      <w:r w:rsidRPr="008A5388">
        <w:rPr>
          <w:rFonts w:ascii="Verdana" w:hAnsi="Verdana"/>
          <w:sz w:val="18"/>
          <w:szCs w:val="18"/>
        </w:rPr>
        <w:t>Soolmans</w:t>
      </w:r>
      <w:proofErr w:type="spellEnd"/>
      <w:r w:rsidRPr="008A5388">
        <w:rPr>
          <w:rFonts w:ascii="Verdana" w:hAnsi="Verdana"/>
          <w:sz w:val="18"/>
          <w:szCs w:val="18"/>
        </w:rPr>
        <w:t xml:space="preserve"> en </w:t>
      </w:r>
      <w:proofErr w:type="spellStart"/>
      <w:r w:rsidRPr="008A5388">
        <w:rPr>
          <w:rFonts w:ascii="Verdana" w:hAnsi="Verdana"/>
          <w:sz w:val="18"/>
          <w:szCs w:val="18"/>
        </w:rPr>
        <w:t>Oopjen</w:t>
      </w:r>
      <w:proofErr w:type="spellEnd"/>
      <w:r w:rsidRPr="008A5388">
        <w:rPr>
          <w:rFonts w:ascii="Verdana" w:hAnsi="Verdana"/>
          <w:sz w:val="18"/>
          <w:szCs w:val="18"/>
        </w:rPr>
        <w:t xml:space="preserve"> </w:t>
      </w:r>
      <w:proofErr w:type="spellStart"/>
      <w:r w:rsidRPr="008A5388">
        <w:rPr>
          <w:rFonts w:ascii="Verdana" w:hAnsi="Verdana"/>
          <w:sz w:val="18"/>
          <w:szCs w:val="18"/>
        </w:rPr>
        <w:t>Coppit</w:t>
      </w:r>
      <w:proofErr w:type="spellEnd"/>
      <w:r w:rsidRPr="008A5388">
        <w:rPr>
          <w:rFonts w:ascii="Verdana" w:hAnsi="Verdana"/>
          <w:sz w:val="18"/>
          <w:szCs w:val="18"/>
        </w:rPr>
        <w:t xml:space="preserve">. Zie voor het overige budget de toelichting onder de post diversen (technische mutaties). </w:t>
      </w:r>
    </w:p>
    <w:p w:rsidRPr="008A5388" w:rsidR="008A5388" w:rsidP="008A5388" w:rsidRDefault="008A5388">
      <w:pPr>
        <w:pStyle w:val="Geenafstand"/>
        <w:spacing w:line="240" w:lineRule="exact"/>
        <w:rPr>
          <w:rFonts w:ascii="Verdana" w:hAnsi="Verdana"/>
          <w:sz w:val="18"/>
          <w:szCs w:val="18"/>
        </w:rPr>
      </w:pPr>
    </w:p>
    <w:p w:rsidRPr="008A5388" w:rsidR="008A5388" w:rsidP="008A5388" w:rsidRDefault="008A5388">
      <w:pPr>
        <w:pStyle w:val="Geenafstand"/>
        <w:spacing w:line="240" w:lineRule="exact"/>
        <w:rPr>
          <w:rFonts w:ascii="Verdana" w:hAnsi="Verdana"/>
          <w:i/>
          <w:sz w:val="18"/>
          <w:szCs w:val="18"/>
        </w:rPr>
      </w:pPr>
      <w:r w:rsidRPr="008A5388">
        <w:rPr>
          <w:rFonts w:ascii="Verdana" w:hAnsi="Verdana"/>
          <w:i/>
          <w:sz w:val="18"/>
          <w:szCs w:val="18"/>
        </w:rPr>
        <w:t>Loonbijstelling bovensectorale loonruimte deal</w:t>
      </w:r>
    </w:p>
    <w:p w:rsidRPr="008A5388" w:rsidR="008A5388" w:rsidP="008A5388" w:rsidRDefault="008A5388">
      <w:pPr>
        <w:pStyle w:val="Geenafstand"/>
        <w:spacing w:line="240" w:lineRule="exact"/>
        <w:rPr>
          <w:rFonts w:ascii="Verdana" w:hAnsi="Verdana"/>
          <w:sz w:val="18"/>
          <w:szCs w:val="18"/>
        </w:rPr>
      </w:pPr>
      <w:r w:rsidRPr="008A5388">
        <w:rPr>
          <w:rFonts w:ascii="Verdana" w:hAnsi="Verdana"/>
          <w:sz w:val="18"/>
          <w:szCs w:val="18"/>
        </w:rPr>
        <w:t xml:space="preserve">Dit betreft de aanvullende middelen ten behoeve van de uitvoering van de loonruimteovereenkomst publieke sector. </w:t>
      </w:r>
    </w:p>
    <w:p w:rsidRPr="008A5388" w:rsidR="008A5388" w:rsidP="008A5388" w:rsidRDefault="008A5388">
      <w:pPr>
        <w:pStyle w:val="Geenafstand"/>
        <w:spacing w:line="240" w:lineRule="exact"/>
        <w:rPr>
          <w:rFonts w:ascii="Verdana" w:hAnsi="Verdana"/>
          <w:sz w:val="18"/>
          <w:szCs w:val="18"/>
        </w:rPr>
      </w:pPr>
    </w:p>
    <w:p w:rsidRPr="008A5388" w:rsidR="008A5388" w:rsidP="008A5388" w:rsidRDefault="008A5388">
      <w:pPr>
        <w:pStyle w:val="Geenafstand"/>
        <w:spacing w:line="240" w:lineRule="exact"/>
        <w:rPr>
          <w:rFonts w:ascii="Verdana" w:hAnsi="Verdana"/>
          <w:i/>
          <w:sz w:val="18"/>
          <w:szCs w:val="18"/>
        </w:rPr>
      </w:pPr>
      <w:r w:rsidRPr="008A5388">
        <w:rPr>
          <w:rFonts w:ascii="Verdana" w:hAnsi="Verdana"/>
          <w:i/>
          <w:sz w:val="18"/>
          <w:szCs w:val="18"/>
        </w:rPr>
        <w:t>Diversen (technische mutaties)</w:t>
      </w:r>
    </w:p>
    <w:p w:rsidRPr="008A5388" w:rsidR="008A5388" w:rsidP="008A5388" w:rsidRDefault="008A5388">
      <w:pPr>
        <w:pStyle w:val="Geenafstand"/>
        <w:spacing w:line="240" w:lineRule="exact"/>
        <w:rPr>
          <w:rFonts w:ascii="Verdana" w:hAnsi="Verdana"/>
          <w:sz w:val="18"/>
          <w:szCs w:val="18"/>
        </w:rPr>
      </w:pPr>
      <w:r w:rsidRPr="008A5388">
        <w:rPr>
          <w:rFonts w:ascii="Verdana" w:hAnsi="Verdana"/>
          <w:sz w:val="18"/>
          <w:szCs w:val="18"/>
        </w:rPr>
        <w:t xml:space="preserve">Hieronder valt de 30 mln. uit het museaal aankoopfonds die via een </w:t>
      </w:r>
      <w:proofErr w:type="spellStart"/>
      <w:r w:rsidRPr="008A5388">
        <w:rPr>
          <w:rFonts w:ascii="Verdana" w:hAnsi="Verdana"/>
          <w:sz w:val="18"/>
          <w:szCs w:val="18"/>
        </w:rPr>
        <w:t>desaldering</w:t>
      </w:r>
      <w:proofErr w:type="spellEnd"/>
      <w:r w:rsidRPr="008A5388">
        <w:rPr>
          <w:rFonts w:ascii="Verdana" w:hAnsi="Verdana"/>
          <w:sz w:val="18"/>
          <w:szCs w:val="18"/>
        </w:rPr>
        <w:t xml:space="preserve"> beschikbaar is gekomen voor de aanschaf van de door Rembrandt van </w:t>
      </w:r>
      <w:proofErr w:type="spellStart"/>
      <w:r w:rsidRPr="008A5388">
        <w:rPr>
          <w:rFonts w:ascii="Verdana" w:hAnsi="Verdana"/>
          <w:sz w:val="18"/>
          <w:szCs w:val="18"/>
        </w:rPr>
        <w:t>R</w:t>
      </w:r>
      <w:r w:rsidR="00312FEE">
        <w:rPr>
          <w:rFonts w:ascii="Verdana" w:hAnsi="Verdana"/>
          <w:sz w:val="18"/>
          <w:szCs w:val="18"/>
        </w:rPr>
        <w:t>h</w:t>
      </w:r>
      <w:r w:rsidRPr="008A5388">
        <w:rPr>
          <w:rFonts w:ascii="Verdana" w:hAnsi="Verdana"/>
          <w:sz w:val="18"/>
          <w:szCs w:val="18"/>
        </w:rPr>
        <w:t>ijn</w:t>
      </w:r>
      <w:proofErr w:type="spellEnd"/>
      <w:r w:rsidRPr="008A5388">
        <w:rPr>
          <w:rFonts w:ascii="Verdana" w:hAnsi="Verdana"/>
          <w:sz w:val="18"/>
          <w:szCs w:val="18"/>
        </w:rPr>
        <w:t xml:space="preserve"> geschilderde huwelijksportretten van </w:t>
      </w:r>
      <w:proofErr w:type="spellStart"/>
      <w:r w:rsidRPr="008A5388">
        <w:rPr>
          <w:rFonts w:ascii="Verdana" w:hAnsi="Verdana"/>
          <w:sz w:val="18"/>
          <w:szCs w:val="18"/>
        </w:rPr>
        <w:t>Maerten</w:t>
      </w:r>
      <w:proofErr w:type="spellEnd"/>
      <w:r w:rsidRPr="008A5388">
        <w:rPr>
          <w:rFonts w:ascii="Verdana" w:hAnsi="Verdana"/>
          <w:sz w:val="18"/>
          <w:szCs w:val="18"/>
        </w:rPr>
        <w:t xml:space="preserve"> </w:t>
      </w:r>
      <w:proofErr w:type="spellStart"/>
      <w:r w:rsidRPr="008A5388">
        <w:rPr>
          <w:rFonts w:ascii="Verdana" w:hAnsi="Verdana"/>
          <w:sz w:val="18"/>
          <w:szCs w:val="18"/>
        </w:rPr>
        <w:t>Soolmans</w:t>
      </w:r>
      <w:proofErr w:type="spellEnd"/>
      <w:r w:rsidRPr="008A5388">
        <w:rPr>
          <w:rFonts w:ascii="Verdana" w:hAnsi="Verdana"/>
          <w:sz w:val="18"/>
          <w:szCs w:val="18"/>
        </w:rPr>
        <w:t xml:space="preserve"> en </w:t>
      </w:r>
      <w:proofErr w:type="spellStart"/>
      <w:r w:rsidRPr="008A5388">
        <w:rPr>
          <w:rFonts w:ascii="Verdana" w:hAnsi="Verdana"/>
          <w:sz w:val="18"/>
          <w:szCs w:val="18"/>
        </w:rPr>
        <w:t>Oopjen</w:t>
      </w:r>
      <w:proofErr w:type="spellEnd"/>
      <w:r w:rsidRPr="008A5388">
        <w:rPr>
          <w:rFonts w:ascii="Verdana" w:hAnsi="Verdana"/>
          <w:sz w:val="18"/>
          <w:szCs w:val="18"/>
        </w:rPr>
        <w:t xml:space="preserve"> </w:t>
      </w:r>
      <w:proofErr w:type="spellStart"/>
      <w:r w:rsidRPr="008A5388">
        <w:rPr>
          <w:rFonts w:ascii="Verdana" w:hAnsi="Verdana"/>
          <w:sz w:val="18"/>
          <w:szCs w:val="18"/>
        </w:rPr>
        <w:t>Coppit</w:t>
      </w:r>
      <w:proofErr w:type="spellEnd"/>
      <w:r w:rsidRPr="008A5388">
        <w:rPr>
          <w:rFonts w:ascii="Verdana" w:hAnsi="Verdana"/>
          <w:sz w:val="18"/>
          <w:szCs w:val="18"/>
        </w:rPr>
        <w:t xml:space="preserve">. Daarnaast betreft deze post </w:t>
      </w:r>
      <w:r>
        <w:rPr>
          <w:rFonts w:ascii="Verdana" w:hAnsi="Verdana"/>
          <w:sz w:val="18"/>
          <w:szCs w:val="18"/>
        </w:rPr>
        <w:t>een aanta</w:t>
      </w:r>
      <w:r w:rsidRPr="008A5388">
        <w:rPr>
          <w:rFonts w:ascii="Verdana" w:hAnsi="Verdana"/>
          <w:sz w:val="18"/>
          <w:szCs w:val="18"/>
        </w:rPr>
        <w:t xml:space="preserve">l kleine </w:t>
      </w:r>
      <w:proofErr w:type="spellStart"/>
      <w:r w:rsidRPr="008A5388">
        <w:rPr>
          <w:rFonts w:ascii="Verdana" w:hAnsi="Verdana"/>
          <w:sz w:val="18"/>
          <w:szCs w:val="18"/>
        </w:rPr>
        <w:t>desalderingen</w:t>
      </w:r>
      <w:proofErr w:type="spellEnd"/>
      <w:r w:rsidRPr="008A5388">
        <w:rPr>
          <w:rFonts w:ascii="Verdana" w:hAnsi="Verdana"/>
          <w:sz w:val="18"/>
          <w:szCs w:val="18"/>
        </w:rPr>
        <w:t xml:space="preserve"> en overboekingen met andere departementen. </w:t>
      </w:r>
    </w:p>
    <w:p w:rsidRPr="008A5388" w:rsidR="008A5388" w:rsidP="008A5388" w:rsidRDefault="008A5388">
      <w:pPr>
        <w:pStyle w:val="Geenafstand"/>
        <w:spacing w:line="240" w:lineRule="exact"/>
        <w:rPr>
          <w:rFonts w:ascii="Verdana" w:hAnsi="Verdana"/>
          <w:sz w:val="18"/>
          <w:szCs w:val="18"/>
        </w:rPr>
      </w:pPr>
    </w:p>
    <w:p w:rsidRPr="008A5388" w:rsidR="008A5388" w:rsidP="008A5388" w:rsidRDefault="008A5388">
      <w:pPr>
        <w:pStyle w:val="Geenafstand"/>
        <w:spacing w:line="240" w:lineRule="exact"/>
        <w:rPr>
          <w:rFonts w:ascii="Verdana" w:hAnsi="Verdana"/>
          <w:i/>
          <w:sz w:val="18"/>
          <w:szCs w:val="18"/>
        </w:rPr>
      </w:pPr>
      <w:r w:rsidRPr="008A5388">
        <w:rPr>
          <w:rFonts w:ascii="Verdana" w:hAnsi="Verdana"/>
          <w:i/>
          <w:sz w:val="18"/>
          <w:szCs w:val="18"/>
        </w:rPr>
        <w:t>Niet relevant bijstelling autonome raming</w:t>
      </w:r>
    </w:p>
    <w:p w:rsidRPr="008A5388" w:rsidR="008A5388" w:rsidP="008A5388" w:rsidRDefault="008A5388">
      <w:pPr>
        <w:pStyle w:val="Geenafstand"/>
        <w:spacing w:line="240" w:lineRule="exact"/>
        <w:rPr>
          <w:rFonts w:ascii="Verdana" w:hAnsi="Verdana"/>
          <w:sz w:val="18"/>
          <w:szCs w:val="18"/>
        </w:rPr>
      </w:pPr>
      <w:r w:rsidRPr="008A5388">
        <w:rPr>
          <w:rFonts w:ascii="Verdana" w:hAnsi="Verdana"/>
          <w:sz w:val="18"/>
          <w:szCs w:val="18"/>
        </w:rPr>
        <w:t xml:space="preserve">Het aantal studenten dat een studielening afsluit bij DUO is hoger dan geraamd. Dit leidt tot deze </w:t>
      </w:r>
      <w:proofErr w:type="spellStart"/>
      <w:r w:rsidRPr="008A5388">
        <w:rPr>
          <w:rFonts w:ascii="Verdana" w:hAnsi="Verdana"/>
          <w:sz w:val="18"/>
          <w:szCs w:val="18"/>
        </w:rPr>
        <w:t>niet-kaderrelevante</w:t>
      </w:r>
      <w:proofErr w:type="spellEnd"/>
      <w:r w:rsidRPr="008A5388">
        <w:rPr>
          <w:rFonts w:ascii="Verdana" w:hAnsi="Verdana"/>
          <w:sz w:val="18"/>
          <w:szCs w:val="18"/>
        </w:rPr>
        <w:t xml:space="preserve"> bijstelling. </w:t>
      </w:r>
    </w:p>
    <w:p w:rsidRPr="008A5388" w:rsidR="008A5388" w:rsidP="008A5388" w:rsidRDefault="008A5388">
      <w:pPr>
        <w:pStyle w:val="Geenafstand"/>
        <w:spacing w:line="240" w:lineRule="exact"/>
        <w:rPr>
          <w:rFonts w:ascii="Verdana" w:hAnsi="Verdana"/>
          <w:sz w:val="18"/>
          <w:szCs w:val="18"/>
        </w:rPr>
      </w:pPr>
    </w:p>
    <w:p w:rsidRPr="008A5388" w:rsidR="008A5388" w:rsidP="008A5388" w:rsidRDefault="008A5388">
      <w:pPr>
        <w:pStyle w:val="Geenafstand"/>
        <w:spacing w:line="240" w:lineRule="exact"/>
        <w:rPr>
          <w:rFonts w:ascii="Verdana" w:hAnsi="Verdana"/>
          <w:i/>
          <w:sz w:val="18"/>
          <w:szCs w:val="18"/>
        </w:rPr>
      </w:pPr>
      <w:r w:rsidRPr="008A5388">
        <w:rPr>
          <w:rFonts w:ascii="Verdana" w:hAnsi="Verdana"/>
          <w:i/>
          <w:sz w:val="18"/>
          <w:szCs w:val="18"/>
        </w:rPr>
        <w:t xml:space="preserve">Diversen </w:t>
      </w:r>
      <w:proofErr w:type="spellStart"/>
      <w:r w:rsidRPr="008A5388">
        <w:rPr>
          <w:rFonts w:ascii="Verdana" w:hAnsi="Verdana"/>
          <w:i/>
          <w:sz w:val="18"/>
          <w:szCs w:val="18"/>
        </w:rPr>
        <w:t>rente-ontvangsten</w:t>
      </w:r>
      <w:proofErr w:type="spellEnd"/>
    </w:p>
    <w:p w:rsidRPr="008A5388" w:rsidR="008A5388" w:rsidP="008A5388" w:rsidRDefault="008A5388">
      <w:pPr>
        <w:spacing w:line="240" w:lineRule="exact"/>
        <w:rPr>
          <w:rFonts w:ascii="Verdana" w:hAnsi="Verdana" w:cs="Arial"/>
          <w:sz w:val="18"/>
          <w:szCs w:val="18"/>
        </w:rPr>
      </w:pPr>
      <w:r w:rsidRPr="008A5388">
        <w:rPr>
          <w:rFonts w:ascii="Verdana" w:hAnsi="Verdana" w:cs="Arial"/>
          <w:sz w:val="18"/>
          <w:szCs w:val="18"/>
        </w:rPr>
        <w:t xml:space="preserve">Uit de laatste realisaties blijkt dat er minder </w:t>
      </w:r>
      <w:proofErr w:type="spellStart"/>
      <w:r w:rsidRPr="008A5388">
        <w:rPr>
          <w:rFonts w:ascii="Verdana" w:hAnsi="Verdana" w:cs="Arial"/>
          <w:sz w:val="18"/>
          <w:szCs w:val="18"/>
        </w:rPr>
        <w:t>rente-ontvangsten</w:t>
      </w:r>
      <w:proofErr w:type="spellEnd"/>
      <w:r w:rsidRPr="008A5388">
        <w:rPr>
          <w:rFonts w:ascii="Verdana" w:hAnsi="Verdana" w:cs="Arial"/>
          <w:sz w:val="18"/>
          <w:szCs w:val="18"/>
        </w:rPr>
        <w:t xml:space="preserve"> zijn dan eerder bij Miljoenennota 2015 geraamd. Dit komt door de lage rentestand. </w:t>
      </w:r>
    </w:p>
    <w:p w:rsidRPr="008A5388" w:rsidR="008A5388" w:rsidP="008A5388" w:rsidRDefault="008A5388">
      <w:pPr>
        <w:pStyle w:val="Geenafstand"/>
        <w:spacing w:line="240" w:lineRule="exact"/>
        <w:rPr>
          <w:rFonts w:ascii="Verdana" w:hAnsi="Verdana"/>
          <w:sz w:val="18"/>
          <w:szCs w:val="18"/>
        </w:rPr>
      </w:pPr>
    </w:p>
    <w:p w:rsidRPr="008A5388" w:rsidR="008A5388" w:rsidP="008A5388" w:rsidRDefault="008A5388">
      <w:pPr>
        <w:pStyle w:val="Geenafstand"/>
        <w:spacing w:line="240" w:lineRule="exact"/>
        <w:rPr>
          <w:rFonts w:ascii="Verdana" w:hAnsi="Verdana"/>
          <w:i/>
          <w:sz w:val="18"/>
          <w:szCs w:val="18"/>
        </w:rPr>
      </w:pPr>
      <w:r w:rsidRPr="008A5388">
        <w:rPr>
          <w:rFonts w:ascii="Verdana" w:hAnsi="Verdana"/>
          <w:i/>
          <w:sz w:val="18"/>
          <w:szCs w:val="18"/>
        </w:rPr>
        <w:t>Diversen (mee- en tegenvallers)</w:t>
      </w:r>
    </w:p>
    <w:p w:rsidRPr="008A5388" w:rsidR="008A5388" w:rsidP="008A5388" w:rsidRDefault="008A5388">
      <w:pPr>
        <w:pStyle w:val="Geenafstand"/>
        <w:spacing w:line="240" w:lineRule="exact"/>
        <w:rPr>
          <w:rFonts w:ascii="Verdana" w:hAnsi="Verdana"/>
          <w:sz w:val="18"/>
          <w:szCs w:val="18"/>
        </w:rPr>
      </w:pPr>
      <w:r w:rsidRPr="008A5388">
        <w:rPr>
          <w:rFonts w:ascii="Verdana" w:hAnsi="Verdana"/>
          <w:sz w:val="18"/>
          <w:szCs w:val="18"/>
        </w:rPr>
        <w:t xml:space="preserve">Er is een aantal ontvangstenmeevallers, voornamelijk door hogere lesgeldontvangsten in het mbo.  </w:t>
      </w:r>
    </w:p>
    <w:p w:rsidRPr="008A5388" w:rsidR="008A5388" w:rsidP="008A5388" w:rsidRDefault="008A5388">
      <w:pPr>
        <w:pStyle w:val="Geenafstand"/>
        <w:spacing w:line="240" w:lineRule="exact"/>
        <w:rPr>
          <w:rFonts w:ascii="Verdana" w:hAnsi="Verdana"/>
          <w:sz w:val="18"/>
          <w:szCs w:val="18"/>
        </w:rPr>
      </w:pPr>
    </w:p>
    <w:p w:rsidRPr="008A5388" w:rsidR="008A5388" w:rsidP="008A5388" w:rsidRDefault="008A5388">
      <w:pPr>
        <w:pStyle w:val="Geenafstand"/>
        <w:spacing w:line="240" w:lineRule="exact"/>
        <w:rPr>
          <w:rFonts w:ascii="Verdana" w:hAnsi="Verdana"/>
          <w:i/>
          <w:sz w:val="18"/>
          <w:szCs w:val="18"/>
        </w:rPr>
      </w:pPr>
      <w:r w:rsidRPr="008A5388">
        <w:rPr>
          <w:rFonts w:ascii="Verdana" w:hAnsi="Verdana"/>
          <w:i/>
          <w:sz w:val="18"/>
          <w:szCs w:val="18"/>
        </w:rPr>
        <w:t>Diversen (technische mutaties)</w:t>
      </w:r>
    </w:p>
    <w:p w:rsidRPr="00D2235B" w:rsidR="008A5388" w:rsidP="008A5388" w:rsidRDefault="008A5388">
      <w:pPr>
        <w:pStyle w:val="Geenafstand"/>
        <w:spacing w:line="240" w:lineRule="exact"/>
      </w:pPr>
      <w:r w:rsidRPr="008A5388">
        <w:rPr>
          <w:rFonts w:ascii="Verdana" w:hAnsi="Verdana"/>
          <w:sz w:val="18"/>
          <w:szCs w:val="18"/>
        </w:rPr>
        <w:t xml:space="preserve">Dit betreft vier </w:t>
      </w:r>
      <w:proofErr w:type="spellStart"/>
      <w:r w:rsidRPr="008A5388">
        <w:rPr>
          <w:rFonts w:ascii="Verdana" w:hAnsi="Verdana"/>
          <w:sz w:val="18"/>
          <w:szCs w:val="18"/>
        </w:rPr>
        <w:t>desalderingen</w:t>
      </w:r>
      <w:proofErr w:type="spellEnd"/>
      <w:r w:rsidRPr="008A5388">
        <w:rPr>
          <w:rFonts w:ascii="Verdana" w:hAnsi="Verdana"/>
          <w:sz w:val="18"/>
          <w:szCs w:val="18"/>
        </w:rPr>
        <w:t xml:space="preserve">. De grootste zijn de </w:t>
      </w:r>
      <w:proofErr w:type="spellStart"/>
      <w:r w:rsidRPr="008A5388">
        <w:rPr>
          <w:rFonts w:ascii="Verdana" w:hAnsi="Verdana"/>
          <w:sz w:val="18"/>
          <w:szCs w:val="18"/>
        </w:rPr>
        <w:t>desaldering</w:t>
      </w:r>
      <w:proofErr w:type="spellEnd"/>
      <w:r w:rsidRPr="008A5388">
        <w:rPr>
          <w:rFonts w:ascii="Verdana" w:hAnsi="Verdana"/>
          <w:sz w:val="18"/>
          <w:szCs w:val="18"/>
        </w:rPr>
        <w:t xml:space="preserve"> voor de aanschaf van de door Rembrandt van </w:t>
      </w:r>
      <w:proofErr w:type="spellStart"/>
      <w:r w:rsidRPr="008A5388">
        <w:rPr>
          <w:rFonts w:ascii="Verdana" w:hAnsi="Verdana"/>
          <w:sz w:val="18"/>
          <w:szCs w:val="18"/>
        </w:rPr>
        <w:t>R</w:t>
      </w:r>
      <w:r w:rsidR="00312FEE">
        <w:rPr>
          <w:rFonts w:ascii="Verdana" w:hAnsi="Verdana"/>
          <w:sz w:val="18"/>
          <w:szCs w:val="18"/>
        </w:rPr>
        <w:t>h</w:t>
      </w:r>
      <w:r w:rsidRPr="008A5388">
        <w:rPr>
          <w:rFonts w:ascii="Verdana" w:hAnsi="Verdana"/>
          <w:sz w:val="18"/>
          <w:szCs w:val="18"/>
        </w:rPr>
        <w:t>ijn</w:t>
      </w:r>
      <w:proofErr w:type="spellEnd"/>
      <w:r w:rsidRPr="008A5388">
        <w:rPr>
          <w:rFonts w:ascii="Verdana" w:hAnsi="Verdana"/>
          <w:sz w:val="18"/>
          <w:szCs w:val="18"/>
        </w:rPr>
        <w:t xml:space="preserve"> geschilderde huwelijksportretten van </w:t>
      </w:r>
      <w:proofErr w:type="spellStart"/>
      <w:r w:rsidRPr="008A5388">
        <w:rPr>
          <w:rFonts w:ascii="Verdana" w:hAnsi="Verdana"/>
          <w:sz w:val="18"/>
          <w:szCs w:val="18"/>
        </w:rPr>
        <w:t>Maerten</w:t>
      </w:r>
      <w:proofErr w:type="spellEnd"/>
      <w:r w:rsidRPr="008A5388">
        <w:rPr>
          <w:rFonts w:ascii="Verdana" w:hAnsi="Verdana"/>
          <w:sz w:val="18"/>
          <w:szCs w:val="18"/>
        </w:rPr>
        <w:t xml:space="preserve"> </w:t>
      </w:r>
      <w:proofErr w:type="spellStart"/>
      <w:r w:rsidRPr="008A5388">
        <w:rPr>
          <w:rFonts w:ascii="Verdana" w:hAnsi="Verdana"/>
          <w:sz w:val="18"/>
          <w:szCs w:val="18"/>
        </w:rPr>
        <w:t>Soolmans</w:t>
      </w:r>
      <w:proofErr w:type="spellEnd"/>
      <w:r w:rsidRPr="008A5388">
        <w:rPr>
          <w:rFonts w:ascii="Verdana" w:hAnsi="Verdana"/>
          <w:sz w:val="18"/>
          <w:szCs w:val="18"/>
        </w:rPr>
        <w:t xml:space="preserve"> en </w:t>
      </w:r>
      <w:proofErr w:type="spellStart"/>
      <w:r w:rsidRPr="008A5388">
        <w:rPr>
          <w:rFonts w:ascii="Verdana" w:hAnsi="Verdana"/>
          <w:sz w:val="18"/>
          <w:szCs w:val="18"/>
        </w:rPr>
        <w:t>Oopjen</w:t>
      </w:r>
      <w:proofErr w:type="spellEnd"/>
      <w:r w:rsidRPr="008A5388">
        <w:rPr>
          <w:rFonts w:ascii="Verdana" w:hAnsi="Verdana"/>
          <w:sz w:val="18"/>
          <w:szCs w:val="18"/>
        </w:rPr>
        <w:t xml:space="preserve"> </w:t>
      </w:r>
      <w:proofErr w:type="spellStart"/>
      <w:r w:rsidRPr="008A5388">
        <w:rPr>
          <w:rFonts w:ascii="Verdana" w:hAnsi="Verdana"/>
          <w:sz w:val="18"/>
          <w:szCs w:val="18"/>
        </w:rPr>
        <w:t>Coppit</w:t>
      </w:r>
      <w:proofErr w:type="spellEnd"/>
      <w:r w:rsidRPr="008A5388">
        <w:rPr>
          <w:rFonts w:ascii="Verdana" w:hAnsi="Verdana"/>
          <w:sz w:val="18"/>
          <w:szCs w:val="18"/>
        </w:rPr>
        <w:t xml:space="preserve"> en de terugstorting aan het Participatiefonds als gevolg van correcties op declaraties van wachtgeldkosten. </w:t>
      </w:r>
    </w:p>
    <w:p w:rsidR="00D57CD6" w:rsidRDefault="00D57CD6">
      <w:pPr>
        <w:rPr>
          <w:rFonts w:ascii="Verdana" w:hAnsi="Verdana"/>
          <w:b/>
          <w:sz w:val="18"/>
          <w:szCs w:val="18"/>
        </w:rPr>
      </w:pPr>
      <w:r>
        <w:rPr>
          <w:rFonts w:ascii="Verdana" w:hAnsi="Verdana"/>
          <w:b/>
          <w:sz w:val="18"/>
          <w:szCs w:val="18"/>
        </w:rPr>
        <w:br w:type="page"/>
      </w:r>
    </w:p>
    <w:p w:rsidRPr="00533D5C" w:rsidR="00BE1815" w:rsidP="00533D5C" w:rsidRDefault="00BE1815">
      <w:pPr>
        <w:spacing w:line="240" w:lineRule="exact"/>
        <w:rPr>
          <w:rFonts w:ascii="Verdana" w:hAnsi="Verdana"/>
          <w:b/>
          <w:sz w:val="18"/>
          <w:szCs w:val="18"/>
        </w:rPr>
      </w:pPr>
      <w:r w:rsidRPr="00153247">
        <w:rPr>
          <w:rFonts w:ascii="Verdana" w:hAnsi="Verdana"/>
          <w:b/>
          <w:sz w:val="18"/>
          <w:szCs w:val="18"/>
        </w:rPr>
        <w:lastRenderedPageBreak/>
        <w:t>Nationale Schuld</w:t>
      </w:r>
    </w:p>
    <w:tbl>
      <w:tblPr>
        <w:tblW w:w="0" w:type="auto"/>
        <w:tblCellMar>
          <w:top w:w="15" w:type="dxa"/>
          <w:left w:w="15" w:type="dxa"/>
          <w:bottom w:w="15" w:type="dxa"/>
          <w:right w:w="15" w:type="dxa"/>
        </w:tblCellMar>
        <w:tblLook w:val="04A0"/>
      </w:tblPr>
      <w:tblGrid>
        <w:gridCol w:w="8208"/>
        <w:gridCol w:w="894"/>
      </w:tblGrid>
      <w:tr w:rsidR="008C3BA2" w:rsidTr="008C3BA2">
        <w:tc>
          <w:tcPr>
            <w:tcW w:w="8208" w:type="dxa"/>
            <w:tcBorders>
              <w:left w:val="nil"/>
              <w:right w:val="nil"/>
            </w:tcBorders>
            <w:hideMark/>
          </w:tcPr>
          <w:p w:rsidR="008C3BA2" w:rsidP="006D23DC" w:rsidRDefault="008C3BA2">
            <w:pPr>
              <w:rPr>
                <w:rFonts w:ascii="Verdana" w:hAnsi="Verdana"/>
                <w:sz w:val="18"/>
                <w:szCs w:val="18"/>
              </w:rPr>
            </w:pPr>
            <w:r>
              <w:rPr>
                <w:rFonts w:ascii="Verdana" w:hAnsi="Verdana"/>
                <w:sz w:val="18"/>
                <w:szCs w:val="18"/>
              </w:rPr>
              <w:t> </w:t>
            </w:r>
          </w:p>
        </w:tc>
        <w:tc>
          <w:tcPr>
            <w:tcW w:w="894" w:type="dxa"/>
            <w:tcBorders>
              <w:left w:val="nil"/>
              <w:right w:val="nil"/>
            </w:tcBorders>
            <w:hideMark/>
          </w:tcPr>
          <w:p w:rsidR="008C3BA2" w:rsidP="006D23DC" w:rsidRDefault="008C3BA2">
            <w:pPr>
              <w:rPr>
                <w:rFonts w:ascii="Verdana" w:hAnsi="Verdana"/>
                <w:sz w:val="18"/>
                <w:szCs w:val="18"/>
              </w:rPr>
            </w:pPr>
            <w:r>
              <w:rPr>
                <w:rFonts w:ascii="Verdana" w:hAnsi="Verdana"/>
                <w:sz w:val="18"/>
                <w:szCs w:val="18"/>
              </w:rPr>
              <w:t> </w:t>
            </w:r>
          </w:p>
        </w:tc>
      </w:tr>
      <w:tr w:rsidR="008C3BA2" w:rsidTr="006D23DC">
        <w:tc>
          <w:tcPr>
            <w:tcW w:w="0" w:type="auto"/>
            <w:tcBorders>
              <w:left w:val="nil"/>
              <w:right w:val="nil"/>
            </w:tcBorders>
            <w:hideMark/>
          </w:tcPr>
          <w:p w:rsidR="008C3BA2" w:rsidP="006D23DC" w:rsidRDefault="008C3BA2">
            <w:pPr>
              <w:rPr>
                <w:rFonts w:ascii="Verdana" w:hAnsi="Verdana"/>
                <w:sz w:val="18"/>
                <w:szCs w:val="18"/>
              </w:rPr>
            </w:pPr>
            <w:r>
              <w:rPr>
                <w:rFonts w:ascii="Verdana" w:hAnsi="Verdana"/>
                <w:sz w:val="18"/>
                <w:szCs w:val="18"/>
              </w:rPr>
              <w:t>IXA NATIONALE SCHULD (TRANSACTIEBASIS): UITGAVEN</w:t>
            </w:r>
          </w:p>
        </w:tc>
        <w:tc>
          <w:tcPr>
            <w:tcW w:w="0" w:type="auto"/>
            <w:hideMark/>
          </w:tcPr>
          <w:p w:rsidR="008C3BA2" w:rsidP="006D23DC" w:rsidRDefault="008C3BA2">
            <w:pPr>
              <w:rPr>
                <w:sz w:val="20"/>
                <w:szCs w:val="20"/>
              </w:rPr>
            </w:pPr>
          </w:p>
        </w:tc>
      </w:tr>
      <w:tr w:rsidR="008C3BA2" w:rsidTr="006D23DC">
        <w:tc>
          <w:tcPr>
            <w:tcW w:w="0" w:type="auto"/>
            <w:tcBorders>
              <w:top w:val="single" w:color="000000" w:sz="6" w:space="0"/>
              <w:left w:val="nil"/>
              <w:bottom w:val="single" w:color="000000" w:sz="6" w:space="0"/>
              <w:right w:val="nil"/>
            </w:tcBorders>
            <w:hideMark/>
          </w:tcPr>
          <w:p w:rsidR="008C3BA2" w:rsidP="006D23DC" w:rsidRDefault="008C3BA2">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8C3BA2" w:rsidP="006D23DC" w:rsidRDefault="008C3BA2">
            <w:pPr>
              <w:jc w:val="right"/>
              <w:rPr>
                <w:rFonts w:ascii="Verdana" w:hAnsi="Verdana"/>
                <w:sz w:val="18"/>
                <w:szCs w:val="18"/>
              </w:rPr>
            </w:pPr>
            <w:r>
              <w:rPr>
                <w:rFonts w:ascii="Verdana" w:hAnsi="Verdana"/>
                <w:sz w:val="18"/>
                <w:szCs w:val="18"/>
              </w:rPr>
              <w:t>2015</w:t>
            </w:r>
          </w:p>
        </w:tc>
      </w:tr>
      <w:tr w:rsidR="008C3BA2" w:rsidTr="006D23DC">
        <w:tc>
          <w:tcPr>
            <w:tcW w:w="0" w:type="auto"/>
            <w:tcBorders>
              <w:left w:val="nil"/>
              <w:right w:val="nil"/>
            </w:tcBorders>
            <w:hideMark/>
          </w:tcPr>
          <w:p w:rsidR="008C3BA2" w:rsidP="006D23DC" w:rsidRDefault="008C3BA2">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8C3BA2" w:rsidP="006D23DC" w:rsidRDefault="008C3BA2">
            <w:pPr>
              <w:jc w:val="right"/>
              <w:rPr>
                <w:rFonts w:ascii="Verdana" w:hAnsi="Verdana"/>
                <w:sz w:val="18"/>
                <w:szCs w:val="18"/>
              </w:rPr>
            </w:pPr>
            <w:r>
              <w:rPr>
                <w:rFonts w:ascii="Verdana" w:hAnsi="Verdana"/>
                <w:sz w:val="18"/>
                <w:szCs w:val="18"/>
              </w:rPr>
              <w:t>15.122,3</w:t>
            </w:r>
          </w:p>
        </w:tc>
      </w:tr>
      <w:tr w:rsidR="008C3BA2" w:rsidTr="006D23DC">
        <w:tc>
          <w:tcPr>
            <w:tcW w:w="0" w:type="auto"/>
            <w:tcBorders>
              <w:left w:val="nil"/>
              <w:right w:val="nil"/>
            </w:tcBorders>
            <w:hideMark/>
          </w:tcPr>
          <w:p w:rsidR="008C3BA2" w:rsidP="006D23DC" w:rsidRDefault="008C3BA2">
            <w:pPr>
              <w:rPr>
                <w:rFonts w:ascii="Verdana" w:hAnsi="Verdana"/>
                <w:sz w:val="18"/>
                <w:szCs w:val="18"/>
              </w:rPr>
            </w:pPr>
            <w:r>
              <w:rPr>
                <w:rFonts w:ascii="Verdana" w:hAnsi="Verdana"/>
                <w:sz w:val="18"/>
                <w:szCs w:val="18"/>
              </w:rPr>
              <w:t>Technische mutaties</w:t>
            </w:r>
          </w:p>
        </w:tc>
        <w:tc>
          <w:tcPr>
            <w:tcW w:w="0" w:type="auto"/>
            <w:hideMark/>
          </w:tcPr>
          <w:p w:rsidR="008C3BA2" w:rsidP="006D23DC" w:rsidRDefault="008C3BA2">
            <w:pPr>
              <w:rPr>
                <w:sz w:val="20"/>
                <w:szCs w:val="20"/>
              </w:rPr>
            </w:pPr>
          </w:p>
        </w:tc>
      </w:tr>
      <w:tr w:rsidR="008C3BA2" w:rsidTr="006D23DC">
        <w:tc>
          <w:tcPr>
            <w:tcW w:w="0" w:type="auto"/>
            <w:tcBorders>
              <w:left w:val="nil"/>
              <w:right w:val="nil"/>
            </w:tcBorders>
            <w:tcMar>
              <w:top w:w="15" w:type="dxa"/>
              <w:left w:w="180" w:type="dxa"/>
              <w:bottom w:w="15" w:type="dxa"/>
              <w:right w:w="15" w:type="dxa"/>
            </w:tcMar>
            <w:vAlign w:val="both"/>
            <w:hideMark/>
          </w:tcPr>
          <w:p w:rsidR="008C3BA2" w:rsidP="006D23DC" w:rsidRDefault="008C3BA2">
            <w:pPr>
              <w:ind w:firstLine="180" w:firstLineChars="100"/>
              <w:rPr>
                <w:rFonts w:ascii="Verdana" w:hAnsi="Verdana"/>
                <w:sz w:val="18"/>
                <w:szCs w:val="18"/>
              </w:rPr>
            </w:pPr>
            <w:r>
              <w:rPr>
                <w:rFonts w:ascii="Verdana" w:hAnsi="Verdana"/>
                <w:sz w:val="18"/>
                <w:szCs w:val="18"/>
              </w:rPr>
              <w:t xml:space="preserve">Niet tot een </w:t>
            </w:r>
            <w:proofErr w:type="spellStart"/>
            <w:r>
              <w:rPr>
                <w:rFonts w:ascii="Verdana" w:hAnsi="Verdana"/>
                <w:sz w:val="18"/>
                <w:szCs w:val="18"/>
              </w:rPr>
              <w:t>ijklijn</w:t>
            </w:r>
            <w:proofErr w:type="spellEnd"/>
            <w:r>
              <w:rPr>
                <w:rFonts w:ascii="Verdana" w:hAnsi="Verdana"/>
                <w:sz w:val="18"/>
                <w:szCs w:val="18"/>
              </w:rPr>
              <w:t xml:space="preserve"> behorend</w:t>
            </w:r>
          </w:p>
        </w:tc>
        <w:tc>
          <w:tcPr>
            <w:tcW w:w="0" w:type="auto"/>
            <w:hideMark/>
          </w:tcPr>
          <w:p w:rsidR="008C3BA2" w:rsidP="006D23DC" w:rsidRDefault="008C3BA2">
            <w:pPr>
              <w:rPr>
                <w:sz w:val="20"/>
                <w:szCs w:val="20"/>
              </w:rPr>
            </w:pPr>
          </w:p>
        </w:tc>
      </w:tr>
      <w:tr w:rsidR="008C3BA2" w:rsidTr="006D23DC">
        <w:tc>
          <w:tcPr>
            <w:tcW w:w="0" w:type="auto"/>
            <w:tcBorders>
              <w:left w:val="nil"/>
              <w:right w:val="nil"/>
            </w:tcBorders>
            <w:tcMar>
              <w:top w:w="15" w:type="dxa"/>
              <w:left w:w="360" w:type="dxa"/>
              <w:bottom w:w="15" w:type="dxa"/>
              <w:right w:w="15" w:type="dxa"/>
            </w:tcMar>
            <w:vAlign w:val="both"/>
            <w:hideMark/>
          </w:tcPr>
          <w:p w:rsidR="008C3BA2" w:rsidP="006D23DC" w:rsidRDefault="008C3BA2">
            <w:pPr>
              <w:ind w:firstLine="360" w:firstLineChars="200"/>
              <w:rPr>
                <w:rFonts w:ascii="Verdana" w:hAnsi="Verdana"/>
                <w:sz w:val="18"/>
                <w:szCs w:val="18"/>
              </w:rPr>
            </w:pPr>
            <w:r>
              <w:rPr>
                <w:rFonts w:ascii="Verdana" w:hAnsi="Verdana"/>
                <w:sz w:val="18"/>
                <w:szCs w:val="18"/>
              </w:rPr>
              <w:t>Mutatie in rekening-courant en deposito</w:t>
            </w:r>
          </w:p>
        </w:tc>
        <w:tc>
          <w:tcPr>
            <w:tcW w:w="0" w:type="auto"/>
            <w:tcBorders>
              <w:left w:val="nil"/>
              <w:right w:val="nil"/>
            </w:tcBorders>
            <w:hideMark/>
          </w:tcPr>
          <w:p w:rsidR="008C3BA2" w:rsidP="006D23DC" w:rsidRDefault="008C3BA2">
            <w:pPr>
              <w:jc w:val="right"/>
              <w:rPr>
                <w:rFonts w:ascii="Verdana" w:hAnsi="Verdana"/>
                <w:sz w:val="18"/>
                <w:szCs w:val="18"/>
              </w:rPr>
            </w:pPr>
            <w:r>
              <w:rPr>
                <w:rFonts w:ascii="Verdana" w:hAnsi="Verdana"/>
                <w:sz w:val="18"/>
                <w:szCs w:val="18"/>
              </w:rPr>
              <w:t>-159,4</w:t>
            </w:r>
          </w:p>
        </w:tc>
      </w:tr>
      <w:tr w:rsidR="008C3BA2" w:rsidTr="006D23DC">
        <w:tc>
          <w:tcPr>
            <w:tcW w:w="0" w:type="auto"/>
            <w:tcBorders>
              <w:left w:val="nil"/>
              <w:right w:val="nil"/>
            </w:tcBorders>
            <w:tcMar>
              <w:top w:w="15" w:type="dxa"/>
              <w:left w:w="360" w:type="dxa"/>
              <w:bottom w:w="15" w:type="dxa"/>
              <w:right w:w="15" w:type="dxa"/>
            </w:tcMar>
            <w:vAlign w:val="both"/>
            <w:hideMark/>
          </w:tcPr>
          <w:p w:rsidR="008C3BA2" w:rsidP="006D23DC" w:rsidRDefault="008C3BA2">
            <w:pPr>
              <w:ind w:firstLine="360" w:firstLineChars="200"/>
              <w:rPr>
                <w:rFonts w:ascii="Verdana" w:hAnsi="Verdana"/>
                <w:sz w:val="18"/>
                <w:szCs w:val="18"/>
              </w:rPr>
            </w:pPr>
            <w:r>
              <w:rPr>
                <w:rFonts w:ascii="Verdana" w:hAnsi="Verdana"/>
                <w:sz w:val="18"/>
                <w:szCs w:val="18"/>
              </w:rPr>
              <w:t>Rente vlottende schuld</w:t>
            </w:r>
          </w:p>
        </w:tc>
        <w:tc>
          <w:tcPr>
            <w:tcW w:w="0" w:type="auto"/>
            <w:tcBorders>
              <w:left w:val="nil"/>
              <w:right w:val="nil"/>
            </w:tcBorders>
            <w:hideMark/>
          </w:tcPr>
          <w:p w:rsidR="008C3BA2" w:rsidP="006D23DC" w:rsidRDefault="008C3BA2">
            <w:pPr>
              <w:jc w:val="right"/>
              <w:rPr>
                <w:rFonts w:ascii="Verdana" w:hAnsi="Verdana"/>
                <w:sz w:val="18"/>
                <w:szCs w:val="18"/>
              </w:rPr>
            </w:pPr>
            <w:r>
              <w:rPr>
                <w:rFonts w:ascii="Verdana" w:hAnsi="Verdana"/>
                <w:sz w:val="18"/>
                <w:szCs w:val="18"/>
              </w:rPr>
              <w:t>-52,0</w:t>
            </w:r>
          </w:p>
        </w:tc>
      </w:tr>
      <w:tr w:rsidR="008C3BA2" w:rsidTr="006D23DC">
        <w:tc>
          <w:tcPr>
            <w:tcW w:w="0" w:type="auto"/>
            <w:tcBorders>
              <w:left w:val="nil"/>
              <w:right w:val="nil"/>
            </w:tcBorders>
            <w:tcMar>
              <w:top w:w="15" w:type="dxa"/>
              <w:left w:w="360" w:type="dxa"/>
              <w:bottom w:w="15" w:type="dxa"/>
              <w:right w:w="15" w:type="dxa"/>
            </w:tcMar>
            <w:vAlign w:val="both"/>
            <w:hideMark/>
          </w:tcPr>
          <w:p w:rsidR="008C3BA2" w:rsidP="006D23DC" w:rsidRDefault="008C3BA2">
            <w:pPr>
              <w:ind w:firstLine="360" w:firstLineChars="200"/>
              <w:rPr>
                <w:rFonts w:ascii="Verdana" w:hAnsi="Verdana"/>
                <w:sz w:val="18"/>
                <w:szCs w:val="18"/>
              </w:rPr>
            </w:pPr>
            <w:r>
              <w:rPr>
                <w:rFonts w:ascii="Verdana" w:hAnsi="Verdana"/>
                <w:sz w:val="18"/>
                <w:szCs w:val="18"/>
              </w:rPr>
              <w:t>Verstrekte leningen</w:t>
            </w:r>
          </w:p>
        </w:tc>
        <w:tc>
          <w:tcPr>
            <w:tcW w:w="0" w:type="auto"/>
            <w:tcBorders>
              <w:left w:val="nil"/>
              <w:right w:val="nil"/>
            </w:tcBorders>
            <w:hideMark/>
          </w:tcPr>
          <w:p w:rsidR="008C3BA2" w:rsidP="006D23DC" w:rsidRDefault="008C3BA2">
            <w:pPr>
              <w:jc w:val="right"/>
              <w:rPr>
                <w:rFonts w:ascii="Verdana" w:hAnsi="Verdana"/>
                <w:sz w:val="18"/>
                <w:szCs w:val="18"/>
              </w:rPr>
            </w:pPr>
            <w:r>
              <w:rPr>
                <w:rFonts w:ascii="Verdana" w:hAnsi="Verdana"/>
                <w:sz w:val="18"/>
                <w:szCs w:val="18"/>
              </w:rPr>
              <w:t>682,8</w:t>
            </w:r>
          </w:p>
        </w:tc>
      </w:tr>
      <w:tr w:rsidR="008C3BA2" w:rsidTr="006D23DC">
        <w:tc>
          <w:tcPr>
            <w:tcW w:w="0" w:type="auto"/>
            <w:tcBorders>
              <w:left w:val="nil"/>
              <w:right w:val="nil"/>
            </w:tcBorders>
            <w:tcMar>
              <w:top w:w="15" w:type="dxa"/>
              <w:left w:w="360" w:type="dxa"/>
              <w:bottom w:w="15" w:type="dxa"/>
              <w:right w:w="15" w:type="dxa"/>
            </w:tcMar>
            <w:vAlign w:val="both"/>
            <w:hideMark/>
          </w:tcPr>
          <w:p w:rsidR="008C3BA2" w:rsidP="006D23DC" w:rsidRDefault="008C3BA2">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8C3BA2" w:rsidP="006D23DC" w:rsidRDefault="008C3BA2">
            <w:pPr>
              <w:jc w:val="right"/>
              <w:rPr>
                <w:rFonts w:ascii="Verdana" w:hAnsi="Verdana"/>
                <w:sz w:val="18"/>
                <w:szCs w:val="18"/>
              </w:rPr>
            </w:pPr>
            <w:r>
              <w:rPr>
                <w:rFonts w:ascii="Verdana" w:hAnsi="Verdana"/>
                <w:sz w:val="18"/>
                <w:szCs w:val="18"/>
              </w:rPr>
              <w:t>-34,0</w:t>
            </w:r>
          </w:p>
        </w:tc>
      </w:tr>
      <w:tr w:rsidR="008C3BA2" w:rsidTr="006D23DC">
        <w:tc>
          <w:tcPr>
            <w:tcW w:w="0" w:type="auto"/>
            <w:tcBorders>
              <w:left w:val="nil"/>
              <w:right w:val="nil"/>
            </w:tcBorders>
            <w:hideMark/>
          </w:tcPr>
          <w:p w:rsidR="008C3BA2" w:rsidP="006D23DC" w:rsidRDefault="008C3BA2">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8C3BA2" w:rsidP="006D23DC" w:rsidRDefault="008C3BA2">
            <w:pPr>
              <w:jc w:val="right"/>
              <w:rPr>
                <w:rFonts w:ascii="Verdana" w:hAnsi="Verdana"/>
                <w:sz w:val="18"/>
                <w:szCs w:val="18"/>
              </w:rPr>
            </w:pPr>
            <w:r>
              <w:rPr>
                <w:rFonts w:ascii="Verdana" w:hAnsi="Verdana"/>
                <w:sz w:val="18"/>
                <w:szCs w:val="18"/>
              </w:rPr>
              <w:t>437,4</w:t>
            </w:r>
          </w:p>
        </w:tc>
      </w:tr>
      <w:tr w:rsidR="008C3BA2" w:rsidTr="006D23DC">
        <w:tc>
          <w:tcPr>
            <w:tcW w:w="0" w:type="auto"/>
            <w:tcBorders>
              <w:left w:val="nil"/>
              <w:right w:val="nil"/>
            </w:tcBorders>
            <w:hideMark/>
          </w:tcPr>
          <w:p w:rsidR="008C3BA2" w:rsidP="006D23DC" w:rsidRDefault="008C3BA2">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8C3BA2" w:rsidP="006D23DC" w:rsidRDefault="008C3BA2">
            <w:pPr>
              <w:jc w:val="right"/>
              <w:rPr>
                <w:rFonts w:ascii="Verdana" w:hAnsi="Verdana"/>
                <w:sz w:val="18"/>
                <w:szCs w:val="18"/>
              </w:rPr>
            </w:pPr>
            <w:r>
              <w:rPr>
                <w:rFonts w:ascii="Verdana" w:hAnsi="Verdana"/>
                <w:sz w:val="18"/>
                <w:szCs w:val="18"/>
              </w:rPr>
              <w:t>437,4</w:t>
            </w:r>
          </w:p>
        </w:tc>
      </w:tr>
      <w:tr w:rsidR="008C3BA2" w:rsidTr="006D23DC">
        <w:tc>
          <w:tcPr>
            <w:tcW w:w="0" w:type="auto"/>
            <w:tcBorders>
              <w:left w:val="nil"/>
              <w:right w:val="nil"/>
            </w:tcBorders>
            <w:hideMark/>
          </w:tcPr>
          <w:p w:rsidR="008C3BA2" w:rsidP="006D23DC" w:rsidRDefault="008C3BA2">
            <w:pPr>
              <w:rPr>
                <w:rFonts w:ascii="Verdana" w:hAnsi="Verdana"/>
                <w:sz w:val="18"/>
                <w:szCs w:val="18"/>
              </w:rPr>
            </w:pPr>
            <w:r>
              <w:rPr>
                <w:rFonts w:ascii="Verdana" w:hAnsi="Verdana"/>
                <w:sz w:val="18"/>
                <w:szCs w:val="18"/>
              </w:rPr>
              <w:t> </w:t>
            </w:r>
          </w:p>
        </w:tc>
        <w:tc>
          <w:tcPr>
            <w:tcW w:w="0" w:type="auto"/>
            <w:hideMark/>
          </w:tcPr>
          <w:p w:rsidR="008C3BA2" w:rsidP="006D23DC" w:rsidRDefault="008C3BA2">
            <w:pPr>
              <w:rPr>
                <w:sz w:val="20"/>
                <w:szCs w:val="20"/>
              </w:rPr>
            </w:pPr>
          </w:p>
        </w:tc>
      </w:tr>
      <w:tr w:rsidR="008C3BA2" w:rsidTr="006D23DC">
        <w:tc>
          <w:tcPr>
            <w:tcW w:w="0" w:type="auto"/>
            <w:tcBorders>
              <w:left w:val="nil"/>
              <w:right w:val="nil"/>
            </w:tcBorders>
            <w:hideMark/>
          </w:tcPr>
          <w:p w:rsidR="008C3BA2" w:rsidP="006D23DC" w:rsidRDefault="008C3BA2">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8C3BA2" w:rsidP="006D23DC" w:rsidRDefault="008C3BA2">
            <w:pPr>
              <w:jc w:val="right"/>
              <w:rPr>
                <w:rFonts w:ascii="Verdana" w:hAnsi="Verdana"/>
                <w:sz w:val="18"/>
                <w:szCs w:val="18"/>
              </w:rPr>
            </w:pPr>
            <w:r>
              <w:rPr>
                <w:rFonts w:ascii="Verdana" w:hAnsi="Verdana"/>
                <w:sz w:val="18"/>
                <w:szCs w:val="18"/>
              </w:rPr>
              <w:t>15.559,7</w:t>
            </w:r>
          </w:p>
        </w:tc>
      </w:tr>
      <w:tr w:rsidR="008C3BA2" w:rsidTr="006D23DC">
        <w:tc>
          <w:tcPr>
            <w:tcW w:w="0" w:type="auto"/>
            <w:tcBorders>
              <w:left w:val="nil"/>
              <w:right w:val="nil"/>
            </w:tcBorders>
            <w:hideMark/>
          </w:tcPr>
          <w:p w:rsidR="008C3BA2" w:rsidP="006D23DC" w:rsidRDefault="008C3BA2">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8C3BA2" w:rsidP="006D23DC" w:rsidRDefault="008C3BA2">
            <w:pPr>
              <w:jc w:val="right"/>
              <w:rPr>
                <w:rFonts w:ascii="Verdana" w:hAnsi="Verdana"/>
                <w:sz w:val="18"/>
                <w:szCs w:val="18"/>
              </w:rPr>
            </w:pPr>
            <w:r>
              <w:rPr>
                <w:rFonts w:ascii="Verdana" w:hAnsi="Verdana"/>
                <w:sz w:val="18"/>
                <w:szCs w:val="18"/>
              </w:rPr>
              <w:t>0,0</w:t>
            </w:r>
          </w:p>
        </w:tc>
      </w:tr>
      <w:tr w:rsidR="008C3BA2" w:rsidTr="006D23DC">
        <w:tc>
          <w:tcPr>
            <w:tcW w:w="0" w:type="auto"/>
            <w:tcBorders>
              <w:left w:val="nil"/>
              <w:right w:val="nil"/>
            </w:tcBorders>
            <w:hideMark/>
          </w:tcPr>
          <w:p w:rsidR="008C3BA2" w:rsidP="006D23DC" w:rsidRDefault="008C3BA2">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8C3BA2" w:rsidP="006D23DC" w:rsidRDefault="008C3BA2">
            <w:pPr>
              <w:jc w:val="right"/>
              <w:rPr>
                <w:rFonts w:ascii="Verdana" w:hAnsi="Verdana"/>
                <w:sz w:val="18"/>
                <w:szCs w:val="18"/>
              </w:rPr>
            </w:pPr>
            <w:r>
              <w:rPr>
                <w:rFonts w:ascii="Verdana" w:hAnsi="Verdana"/>
                <w:sz w:val="18"/>
                <w:szCs w:val="18"/>
              </w:rPr>
              <w:t>15.559,7</w:t>
            </w:r>
          </w:p>
        </w:tc>
      </w:tr>
      <w:tr w:rsidR="008C3BA2" w:rsidTr="008C3BA2">
        <w:tc>
          <w:tcPr>
            <w:tcW w:w="8208" w:type="dxa"/>
            <w:tcBorders>
              <w:left w:val="nil"/>
              <w:right w:val="nil"/>
            </w:tcBorders>
            <w:hideMark/>
          </w:tcPr>
          <w:p w:rsidR="008C3BA2" w:rsidP="006D23DC" w:rsidRDefault="008C3BA2">
            <w:pPr>
              <w:rPr>
                <w:rFonts w:ascii="Verdana" w:hAnsi="Verdana"/>
                <w:sz w:val="18"/>
                <w:szCs w:val="18"/>
              </w:rPr>
            </w:pPr>
            <w:r>
              <w:rPr>
                <w:rFonts w:ascii="Verdana" w:hAnsi="Verdana"/>
                <w:sz w:val="18"/>
                <w:szCs w:val="18"/>
              </w:rPr>
              <w:t> </w:t>
            </w:r>
          </w:p>
        </w:tc>
        <w:tc>
          <w:tcPr>
            <w:tcW w:w="894" w:type="dxa"/>
            <w:tcBorders>
              <w:left w:val="nil"/>
              <w:right w:val="nil"/>
            </w:tcBorders>
            <w:hideMark/>
          </w:tcPr>
          <w:p w:rsidR="008C3BA2" w:rsidP="006D23DC" w:rsidRDefault="008C3BA2">
            <w:pPr>
              <w:rPr>
                <w:rFonts w:ascii="Verdana" w:hAnsi="Verdana"/>
                <w:sz w:val="18"/>
                <w:szCs w:val="18"/>
              </w:rPr>
            </w:pPr>
            <w:r>
              <w:rPr>
                <w:rFonts w:ascii="Verdana" w:hAnsi="Verdana"/>
                <w:sz w:val="18"/>
                <w:szCs w:val="18"/>
              </w:rPr>
              <w:t> </w:t>
            </w:r>
          </w:p>
        </w:tc>
      </w:tr>
      <w:tr w:rsidR="008C3BA2" w:rsidTr="006D23DC">
        <w:tc>
          <w:tcPr>
            <w:tcW w:w="0" w:type="auto"/>
            <w:tcBorders>
              <w:left w:val="nil"/>
              <w:right w:val="nil"/>
            </w:tcBorders>
            <w:hideMark/>
          </w:tcPr>
          <w:p w:rsidR="008C3BA2" w:rsidP="006D23DC" w:rsidRDefault="008C3BA2">
            <w:pPr>
              <w:rPr>
                <w:rFonts w:ascii="Verdana" w:hAnsi="Verdana"/>
                <w:sz w:val="18"/>
                <w:szCs w:val="18"/>
              </w:rPr>
            </w:pPr>
            <w:r>
              <w:rPr>
                <w:rFonts w:ascii="Verdana" w:hAnsi="Verdana"/>
                <w:sz w:val="18"/>
                <w:szCs w:val="18"/>
              </w:rPr>
              <w:t>IXA NATIONALE SCHULD (TRANSACTIEBASIS): NIET-BELASTINGONTVANGSTEN</w:t>
            </w:r>
          </w:p>
        </w:tc>
        <w:tc>
          <w:tcPr>
            <w:tcW w:w="0" w:type="auto"/>
            <w:hideMark/>
          </w:tcPr>
          <w:p w:rsidR="008C3BA2" w:rsidP="006D23DC" w:rsidRDefault="008C3BA2">
            <w:pPr>
              <w:rPr>
                <w:sz w:val="20"/>
                <w:szCs w:val="20"/>
              </w:rPr>
            </w:pPr>
          </w:p>
        </w:tc>
      </w:tr>
      <w:tr w:rsidR="008C3BA2" w:rsidTr="006D23DC">
        <w:tc>
          <w:tcPr>
            <w:tcW w:w="0" w:type="auto"/>
            <w:tcBorders>
              <w:top w:val="single" w:color="000000" w:sz="6" w:space="0"/>
              <w:left w:val="nil"/>
              <w:bottom w:val="single" w:color="000000" w:sz="6" w:space="0"/>
              <w:right w:val="nil"/>
            </w:tcBorders>
            <w:hideMark/>
          </w:tcPr>
          <w:p w:rsidR="008C3BA2" w:rsidP="006D23DC" w:rsidRDefault="008C3BA2">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8C3BA2" w:rsidP="006D23DC" w:rsidRDefault="008C3BA2">
            <w:pPr>
              <w:jc w:val="right"/>
              <w:rPr>
                <w:rFonts w:ascii="Verdana" w:hAnsi="Verdana"/>
                <w:sz w:val="18"/>
                <w:szCs w:val="18"/>
              </w:rPr>
            </w:pPr>
            <w:r>
              <w:rPr>
                <w:rFonts w:ascii="Verdana" w:hAnsi="Verdana"/>
                <w:sz w:val="18"/>
                <w:szCs w:val="18"/>
              </w:rPr>
              <w:t>2015</w:t>
            </w:r>
          </w:p>
        </w:tc>
      </w:tr>
      <w:tr w:rsidR="008C3BA2" w:rsidTr="006D23DC">
        <w:tc>
          <w:tcPr>
            <w:tcW w:w="0" w:type="auto"/>
            <w:tcBorders>
              <w:left w:val="nil"/>
              <w:right w:val="nil"/>
            </w:tcBorders>
            <w:hideMark/>
          </w:tcPr>
          <w:p w:rsidR="008C3BA2" w:rsidP="006D23DC" w:rsidRDefault="008C3BA2">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8C3BA2" w:rsidP="006D23DC" w:rsidRDefault="008C3BA2">
            <w:pPr>
              <w:jc w:val="right"/>
              <w:rPr>
                <w:rFonts w:ascii="Verdana" w:hAnsi="Verdana"/>
                <w:sz w:val="18"/>
                <w:szCs w:val="18"/>
              </w:rPr>
            </w:pPr>
            <w:r>
              <w:rPr>
                <w:rFonts w:ascii="Verdana" w:hAnsi="Verdana"/>
                <w:sz w:val="18"/>
                <w:szCs w:val="18"/>
              </w:rPr>
              <w:t>9.371,8</w:t>
            </w:r>
          </w:p>
        </w:tc>
      </w:tr>
      <w:tr w:rsidR="008C3BA2" w:rsidTr="006D23DC">
        <w:tc>
          <w:tcPr>
            <w:tcW w:w="0" w:type="auto"/>
            <w:tcBorders>
              <w:left w:val="nil"/>
              <w:right w:val="nil"/>
            </w:tcBorders>
            <w:hideMark/>
          </w:tcPr>
          <w:p w:rsidR="008C3BA2" w:rsidP="006D23DC" w:rsidRDefault="008C3BA2">
            <w:pPr>
              <w:rPr>
                <w:rFonts w:ascii="Verdana" w:hAnsi="Verdana"/>
                <w:sz w:val="18"/>
                <w:szCs w:val="18"/>
              </w:rPr>
            </w:pPr>
            <w:r>
              <w:rPr>
                <w:rFonts w:ascii="Verdana" w:hAnsi="Verdana"/>
                <w:sz w:val="18"/>
                <w:szCs w:val="18"/>
              </w:rPr>
              <w:t>Technische mutaties</w:t>
            </w:r>
          </w:p>
        </w:tc>
        <w:tc>
          <w:tcPr>
            <w:tcW w:w="0" w:type="auto"/>
            <w:hideMark/>
          </w:tcPr>
          <w:p w:rsidR="008C3BA2" w:rsidP="006D23DC" w:rsidRDefault="008C3BA2">
            <w:pPr>
              <w:rPr>
                <w:sz w:val="20"/>
                <w:szCs w:val="20"/>
              </w:rPr>
            </w:pPr>
          </w:p>
        </w:tc>
      </w:tr>
      <w:tr w:rsidR="008C3BA2" w:rsidTr="006D23DC">
        <w:tc>
          <w:tcPr>
            <w:tcW w:w="0" w:type="auto"/>
            <w:tcBorders>
              <w:left w:val="nil"/>
              <w:right w:val="nil"/>
            </w:tcBorders>
            <w:tcMar>
              <w:top w:w="15" w:type="dxa"/>
              <w:left w:w="180" w:type="dxa"/>
              <w:bottom w:w="15" w:type="dxa"/>
              <w:right w:w="15" w:type="dxa"/>
            </w:tcMar>
            <w:vAlign w:val="both"/>
            <w:hideMark/>
          </w:tcPr>
          <w:p w:rsidR="008C3BA2" w:rsidP="006D23DC" w:rsidRDefault="008C3BA2">
            <w:pPr>
              <w:ind w:firstLine="180" w:firstLineChars="100"/>
              <w:rPr>
                <w:rFonts w:ascii="Verdana" w:hAnsi="Verdana"/>
                <w:sz w:val="18"/>
                <w:szCs w:val="18"/>
              </w:rPr>
            </w:pPr>
            <w:r>
              <w:rPr>
                <w:rFonts w:ascii="Verdana" w:hAnsi="Verdana"/>
                <w:sz w:val="18"/>
                <w:szCs w:val="18"/>
              </w:rPr>
              <w:t xml:space="preserve">Niet tot een </w:t>
            </w:r>
            <w:proofErr w:type="spellStart"/>
            <w:r>
              <w:rPr>
                <w:rFonts w:ascii="Verdana" w:hAnsi="Verdana"/>
                <w:sz w:val="18"/>
                <w:szCs w:val="18"/>
              </w:rPr>
              <w:t>ijklijn</w:t>
            </w:r>
            <w:proofErr w:type="spellEnd"/>
            <w:r>
              <w:rPr>
                <w:rFonts w:ascii="Verdana" w:hAnsi="Verdana"/>
                <w:sz w:val="18"/>
                <w:szCs w:val="18"/>
              </w:rPr>
              <w:t xml:space="preserve"> behorend</w:t>
            </w:r>
          </w:p>
        </w:tc>
        <w:tc>
          <w:tcPr>
            <w:tcW w:w="0" w:type="auto"/>
            <w:hideMark/>
          </w:tcPr>
          <w:p w:rsidR="008C3BA2" w:rsidP="006D23DC" w:rsidRDefault="008C3BA2">
            <w:pPr>
              <w:rPr>
                <w:sz w:val="20"/>
                <w:szCs w:val="20"/>
              </w:rPr>
            </w:pPr>
          </w:p>
        </w:tc>
      </w:tr>
      <w:tr w:rsidR="008C3BA2" w:rsidTr="006D23DC">
        <w:tc>
          <w:tcPr>
            <w:tcW w:w="0" w:type="auto"/>
            <w:tcBorders>
              <w:left w:val="nil"/>
              <w:right w:val="nil"/>
            </w:tcBorders>
            <w:tcMar>
              <w:top w:w="15" w:type="dxa"/>
              <w:left w:w="360" w:type="dxa"/>
              <w:bottom w:w="15" w:type="dxa"/>
              <w:right w:w="15" w:type="dxa"/>
            </w:tcMar>
            <w:vAlign w:val="both"/>
            <w:hideMark/>
          </w:tcPr>
          <w:p w:rsidR="008C3BA2" w:rsidP="006D23DC" w:rsidRDefault="008C3BA2">
            <w:pPr>
              <w:ind w:firstLine="360" w:firstLineChars="200"/>
              <w:rPr>
                <w:rFonts w:ascii="Verdana" w:hAnsi="Verdana"/>
                <w:sz w:val="18"/>
                <w:szCs w:val="18"/>
              </w:rPr>
            </w:pPr>
            <w:r>
              <w:rPr>
                <w:rFonts w:ascii="Verdana" w:hAnsi="Verdana"/>
                <w:sz w:val="18"/>
                <w:szCs w:val="18"/>
              </w:rPr>
              <w:t>Aflossingen op leningen</w:t>
            </w:r>
          </w:p>
        </w:tc>
        <w:tc>
          <w:tcPr>
            <w:tcW w:w="0" w:type="auto"/>
            <w:tcBorders>
              <w:left w:val="nil"/>
              <w:right w:val="nil"/>
            </w:tcBorders>
            <w:hideMark/>
          </w:tcPr>
          <w:p w:rsidR="008C3BA2" w:rsidP="006D23DC" w:rsidRDefault="008C3BA2">
            <w:pPr>
              <w:jc w:val="right"/>
              <w:rPr>
                <w:rFonts w:ascii="Verdana" w:hAnsi="Verdana"/>
                <w:sz w:val="18"/>
                <w:szCs w:val="18"/>
              </w:rPr>
            </w:pPr>
            <w:r>
              <w:rPr>
                <w:rFonts w:ascii="Verdana" w:hAnsi="Verdana"/>
                <w:sz w:val="18"/>
                <w:szCs w:val="18"/>
              </w:rPr>
              <w:t>192,4</w:t>
            </w:r>
          </w:p>
        </w:tc>
      </w:tr>
      <w:tr w:rsidR="008C3BA2" w:rsidTr="006D23DC">
        <w:tc>
          <w:tcPr>
            <w:tcW w:w="0" w:type="auto"/>
            <w:tcBorders>
              <w:left w:val="nil"/>
              <w:right w:val="nil"/>
            </w:tcBorders>
            <w:tcMar>
              <w:top w:w="15" w:type="dxa"/>
              <w:left w:w="360" w:type="dxa"/>
              <w:bottom w:w="15" w:type="dxa"/>
              <w:right w:w="15" w:type="dxa"/>
            </w:tcMar>
            <w:vAlign w:val="both"/>
            <w:hideMark/>
          </w:tcPr>
          <w:p w:rsidR="008C3BA2" w:rsidP="006D23DC" w:rsidRDefault="008C3BA2">
            <w:pPr>
              <w:ind w:firstLine="360" w:firstLineChars="200"/>
              <w:rPr>
                <w:rFonts w:ascii="Verdana" w:hAnsi="Verdana"/>
                <w:sz w:val="18"/>
                <w:szCs w:val="18"/>
              </w:rPr>
            </w:pPr>
            <w:r>
              <w:rPr>
                <w:rFonts w:ascii="Verdana" w:hAnsi="Verdana"/>
                <w:sz w:val="18"/>
                <w:szCs w:val="18"/>
              </w:rPr>
              <w:t>Mutatie in rekening-courant en deposito</w:t>
            </w:r>
          </w:p>
        </w:tc>
        <w:tc>
          <w:tcPr>
            <w:tcW w:w="0" w:type="auto"/>
            <w:tcBorders>
              <w:left w:val="nil"/>
              <w:right w:val="nil"/>
            </w:tcBorders>
            <w:hideMark/>
          </w:tcPr>
          <w:p w:rsidR="008C3BA2" w:rsidP="006D23DC" w:rsidRDefault="008C3BA2">
            <w:pPr>
              <w:jc w:val="right"/>
              <w:rPr>
                <w:rFonts w:ascii="Verdana" w:hAnsi="Verdana"/>
                <w:sz w:val="18"/>
                <w:szCs w:val="18"/>
              </w:rPr>
            </w:pPr>
            <w:r>
              <w:rPr>
                <w:rFonts w:ascii="Verdana" w:hAnsi="Verdana"/>
                <w:sz w:val="18"/>
                <w:szCs w:val="18"/>
              </w:rPr>
              <w:t>2.708,6</w:t>
            </w:r>
          </w:p>
        </w:tc>
      </w:tr>
      <w:tr w:rsidR="008C3BA2" w:rsidTr="006D23DC">
        <w:tc>
          <w:tcPr>
            <w:tcW w:w="0" w:type="auto"/>
            <w:tcBorders>
              <w:left w:val="nil"/>
              <w:right w:val="nil"/>
            </w:tcBorders>
            <w:tcMar>
              <w:top w:w="15" w:type="dxa"/>
              <w:left w:w="360" w:type="dxa"/>
              <w:bottom w:w="15" w:type="dxa"/>
              <w:right w:w="15" w:type="dxa"/>
            </w:tcMar>
            <w:vAlign w:val="both"/>
            <w:hideMark/>
          </w:tcPr>
          <w:p w:rsidR="008C3BA2" w:rsidP="006D23DC" w:rsidRDefault="008C3BA2">
            <w:pPr>
              <w:ind w:firstLine="360" w:firstLineChars="200"/>
              <w:rPr>
                <w:rFonts w:ascii="Verdana" w:hAnsi="Verdana"/>
                <w:sz w:val="18"/>
                <w:szCs w:val="18"/>
              </w:rPr>
            </w:pPr>
            <w:r>
              <w:rPr>
                <w:rFonts w:ascii="Verdana" w:hAnsi="Verdana"/>
                <w:sz w:val="18"/>
                <w:szCs w:val="18"/>
              </w:rPr>
              <w:t>Rente vaste schuld</w:t>
            </w:r>
          </w:p>
        </w:tc>
        <w:tc>
          <w:tcPr>
            <w:tcW w:w="0" w:type="auto"/>
            <w:tcBorders>
              <w:left w:val="nil"/>
              <w:right w:val="nil"/>
            </w:tcBorders>
            <w:hideMark/>
          </w:tcPr>
          <w:p w:rsidR="008C3BA2" w:rsidP="006D23DC" w:rsidRDefault="008C3BA2">
            <w:pPr>
              <w:jc w:val="right"/>
              <w:rPr>
                <w:rFonts w:ascii="Verdana" w:hAnsi="Verdana"/>
                <w:sz w:val="18"/>
                <w:szCs w:val="18"/>
              </w:rPr>
            </w:pPr>
            <w:r>
              <w:rPr>
                <w:rFonts w:ascii="Verdana" w:hAnsi="Verdana"/>
                <w:sz w:val="18"/>
                <w:szCs w:val="18"/>
              </w:rPr>
              <w:t>-1.015,0</w:t>
            </w:r>
          </w:p>
        </w:tc>
      </w:tr>
      <w:tr w:rsidR="008C3BA2" w:rsidTr="006D23DC">
        <w:tc>
          <w:tcPr>
            <w:tcW w:w="0" w:type="auto"/>
            <w:tcBorders>
              <w:left w:val="nil"/>
              <w:right w:val="nil"/>
            </w:tcBorders>
            <w:tcMar>
              <w:top w:w="15" w:type="dxa"/>
              <w:left w:w="360" w:type="dxa"/>
              <w:bottom w:w="15" w:type="dxa"/>
              <w:right w:w="15" w:type="dxa"/>
            </w:tcMar>
            <w:vAlign w:val="both"/>
            <w:hideMark/>
          </w:tcPr>
          <w:p w:rsidR="008C3BA2" w:rsidP="006D23DC" w:rsidRDefault="008C3BA2">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8C3BA2" w:rsidP="006D23DC" w:rsidRDefault="008C3BA2">
            <w:pPr>
              <w:jc w:val="right"/>
              <w:rPr>
                <w:rFonts w:ascii="Verdana" w:hAnsi="Verdana"/>
                <w:sz w:val="18"/>
                <w:szCs w:val="18"/>
              </w:rPr>
            </w:pPr>
            <w:r>
              <w:rPr>
                <w:rFonts w:ascii="Verdana" w:hAnsi="Verdana"/>
                <w:sz w:val="18"/>
                <w:szCs w:val="18"/>
              </w:rPr>
              <w:t>44,5</w:t>
            </w:r>
          </w:p>
        </w:tc>
      </w:tr>
      <w:tr w:rsidR="008C3BA2" w:rsidTr="006D23DC">
        <w:tc>
          <w:tcPr>
            <w:tcW w:w="0" w:type="auto"/>
            <w:tcBorders>
              <w:left w:val="nil"/>
              <w:right w:val="nil"/>
            </w:tcBorders>
            <w:hideMark/>
          </w:tcPr>
          <w:p w:rsidR="008C3BA2" w:rsidP="006D23DC" w:rsidRDefault="008C3BA2">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8C3BA2" w:rsidP="006D23DC" w:rsidRDefault="008C3BA2">
            <w:pPr>
              <w:jc w:val="right"/>
              <w:rPr>
                <w:rFonts w:ascii="Verdana" w:hAnsi="Verdana"/>
                <w:sz w:val="18"/>
                <w:szCs w:val="18"/>
              </w:rPr>
            </w:pPr>
            <w:r>
              <w:rPr>
                <w:rFonts w:ascii="Verdana" w:hAnsi="Verdana"/>
                <w:sz w:val="18"/>
                <w:szCs w:val="18"/>
              </w:rPr>
              <w:t>1.930,5</w:t>
            </w:r>
          </w:p>
        </w:tc>
      </w:tr>
      <w:tr w:rsidR="008C3BA2" w:rsidTr="006D23DC">
        <w:tc>
          <w:tcPr>
            <w:tcW w:w="0" w:type="auto"/>
            <w:tcBorders>
              <w:left w:val="nil"/>
              <w:right w:val="nil"/>
            </w:tcBorders>
            <w:hideMark/>
          </w:tcPr>
          <w:p w:rsidR="008C3BA2" w:rsidP="006D23DC" w:rsidRDefault="008C3BA2">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8C3BA2" w:rsidP="006D23DC" w:rsidRDefault="008C3BA2">
            <w:pPr>
              <w:jc w:val="right"/>
              <w:rPr>
                <w:rFonts w:ascii="Verdana" w:hAnsi="Verdana"/>
                <w:sz w:val="18"/>
                <w:szCs w:val="18"/>
              </w:rPr>
            </w:pPr>
            <w:r>
              <w:rPr>
                <w:rFonts w:ascii="Verdana" w:hAnsi="Verdana"/>
                <w:sz w:val="18"/>
                <w:szCs w:val="18"/>
              </w:rPr>
              <w:t>1.930,5</w:t>
            </w:r>
          </w:p>
        </w:tc>
      </w:tr>
      <w:tr w:rsidR="008C3BA2" w:rsidTr="006D23DC">
        <w:tc>
          <w:tcPr>
            <w:tcW w:w="0" w:type="auto"/>
            <w:tcBorders>
              <w:left w:val="nil"/>
              <w:right w:val="nil"/>
            </w:tcBorders>
            <w:hideMark/>
          </w:tcPr>
          <w:p w:rsidR="008C3BA2" w:rsidP="006D23DC" w:rsidRDefault="008C3BA2">
            <w:pPr>
              <w:rPr>
                <w:rFonts w:ascii="Verdana" w:hAnsi="Verdana"/>
                <w:sz w:val="18"/>
                <w:szCs w:val="18"/>
              </w:rPr>
            </w:pPr>
            <w:r>
              <w:rPr>
                <w:rFonts w:ascii="Verdana" w:hAnsi="Verdana"/>
                <w:sz w:val="18"/>
                <w:szCs w:val="18"/>
              </w:rPr>
              <w:t> </w:t>
            </w:r>
          </w:p>
        </w:tc>
        <w:tc>
          <w:tcPr>
            <w:tcW w:w="0" w:type="auto"/>
            <w:hideMark/>
          </w:tcPr>
          <w:p w:rsidR="008C3BA2" w:rsidP="006D23DC" w:rsidRDefault="008C3BA2">
            <w:pPr>
              <w:rPr>
                <w:sz w:val="20"/>
                <w:szCs w:val="20"/>
              </w:rPr>
            </w:pPr>
          </w:p>
        </w:tc>
      </w:tr>
      <w:tr w:rsidR="008C3BA2" w:rsidTr="006D23DC">
        <w:tc>
          <w:tcPr>
            <w:tcW w:w="0" w:type="auto"/>
            <w:tcBorders>
              <w:left w:val="nil"/>
              <w:right w:val="nil"/>
            </w:tcBorders>
            <w:hideMark/>
          </w:tcPr>
          <w:p w:rsidR="008C3BA2" w:rsidP="006D23DC" w:rsidRDefault="008C3BA2">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8C3BA2" w:rsidP="006D23DC" w:rsidRDefault="008C3BA2">
            <w:pPr>
              <w:jc w:val="right"/>
              <w:rPr>
                <w:rFonts w:ascii="Verdana" w:hAnsi="Verdana"/>
                <w:sz w:val="18"/>
                <w:szCs w:val="18"/>
              </w:rPr>
            </w:pPr>
            <w:r>
              <w:rPr>
                <w:rFonts w:ascii="Verdana" w:hAnsi="Verdana"/>
                <w:sz w:val="18"/>
                <w:szCs w:val="18"/>
              </w:rPr>
              <w:t>11.302,3</w:t>
            </w:r>
          </w:p>
        </w:tc>
      </w:tr>
      <w:tr w:rsidR="008C3BA2" w:rsidTr="006D23DC">
        <w:tc>
          <w:tcPr>
            <w:tcW w:w="0" w:type="auto"/>
            <w:tcBorders>
              <w:left w:val="nil"/>
              <w:right w:val="nil"/>
            </w:tcBorders>
            <w:hideMark/>
          </w:tcPr>
          <w:p w:rsidR="008C3BA2" w:rsidP="006D23DC" w:rsidRDefault="008C3BA2">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8C3BA2" w:rsidP="006D23DC" w:rsidRDefault="008C3BA2">
            <w:pPr>
              <w:jc w:val="right"/>
              <w:rPr>
                <w:rFonts w:ascii="Verdana" w:hAnsi="Verdana"/>
                <w:sz w:val="18"/>
                <w:szCs w:val="18"/>
              </w:rPr>
            </w:pPr>
            <w:r>
              <w:rPr>
                <w:rFonts w:ascii="Verdana" w:hAnsi="Verdana"/>
                <w:sz w:val="18"/>
                <w:szCs w:val="18"/>
              </w:rPr>
              <w:t>0,0</w:t>
            </w:r>
          </w:p>
        </w:tc>
      </w:tr>
      <w:tr w:rsidR="008C3BA2" w:rsidTr="006D23DC">
        <w:tc>
          <w:tcPr>
            <w:tcW w:w="0" w:type="auto"/>
            <w:tcBorders>
              <w:left w:val="nil"/>
              <w:right w:val="nil"/>
            </w:tcBorders>
            <w:hideMark/>
          </w:tcPr>
          <w:p w:rsidR="008C3BA2" w:rsidP="006D23DC" w:rsidRDefault="008C3BA2">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8C3BA2" w:rsidP="006D23DC" w:rsidRDefault="008C3BA2">
            <w:pPr>
              <w:jc w:val="right"/>
              <w:rPr>
                <w:rFonts w:ascii="Verdana" w:hAnsi="Verdana"/>
                <w:sz w:val="18"/>
                <w:szCs w:val="18"/>
              </w:rPr>
            </w:pPr>
            <w:r>
              <w:rPr>
                <w:rFonts w:ascii="Verdana" w:hAnsi="Verdana"/>
                <w:sz w:val="18"/>
                <w:szCs w:val="18"/>
              </w:rPr>
              <w:t>11.302,3</w:t>
            </w:r>
          </w:p>
        </w:tc>
      </w:tr>
    </w:tbl>
    <w:p w:rsidR="008C3BA2" w:rsidP="0011453A" w:rsidRDefault="008C3BA2">
      <w:pPr>
        <w:rPr>
          <w:szCs w:val="18"/>
        </w:rPr>
      </w:pPr>
    </w:p>
    <w:p w:rsidR="0011453A" w:rsidP="0011453A" w:rsidRDefault="0011453A">
      <w:pPr>
        <w:spacing w:line="240" w:lineRule="exact"/>
        <w:rPr>
          <w:szCs w:val="18"/>
        </w:rPr>
      </w:pPr>
    </w:p>
    <w:p w:rsidRPr="00552602" w:rsidR="00552602" w:rsidP="00552602" w:rsidRDefault="00552602">
      <w:pPr>
        <w:pStyle w:val="Geenafstand"/>
        <w:spacing w:line="240" w:lineRule="exact"/>
        <w:rPr>
          <w:rFonts w:ascii="Verdana" w:hAnsi="Verdana"/>
          <w:sz w:val="18"/>
          <w:szCs w:val="18"/>
        </w:rPr>
      </w:pPr>
      <w:r w:rsidRPr="00552602">
        <w:rPr>
          <w:rFonts w:ascii="Verdana" w:hAnsi="Verdana"/>
          <w:i/>
          <w:sz w:val="18"/>
          <w:szCs w:val="18"/>
        </w:rPr>
        <w:t>Mutatie in rekening-courant en deposito</w:t>
      </w:r>
      <w:r w:rsidRPr="00552602">
        <w:rPr>
          <w:rFonts w:ascii="Verdana" w:hAnsi="Verdana"/>
          <w:sz w:val="18"/>
          <w:szCs w:val="18"/>
        </w:rPr>
        <w:br/>
        <w:t>De inleg van de sociale fondsen is gewijzigd als gevolg van mutaties in de premieontvangsten en de premiegefinancierde uitgaven.</w:t>
      </w:r>
    </w:p>
    <w:p w:rsidRPr="00552602" w:rsidR="00552602" w:rsidP="00552602" w:rsidRDefault="00552602">
      <w:pPr>
        <w:pStyle w:val="Geenafstand"/>
        <w:spacing w:line="240" w:lineRule="exact"/>
        <w:rPr>
          <w:rFonts w:ascii="Verdana" w:hAnsi="Verdana"/>
          <w:sz w:val="18"/>
          <w:szCs w:val="18"/>
        </w:rPr>
      </w:pPr>
    </w:p>
    <w:p w:rsidRPr="0099036F" w:rsidR="00552602" w:rsidP="00552602" w:rsidRDefault="00552602">
      <w:pPr>
        <w:pStyle w:val="Geenafstand"/>
        <w:spacing w:line="240" w:lineRule="exact"/>
        <w:rPr>
          <w:rFonts w:ascii="Verdana" w:hAnsi="Verdana"/>
          <w:sz w:val="18"/>
          <w:szCs w:val="18"/>
        </w:rPr>
      </w:pPr>
      <w:r w:rsidRPr="00552602">
        <w:rPr>
          <w:rFonts w:ascii="Verdana" w:hAnsi="Verdana"/>
          <w:i/>
          <w:sz w:val="18"/>
          <w:szCs w:val="18"/>
        </w:rPr>
        <w:t>Rente vlotte</w:t>
      </w:r>
      <w:r>
        <w:rPr>
          <w:rFonts w:ascii="Verdana" w:hAnsi="Verdana"/>
          <w:i/>
          <w:sz w:val="18"/>
          <w:szCs w:val="18"/>
        </w:rPr>
        <w:t>nde</w:t>
      </w:r>
      <w:r w:rsidRPr="00552602">
        <w:rPr>
          <w:rFonts w:ascii="Verdana" w:hAnsi="Verdana"/>
          <w:i/>
          <w:sz w:val="18"/>
          <w:szCs w:val="18"/>
        </w:rPr>
        <w:t xml:space="preserve"> schuld</w:t>
      </w:r>
      <w:r w:rsidRPr="00552602">
        <w:rPr>
          <w:rFonts w:ascii="Verdana" w:hAnsi="Verdana"/>
          <w:sz w:val="18"/>
          <w:szCs w:val="18"/>
        </w:rPr>
        <w:br/>
      </w:r>
      <w:r>
        <w:rPr>
          <w:rFonts w:ascii="Verdana" w:hAnsi="Verdana"/>
          <w:sz w:val="18"/>
          <w:szCs w:val="18"/>
        </w:rPr>
        <w:t>De realisatie van de rentelasten vlottende schuld wijkt af van de raming als gevolg van bijstellingen van de rentetarieven en de financieringsbehoefte.</w:t>
      </w:r>
    </w:p>
    <w:p w:rsidRPr="00552602" w:rsidR="00552602" w:rsidP="00552602" w:rsidRDefault="00552602">
      <w:pPr>
        <w:pStyle w:val="Geenafstand"/>
        <w:spacing w:line="240" w:lineRule="exact"/>
        <w:rPr>
          <w:rFonts w:ascii="Verdana" w:hAnsi="Verdana"/>
          <w:sz w:val="18"/>
          <w:szCs w:val="18"/>
        </w:rPr>
      </w:pPr>
    </w:p>
    <w:p w:rsidRPr="00552602" w:rsidR="00552602" w:rsidP="00552602" w:rsidRDefault="00552602">
      <w:pPr>
        <w:pStyle w:val="Geenafstand"/>
        <w:spacing w:line="240" w:lineRule="exact"/>
        <w:rPr>
          <w:rFonts w:ascii="Verdana" w:hAnsi="Verdana"/>
          <w:sz w:val="18"/>
          <w:szCs w:val="18"/>
        </w:rPr>
      </w:pPr>
      <w:r w:rsidRPr="00552602">
        <w:rPr>
          <w:rFonts w:ascii="Verdana" w:hAnsi="Verdana"/>
          <w:i/>
          <w:sz w:val="18"/>
          <w:szCs w:val="18"/>
        </w:rPr>
        <w:t>Versterkte leningen</w:t>
      </w:r>
      <w:r w:rsidRPr="00552602">
        <w:rPr>
          <w:rFonts w:ascii="Verdana" w:hAnsi="Verdana"/>
          <w:sz w:val="18"/>
          <w:szCs w:val="18"/>
        </w:rPr>
        <w:br/>
        <w:t xml:space="preserve">Gewijzigde inzichten in het leengedrag van agentschappen en </w:t>
      </w:r>
      <w:proofErr w:type="spellStart"/>
      <w:r w:rsidRPr="00552602">
        <w:rPr>
          <w:rFonts w:ascii="Verdana" w:hAnsi="Verdana"/>
          <w:sz w:val="18"/>
          <w:szCs w:val="18"/>
        </w:rPr>
        <w:t>RWT’s</w:t>
      </w:r>
      <w:proofErr w:type="spellEnd"/>
      <w:r w:rsidRPr="00552602">
        <w:rPr>
          <w:rFonts w:ascii="Verdana" w:hAnsi="Verdana"/>
          <w:sz w:val="18"/>
          <w:szCs w:val="18"/>
        </w:rPr>
        <w:t xml:space="preserve"> (Rechtspersonen met een wettelijke taak) leiden tot een aanpassing van de voorziene uitgaven. </w:t>
      </w:r>
    </w:p>
    <w:p w:rsidRPr="00552602" w:rsidR="00552602" w:rsidP="00552602" w:rsidRDefault="00552602">
      <w:pPr>
        <w:pStyle w:val="Geenafstand"/>
        <w:spacing w:line="240" w:lineRule="exact"/>
        <w:rPr>
          <w:rFonts w:ascii="Verdana" w:hAnsi="Verdana"/>
          <w:sz w:val="18"/>
          <w:szCs w:val="18"/>
        </w:rPr>
      </w:pPr>
    </w:p>
    <w:p w:rsidRPr="00552602" w:rsidR="00552602" w:rsidP="00552602" w:rsidRDefault="00552602">
      <w:pPr>
        <w:pStyle w:val="Geenafstand"/>
        <w:spacing w:line="240" w:lineRule="exact"/>
        <w:rPr>
          <w:rFonts w:ascii="Verdana" w:hAnsi="Verdana"/>
          <w:i/>
          <w:sz w:val="18"/>
          <w:szCs w:val="18"/>
        </w:rPr>
      </w:pPr>
      <w:r w:rsidRPr="00552602">
        <w:rPr>
          <w:rFonts w:ascii="Verdana" w:hAnsi="Verdana"/>
          <w:i/>
          <w:sz w:val="18"/>
          <w:szCs w:val="18"/>
        </w:rPr>
        <w:t>Diversen</w:t>
      </w:r>
    </w:p>
    <w:p w:rsidRPr="00276B14" w:rsidR="00552602" w:rsidP="00552602" w:rsidRDefault="00552602">
      <w:pPr>
        <w:pStyle w:val="Geenafstand"/>
        <w:spacing w:line="240" w:lineRule="exact"/>
        <w:rPr>
          <w:rFonts w:ascii="Verdana" w:hAnsi="Verdana"/>
          <w:sz w:val="18"/>
          <w:szCs w:val="18"/>
        </w:rPr>
      </w:pPr>
      <w:r>
        <w:rPr>
          <w:rFonts w:ascii="Verdana" w:hAnsi="Verdana"/>
          <w:sz w:val="18"/>
          <w:szCs w:val="18"/>
        </w:rPr>
        <w:t xml:space="preserve">Dit betreft een restpost met onder andere rentelasten van </w:t>
      </w:r>
      <w:proofErr w:type="spellStart"/>
      <w:r>
        <w:rPr>
          <w:rFonts w:ascii="Verdana" w:hAnsi="Verdana"/>
          <w:sz w:val="18"/>
          <w:szCs w:val="18"/>
        </w:rPr>
        <w:t>RWT’s</w:t>
      </w:r>
      <w:proofErr w:type="spellEnd"/>
      <w:r>
        <w:rPr>
          <w:rFonts w:ascii="Verdana" w:hAnsi="Verdana"/>
          <w:sz w:val="18"/>
          <w:szCs w:val="18"/>
        </w:rPr>
        <w:t xml:space="preserve"> en decentrale overheden. </w:t>
      </w:r>
    </w:p>
    <w:p w:rsidRPr="00552602" w:rsidR="00552602" w:rsidP="00552602" w:rsidRDefault="00552602">
      <w:pPr>
        <w:pStyle w:val="Geenafstand"/>
        <w:spacing w:line="240" w:lineRule="exact"/>
        <w:rPr>
          <w:rFonts w:ascii="Verdana" w:hAnsi="Verdana"/>
          <w:sz w:val="18"/>
          <w:szCs w:val="18"/>
        </w:rPr>
      </w:pPr>
    </w:p>
    <w:p w:rsidRPr="00552602" w:rsidR="00552602" w:rsidP="00552602" w:rsidRDefault="00552602">
      <w:pPr>
        <w:pStyle w:val="Geenafstand"/>
        <w:spacing w:line="240" w:lineRule="exact"/>
        <w:rPr>
          <w:rFonts w:ascii="Verdana" w:hAnsi="Verdana"/>
          <w:sz w:val="18"/>
          <w:szCs w:val="18"/>
        </w:rPr>
      </w:pPr>
    </w:p>
    <w:p w:rsidRPr="00552602" w:rsidR="00552602" w:rsidP="00552602" w:rsidRDefault="00552602">
      <w:pPr>
        <w:pStyle w:val="Geenafstand"/>
        <w:spacing w:line="240" w:lineRule="exact"/>
        <w:rPr>
          <w:rFonts w:ascii="Verdana" w:hAnsi="Verdana"/>
          <w:sz w:val="18"/>
          <w:szCs w:val="18"/>
        </w:rPr>
      </w:pPr>
    </w:p>
    <w:p w:rsidRPr="00552602" w:rsidR="00552602" w:rsidP="00552602" w:rsidRDefault="00552602">
      <w:pPr>
        <w:pStyle w:val="Geenafstand"/>
        <w:spacing w:line="240" w:lineRule="exact"/>
        <w:rPr>
          <w:rFonts w:ascii="Verdana" w:hAnsi="Verdana"/>
          <w:sz w:val="18"/>
          <w:szCs w:val="18"/>
        </w:rPr>
      </w:pPr>
    </w:p>
    <w:p w:rsidRPr="00552602" w:rsidR="00552602" w:rsidP="00552602" w:rsidRDefault="00552602">
      <w:pPr>
        <w:pStyle w:val="Geenafstand"/>
        <w:spacing w:line="240" w:lineRule="exact"/>
        <w:rPr>
          <w:rFonts w:ascii="Verdana" w:hAnsi="Verdana"/>
          <w:sz w:val="18"/>
          <w:szCs w:val="18"/>
        </w:rPr>
      </w:pPr>
      <w:r w:rsidRPr="00276B14">
        <w:rPr>
          <w:rFonts w:ascii="Verdana" w:hAnsi="Verdana"/>
          <w:sz w:val="18"/>
          <w:szCs w:val="18"/>
        </w:rPr>
        <w:br/>
      </w:r>
    </w:p>
    <w:p w:rsidRPr="00552602" w:rsidR="00552602" w:rsidP="00552602" w:rsidRDefault="00552602">
      <w:pPr>
        <w:pStyle w:val="Geenafstand"/>
        <w:spacing w:line="240" w:lineRule="exact"/>
        <w:rPr>
          <w:rFonts w:ascii="Verdana" w:hAnsi="Verdana"/>
          <w:sz w:val="18"/>
          <w:szCs w:val="18"/>
        </w:rPr>
      </w:pPr>
      <w:r w:rsidRPr="00552602">
        <w:rPr>
          <w:rFonts w:ascii="Verdana" w:hAnsi="Verdana"/>
          <w:i/>
          <w:sz w:val="18"/>
          <w:szCs w:val="18"/>
        </w:rPr>
        <w:lastRenderedPageBreak/>
        <w:t>Aflossingen op leningen</w:t>
      </w:r>
      <w:r w:rsidRPr="00552602">
        <w:rPr>
          <w:rFonts w:ascii="Verdana" w:hAnsi="Verdana"/>
          <w:sz w:val="18"/>
          <w:szCs w:val="18"/>
        </w:rPr>
        <w:br/>
        <w:t>Gewijzigde inzichten in het leengedrag van agentschappen en Rechtspersonen met een wettelijke taak leiden tot een aanpassing van de voorziene ontvangsten.</w:t>
      </w:r>
    </w:p>
    <w:p w:rsidRPr="00552602" w:rsidR="00552602" w:rsidP="00552602" w:rsidRDefault="00552602">
      <w:pPr>
        <w:pStyle w:val="Geenafstand"/>
        <w:spacing w:line="240" w:lineRule="exact"/>
        <w:rPr>
          <w:rFonts w:ascii="Verdana" w:hAnsi="Verdana"/>
          <w:sz w:val="18"/>
          <w:szCs w:val="18"/>
        </w:rPr>
      </w:pPr>
    </w:p>
    <w:p w:rsidRPr="00552602" w:rsidR="00552602" w:rsidP="00552602" w:rsidRDefault="00552602">
      <w:pPr>
        <w:pStyle w:val="Geenafstand"/>
        <w:spacing w:line="240" w:lineRule="exact"/>
        <w:rPr>
          <w:rFonts w:ascii="Verdana" w:hAnsi="Verdana"/>
          <w:i/>
          <w:sz w:val="18"/>
          <w:szCs w:val="18"/>
        </w:rPr>
      </w:pPr>
      <w:r w:rsidRPr="00552602">
        <w:rPr>
          <w:rFonts w:ascii="Verdana" w:hAnsi="Verdana"/>
          <w:i/>
          <w:sz w:val="18"/>
          <w:szCs w:val="18"/>
        </w:rPr>
        <w:t xml:space="preserve">Mutatie in rekening-courant en deposito </w:t>
      </w:r>
    </w:p>
    <w:p w:rsidRPr="00276B14" w:rsidR="00552602" w:rsidP="00552602" w:rsidRDefault="00552602">
      <w:pPr>
        <w:pStyle w:val="Geenafstand"/>
        <w:spacing w:line="240" w:lineRule="exact"/>
        <w:rPr>
          <w:rFonts w:ascii="Verdana" w:hAnsi="Verdana"/>
          <w:sz w:val="18"/>
          <w:szCs w:val="18"/>
        </w:rPr>
      </w:pPr>
      <w:proofErr w:type="spellStart"/>
      <w:r w:rsidRPr="00276B14">
        <w:rPr>
          <w:rFonts w:ascii="Verdana" w:hAnsi="Verdana"/>
          <w:sz w:val="18"/>
          <w:szCs w:val="18"/>
        </w:rPr>
        <w:t>RWT’s</w:t>
      </w:r>
      <w:proofErr w:type="spellEnd"/>
      <w:r w:rsidRPr="00276B14">
        <w:rPr>
          <w:rFonts w:ascii="Verdana" w:hAnsi="Verdana"/>
          <w:sz w:val="18"/>
          <w:szCs w:val="18"/>
        </w:rPr>
        <w:t xml:space="preserve"> en Decentrale Overheden hebben </w:t>
      </w:r>
      <w:r>
        <w:rPr>
          <w:rFonts w:ascii="Verdana" w:hAnsi="Verdana"/>
          <w:sz w:val="18"/>
          <w:szCs w:val="18"/>
        </w:rPr>
        <w:t xml:space="preserve">de </w:t>
      </w:r>
      <w:r w:rsidRPr="00276B14">
        <w:rPr>
          <w:rFonts w:ascii="Verdana" w:hAnsi="Verdana"/>
          <w:sz w:val="18"/>
          <w:szCs w:val="18"/>
        </w:rPr>
        <w:t>in de schatkist aangehouden middelen vergroot. Dit wordt geboekt als ontvangst op de begroting van Nationale Schuld.</w:t>
      </w:r>
    </w:p>
    <w:p w:rsidRPr="00552602" w:rsidR="00552602" w:rsidP="00552602" w:rsidRDefault="00552602">
      <w:pPr>
        <w:pStyle w:val="Geenafstand"/>
        <w:spacing w:line="240" w:lineRule="exact"/>
        <w:rPr>
          <w:rFonts w:ascii="Verdana" w:hAnsi="Verdana"/>
          <w:i/>
          <w:sz w:val="18"/>
          <w:szCs w:val="18"/>
        </w:rPr>
      </w:pPr>
      <w:r w:rsidRPr="00276B14">
        <w:rPr>
          <w:rFonts w:ascii="Verdana" w:hAnsi="Verdana"/>
          <w:sz w:val="18"/>
          <w:szCs w:val="18"/>
        </w:rPr>
        <w:br/>
      </w:r>
      <w:r w:rsidRPr="00552602">
        <w:rPr>
          <w:rFonts w:ascii="Verdana" w:hAnsi="Verdana"/>
          <w:i/>
          <w:sz w:val="18"/>
          <w:szCs w:val="18"/>
        </w:rPr>
        <w:t>Rente vaste schuld</w:t>
      </w:r>
    </w:p>
    <w:p w:rsidRPr="00552602" w:rsidR="00552602" w:rsidP="00552602" w:rsidRDefault="00552602">
      <w:pPr>
        <w:pStyle w:val="Geenafstand"/>
        <w:spacing w:line="240" w:lineRule="exact"/>
        <w:rPr>
          <w:rFonts w:ascii="Verdana" w:hAnsi="Verdana"/>
          <w:sz w:val="18"/>
          <w:szCs w:val="18"/>
        </w:rPr>
      </w:pPr>
      <w:r w:rsidRPr="00552602">
        <w:rPr>
          <w:rFonts w:ascii="Verdana" w:hAnsi="Verdana"/>
          <w:sz w:val="18"/>
          <w:szCs w:val="18"/>
        </w:rPr>
        <w:t xml:space="preserve">De rentebaten op de vaste schuld bestaan (nagenoeg volledig) uit baten op afgesloten swaps. </w:t>
      </w:r>
      <w:proofErr w:type="spellStart"/>
      <w:r w:rsidRPr="00552602">
        <w:rPr>
          <w:rFonts w:ascii="Verdana" w:hAnsi="Verdana"/>
          <w:sz w:val="18"/>
          <w:szCs w:val="18"/>
        </w:rPr>
        <w:t>Doordatswaps</w:t>
      </w:r>
      <w:proofErr w:type="spellEnd"/>
      <w:r w:rsidRPr="00552602">
        <w:rPr>
          <w:rFonts w:ascii="Verdana" w:hAnsi="Verdana"/>
          <w:sz w:val="18"/>
          <w:szCs w:val="18"/>
        </w:rPr>
        <w:t xml:space="preserve"> met een lange looptijd vroegtijdig worden  afgewikkeld vallen de ontvangsten lager uit. </w:t>
      </w:r>
    </w:p>
    <w:p w:rsidRPr="00552602" w:rsidR="00552602" w:rsidP="007B4C47" w:rsidRDefault="00552602">
      <w:pPr>
        <w:rPr>
          <w:rFonts w:ascii="Verdana" w:hAnsi="Verdana"/>
          <w:i/>
          <w:sz w:val="18"/>
          <w:szCs w:val="18"/>
        </w:rPr>
      </w:pPr>
      <w:r w:rsidRPr="00276B14">
        <w:rPr>
          <w:rFonts w:ascii="Verdana" w:hAnsi="Verdana"/>
          <w:sz w:val="18"/>
          <w:szCs w:val="18"/>
        </w:rPr>
        <w:br/>
      </w:r>
      <w:r w:rsidRPr="00552602">
        <w:rPr>
          <w:rFonts w:ascii="Verdana" w:hAnsi="Verdana"/>
          <w:i/>
          <w:sz w:val="18"/>
          <w:szCs w:val="18"/>
        </w:rPr>
        <w:t>Diversen</w:t>
      </w:r>
    </w:p>
    <w:p w:rsidRPr="00276B14" w:rsidR="00552602" w:rsidP="00552602" w:rsidRDefault="00552602">
      <w:pPr>
        <w:pStyle w:val="Geenafstand"/>
        <w:spacing w:line="240" w:lineRule="exact"/>
        <w:rPr>
          <w:rFonts w:ascii="Verdana" w:hAnsi="Verdana"/>
          <w:sz w:val="18"/>
          <w:szCs w:val="18"/>
        </w:rPr>
      </w:pPr>
      <w:r>
        <w:rPr>
          <w:rFonts w:ascii="Verdana" w:hAnsi="Verdana"/>
          <w:sz w:val="18"/>
          <w:szCs w:val="18"/>
        </w:rPr>
        <w:t xml:space="preserve">Dit betreft een restpost met onder andere rentebaten van </w:t>
      </w:r>
      <w:proofErr w:type="spellStart"/>
      <w:r>
        <w:rPr>
          <w:rFonts w:ascii="Verdana" w:hAnsi="Verdana"/>
          <w:sz w:val="18"/>
          <w:szCs w:val="18"/>
        </w:rPr>
        <w:t>RWT’s</w:t>
      </w:r>
      <w:proofErr w:type="spellEnd"/>
      <w:r>
        <w:rPr>
          <w:rFonts w:ascii="Verdana" w:hAnsi="Verdana"/>
          <w:sz w:val="18"/>
          <w:szCs w:val="18"/>
        </w:rPr>
        <w:t>.</w:t>
      </w:r>
    </w:p>
    <w:p w:rsidRPr="00552602" w:rsidR="00552602" w:rsidP="00552602" w:rsidRDefault="00552602">
      <w:pPr>
        <w:pStyle w:val="Geenafstand"/>
        <w:spacing w:line="240" w:lineRule="exact"/>
        <w:rPr>
          <w:rFonts w:ascii="Verdana" w:hAnsi="Verdana"/>
          <w:sz w:val="18"/>
          <w:szCs w:val="18"/>
        </w:rPr>
      </w:pPr>
      <w:r w:rsidRPr="00552602">
        <w:rPr>
          <w:rFonts w:ascii="Verdana" w:hAnsi="Verdana"/>
          <w:sz w:val="18"/>
          <w:szCs w:val="18"/>
        </w:rPr>
        <w:br w:type="page"/>
      </w:r>
    </w:p>
    <w:p w:rsidRPr="00C66432" w:rsidR="0055652F" w:rsidP="00533D5C" w:rsidRDefault="00C05141">
      <w:pPr>
        <w:spacing w:line="240" w:lineRule="exact"/>
        <w:rPr>
          <w:rFonts w:ascii="Verdana" w:hAnsi="Verdana" w:cs="Verdana"/>
          <w:b/>
          <w:bCs/>
          <w:sz w:val="18"/>
          <w:szCs w:val="18"/>
        </w:rPr>
      </w:pPr>
      <w:r w:rsidRPr="00C66432">
        <w:rPr>
          <w:rFonts w:ascii="Verdana" w:hAnsi="Verdana" w:cs="Verdana"/>
          <w:b/>
          <w:bCs/>
          <w:sz w:val="18"/>
          <w:szCs w:val="18"/>
        </w:rPr>
        <w:lastRenderedPageBreak/>
        <w:t>Financiën</w:t>
      </w:r>
    </w:p>
    <w:tbl>
      <w:tblPr>
        <w:tblW w:w="0" w:type="auto"/>
        <w:tblCellMar>
          <w:top w:w="15" w:type="dxa"/>
          <w:left w:w="15" w:type="dxa"/>
          <w:bottom w:w="15" w:type="dxa"/>
          <w:right w:w="15" w:type="dxa"/>
        </w:tblCellMar>
        <w:tblLook w:val="04A0"/>
      </w:tblPr>
      <w:tblGrid>
        <w:gridCol w:w="8220"/>
        <w:gridCol w:w="882"/>
      </w:tblGrid>
      <w:tr w:rsidR="00760152" w:rsidTr="004611F8">
        <w:tc>
          <w:tcPr>
            <w:tcW w:w="8220" w:type="dxa"/>
            <w:tcBorders>
              <w:left w:val="nil"/>
              <w:right w:val="nil"/>
            </w:tcBorders>
            <w:hideMark/>
          </w:tcPr>
          <w:p w:rsidR="00760152" w:rsidP="006D23DC" w:rsidRDefault="00760152">
            <w:pPr>
              <w:rPr>
                <w:rFonts w:ascii="Verdana" w:hAnsi="Verdana"/>
                <w:sz w:val="18"/>
                <w:szCs w:val="18"/>
              </w:rPr>
            </w:pPr>
            <w:r>
              <w:rPr>
                <w:rFonts w:ascii="Verdana" w:hAnsi="Verdana"/>
                <w:sz w:val="18"/>
                <w:szCs w:val="18"/>
              </w:rPr>
              <w:t> </w:t>
            </w:r>
          </w:p>
        </w:tc>
        <w:tc>
          <w:tcPr>
            <w:tcW w:w="882" w:type="dxa"/>
            <w:tcBorders>
              <w:left w:val="nil"/>
              <w:right w:val="nil"/>
            </w:tcBorders>
            <w:hideMark/>
          </w:tcPr>
          <w:p w:rsidR="00760152" w:rsidP="006D23DC" w:rsidRDefault="00760152">
            <w:pPr>
              <w:rPr>
                <w:rFonts w:ascii="Verdana" w:hAnsi="Verdana"/>
                <w:sz w:val="18"/>
                <w:szCs w:val="18"/>
              </w:rPr>
            </w:pPr>
            <w:r>
              <w:rPr>
                <w:rFonts w:ascii="Verdana" w:hAnsi="Verdana"/>
                <w:sz w:val="18"/>
                <w:szCs w:val="18"/>
              </w:rPr>
              <w:t> </w:t>
            </w:r>
          </w:p>
        </w:tc>
      </w:tr>
      <w:tr w:rsidR="00760152" w:rsidTr="004611F8">
        <w:tc>
          <w:tcPr>
            <w:tcW w:w="8220" w:type="dxa"/>
            <w:tcBorders>
              <w:left w:val="nil"/>
              <w:right w:val="nil"/>
            </w:tcBorders>
            <w:hideMark/>
          </w:tcPr>
          <w:p w:rsidR="00760152" w:rsidP="006D23DC" w:rsidRDefault="00760152">
            <w:pPr>
              <w:rPr>
                <w:rFonts w:ascii="Verdana" w:hAnsi="Verdana"/>
                <w:sz w:val="18"/>
                <w:szCs w:val="18"/>
              </w:rPr>
            </w:pPr>
            <w:r>
              <w:rPr>
                <w:rFonts w:ascii="Verdana" w:hAnsi="Verdana"/>
                <w:sz w:val="18"/>
                <w:szCs w:val="18"/>
              </w:rPr>
              <w:t>IXB FINANCIEN: UITGAVEN</w:t>
            </w:r>
          </w:p>
        </w:tc>
        <w:tc>
          <w:tcPr>
            <w:tcW w:w="882" w:type="dxa"/>
            <w:hideMark/>
          </w:tcPr>
          <w:p w:rsidR="00760152" w:rsidP="006D23DC" w:rsidRDefault="00760152">
            <w:pPr>
              <w:rPr>
                <w:sz w:val="20"/>
                <w:szCs w:val="20"/>
              </w:rPr>
            </w:pPr>
          </w:p>
        </w:tc>
      </w:tr>
      <w:tr w:rsidR="004611F8" w:rsidTr="004611F8">
        <w:tc>
          <w:tcPr>
            <w:tcW w:w="8220" w:type="dxa"/>
            <w:tcBorders>
              <w:top w:val="single" w:color="000000" w:sz="6" w:space="0"/>
              <w:left w:val="nil"/>
              <w:bottom w:val="single" w:color="000000" w:sz="6" w:space="0"/>
              <w:right w:val="nil"/>
            </w:tcBorders>
            <w:hideMark/>
          </w:tcPr>
          <w:p w:rsidR="004611F8" w:rsidRDefault="004611F8">
            <w:pPr>
              <w:rPr>
                <w:rFonts w:ascii="Verdana" w:hAnsi="Verdana"/>
                <w:b/>
                <w:bCs/>
                <w:color w:val="000000"/>
                <w:sz w:val="18"/>
                <w:szCs w:val="18"/>
              </w:rPr>
            </w:pPr>
          </w:p>
        </w:tc>
        <w:tc>
          <w:tcPr>
            <w:tcW w:w="882" w:type="dxa"/>
            <w:tcBorders>
              <w:top w:val="single" w:color="000000" w:sz="6" w:space="0"/>
              <w:left w:val="nil"/>
              <w:bottom w:val="single" w:color="000000" w:sz="6" w:space="0"/>
              <w:right w:val="nil"/>
            </w:tcBorders>
            <w:hideMark/>
          </w:tcPr>
          <w:p w:rsidR="004611F8" w:rsidP="00A34B8E" w:rsidRDefault="004611F8">
            <w:pPr>
              <w:jc w:val="right"/>
              <w:rPr>
                <w:rFonts w:ascii="Verdana" w:hAnsi="Verdana"/>
                <w:color w:val="000000"/>
                <w:sz w:val="18"/>
                <w:szCs w:val="18"/>
              </w:rPr>
            </w:pPr>
            <w:r>
              <w:rPr>
                <w:rFonts w:ascii="Verdana" w:hAnsi="Verdana"/>
                <w:color w:val="000000"/>
                <w:sz w:val="18"/>
                <w:szCs w:val="18"/>
              </w:rPr>
              <w:t>2015</w:t>
            </w:r>
          </w:p>
        </w:tc>
      </w:tr>
      <w:tr w:rsidR="004611F8" w:rsidTr="004611F8">
        <w:tc>
          <w:tcPr>
            <w:tcW w:w="8220" w:type="dxa"/>
            <w:tcBorders>
              <w:left w:val="nil"/>
              <w:right w:val="nil"/>
            </w:tcBorders>
            <w:tcMar>
              <w:top w:w="15" w:type="dxa"/>
              <w:left w:w="180" w:type="dxa"/>
              <w:bottom w:w="15" w:type="dxa"/>
              <w:right w:w="15" w:type="dxa"/>
            </w:tcMar>
            <w:hideMark/>
          </w:tcPr>
          <w:p w:rsidR="004611F8" w:rsidRDefault="004611F8">
            <w:pPr>
              <w:rPr>
                <w:rFonts w:ascii="Verdana" w:hAnsi="Verdana"/>
                <w:color w:val="000000"/>
                <w:sz w:val="18"/>
                <w:szCs w:val="18"/>
              </w:rPr>
            </w:pPr>
            <w:r>
              <w:rPr>
                <w:rFonts w:ascii="Verdana" w:hAnsi="Verdana"/>
                <w:color w:val="000000"/>
                <w:sz w:val="18"/>
                <w:szCs w:val="18"/>
              </w:rPr>
              <w:t>Stand Miljoenennota 2016 (excl. IS)</w:t>
            </w:r>
          </w:p>
        </w:tc>
        <w:tc>
          <w:tcPr>
            <w:tcW w:w="882" w:type="dxa"/>
            <w:hideMark/>
          </w:tcPr>
          <w:p w:rsidR="004611F8" w:rsidP="004611F8" w:rsidRDefault="004611F8">
            <w:pPr>
              <w:jc w:val="right"/>
              <w:rPr>
                <w:rFonts w:ascii="Verdana" w:hAnsi="Verdana"/>
                <w:color w:val="000000"/>
                <w:sz w:val="18"/>
                <w:szCs w:val="18"/>
              </w:rPr>
            </w:pPr>
            <w:r>
              <w:rPr>
                <w:rFonts w:ascii="Verdana" w:hAnsi="Verdana"/>
                <w:color w:val="000000"/>
                <w:sz w:val="18"/>
                <w:szCs w:val="18"/>
              </w:rPr>
              <w:t>6.656,9</w:t>
            </w:r>
          </w:p>
        </w:tc>
      </w:tr>
      <w:tr w:rsidR="004611F8" w:rsidTr="004611F8">
        <w:tc>
          <w:tcPr>
            <w:tcW w:w="8220" w:type="dxa"/>
            <w:tcBorders>
              <w:left w:val="nil"/>
              <w:right w:val="nil"/>
            </w:tcBorders>
            <w:tcMar>
              <w:top w:w="15" w:type="dxa"/>
              <w:left w:w="360" w:type="dxa"/>
              <w:bottom w:w="15" w:type="dxa"/>
              <w:right w:w="15" w:type="dxa"/>
            </w:tcMar>
            <w:hideMark/>
          </w:tcPr>
          <w:p w:rsidR="004611F8" w:rsidRDefault="004611F8">
            <w:pPr>
              <w:rPr>
                <w:rFonts w:ascii="Verdana" w:hAnsi="Verdana"/>
                <w:color w:val="000000"/>
                <w:sz w:val="18"/>
                <w:szCs w:val="18"/>
              </w:rPr>
            </w:pPr>
            <w:r>
              <w:rPr>
                <w:rFonts w:ascii="Verdana" w:hAnsi="Verdana"/>
                <w:color w:val="000000"/>
                <w:sz w:val="18"/>
                <w:szCs w:val="18"/>
              </w:rPr>
              <w:t>Beleidsmatige mutaties</w:t>
            </w:r>
          </w:p>
        </w:tc>
        <w:tc>
          <w:tcPr>
            <w:tcW w:w="882" w:type="dxa"/>
            <w:tcBorders>
              <w:left w:val="nil"/>
              <w:right w:val="nil"/>
            </w:tcBorders>
            <w:vAlign w:val="bottom"/>
            <w:hideMark/>
          </w:tcPr>
          <w:p w:rsidR="004611F8" w:rsidRDefault="004611F8">
            <w:pPr>
              <w:rPr>
                <w:rFonts w:ascii="Verdana" w:hAnsi="Verdana"/>
                <w:color w:val="000000"/>
                <w:sz w:val="14"/>
                <w:szCs w:val="14"/>
              </w:rPr>
            </w:pPr>
          </w:p>
        </w:tc>
      </w:tr>
      <w:tr w:rsidR="004611F8" w:rsidTr="004611F8">
        <w:tc>
          <w:tcPr>
            <w:tcW w:w="8220" w:type="dxa"/>
            <w:tcBorders>
              <w:left w:val="nil"/>
              <w:right w:val="nil"/>
            </w:tcBorders>
            <w:tcMar>
              <w:top w:w="15" w:type="dxa"/>
              <w:left w:w="360" w:type="dxa"/>
              <w:bottom w:w="15" w:type="dxa"/>
              <w:right w:w="15" w:type="dxa"/>
            </w:tcMar>
            <w:hideMark/>
          </w:tcPr>
          <w:p w:rsidR="004611F8" w:rsidRDefault="004611F8">
            <w:pPr>
              <w:ind w:firstLine="180" w:firstLineChars="100"/>
              <w:rPr>
                <w:rFonts w:ascii="Verdana" w:hAnsi="Verdana"/>
                <w:color w:val="000000"/>
                <w:sz w:val="18"/>
                <w:szCs w:val="18"/>
              </w:rPr>
            </w:pPr>
            <w:r>
              <w:rPr>
                <w:rFonts w:ascii="Verdana" w:hAnsi="Verdana"/>
                <w:color w:val="000000"/>
                <w:sz w:val="18"/>
                <w:szCs w:val="18"/>
              </w:rPr>
              <w:t>Rijksbegroting in enge zin</w:t>
            </w:r>
          </w:p>
        </w:tc>
        <w:tc>
          <w:tcPr>
            <w:tcW w:w="882" w:type="dxa"/>
            <w:tcBorders>
              <w:left w:val="nil"/>
              <w:right w:val="nil"/>
            </w:tcBorders>
            <w:vAlign w:val="bottom"/>
            <w:hideMark/>
          </w:tcPr>
          <w:p w:rsidR="004611F8" w:rsidRDefault="004611F8">
            <w:pPr>
              <w:rPr>
                <w:rFonts w:ascii="Verdana" w:hAnsi="Verdana"/>
                <w:color w:val="000000"/>
                <w:sz w:val="14"/>
                <w:szCs w:val="14"/>
              </w:rPr>
            </w:pPr>
          </w:p>
        </w:tc>
      </w:tr>
      <w:tr w:rsidR="004611F8" w:rsidTr="004611F8">
        <w:tc>
          <w:tcPr>
            <w:tcW w:w="8220" w:type="dxa"/>
            <w:tcBorders>
              <w:left w:val="nil"/>
              <w:right w:val="nil"/>
            </w:tcBorders>
            <w:tcMar>
              <w:top w:w="15" w:type="dxa"/>
              <w:left w:w="360" w:type="dxa"/>
              <w:bottom w:w="15" w:type="dxa"/>
              <w:right w:w="15" w:type="dxa"/>
            </w:tcMar>
            <w:hideMark/>
          </w:tcPr>
          <w:p w:rsidR="004611F8" w:rsidRDefault="004611F8">
            <w:pPr>
              <w:ind w:firstLine="360" w:firstLineChars="200"/>
              <w:rPr>
                <w:rFonts w:ascii="Verdana" w:hAnsi="Verdana"/>
                <w:color w:val="000000"/>
                <w:sz w:val="18"/>
                <w:szCs w:val="18"/>
              </w:rPr>
            </w:pPr>
            <w:r>
              <w:rPr>
                <w:rFonts w:ascii="Verdana" w:hAnsi="Verdana"/>
                <w:color w:val="000000"/>
                <w:sz w:val="18"/>
                <w:szCs w:val="18"/>
              </w:rPr>
              <w:t xml:space="preserve">Bijstelling </w:t>
            </w:r>
            <w:proofErr w:type="spellStart"/>
            <w:r>
              <w:rPr>
                <w:rFonts w:ascii="Verdana" w:hAnsi="Verdana"/>
                <w:color w:val="000000"/>
                <w:sz w:val="18"/>
                <w:szCs w:val="18"/>
              </w:rPr>
              <w:t>bir</w:t>
            </w:r>
            <w:proofErr w:type="spellEnd"/>
          </w:p>
        </w:tc>
        <w:tc>
          <w:tcPr>
            <w:tcW w:w="882" w:type="dxa"/>
            <w:tcBorders>
              <w:left w:val="nil"/>
              <w:right w:val="nil"/>
            </w:tcBorders>
            <w:hideMark/>
          </w:tcPr>
          <w:p w:rsidR="004611F8" w:rsidRDefault="004611F8">
            <w:pPr>
              <w:jc w:val="right"/>
              <w:rPr>
                <w:rFonts w:ascii="Verdana" w:hAnsi="Verdana"/>
                <w:color w:val="000000"/>
                <w:sz w:val="18"/>
                <w:szCs w:val="18"/>
              </w:rPr>
            </w:pPr>
            <w:r>
              <w:rPr>
                <w:rFonts w:ascii="Verdana" w:hAnsi="Verdana"/>
                <w:color w:val="000000"/>
                <w:sz w:val="18"/>
                <w:szCs w:val="18"/>
              </w:rPr>
              <w:t>-86,6</w:t>
            </w:r>
          </w:p>
        </w:tc>
      </w:tr>
      <w:tr w:rsidR="004611F8" w:rsidTr="004611F8">
        <w:tc>
          <w:tcPr>
            <w:tcW w:w="8220" w:type="dxa"/>
            <w:tcBorders>
              <w:left w:val="nil"/>
              <w:right w:val="nil"/>
            </w:tcBorders>
            <w:tcMar>
              <w:top w:w="15" w:type="dxa"/>
              <w:left w:w="360" w:type="dxa"/>
              <w:bottom w:w="15" w:type="dxa"/>
              <w:right w:w="15" w:type="dxa"/>
            </w:tcMar>
            <w:hideMark/>
          </w:tcPr>
          <w:p w:rsidR="004611F8" w:rsidRDefault="004611F8">
            <w:pPr>
              <w:ind w:firstLine="360" w:firstLineChars="200"/>
              <w:rPr>
                <w:rFonts w:ascii="Verdana" w:hAnsi="Verdana"/>
                <w:color w:val="000000"/>
                <w:sz w:val="18"/>
                <w:szCs w:val="18"/>
              </w:rPr>
            </w:pPr>
            <w:r>
              <w:rPr>
                <w:rFonts w:ascii="Verdana" w:hAnsi="Verdana"/>
                <w:color w:val="000000"/>
                <w:sz w:val="18"/>
                <w:szCs w:val="18"/>
              </w:rPr>
              <w:t>Onderuitputting eigen personeel</w:t>
            </w:r>
          </w:p>
        </w:tc>
        <w:tc>
          <w:tcPr>
            <w:tcW w:w="882" w:type="dxa"/>
            <w:tcBorders>
              <w:left w:val="nil"/>
              <w:right w:val="nil"/>
            </w:tcBorders>
            <w:hideMark/>
          </w:tcPr>
          <w:p w:rsidR="004611F8" w:rsidRDefault="004611F8">
            <w:pPr>
              <w:jc w:val="right"/>
              <w:rPr>
                <w:rFonts w:ascii="Verdana" w:hAnsi="Verdana"/>
                <w:color w:val="000000"/>
                <w:sz w:val="18"/>
                <w:szCs w:val="18"/>
              </w:rPr>
            </w:pPr>
            <w:r>
              <w:rPr>
                <w:rFonts w:ascii="Verdana" w:hAnsi="Verdana"/>
                <w:color w:val="000000"/>
                <w:sz w:val="18"/>
                <w:szCs w:val="18"/>
              </w:rPr>
              <w:t>-31</w:t>
            </w:r>
            <w:r w:rsidR="007070E7">
              <w:rPr>
                <w:rFonts w:ascii="Verdana" w:hAnsi="Verdana"/>
                <w:color w:val="000000"/>
                <w:sz w:val="18"/>
                <w:szCs w:val="18"/>
              </w:rPr>
              <w:t>,0</w:t>
            </w:r>
          </w:p>
        </w:tc>
      </w:tr>
      <w:tr w:rsidR="004611F8" w:rsidTr="004611F8">
        <w:tc>
          <w:tcPr>
            <w:tcW w:w="8220" w:type="dxa"/>
            <w:tcBorders>
              <w:left w:val="nil"/>
              <w:right w:val="nil"/>
            </w:tcBorders>
            <w:hideMark/>
          </w:tcPr>
          <w:p w:rsidR="004611F8" w:rsidRDefault="004611F8">
            <w:pPr>
              <w:ind w:firstLine="360" w:firstLineChars="200"/>
              <w:rPr>
                <w:rFonts w:ascii="Verdana" w:hAnsi="Verdana"/>
                <w:color w:val="000000"/>
                <w:sz w:val="18"/>
                <w:szCs w:val="18"/>
              </w:rPr>
            </w:pPr>
            <w:r>
              <w:rPr>
                <w:rFonts w:ascii="Verdana" w:hAnsi="Verdana"/>
                <w:color w:val="000000"/>
                <w:sz w:val="18"/>
                <w:szCs w:val="18"/>
              </w:rPr>
              <w:t xml:space="preserve">Schade-uitkering </w:t>
            </w:r>
            <w:proofErr w:type="spellStart"/>
            <w:r>
              <w:rPr>
                <w:rFonts w:ascii="Verdana" w:hAnsi="Verdana"/>
                <w:color w:val="000000"/>
                <w:sz w:val="18"/>
                <w:szCs w:val="18"/>
              </w:rPr>
              <w:t>ekv</w:t>
            </w:r>
            <w:proofErr w:type="spellEnd"/>
          </w:p>
        </w:tc>
        <w:tc>
          <w:tcPr>
            <w:tcW w:w="882" w:type="dxa"/>
            <w:tcBorders>
              <w:left w:val="nil"/>
              <w:right w:val="nil"/>
            </w:tcBorders>
            <w:hideMark/>
          </w:tcPr>
          <w:p w:rsidR="004611F8" w:rsidRDefault="004611F8">
            <w:pPr>
              <w:jc w:val="right"/>
              <w:rPr>
                <w:rFonts w:ascii="Verdana" w:hAnsi="Verdana"/>
                <w:color w:val="000000"/>
                <w:sz w:val="18"/>
                <w:szCs w:val="18"/>
              </w:rPr>
            </w:pPr>
            <w:r>
              <w:rPr>
                <w:rFonts w:ascii="Verdana" w:hAnsi="Verdana"/>
                <w:color w:val="000000"/>
                <w:sz w:val="18"/>
                <w:szCs w:val="18"/>
              </w:rPr>
              <w:t>25,1</w:t>
            </w:r>
          </w:p>
        </w:tc>
      </w:tr>
      <w:tr w:rsidR="004611F8" w:rsidTr="004611F8">
        <w:tc>
          <w:tcPr>
            <w:tcW w:w="8220" w:type="dxa"/>
            <w:tcBorders>
              <w:left w:val="nil"/>
              <w:right w:val="nil"/>
            </w:tcBorders>
            <w:hideMark/>
          </w:tcPr>
          <w:p w:rsidR="004611F8" w:rsidRDefault="004611F8">
            <w:pPr>
              <w:ind w:firstLine="360" w:firstLineChars="200"/>
              <w:rPr>
                <w:rFonts w:ascii="Verdana" w:hAnsi="Verdana"/>
                <w:color w:val="000000"/>
                <w:sz w:val="18"/>
                <w:szCs w:val="18"/>
              </w:rPr>
            </w:pPr>
            <w:r>
              <w:rPr>
                <w:rFonts w:ascii="Verdana" w:hAnsi="Verdana"/>
                <w:color w:val="000000"/>
                <w:sz w:val="18"/>
                <w:szCs w:val="18"/>
              </w:rPr>
              <w:t>Diversen</w:t>
            </w:r>
          </w:p>
        </w:tc>
        <w:tc>
          <w:tcPr>
            <w:tcW w:w="882" w:type="dxa"/>
            <w:tcBorders>
              <w:bottom w:val="single" w:color="000000" w:sz="6" w:space="0"/>
            </w:tcBorders>
            <w:hideMark/>
          </w:tcPr>
          <w:p w:rsidR="004611F8" w:rsidRDefault="004611F8">
            <w:pPr>
              <w:jc w:val="right"/>
              <w:rPr>
                <w:rFonts w:ascii="Verdana" w:hAnsi="Verdana"/>
                <w:color w:val="000000"/>
                <w:sz w:val="18"/>
                <w:szCs w:val="18"/>
              </w:rPr>
            </w:pPr>
            <w:r>
              <w:rPr>
                <w:rFonts w:ascii="Verdana" w:hAnsi="Verdana"/>
                <w:color w:val="000000"/>
                <w:sz w:val="18"/>
                <w:szCs w:val="18"/>
              </w:rPr>
              <w:t>-31,8</w:t>
            </w:r>
          </w:p>
        </w:tc>
      </w:tr>
      <w:tr w:rsidR="004611F8" w:rsidTr="004611F8">
        <w:tc>
          <w:tcPr>
            <w:tcW w:w="8220" w:type="dxa"/>
            <w:tcBorders>
              <w:left w:val="nil"/>
              <w:right w:val="nil"/>
            </w:tcBorders>
            <w:tcMar>
              <w:top w:w="15" w:type="dxa"/>
              <w:left w:w="180" w:type="dxa"/>
              <w:bottom w:w="15" w:type="dxa"/>
              <w:right w:w="15" w:type="dxa"/>
            </w:tcMar>
            <w:hideMark/>
          </w:tcPr>
          <w:p w:rsidR="004611F8" w:rsidRDefault="004611F8">
            <w:pPr>
              <w:rPr>
                <w:rFonts w:ascii="Verdana" w:hAnsi="Verdana"/>
                <w:color w:val="000000"/>
                <w:sz w:val="18"/>
                <w:szCs w:val="18"/>
              </w:rPr>
            </w:pPr>
          </w:p>
        </w:tc>
        <w:tc>
          <w:tcPr>
            <w:tcW w:w="882" w:type="dxa"/>
            <w:tcBorders>
              <w:top w:val="single" w:color="000000" w:sz="6" w:space="0"/>
            </w:tcBorders>
            <w:hideMark/>
          </w:tcPr>
          <w:p w:rsidR="004611F8" w:rsidRDefault="004611F8">
            <w:pPr>
              <w:jc w:val="right"/>
              <w:rPr>
                <w:rFonts w:ascii="Verdana" w:hAnsi="Verdana"/>
                <w:color w:val="000000"/>
                <w:sz w:val="18"/>
                <w:szCs w:val="18"/>
              </w:rPr>
            </w:pPr>
            <w:r>
              <w:rPr>
                <w:rFonts w:ascii="Verdana" w:hAnsi="Verdana"/>
                <w:color w:val="000000"/>
                <w:sz w:val="18"/>
                <w:szCs w:val="18"/>
              </w:rPr>
              <w:t>-124,3</w:t>
            </w:r>
          </w:p>
        </w:tc>
      </w:tr>
      <w:tr w:rsidR="004611F8" w:rsidTr="004611F8">
        <w:tc>
          <w:tcPr>
            <w:tcW w:w="8220" w:type="dxa"/>
            <w:tcBorders>
              <w:left w:val="nil"/>
              <w:right w:val="nil"/>
            </w:tcBorders>
            <w:tcMar>
              <w:top w:w="15" w:type="dxa"/>
              <w:left w:w="360" w:type="dxa"/>
              <w:bottom w:w="15" w:type="dxa"/>
              <w:right w:w="15" w:type="dxa"/>
            </w:tcMar>
            <w:hideMark/>
          </w:tcPr>
          <w:p w:rsidR="004611F8" w:rsidRDefault="004611F8">
            <w:pPr>
              <w:rPr>
                <w:rFonts w:ascii="Verdana" w:hAnsi="Verdana"/>
                <w:color w:val="000000"/>
                <w:sz w:val="18"/>
                <w:szCs w:val="18"/>
              </w:rPr>
            </w:pPr>
            <w:r>
              <w:rPr>
                <w:rFonts w:ascii="Verdana" w:hAnsi="Verdana"/>
                <w:color w:val="000000"/>
                <w:sz w:val="18"/>
                <w:szCs w:val="18"/>
              </w:rPr>
              <w:t>Technische mutaties</w:t>
            </w:r>
          </w:p>
        </w:tc>
        <w:tc>
          <w:tcPr>
            <w:tcW w:w="882" w:type="dxa"/>
            <w:tcBorders>
              <w:left w:val="nil"/>
              <w:right w:val="nil"/>
            </w:tcBorders>
            <w:vAlign w:val="bottom"/>
            <w:hideMark/>
          </w:tcPr>
          <w:p w:rsidR="004611F8" w:rsidRDefault="004611F8">
            <w:pPr>
              <w:rPr>
                <w:rFonts w:ascii="Verdana" w:hAnsi="Verdana"/>
                <w:color w:val="000000"/>
                <w:sz w:val="14"/>
                <w:szCs w:val="14"/>
              </w:rPr>
            </w:pPr>
          </w:p>
        </w:tc>
      </w:tr>
      <w:tr w:rsidR="004611F8" w:rsidTr="004611F8">
        <w:tc>
          <w:tcPr>
            <w:tcW w:w="8220" w:type="dxa"/>
            <w:tcBorders>
              <w:left w:val="nil"/>
              <w:right w:val="nil"/>
            </w:tcBorders>
            <w:tcMar>
              <w:top w:w="15" w:type="dxa"/>
              <w:left w:w="180" w:type="dxa"/>
              <w:bottom w:w="15" w:type="dxa"/>
              <w:right w:w="15" w:type="dxa"/>
            </w:tcMar>
            <w:hideMark/>
          </w:tcPr>
          <w:p w:rsidR="004611F8" w:rsidRDefault="004611F8">
            <w:pPr>
              <w:ind w:firstLine="180" w:firstLineChars="100"/>
              <w:rPr>
                <w:rFonts w:ascii="Verdana" w:hAnsi="Verdana"/>
                <w:color w:val="000000"/>
                <w:sz w:val="18"/>
                <w:szCs w:val="18"/>
              </w:rPr>
            </w:pPr>
            <w:r>
              <w:rPr>
                <w:rFonts w:ascii="Verdana" w:hAnsi="Verdana"/>
                <w:color w:val="000000"/>
                <w:sz w:val="18"/>
                <w:szCs w:val="18"/>
              </w:rPr>
              <w:t>Rijksbegroting in enge zin</w:t>
            </w:r>
          </w:p>
        </w:tc>
        <w:tc>
          <w:tcPr>
            <w:tcW w:w="882" w:type="dxa"/>
            <w:vAlign w:val="bottom"/>
            <w:hideMark/>
          </w:tcPr>
          <w:p w:rsidR="004611F8" w:rsidRDefault="004611F8">
            <w:pPr>
              <w:rPr>
                <w:rFonts w:ascii="Verdana" w:hAnsi="Verdana"/>
                <w:color w:val="000000"/>
                <w:sz w:val="14"/>
                <w:szCs w:val="14"/>
              </w:rPr>
            </w:pPr>
          </w:p>
        </w:tc>
      </w:tr>
      <w:tr w:rsidR="004611F8" w:rsidTr="004611F8">
        <w:tc>
          <w:tcPr>
            <w:tcW w:w="8220" w:type="dxa"/>
            <w:tcBorders>
              <w:left w:val="nil"/>
              <w:right w:val="nil"/>
            </w:tcBorders>
            <w:tcMar>
              <w:top w:w="15" w:type="dxa"/>
              <w:left w:w="360" w:type="dxa"/>
              <w:bottom w:w="15" w:type="dxa"/>
              <w:right w:w="15" w:type="dxa"/>
            </w:tcMar>
            <w:hideMark/>
          </w:tcPr>
          <w:p w:rsidR="004611F8" w:rsidRDefault="004611F8">
            <w:pPr>
              <w:ind w:firstLine="360" w:firstLineChars="200"/>
              <w:rPr>
                <w:rFonts w:ascii="Verdana" w:hAnsi="Verdana"/>
                <w:color w:val="000000"/>
                <w:sz w:val="18"/>
                <w:szCs w:val="18"/>
              </w:rPr>
            </w:pPr>
            <w:r>
              <w:rPr>
                <w:rFonts w:ascii="Verdana" w:hAnsi="Verdana"/>
                <w:color w:val="000000"/>
                <w:sz w:val="18"/>
                <w:szCs w:val="18"/>
              </w:rPr>
              <w:t>Diversen</w:t>
            </w:r>
          </w:p>
        </w:tc>
        <w:tc>
          <w:tcPr>
            <w:tcW w:w="882" w:type="dxa"/>
            <w:tcBorders>
              <w:left w:val="nil"/>
              <w:right w:val="nil"/>
            </w:tcBorders>
            <w:hideMark/>
          </w:tcPr>
          <w:p w:rsidR="004611F8" w:rsidRDefault="004611F8">
            <w:pPr>
              <w:jc w:val="right"/>
              <w:rPr>
                <w:rFonts w:ascii="Verdana" w:hAnsi="Verdana"/>
                <w:color w:val="000000"/>
                <w:sz w:val="18"/>
                <w:szCs w:val="18"/>
              </w:rPr>
            </w:pPr>
            <w:r>
              <w:rPr>
                <w:rFonts w:ascii="Verdana" w:hAnsi="Verdana"/>
                <w:color w:val="000000"/>
                <w:sz w:val="18"/>
                <w:szCs w:val="18"/>
              </w:rPr>
              <w:t>25,1</w:t>
            </w:r>
          </w:p>
        </w:tc>
      </w:tr>
      <w:tr w:rsidR="004611F8" w:rsidTr="004611F8">
        <w:tc>
          <w:tcPr>
            <w:tcW w:w="8220" w:type="dxa"/>
            <w:tcBorders>
              <w:left w:val="nil"/>
              <w:right w:val="nil"/>
            </w:tcBorders>
            <w:tcMar>
              <w:top w:w="15" w:type="dxa"/>
              <w:left w:w="360" w:type="dxa"/>
              <w:bottom w:w="15" w:type="dxa"/>
              <w:right w:w="15" w:type="dxa"/>
            </w:tcMar>
            <w:hideMark/>
          </w:tcPr>
          <w:p w:rsidR="004611F8" w:rsidRDefault="004611F8">
            <w:pPr>
              <w:ind w:firstLine="180" w:firstLineChars="100"/>
              <w:rPr>
                <w:rFonts w:ascii="Verdana" w:hAnsi="Verdana"/>
                <w:color w:val="000000"/>
                <w:sz w:val="18"/>
                <w:szCs w:val="18"/>
              </w:rPr>
            </w:pPr>
            <w:r>
              <w:rPr>
                <w:rFonts w:ascii="Verdana" w:hAnsi="Verdana"/>
                <w:color w:val="000000"/>
                <w:sz w:val="18"/>
                <w:szCs w:val="18"/>
              </w:rPr>
              <w:t xml:space="preserve">Niet tot een </w:t>
            </w:r>
            <w:proofErr w:type="spellStart"/>
            <w:r>
              <w:rPr>
                <w:rFonts w:ascii="Verdana" w:hAnsi="Verdana"/>
                <w:color w:val="000000"/>
                <w:sz w:val="18"/>
                <w:szCs w:val="18"/>
              </w:rPr>
              <w:t>ijklijn</w:t>
            </w:r>
            <w:proofErr w:type="spellEnd"/>
            <w:r>
              <w:rPr>
                <w:rFonts w:ascii="Verdana" w:hAnsi="Verdana"/>
                <w:color w:val="000000"/>
                <w:sz w:val="18"/>
                <w:szCs w:val="18"/>
              </w:rPr>
              <w:t xml:space="preserve"> behorend</w:t>
            </w:r>
          </w:p>
        </w:tc>
        <w:tc>
          <w:tcPr>
            <w:tcW w:w="882" w:type="dxa"/>
            <w:tcBorders>
              <w:left w:val="nil"/>
              <w:right w:val="nil"/>
            </w:tcBorders>
            <w:vAlign w:val="bottom"/>
            <w:hideMark/>
          </w:tcPr>
          <w:p w:rsidR="004611F8" w:rsidRDefault="004611F8">
            <w:pPr>
              <w:rPr>
                <w:rFonts w:ascii="Verdana" w:hAnsi="Verdana"/>
                <w:color w:val="000000"/>
                <w:sz w:val="14"/>
                <w:szCs w:val="14"/>
              </w:rPr>
            </w:pPr>
          </w:p>
        </w:tc>
      </w:tr>
      <w:tr w:rsidR="004611F8" w:rsidTr="004611F8">
        <w:tc>
          <w:tcPr>
            <w:tcW w:w="8220" w:type="dxa"/>
            <w:tcBorders>
              <w:left w:val="nil"/>
              <w:right w:val="nil"/>
            </w:tcBorders>
            <w:hideMark/>
          </w:tcPr>
          <w:p w:rsidR="004611F8" w:rsidRDefault="004611F8">
            <w:pPr>
              <w:ind w:firstLine="360" w:firstLineChars="200"/>
              <w:rPr>
                <w:rFonts w:ascii="Verdana" w:hAnsi="Verdana"/>
                <w:color w:val="000000"/>
                <w:sz w:val="18"/>
                <w:szCs w:val="18"/>
              </w:rPr>
            </w:pPr>
            <w:r>
              <w:rPr>
                <w:rFonts w:ascii="Verdana" w:hAnsi="Verdana"/>
                <w:color w:val="000000"/>
                <w:sz w:val="18"/>
                <w:szCs w:val="18"/>
              </w:rPr>
              <w:t xml:space="preserve">Aankoop </w:t>
            </w:r>
            <w:proofErr w:type="spellStart"/>
            <w:r>
              <w:rPr>
                <w:rFonts w:ascii="Verdana" w:hAnsi="Verdana"/>
                <w:color w:val="000000"/>
                <w:sz w:val="18"/>
                <w:szCs w:val="18"/>
              </w:rPr>
              <w:t>sns</w:t>
            </w:r>
            <w:proofErr w:type="spellEnd"/>
            <w:r>
              <w:rPr>
                <w:rFonts w:ascii="Verdana" w:hAnsi="Verdana"/>
                <w:color w:val="000000"/>
                <w:sz w:val="18"/>
                <w:szCs w:val="18"/>
              </w:rPr>
              <w:t xml:space="preserve"> bank zie kamerbrief van 28 augustus</w:t>
            </w:r>
          </w:p>
        </w:tc>
        <w:tc>
          <w:tcPr>
            <w:tcW w:w="882" w:type="dxa"/>
            <w:tcBorders>
              <w:left w:val="nil"/>
              <w:right w:val="nil"/>
            </w:tcBorders>
            <w:hideMark/>
          </w:tcPr>
          <w:p w:rsidR="004611F8" w:rsidP="004611F8" w:rsidRDefault="004611F8">
            <w:pPr>
              <w:jc w:val="right"/>
              <w:rPr>
                <w:rFonts w:ascii="Verdana" w:hAnsi="Verdana"/>
                <w:color w:val="000000"/>
                <w:sz w:val="18"/>
                <w:szCs w:val="18"/>
              </w:rPr>
            </w:pPr>
            <w:r>
              <w:rPr>
                <w:rFonts w:ascii="Verdana" w:hAnsi="Verdana"/>
                <w:color w:val="000000"/>
                <w:sz w:val="18"/>
                <w:szCs w:val="18"/>
              </w:rPr>
              <w:t>1.100,0</w:t>
            </w:r>
          </w:p>
        </w:tc>
      </w:tr>
      <w:tr w:rsidR="004611F8" w:rsidTr="004611F8">
        <w:tc>
          <w:tcPr>
            <w:tcW w:w="8220" w:type="dxa"/>
            <w:tcBorders>
              <w:left w:val="nil"/>
              <w:right w:val="nil"/>
            </w:tcBorders>
            <w:hideMark/>
          </w:tcPr>
          <w:p w:rsidR="004611F8" w:rsidRDefault="004611F8">
            <w:pPr>
              <w:ind w:firstLine="360" w:firstLineChars="200"/>
              <w:rPr>
                <w:rFonts w:ascii="Verdana" w:hAnsi="Verdana"/>
                <w:color w:val="000000"/>
                <w:sz w:val="18"/>
                <w:szCs w:val="18"/>
              </w:rPr>
            </w:pPr>
            <w:r>
              <w:rPr>
                <w:rFonts w:ascii="Verdana" w:hAnsi="Verdana"/>
                <w:color w:val="000000"/>
                <w:sz w:val="18"/>
                <w:szCs w:val="18"/>
              </w:rPr>
              <w:t>Diversen</w:t>
            </w:r>
          </w:p>
        </w:tc>
        <w:tc>
          <w:tcPr>
            <w:tcW w:w="882" w:type="dxa"/>
            <w:tcBorders>
              <w:left w:val="nil"/>
              <w:bottom w:val="single" w:color="000000" w:sz="6" w:space="0"/>
              <w:right w:val="nil"/>
            </w:tcBorders>
            <w:hideMark/>
          </w:tcPr>
          <w:p w:rsidR="004611F8" w:rsidRDefault="004611F8">
            <w:pPr>
              <w:jc w:val="right"/>
              <w:rPr>
                <w:rFonts w:ascii="Verdana" w:hAnsi="Verdana"/>
                <w:color w:val="000000"/>
                <w:sz w:val="18"/>
                <w:szCs w:val="18"/>
              </w:rPr>
            </w:pPr>
            <w:r>
              <w:rPr>
                <w:rFonts w:ascii="Verdana" w:hAnsi="Verdana"/>
                <w:color w:val="000000"/>
                <w:sz w:val="18"/>
                <w:szCs w:val="18"/>
              </w:rPr>
              <w:t>15,2</w:t>
            </w:r>
          </w:p>
        </w:tc>
      </w:tr>
      <w:tr w:rsidR="004611F8" w:rsidTr="004611F8">
        <w:tc>
          <w:tcPr>
            <w:tcW w:w="8220" w:type="dxa"/>
            <w:tcBorders>
              <w:left w:val="nil"/>
              <w:right w:val="nil"/>
            </w:tcBorders>
            <w:hideMark/>
          </w:tcPr>
          <w:p w:rsidR="004611F8" w:rsidRDefault="004611F8">
            <w:pPr>
              <w:rPr>
                <w:rFonts w:ascii="Verdana" w:hAnsi="Verdana"/>
                <w:color w:val="000000"/>
                <w:sz w:val="18"/>
                <w:szCs w:val="18"/>
              </w:rPr>
            </w:pPr>
          </w:p>
        </w:tc>
        <w:tc>
          <w:tcPr>
            <w:tcW w:w="882" w:type="dxa"/>
            <w:tcBorders>
              <w:top w:val="single" w:color="000000" w:sz="6" w:space="0"/>
            </w:tcBorders>
            <w:hideMark/>
          </w:tcPr>
          <w:p w:rsidR="004611F8" w:rsidP="004611F8" w:rsidRDefault="004611F8">
            <w:pPr>
              <w:jc w:val="right"/>
              <w:rPr>
                <w:rFonts w:ascii="Verdana" w:hAnsi="Verdana"/>
                <w:color w:val="000000"/>
                <w:sz w:val="18"/>
                <w:szCs w:val="18"/>
              </w:rPr>
            </w:pPr>
            <w:r>
              <w:rPr>
                <w:rFonts w:ascii="Verdana" w:hAnsi="Verdana"/>
                <w:color w:val="000000"/>
                <w:sz w:val="18"/>
                <w:szCs w:val="18"/>
              </w:rPr>
              <w:t>1.140,3</w:t>
            </w:r>
          </w:p>
        </w:tc>
      </w:tr>
      <w:tr w:rsidR="004611F8" w:rsidTr="004611F8">
        <w:tc>
          <w:tcPr>
            <w:tcW w:w="8220" w:type="dxa"/>
            <w:tcBorders>
              <w:left w:val="nil"/>
              <w:right w:val="nil"/>
            </w:tcBorders>
            <w:hideMark/>
          </w:tcPr>
          <w:p w:rsidR="004611F8" w:rsidRDefault="004611F8">
            <w:pPr>
              <w:rPr>
                <w:rFonts w:ascii="Verdana" w:hAnsi="Verdana"/>
                <w:color w:val="000000"/>
                <w:sz w:val="18"/>
                <w:szCs w:val="18"/>
              </w:rPr>
            </w:pPr>
          </w:p>
        </w:tc>
        <w:tc>
          <w:tcPr>
            <w:tcW w:w="882" w:type="dxa"/>
            <w:tcBorders>
              <w:left w:val="nil"/>
              <w:right w:val="nil"/>
            </w:tcBorders>
            <w:hideMark/>
          </w:tcPr>
          <w:p w:rsidR="004611F8" w:rsidP="004611F8" w:rsidRDefault="004611F8">
            <w:pPr>
              <w:jc w:val="right"/>
              <w:rPr>
                <w:rFonts w:ascii="Verdana" w:hAnsi="Verdana"/>
                <w:color w:val="000000"/>
                <w:sz w:val="18"/>
                <w:szCs w:val="18"/>
              </w:rPr>
            </w:pPr>
          </w:p>
        </w:tc>
      </w:tr>
      <w:tr w:rsidR="004611F8" w:rsidTr="004611F8">
        <w:tc>
          <w:tcPr>
            <w:tcW w:w="8220" w:type="dxa"/>
            <w:tcBorders>
              <w:left w:val="nil"/>
              <w:right w:val="nil"/>
            </w:tcBorders>
            <w:hideMark/>
          </w:tcPr>
          <w:p w:rsidR="004611F8" w:rsidRDefault="004611F8">
            <w:pPr>
              <w:rPr>
                <w:rFonts w:ascii="Verdana" w:hAnsi="Verdana"/>
                <w:color w:val="000000"/>
                <w:sz w:val="18"/>
                <w:szCs w:val="18"/>
              </w:rPr>
            </w:pPr>
          </w:p>
        </w:tc>
        <w:tc>
          <w:tcPr>
            <w:tcW w:w="882" w:type="dxa"/>
            <w:tcBorders>
              <w:left w:val="nil"/>
              <w:right w:val="nil"/>
            </w:tcBorders>
            <w:hideMark/>
          </w:tcPr>
          <w:p w:rsidR="004611F8" w:rsidP="004611F8" w:rsidRDefault="004611F8">
            <w:pPr>
              <w:jc w:val="right"/>
              <w:rPr>
                <w:rFonts w:ascii="Verdana" w:hAnsi="Verdana"/>
                <w:color w:val="000000"/>
                <w:sz w:val="18"/>
                <w:szCs w:val="18"/>
              </w:rPr>
            </w:pPr>
          </w:p>
        </w:tc>
      </w:tr>
      <w:tr w:rsidR="004611F8" w:rsidTr="004611F8">
        <w:tc>
          <w:tcPr>
            <w:tcW w:w="8220" w:type="dxa"/>
            <w:tcBorders>
              <w:left w:val="nil"/>
              <w:right w:val="nil"/>
            </w:tcBorders>
            <w:hideMark/>
          </w:tcPr>
          <w:p w:rsidR="004611F8" w:rsidRDefault="004611F8">
            <w:pPr>
              <w:rPr>
                <w:rFonts w:ascii="Verdana" w:hAnsi="Verdana"/>
                <w:color w:val="000000"/>
                <w:sz w:val="18"/>
                <w:szCs w:val="18"/>
              </w:rPr>
            </w:pPr>
            <w:r>
              <w:rPr>
                <w:rFonts w:ascii="Verdana" w:hAnsi="Verdana"/>
                <w:color w:val="000000"/>
                <w:sz w:val="18"/>
                <w:szCs w:val="18"/>
              </w:rPr>
              <w:t>Totaal mutaties sinds Miljoenennota 2016</w:t>
            </w:r>
          </w:p>
        </w:tc>
        <w:tc>
          <w:tcPr>
            <w:tcW w:w="882" w:type="dxa"/>
            <w:tcBorders>
              <w:left w:val="nil"/>
              <w:right w:val="nil"/>
            </w:tcBorders>
            <w:hideMark/>
          </w:tcPr>
          <w:p w:rsidR="004611F8" w:rsidP="004611F8" w:rsidRDefault="004611F8">
            <w:pPr>
              <w:jc w:val="right"/>
              <w:rPr>
                <w:rFonts w:ascii="Verdana" w:hAnsi="Verdana"/>
                <w:color w:val="000000"/>
                <w:sz w:val="18"/>
                <w:szCs w:val="18"/>
              </w:rPr>
            </w:pPr>
            <w:r>
              <w:rPr>
                <w:rFonts w:ascii="Verdana" w:hAnsi="Verdana"/>
                <w:color w:val="000000"/>
                <w:sz w:val="18"/>
                <w:szCs w:val="18"/>
              </w:rPr>
              <w:t>1.016,0</w:t>
            </w:r>
          </w:p>
        </w:tc>
      </w:tr>
      <w:tr w:rsidR="004611F8" w:rsidTr="004611F8">
        <w:tc>
          <w:tcPr>
            <w:tcW w:w="8220" w:type="dxa"/>
            <w:tcBorders>
              <w:left w:val="nil"/>
              <w:right w:val="nil"/>
            </w:tcBorders>
            <w:hideMark/>
          </w:tcPr>
          <w:p w:rsidR="004611F8" w:rsidRDefault="004611F8">
            <w:pPr>
              <w:rPr>
                <w:rFonts w:ascii="Verdana" w:hAnsi="Verdana"/>
                <w:color w:val="000000"/>
                <w:sz w:val="18"/>
                <w:szCs w:val="18"/>
              </w:rPr>
            </w:pPr>
          </w:p>
        </w:tc>
        <w:tc>
          <w:tcPr>
            <w:tcW w:w="882" w:type="dxa"/>
            <w:tcBorders>
              <w:left w:val="nil"/>
              <w:right w:val="nil"/>
            </w:tcBorders>
            <w:vAlign w:val="bottom"/>
            <w:hideMark/>
          </w:tcPr>
          <w:p w:rsidR="004611F8" w:rsidRDefault="004611F8">
            <w:pPr>
              <w:rPr>
                <w:rFonts w:ascii="Verdana" w:hAnsi="Verdana"/>
                <w:color w:val="000000"/>
                <w:sz w:val="14"/>
                <w:szCs w:val="14"/>
              </w:rPr>
            </w:pPr>
          </w:p>
        </w:tc>
      </w:tr>
      <w:tr w:rsidR="004611F8" w:rsidTr="004611F8">
        <w:tc>
          <w:tcPr>
            <w:tcW w:w="8220" w:type="dxa"/>
            <w:tcBorders>
              <w:left w:val="nil"/>
              <w:right w:val="nil"/>
            </w:tcBorders>
            <w:hideMark/>
          </w:tcPr>
          <w:p w:rsidR="004611F8" w:rsidRDefault="004611F8">
            <w:pPr>
              <w:rPr>
                <w:rFonts w:ascii="Verdana" w:hAnsi="Verdana"/>
                <w:color w:val="000000"/>
                <w:sz w:val="18"/>
                <w:szCs w:val="18"/>
              </w:rPr>
            </w:pPr>
            <w:r>
              <w:rPr>
                <w:rFonts w:ascii="Verdana" w:hAnsi="Verdana"/>
                <w:color w:val="000000"/>
                <w:sz w:val="18"/>
                <w:szCs w:val="18"/>
              </w:rPr>
              <w:t>Stand Najaarsnota 2015 (subtotaal)</w:t>
            </w:r>
          </w:p>
        </w:tc>
        <w:tc>
          <w:tcPr>
            <w:tcW w:w="882" w:type="dxa"/>
            <w:tcBorders>
              <w:top w:val="single" w:color="000000" w:sz="6" w:space="0"/>
              <w:left w:val="nil"/>
              <w:right w:val="nil"/>
            </w:tcBorders>
            <w:hideMark/>
          </w:tcPr>
          <w:p w:rsidR="004611F8" w:rsidP="004611F8" w:rsidRDefault="004611F8">
            <w:pPr>
              <w:jc w:val="right"/>
              <w:rPr>
                <w:rFonts w:ascii="Verdana" w:hAnsi="Verdana"/>
                <w:color w:val="000000"/>
                <w:sz w:val="18"/>
                <w:szCs w:val="18"/>
              </w:rPr>
            </w:pPr>
            <w:r>
              <w:rPr>
                <w:rFonts w:ascii="Verdana" w:hAnsi="Verdana"/>
                <w:color w:val="000000"/>
                <w:sz w:val="18"/>
                <w:szCs w:val="18"/>
              </w:rPr>
              <w:t>7.672,9</w:t>
            </w:r>
          </w:p>
        </w:tc>
      </w:tr>
      <w:tr w:rsidR="004611F8" w:rsidTr="004611F8">
        <w:tc>
          <w:tcPr>
            <w:tcW w:w="8220" w:type="dxa"/>
            <w:tcBorders>
              <w:left w:val="nil"/>
              <w:right w:val="nil"/>
            </w:tcBorders>
            <w:hideMark/>
          </w:tcPr>
          <w:p w:rsidR="004611F8" w:rsidRDefault="004611F8">
            <w:pPr>
              <w:rPr>
                <w:rFonts w:ascii="Verdana" w:hAnsi="Verdana"/>
                <w:color w:val="000000"/>
                <w:sz w:val="18"/>
                <w:szCs w:val="18"/>
              </w:rPr>
            </w:pPr>
            <w:r>
              <w:rPr>
                <w:rFonts w:ascii="Verdana" w:hAnsi="Verdana"/>
                <w:color w:val="000000"/>
                <w:sz w:val="18"/>
                <w:szCs w:val="18"/>
              </w:rPr>
              <w:t>Totaal Internationale samenwerking</w:t>
            </w:r>
          </w:p>
        </w:tc>
        <w:tc>
          <w:tcPr>
            <w:tcW w:w="882" w:type="dxa"/>
            <w:tcBorders>
              <w:left w:val="nil"/>
              <w:bottom w:val="single" w:color="000000" w:sz="6" w:space="0"/>
              <w:right w:val="nil"/>
            </w:tcBorders>
            <w:hideMark/>
          </w:tcPr>
          <w:p w:rsidR="004611F8" w:rsidRDefault="004611F8">
            <w:pPr>
              <w:jc w:val="right"/>
              <w:rPr>
                <w:rFonts w:ascii="Verdana" w:hAnsi="Verdana"/>
                <w:color w:val="000000"/>
                <w:sz w:val="18"/>
                <w:szCs w:val="18"/>
              </w:rPr>
            </w:pPr>
            <w:r>
              <w:rPr>
                <w:rFonts w:ascii="Verdana" w:hAnsi="Verdana"/>
                <w:color w:val="000000"/>
                <w:sz w:val="18"/>
                <w:szCs w:val="18"/>
              </w:rPr>
              <w:t>359,3</w:t>
            </w:r>
          </w:p>
        </w:tc>
      </w:tr>
      <w:tr w:rsidR="004611F8" w:rsidTr="004611F8">
        <w:tc>
          <w:tcPr>
            <w:tcW w:w="8220" w:type="dxa"/>
            <w:tcBorders>
              <w:left w:val="nil"/>
            </w:tcBorders>
            <w:hideMark/>
          </w:tcPr>
          <w:p w:rsidR="004611F8" w:rsidRDefault="004611F8">
            <w:pPr>
              <w:rPr>
                <w:rFonts w:ascii="Verdana" w:hAnsi="Verdana"/>
                <w:color w:val="000000"/>
                <w:sz w:val="18"/>
                <w:szCs w:val="18"/>
              </w:rPr>
            </w:pPr>
            <w:r>
              <w:rPr>
                <w:rFonts w:ascii="Verdana" w:hAnsi="Verdana"/>
                <w:color w:val="000000"/>
                <w:sz w:val="18"/>
                <w:szCs w:val="18"/>
              </w:rPr>
              <w:t>Stand Najaarsnota 2015</w:t>
            </w:r>
          </w:p>
        </w:tc>
        <w:tc>
          <w:tcPr>
            <w:tcW w:w="882" w:type="dxa"/>
            <w:tcBorders>
              <w:top w:val="single" w:color="000000" w:sz="6" w:space="0"/>
            </w:tcBorders>
            <w:hideMark/>
          </w:tcPr>
          <w:p w:rsidR="004611F8" w:rsidP="004611F8" w:rsidRDefault="004611F8">
            <w:pPr>
              <w:jc w:val="right"/>
              <w:rPr>
                <w:rFonts w:ascii="Verdana" w:hAnsi="Verdana"/>
                <w:color w:val="000000"/>
                <w:sz w:val="18"/>
                <w:szCs w:val="18"/>
              </w:rPr>
            </w:pPr>
            <w:r>
              <w:rPr>
                <w:rFonts w:ascii="Verdana" w:hAnsi="Verdana"/>
                <w:color w:val="000000"/>
                <w:sz w:val="18"/>
                <w:szCs w:val="18"/>
              </w:rPr>
              <w:t>8.032,2</w:t>
            </w:r>
          </w:p>
        </w:tc>
      </w:tr>
      <w:tr w:rsidR="004611F8" w:rsidTr="004611F8">
        <w:tc>
          <w:tcPr>
            <w:tcW w:w="8220" w:type="dxa"/>
            <w:tcBorders>
              <w:left w:val="nil"/>
              <w:right w:val="single" w:color="000000" w:sz="6" w:space="0"/>
            </w:tcBorders>
            <w:hideMark/>
          </w:tcPr>
          <w:p w:rsidR="004611F8" w:rsidRDefault="004611F8">
            <w:pPr>
              <w:rPr>
                <w:rFonts w:ascii="Verdana" w:hAnsi="Verdana"/>
                <w:color w:val="000000"/>
                <w:sz w:val="18"/>
                <w:szCs w:val="18"/>
              </w:rPr>
            </w:pPr>
          </w:p>
        </w:tc>
        <w:tc>
          <w:tcPr>
            <w:tcW w:w="882" w:type="dxa"/>
            <w:tcBorders>
              <w:left w:val="single" w:color="000000" w:sz="6" w:space="0"/>
              <w:right w:val="nil"/>
            </w:tcBorders>
            <w:hideMark/>
          </w:tcPr>
          <w:p w:rsidR="004611F8" w:rsidRDefault="004611F8">
            <w:pPr>
              <w:rPr>
                <w:rFonts w:ascii="Verdana" w:hAnsi="Verdana"/>
                <w:color w:val="000000"/>
                <w:sz w:val="18"/>
                <w:szCs w:val="18"/>
              </w:rPr>
            </w:pPr>
          </w:p>
        </w:tc>
      </w:tr>
      <w:tr w:rsidR="004611F8" w:rsidTr="004611F8">
        <w:tc>
          <w:tcPr>
            <w:tcW w:w="8220" w:type="dxa"/>
            <w:tcBorders>
              <w:left w:val="nil"/>
              <w:right w:val="nil"/>
            </w:tcBorders>
            <w:hideMark/>
          </w:tcPr>
          <w:p w:rsidR="004611F8" w:rsidP="00A34B8E" w:rsidRDefault="004611F8">
            <w:pPr>
              <w:rPr>
                <w:rFonts w:ascii="Verdana" w:hAnsi="Verdana"/>
                <w:sz w:val="18"/>
                <w:szCs w:val="18"/>
              </w:rPr>
            </w:pPr>
          </w:p>
          <w:p w:rsidR="004611F8" w:rsidP="00A34B8E" w:rsidRDefault="004611F8">
            <w:pPr>
              <w:rPr>
                <w:rFonts w:ascii="Verdana" w:hAnsi="Verdana"/>
                <w:sz w:val="18"/>
                <w:szCs w:val="18"/>
              </w:rPr>
            </w:pPr>
          </w:p>
          <w:p w:rsidR="004611F8" w:rsidP="00A34B8E" w:rsidRDefault="004611F8">
            <w:pPr>
              <w:rPr>
                <w:rFonts w:ascii="Verdana" w:hAnsi="Verdana"/>
                <w:sz w:val="18"/>
                <w:szCs w:val="18"/>
              </w:rPr>
            </w:pPr>
            <w:r>
              <w:rPr>
                <w:rFonts w:ascii="Verdana" w:hAnsi="Verdana"/>
                <w:sz w:val="18"/>
                <w:szCs w:val="18"/>
              </w:rPr>
              <w:t xml:space="preserve">IXB FINANCIEN: </w:t>
            </w:r>
            <w:r>
              <w:rPr>
                <w:rFonts w:ascii="Verdana" w:hAnsi="Verdana"/>
                <w:color w:val="000000"/>
                <w:sz w:val="18"/>
                <w:szCs w:val="18"/>
              </w:rPr>
              <w:t>NIET-BELASTINGONTVANGSTEN</w:t>
            </w:r>
          </w:p>
        </w:tc>
        <w:tc>
          <w:tcPr>
            <w:tcW w:w="882" w:type="dxa"/>
            <w:hideMark/>
          </w:tcPr>
          <w:p w:rsidR="004611F8" w:rsidP="00A34B8E" w:rsidRDefault="004611F8">
            <w:pPr>
              <w:rPr>
                <w:sz w:val="20"/>
                <w:szCs w:val="20"/>
              </w:rPr>
            </w:pPr>
          </w:p>
        </w:tc>
      </w:tr>
      <w:tr w:rsidR="004611F8" w:rsidTr="004611F8">
        <w:tc>
          <w:tcPr>
            <w:tcW w:w="8220" w:type="dxa"/>
            <w:tcBorders>
              <w:top w:val="single" w:color="000000" w:sz="6" w:space="0"/>
              <w:left w:val="nil"/>
              <w:bottom w:val="single" w:color="000000" w:sz="6" w:space="0"/>
              <w:right w:val="nil"/>
            </w:tcBorders>
            <w:hideMark/>
          </w:tcPr>
          <w:p w:rsidR="004611F8" w:rsidP="00A34B8E" w:rsidRDefault="004611F8">
            <w:pPr>
              <w:rPr>
                <w:rFonts w:ascii="Verdana" w:hAnsi="Verdana"/>
                <w:b/>
                <w:bCs/>
                <w:color w:val="000000"/>
                <w:sz w:val="18"/>
                <w:szCs w:val="18"/>
              </w:rPr>
            </w:pPr>
          </w:p>
        </w:tc>
        <w:tc>
          <w:tcPr>
            <w:tcW w:w="882" w:type="dxa"/>
            <w:tcBorders>
              <w:top w:val="single" w:color="000000" w:sz="6" w:space="0"/>
              <w:left w:val="nil"/>
              <w:bottom w:val="single" w:color="000000" w:sz="6" w:space="0"/>
              <w:right w:val="nil"/>
            </w:tcBorders>
            <w:hideMark/>
          </w:tcPr>
          <w:p w:rsidR="004611F8" w:rsidP="00A34B8E" w:rsidRDefault="004611F8">
            <w:pPr>
              <w:jc w:val="right"/>
              <w:rPr>
                <w:rFonts w:ascii="Verdana" w:hAnsi="Verdana"/>
                <w:color w:val="000000"/>
                <w:sz w:val="18"/>
                <w:szCs w:val="18"/>
              </w:rPr>
            </w:pPr>
            <w:r>
              <w:rPr>
                <w:rFonts w:ascii="Verdana" w:hAnsi="Verdana"/>
                <w:color w:val="000000"/>
                <w:sz w:val="18"/>
                <w:szCs w:val="18"/>
              </w:rPr>
              <w:t>2015</w:t>
            </w:r>
          </w:p>
        </w:tc>
      </w:tr>
      <w:tr w:rsidR="004611F8" w:rsidTr="004611F8">
        <w:tc>
          <w:tcPr>
            <w:tcW w:w="8220" w:type="dxa"/>
            <w:tcBorders>
              <w:left w:val="nil"/>
              <w:right w:val="nil"/>
            </w:tcBorders>
            <w:hideMark/>
          </w:tcPr>
          <w:p w:rsidR="004611F8" w:rsidRDefault="004611F8">
            <w:pPr>
              <w:rPr>
                <w:rFonts w:ascii="Verdana" w:hAnsi="Verdana"/>
                <w:color w:val="000000"/>
                <w:sz w:val="18"/>
                <w:szCs w:val="18"/>
              </w:rPr>
            </w:pPr>
          </w:p>
        </w:tc>
        <w:tc>
          <w:tcPr>
            <w:tcW w:w="882" w:type="dxa"/>
            <w:tcBorders>
              <w:top w:val="single" w:color="000000" w:sz="6" w:space="0"/>
              <w:left w:val="nil"/>
              <w:right w:val="nil"/>
            </w:tcBorders>
            <w:vAlign w:val="bottom"/>
            <w:hideMark/>
          </w:tcPr>
          <w:p w:rsidR="004611F8" w:rsidRDefault="004611F8">
            <w:pPr>
              <w:rPr>
                <w:rFonts w:ascii="Verdana" w:hAnsi="Verdana"/>
                <w:color w:val="000000"/>
                <w:sz w:val="14"/>
                <w:szCs w:val="14"/>
              </w:rPr>
            </w:pPr>
          </w:p>
        </w:tc>
      </w:tr>
      <w:tr w:rsidR="004611F8" w:rsidTr="004611F8">
        <w:tc>
          <w:tcPr>
            <w:tcW w:w="8220" w:type="dxa"/>
            <w:tcBorders>
              <w:left w:val="nil"/>
              <w:right w:val="nil"/>
            </w:tcBorders>
            <w:hideMark/>
          </w:tcPr>
          <w:p w:rsidR="004611F8" w:rsidRDefault="004611F8">
            <w:pPr>
              <w:jc w:val="right"/>
              <w:rPr>
                <w:rFonts w:ascii="Verdana" w:hAnsi="Verdana"/>
                <w:color w:val="000000"/>
                <w:sz w:val="18"/>
                <w:szCs w:val="18"/>
              </w:rPr>
            </w:pPr>
            <w:r>
              <w:rPr>
                <w:rFonts w:ascii="Verdana" w:hAnsi="Verdana"/>
                <w:color w:val="000000"/>
                <w:sz w:val="18"/>
                <w:szCs w:val="18"/>
              </w:rPr>
              <w:t> </w:t>
            </w:r>
          </w:p>
        </w:tc>
        <w:tc>
          <w:tcPr>
            <w:tcW w:w="882" w:type="dxa"/>
            <w:hideMark/>
          </w:tcPr>
          <w:p w:rsidR="004611F8" w:rsidRDefault="004611F8">
            <w:pPr>
              <w:jc w:val="right"/>
              <w:rPr>
                <w:rFonts w:ascii="Verdana" w:hAnsi="Verdana"/>
                <w:color w:val="000000"/>
                <w:sz w:val="18"/>
                <w:szCs w:val="18"/>
              </w:rPr>
            </w:pPr>
          </w:p>
        </w:tc>
      </w:tr>
      <w:tr w:rsidR="004611F8" w:rsidTr="004611F8">
        <w:tc>
          <w:tcPr>
            <w:tcW w:w="8220" w:type="dxa"/>
            <w:tcBorders>
              <w:left w:val="nil"/>
              <w:right w:val="nil"/>
            </w:tcBorders>
            <w:tcMar>
              <w:top w:w="15" w:type="dxa"/>
              <w:left w:w="180" w:type="dxa"/>
              <w:bottom w:w="15" w:type="dxa"/>
              <w:right w:w="15" w:type="dxa"/>
            </w:tcMar>
            <w:hideMark/>
          </w:tcPr>
          <w:p w:rsidR="004611F8" w:rsidRDefault="004611F8">
            <w:pPr>
              <w:rPr>
                <w:rFonts w:ascii="Verdana" w:hAnsi="Verdana"/>
                <w:color w:val="000000"/>
                <w:sz w:val="18"/>
                <w:szCs w:val="18"/>
              </w:rPr>
            </w:pPr>
            <w:r>
              <w:rPr>
                <w:rFonts w:ascii="Verdana" w:hAnsi="Verdana"/>
                <w:color w:val="000000"/>
                <w:sz w:val="18"/>
                <w:szCs w:val="18"/>
              </w:rPr>
              <w:t>Stand Miljoenennota 2016 (excl. IS)</w:t>
            </w:r>
          </w:p>
        </w:tc>
        <w:tc>
          <w:tcPr>
            <w:tcW w:w="882" w:type="dxa"/>
            <w:hideMark/>
          </w:tcPr>
          <w:p w:rsidR="004611F8" w:rsidP="004611F8" w:rsidRDefault="004611F8">
            <w:pPr>
              <w:jc w:val="right"/>
              <w:rPr>
                <w:rFonts w:ascii="Verdana" w:hAnsi="Verdana"/>
                <w:color w:val="000000"/>
                <w:sz w:val="18"/>
                <w:szCs w:val="18"/>
              </w:rPr>
            </w:pPr>
            <w:r>
              <w:rPr>
                <w:rFonts w:ascii="Verdana" w:hAnsi="Verdana"/>
                <w:color w:val="000000"/>
                <w:sz w:val="18"/>
                <w:szCs w:val="18"/>
              </w:rPr>
              <w:t>3.808,9</w:t>
            </w:r>
          </w:p>
        </w:tc>
      </w:tr>
      <w:tr w:rsidR="004611F8" w:rsidTr="004611F8">
        <w:tc>
          <w:tcPr>
            <w:tcW w:w="8220" w:type="dxa"/>
            <w:tcBorders>
              <w:left w:val="nil"/>
              <w:right w:val="nil"/>
            </w:tcBorders>
            <w:tcMar>
              <w:top w:w="15" w:type="dxa"/>
              <w:left w:w="360" w:type="dxa"/>
              <w:bottom w:w="15" w:type="dxa"/>
              <w:right w:w="15" w:type="dxa"/>
            </w:tcMar>
            <w:hideMark/>
          </w:tcPr>
          <w:p w:rsidR="004611F8" w:rsidRDefault="004611F8">
            <w:pPr>
              <w:rPr>
                <w:rFonts w:ascii="Verdana" w:hAnsi="Verdana"/>
                <w:color w:val="000000"/>
                <w:sz w:val="18"/>
                <w:szCs w:val="18"/>
              </w:rPr>
            </w:pPr>
            <w:r>
              <w:rPr>
                <w:rFonts w:ascii="Verdana" w:hAnsi="Verdana"/>
                <w:color w:val="000000"/>
                <w:sz w:val="18"/>
                <w:szCs w:val="18"/>
              </w:rPr>
              <w:t>Beleidsmatige mutaties</w:t>
            </w:r>
          </w:p>
        </w:tc>
        <w:tc>
          <w:tcPr>
            <w:tcW w:w="882" w:type="dxa"/>
            <w:tcBorders>
              <w:left w:val="nil"/>
              <w:right w:val="nil"/>
            </w:tcBorders>
            <w:vAlign w:val="bottom"/>
            <w:hideMark/>
          </w:tcPr>
          <w:p w:rsidR="004611F8" w:rsidRDefault="004611F8">
            <w:pPr>
              <w:rPr>
                <w:rFonts w:ascii="Verdana" w:hAnsi="Verdana"/>
                <w:color w:val="000000"/>
                <w:sz w:val="14"/>
                <w:szCs w:val="14"/>
              </w:rPr>
            </w:pPr>
          </w:p>
        </w:tc>
      </w:tr>
      <w:tr w:rsidR="004611F8" w:rsidTr="004611F8">
        <w:tc>
          <w:tcPr>
            <w:tcW w:w="8220" w:type="dxa"/>
            <w:tcBorders>
              <w:left w:val="nil"/>
              <w:right w:val="nil"/>
            </w:tcBorders>
            <w:tcMar>
              <w:top w:w="15" w:type="dxa"/>
              <w:left w:w="360" w:type="dxa"/>
              <w:bottom w:w="15" w:type="dxa"/>
              <w:right w:w="15" w:type="dxa"/>
            </w:tcMar>
            <w:hideMark/>
          </w:tcPr>
          <w:p w:rsidR="004611F8" w:rsidRDefault="004611F8">
            <w:pPr>
              <w:ind w:firstLine="180" w:firstLineChars="100"/>
              <w:rPr>
                <w:rFonts w:ascii="Verdana" w:hAnsi="Verdana"/>
                <w:color w:val="000000"/>
                <w:sz w:val="18"/>
                <w:szCs w:val="18"/>
              </w:rPr>
            </w:pPr>
            <w:r>
              <w:rPr>
                <w:rFonts w:ascii="Verdana" w:hAnsi="Verdana"/>
                <w:color w:val="000000"/>
                <w:sz w:val="18"/>
                <w:szCs w:val="18"/>
              </w:rPr>
              <w:t>Rijksbegroting in enge zin</w:t>
            </w:r>
          </w:p>
        </w:tc>
        <w:tc>
          <w:tcPr>
            <w:tcW w:w="882" w:type="dxa"/>
            <w:tcBorders>
              <w:left w:val="nil"/>
              <w:right w:val="nil"/>
            </w:tcBorders>
            <w:vAlign w:val="bottom"/>
            <w:hideMark/>
          </w:tcPr>
          <w:p w:rsidR="004611F8" w:rsidRDefault="004611F8">
            <w:pPr>
              <w:rPr>
                <w:rFonts w:ascii="Verdana" w:hAnsi="Verdana"/>
                <w:color w:val="000000"/>
                <w:sz w:val="14"/>
                <w:szCs w:val="14"/>
              </w:rPr>
            </w:pPr>
          </w:p>
        </w:tc>
      </w:tr>
      <w:tr w:rsidR="004611F8" w:rsidTr="004611F8">
        <w:tc>
          <w:tcPr>
            <w:tcW w:w="8220" w:type="dxa"/>
            <w:tcBorders>
              <w:left w:val="nil"/>
              <w:right w:val="nil"/>
            </w:tcBorders>
            <w:tcMar>
              <w:top w:w="15" w:type="dxa"/>
              <w:left w:w="360" w:type="dxa"/>
              <w:bottom w:w="15" w:type="dxa"/>
              <w:right w:w="15" w:type="dxa"/>
            </w:tcMar>
            <w:hideMark/>
          </w:tcPr>
          <w:p w:rsidR="004611F8" w:rsidRDefault="004611F8">
            <w:pPr>
              <w:ind w:firstLine="360" w:firstLineChars="200"/>
              <w:rPr>
                <w:rFonts w:ascii="Verdana" w:hAnsi="Verdana"/>
                <w:color w:val="000000"/>
                <w:sz w:val="18"/>
                <w:szCs w:val="18"/>
              </w:rPr>
            </w:pPr>
            <w:r>
              <w:rPr>
                <w:rFonts w:ascii="Verdana" w:hAnsi="Verdana"/>
                <w:color w:val="000000"/>
                <w:sz w:val="18"/>
                <w:szCs w:val="18"/>
              </w:rPr>
              <w:t xml:space="preserve">Bijstelling </w:t>
            </w:r>
            <w:proofErr w:type="spellStart"/>
            <w:r>
              <w:rPr>
                <w:rFonts w:ascii="Verdana" w:hAnsi="Verdana"/>
                <w:color w:val="000000"/>
                <w:sz w:val="18"/>
                <w:szCs w:val="18"/>
              </w:rPr>
              <w:t>bir</w:t>
            </w:r>
            <w:proofErr w:type="spellEnd"/>
          </w:p>
        </w:tc>
        <w:tc>
          <w:tcPr>
            <w:tcW w:w="882" w:type="dxa"/>
            <w:tcBorders>
              <w:left w:val="nil"/>
              <w:right w:val="nil"/>
            </w:tcBorders>
            <w:hideMark/>
          </w:tcPr>
          <w:p w:rsidR="004611F8" w:rsidRDefault="004611F8">
            <w:pPr>
              <w:jc w:val="right"/>
              <w:rPr>
                <w:rFonts w:ascii="Verdana" w:hAnsi="Verdana"/>
                <w:color w:val="000000"/>
                <w:sz w:val="18"/>
                <w:szCs w:val="18"/>
              </w:rPr>
            </w:pPr>
            <w:r>
              <w:rPr>
                <w:rFonts w:ascii="Verdana" w:hAnsi="Verdana"/>
                <w:color w:val="000000"/>
                <w:sz w:val="18"/>
                <w:szCs w:val="18"/>
              </w:rPr>
              <w:t>-90</w:t>
            </w:r>
            <w:r w:rsidR="007070E7">
              <w:rPr>
                <w:rFonts w:ascii="Verdana" w:hAnsi="Verdana"/>
                <w:color w:val="000000"/>
                <w:sz w:val="18"/>
                <w:szCs w:val="18"/>
              </w:rPr>
              <w:t>,0</w:t>
            </w:r>
          </w:p>
        </w:tc>
      </w:tr>
      <w:tr w:rsidR="004611F8" w:rsidTr="004611F8">
        <w:tc>
          <w:tcPr>
            <w:tcW w:w="8220" w:type="dxa"/>
            <w:tcBorders>
              <w:left w:val="nil"/>
              <w:right w:val="nil"/>
            </w:tcBorders>
            <w:tcMar>
              <w:top w:w="15" w:type="dxa"/>
              <w:left w:w="360" w:type="dxa"/>
              <w:bottom w:w="15" w:type="dxa"/>
              <w:right w:w="15" w:type="dxa"/>
            </w:tcMar>
            <w:hideMark/>
          </w:tcPr>
          <w:p w:rsidR="004611F8" w:rsidRDefault="004611F8">
            <w:pPr>
              <w:ind w:firstLine="360" w:firstLineChars="200"/>
              <w:rPr>
                <w:rFonts w:ascii="Verdana" w:hAnsi="Verdana"/>
                <w:color w:val="000000"/>
                <w:sz w:val="18"/>
                <w:szCs w:val="18"/>
              </w:rPr>
            </w:pPr>
            <w:r>
              <w:rPr>
                <w:rFonts w:ascii="Verdana" w:hAnsi="Verdana"/>
                <w:color w:val="000000"/>
                <w:sz w:val="18"/>
                <w:szCs w:val="18"/>
              </w:rPr>
              <w:t>Exportkredietverzekering</w:t>
            </w:r>
          </w:p>
        </w:tc>
        <w:tc>
          <w:tcPr>
            <w:tcW w:w="882" w:type="dxa"/>
            <w:tcBorders>
              <w:left w:val="nil"/>
              <w:right w:val="nil"/>
            </w:tcBorders>
            <w:hideMark/>
          </w:tcPr>
          <w:p w:rsidR="004611F8" w:rsidRDefault="004611F8">
            <w:pPr>
              <w:jc w:val="right"/>
              <w:rPr>
                <w:rFonts w:ascii="Verdana" w:hAnsi="Verdana"/>
                <w:color w:val="000000"/>
                <w:sz w:val="18"/>
                <w:szCs w:val="18"/>
              </w:rPr>
            </w:pPr>
            <w:r>
              <w:rPr>
                <w:rFonts w:ascii="Verdana" w:hAnsi="Verdana"/>
                <w:color w:val="000000"/>
                <w:sz w:val="18"/>
                <w:szCs w:val="18"/>
              </w:rPr>
              <w:t>55</w:t>
            </w:r>
            <w:r w:rsidR="007070E7">
              <w:rPr>
                <w:rFonts w:ascii="Verdana" w:hAnsi="Verdana"/>
                <w:color w:val="000000"/>
                <w:sz w:val="18"/>
                <w:szCs w:val="18"/>
              </w:rPr>
              <w:t>,0</w:t>
            </w:r>
          </w:p>
        </w:tc>
      </w:tr>
      <w:tr w:rsidR="004611F8" w:rsidTr="004611F8">
        <w:tc>
          <w:tcPr>
            <w:tcW w:w="8220" w:type="dxa"/>
            <w:tcBorders>
              <w:left w:val="nil"/>
              <w:right w:val="nil"/>
            </w:tcBorders>
            <w:tcMar>
              <w:top w:w="15" w:type="dxa"/>
              <w:left w:w="360" w:type="dxa"/>
              <w:bottom w:w="15" w:type="dxa"/>
              <w:right w:w="15" w:type="dxa"/>
            </w:tcMar>
            <w:hideMark/>
          </w:tcPr>
          <w:p w:rsidR="004611F8" w:rsidRDefault="004611F8">
            <w:pPr>
              <w:ind w:firstLine="360" w:firstLineChars="200"/>
              <w:rPr>
                <w:rFonts w:ascii="Verdana" w:hAnsi="Verdana"/>
                <w:color w:val="000000"/>
                <w:sz w:val="18"/>
                <w:szCs w:val="18"/>
              </w:rPr>
            </w:pPr>
            <w:r>
              <w:rPr>
                <w:rFonts w:ascii="Verdana" w:hAnsi="Verdana"/>
                <w:color w:val="000000"/>
                <w:sz w:val="18"/>
                <w:szCs w:val="18"/>
              </w:rPr>
              <w:t>Ontvangsten boetes en schikkingen</w:t>
            </w:r>
          </w:p>
        </w:tc>
        <w:tc>
          <w:tcPr>
            <w:tcW w:w="882" w:type="dxa"/>
            <w:tcBorders>
              <w:left w:val="nil"/>
              <w:right w:val="nil"/>
            </w:tcBorders>
            <w:hideMark/>
          </w:tcPr>
          <w:p w:rsidR="004611F8" w:rsidRDefault="004611F8">
            <w:pPr>
              <w:jc w:val="right"/>
              <w:rPr>
                <w:rFonts w:ascii="Verdana" w:hAnsi="Verdana"/>
                <w:color w:val="000000"/>
                <w:sz w:val="18"/>
                <w:szCs w:val="18"/>
              </w:rPr>
            </w:pPr>
            <w:r>
              <w:rPr>
                <w:rFonts w:ascii="Verdana" w:hAnsi="Verdana"/>
                <w:color w:val="000000"/>
                <w:sz w:val="18"/>
                <w:szCs w:val="18"/>
              </w:rPr>
              <w:t>16</w:t>
            </w:r>
            <w:r w:rsidR="007070E7">
              <w:rPr>
                <w:rFonts w:ascii="Verdana" w:hAnsi="Verdana"/>
                <w:color w:val="000000"/>
                <w:sz w:val="18"/>
                <w:szCs w:val="18"/>
              </w:rPr>
              <w:t>,0</w:t>
            </w:r>
          </w:p>
        </w:tc>
      </w:tr>
      <w:tr w:rsidR="004611F8" w:rsidTr="004611F8">
        <w:tc>
          <w:tcPr>
            <w:tcW w:w="8220" w:type="dxa"/>
            <w:tcBorders>
              <w:left w:val="nil"/>
              <w:right w:val="nil"/>
            </w:tcBorders>
            <w:hideMark/>
          </w:tcPr>
          <w:p w:rsidR="004611F8" w:rsidRDefault="004611F8">
            <w:pPr>
              <w:ind w:firstLine="360" w:firstLineChars="200"/>
              <w:rPr>
                <w:rFonts w:ascii="Verdana" w:hAnsi="Verdana"/>
                <w:color w:val="000000"/>
                <w:sz w:val="18"/>
                <w:szCs w:val="18"/>
              </w:rPr>
            </w:pPr>
            <w:r>
              <w:rPr>
                <w:rFonts w:ascii="Verdana" w:hAnsi="Verdana"/>
                <w:color w:val="000000"/>
                <w:sz w:val="18"/>
                <w:szCs w:val="18"/>
              </w:rPr>
              <w:t>Schaderestituties</w:t>
            </w:r>
          </w:p>
        </w:tc>
        <w:tc>
          <w:tcPr>
            <w:tcW w:w="882" w:type="dxa"/>
            <w:tcBorders>
              <w:left w:val="nil"/>
              <w:right w:val="nil"/>
            </w:tcBorders>
            <w:hideMark/>
          </w:tcPr>
          <w:p w:rsidR="004611F8" w:rsidRDefault="004611F8">
            <w:pPr>
              <w:jc w:val="right"/>
              <w:rPr>
                <w:rFonts w:ascii="Verdana" w:hAnsi="Verdana"/>
                <w:color w:val="000000"/>
                <w:sz w:val="18"/>
                <w:szCs w:val="18"/>
              </w:rPr>
            </w:pPr>
            <w:r>
              <w:rPr>
                <w:rFonts w:ascii="Verdana" w:hAnsi="Verdana"/>
                <w:color w:val="000000"/>
                <w:sz w:val="18"/>
                <w:szCs w:val="18"/>
              </w:rPr>
              <w:t>-28</w:t>
            </w:r>
            <w:r w:rsidR="007070E7">
              <w:rPr>
                <w:rFonts w:ascii="Verdana" w:hAnsi="Verdana"/>
                <w:color w:val="000000"/>
                <w:sz w:val="18"/>
                <w:szCs w:val="18"/>
              </w:rPr>
              <w:t>,0</w:t>
            </w:r>
          </w:p>
        </w:tc>
      </w:tr>
      <w:tr w:rsidR="004611F8" w:rsidTr="004611F8">
        <w:tc>
          <w:tcPr>
            <w:tcW w:w="8220" w:type="dxa"/>
            <w:tcBorders>
              <w:left w:val="nil"/>
              <w:right w:val="nil"/>
            </w:tcBorders>
            <w:hideMark/>
          </w:tcPr>
          <w:p w:rsidR="004611F8" w:rsidRDefault="004611F8">
            <w:pPr>
              <w:ind w:firstLine="360" w:firstLineChars="200"/>
              <w:rPr>
                <w:rFonts w:ascii="Verdana" w:hAnsi="Verdana"/>
                <w:color w:val="000000"/>
                <w:sz w:val="18"/>
                <w:szCs w:val="18"/>
              </w:rPr>
            </w:pPr>
            <w:r>
              <w:rPr>
                <w:rFonts w:ascii="Verdana" w:hAnsi="Verdana"/>
                <w:color w:val="000000"/>
                <w:sz w:val="18"/>
                <w:szCs w:val="18"/>
              </w:rPr>
              <w:t>Diversen</w:t>
            </w:r>
          </w:p>
        </w:tc>
        <w:tc>
          <w:tcPr>
            <w:tcW w:w="882" w:type="dxa"/>
            <w:tcBorders>
              <w:bottom w:val="single" w:color="000000" w:sz="6" w:space="0"/>
            </w:tcBorders>
            <w:hideMark/>
          </w:tcPr>
          <w:p w:rsidR="004611F8" w:rsidRDefault="004611F8">
            <w:pPr>
              <w:jc w:val="right"/>
              <w:rPr>
                <w:rFonts w:ascii="Verdana" w:hAnsi="Verdana"/>
                <w:color w:val="000000"/>
                <w:sz w:val="18"/>
                <w:szCs w:val="18"/>
              </w:rPr>
            </w:pPr>
            <w:r>
              <w:rPr>
                <w:rFonts w:ascii="Verdana" w:hAnsi="Verdana"/>
                <w:color w:val="000000"/>
                <w:sz w:val="18"/>
                <w:szCs w:val="18"/>
              </w:rPr>
              <w:t>3,4</w:t>
            </w:r>
          </w:p>
        </w:tc>
      </w:tr>
      <w:tr w:rsidR="004611F8" w:rsidTr="004611F8">
        <w:tc>
          <w:tcPr>
            <w:tcW w:w="8220" w:type="dxa"/>
            <w:tcBorders>
              <w:left w:val="nil"/>
              <w:right w:val="nil"/>
            </w:tcBorders>
            <w:tcMar>
              <w:top w:w="15" w:type="dxa"/>
              <w:left w:w="180" w:type="dxa"/>
              <w:bottom w:w="15" w:type="dxa"/>
              <w:right w:w="15" w:type="dxa"/>
            </w:tcMar>
            <w:hideMark/>
          </w:tcPr>
          <w:p w:rsidR="004611F8" w:rsidRDefault="004611F8">
            <w:pPr>
              <w:rPr>
                <w:rFonts w:ascii="Verdana" w:hAnsi="Verdana"/>
                <w:color w:val="000000"/>
                <w:sz w:val="18"/>
                <w:szCs w:val="18"/>
              </w:rPr>
            </w:pPr>
          </w:p>
        </w:tc>
        <w:tc>
          <w:tcPr>
            <w:tcW w:w="882" w:type="dxa"/>
            <w:tcBorders>
              <w:top w:val="single" w:color="000000" w:sz="6" w:space="0"/>
            </w:tcBorders>
            <w:hideMark/>
          </w:tcPr>
          <w:p w:rsidR="004611F8" w:rsidRDefault="004611F8">
            <w:pPr>
              <w:jc w:val="right"/>
              <w:rPr>
                <w:rFonts w:ascii="Verdana" w:hAnsi="Verdana"/>
                <w:color w:val="000000"/>
                <w:sz w:val="18"/>
                <w:szCs w:val="18"/>
              </w:rPr>
            </w:pPr>
            <w:r>
              <w:rPr>
                <w:rFonts w:ascii="Verdana" w:hAnsi="Verdana"/>
                <w:color w:val="000000"/>
                <w:sz w:val="18"/>
                <w:szCs w:val="18"/>
              </w:rPr>
              <w:t>-43,6</w:t>
            </w:r>
          </w:p>
        </w:tc>
      </w:tr>
      <w:tr w:rsidR="004611F8" w:rsidTr="004611F8">
        <w:tc>
          <w:tcPr>
            <w:tcW w:w="8220" w:type="dxa"/>
            <w:tcBorders>
              <w:left w:val="nil"/>
              <w:right w:val="nil"/>
            </w:tcBorders>
            <w:tcMar>
              <w:top w:w="15" w:type="dxa"/>
              <w:left w:w="360" w:type="dxa"/>
              <w:bottom w:w="15" w:type="dxa"/>
              <w:right w:w="15" w:type="dxa"/>
            </w:tcMar>
            <w:hideMark/>
          </w:tcPr>
          <w:p w:rsidR="004611F8" w:rsidRDefault="004611F8">
            <w:pPr>
              <w:rPr>
                <w:rFonts w:ascii="Verdana" w:hAnsi="Verdana"/>
                <w:color w:val="000000"/>
                <w:sz w:val="18"/>
                <w:szCs w:val="18"/>
              </w:rPr>
            </w:pPr>
            <w:r>
              <w:rPr>
                <w:rFonts w:ascii="Verdana" w:hAnsi="Verdana"/>
                <w:color w:val="000000"/>
                <w:sz w:val="18"/>
                <w:szCs w:val="18"/>
              </w:rPr>
              <w:t>Technische mutaties</w:t>
            </w:r>
          </w:p>
        </w:tc>
        <w:tc>
          <w:tcPr>
            <w:tcW w:w="882" w:type="dxa"/>
            <w:tcBorders>
              <w:left w:val="nil"/>
              <w:right w:val="nil"/>
            </w:tcBorders>
            <w:vAlign w:val="bottom"/>
            <w:hideMark/>
          </w:tcPr>
          <w:p w:rsidR="004611F8" w:rsidRDefault="004611F8">
            <w:pPr>
              <w:rPr>
                <w:rFonts w:ascii="Verdana" w:hAnsi="Verdana"/>
                <w:color w:val="000000"/>
                <w:sz w:val="14"/>
                <w:szCs w:val="14"/>
              </w:rPr>
            </w:pPr>
          </w:p>
        </w:tc>
      </w:tr>
      <w:tr w:rsidR="004611F8" w:rsidTr="004611F8">
        <w:tc>
          <w:tcPr>
            <w:tcW w:w="8220" w:type="dxa"/>
            <w:tcBorders>
              <w:left w:val="nil"/>
              <w:right w:val="nil"/>
            </w:tcBorders>
            <w:tcMar>
              <w:top w:w="15" w:type="dxa"/>
              <w:left w:w="180" w:type="dxa"/>
              <w:bottom w:w="15" w:type="dxa"/>
              <w:right w:w="15" w:type="dxa"/>
            </w:tcMar>
            <w:hideMark/>
          </w:tcPr>
          <w:p w:rsidR="004611F8" w:rsidRDefault="004611F8">
            <w:pPr>
              <w:ind w:firstLine="180" w:firstLineChars="100"/>
              <w:rPr>
                <w:rFonts w:ascii="Verdana" w:hAnsi="Verdana"/>
                <w:color w:val="000000"/>
                <w:sz w:val="18"/>
                <w:szCs w:val="18"/>
              </w:rPr>
            </w:pPr>
            <w:r>
              <w:rPr>
                <w:rFonts w:ascii="Verdana" w:hAnsi="Verdana"/>
                <w:color w:val="000000"/>
                <w:sz w:val="18"/>
                <w:szCs w:val="18"/>
              </w:rPr>
              <w:t>Rijksbegroting in enge zin</w:t>
            </w:r>
          </w:p>
        </w:tc>
        <w:tc>
          <w:tcPr>
            <w:tcW w:w="882" w:type="dxa"/>
            <w:vAlign w:val="bottom"/>
            <w:hideMark/>
          </w:tcPr>
          <w:p w:rsidR="004611F8" w:rsidRDefault="004611F8">
            <w:pPr>
              <w:rPr>
                <w:rFonts w:ascii="Verdana" w:hAnsi="Verdana"/>
                <w:color w:val="000000"/>
                <w:sz w:val="14"/>
                <w:szCs w:val="14"/>
              </w:rPr>
            </w:pPr>
          </w:p>
        </w:tc>
      </w:tr>
      <w:tr w:rsidR="004611F8" w:rsidTr="004611F8">
        <w:tc>
          <w:tcPr>
            <w:tcW w:w="8220" w:type="dxa"/>
            <w:tcBorders>
              <w:left w:val="nil"/>
              <w:right w:val="nil"/>
            </w:tcBorders>
            <w:tcMar>
              <w:top w:w="15" w:type="dxa"/>
              <w:left w:w="360" w:type="dxa"/>
              <w:bottom w:w="15" w:type="dxa"/>
              <w:right w:w="15" w:type="dxa"/>
            </w:tcMar>
            <w:hideMark/>
          </w:tcPr>
          <w:p w:rsidR="004611F8" w:rsidRDefault="004611F8">
            <w:pPr>
              <w:ind w:firstLine="360" w:firstLineChars="200"/>
              <w:rPr>
                <w:rFonts w:ascii="Verdana" w:hAnsi="Verdana"/>
                <w:color w:val="000000"/>
                <w:sz w:val="18"/>
                <w:szCs w:val="18"/>
              </w:rPr>
            </w:pPr>
            <w:r>
              <w:rPr>
                <w:rFonts w:ascii="Verdana" w:hAnsi="Verdana"/>
                <w:color w:val="000000"/>
                <w:sz w:val="18"/>
                <w:szCs w:val="18"/>
              </w:rPr>
              <w:t>Diversen</w:t>
            </w:r>
          </w:p>
        </w:tc>
        <w:tc>
          <w:tcPr>
            <w:tcW w:w="882" w:type="dxa"/>
            <w:tcBorders>
              <w:left w:val="nil"/>
              <w:right w:val="nil"/>
            </w:tcBorders>
            <w:hideMark/>
          </w:tcPr>
          <w:p w:rsidR="004611F8" w:rsidRDefault="004611F8">
            <w:pPr>
              <w:jc w:val="right"/>
              <w:rPr>
                <w:rFonts w:ascii="Verdana" w:hAnsi="Verdana"/>
                <w:color w:val="000000"/>
                <w:sz w:val="18"/>
                <w:szCs w:val="18"/>
              </w:rPr>
            </w:pPr>
            <w:r>
              <w:rPr>
                <w:rFonts w:ascii="Verdana" w:hAnsi="Verdana"/>
                <w:color w:val="000000"/>
                <w:sz w:val="18"/>
                <w:szCs w:val="18"/>
              </w:rPr>
              <w:t>-15,3</w:t>
            </w:r>
          </w:p>
        </w:tc>
      </w:tr>
      <w:tr w:rsidR="004611F8" w:rsidTr="004611F8">
        <w:tc>
          <w:tcPr>
            <w:tcW w:w="8220" w:type="dxa"/>
            <w:tcBorders>
              <w:left w:val="nil"/>
              <w:right w:val="nil"/>
            </w:tcBorders>
            <w:tcMar>
              <w:top w:w="15" w:type="dxa"/>
              <w:left w:w="360" w:type="dxa"/>
              <w:bottom w:w="15" w:type="dxa"/>
              <w:right w:w="15" w:type="dxa"/>
            </w:tcMar>
            <w:hideMark/>
          </w:tcPr>
          <w:p w:rsidR="004611F8" w:rsidRDefault="004611F8">
            <w:pPr>
              <w:ind w:firstLine="180" w:firstLineChars="100"/>
              <w:rPr>
                <w:rFonts w:ascii="Verdana" w:hAnsi="Verdana"/>
                <w:color w:val="000000"/>
                <w:sz w:val="18"/>
                <w:szCs w:val="18"/>
              </w:rPr>
            </w:pPr>
            <w:r>
              <w:rPr>
                <w:rFonts w:ascii="Verdana" w:hAnsi="Verdana"/>
                <w:color w:val="000000"/>
                <w:sz w:val="18"/>
                <w:szCs w:val="18"/>
              </w:rPr>
              <w:t xml:space="preserve">Niet tot een </w:t>
            </w:r>
            <w:proofErr w:type="spellStart"/>
            <w:r>
              <w:rPr>
                <w:rFonts w:ascii="Verdana" w:hAnsi="Verdana"/>
                <w:color w:val="000000"/>
                <w:sz w:val="18"/>
                <w:szCs w:val="18"/>
              </w:rPr>
              <w:t>ijklijn</w:t>
            </w:r>
            <w:proofErr w:type="spellEnd"/>
            <w:r>
              <w:rPr>
                <w:rFonts w:ascii="Verdana" w:hAnsi="Verdana"/>
                <w:color w:val="000000"/>
                <w:sz w:val="18"/>
                <w:szCs w:val="18"/>
              </w:rPr>
              <w:t xml:space="preserve"> behorend</w:t>
            </w:r>
          </w:p>
        </w:tc>
        <w:tc>
          <w:tcPr>
            <w:tcW w:w="882" w:type="dxa"/>
            <w:tcBorders>
              <w:left w:val="nil"/>
              <w:right w:val="nil"/>
            </w:tcBorders>
            <w:vAlign w:val="bottom"/>
            <w:hideMark/>
          </w:tcPr>
          <w:p w:rsidR="004611F8" w:rsidRDefault="004611F8">
            <w:pPr>
              <w:rPr>
                <w:rFonts w:ascii="Verdana" w:hAnsi="Verdana"/>
                <w:color w:val="000000"/>
                <w:sz w:val="14"/>
                <w:szCs w:val="14"/>
              </w:rPr>
            </w:pPr>
          </w:p>
        </w:tc>
      </w:tr>
      <w:tr w:rsidR="004611F8" w:rsidTr="004611F8">
        <w:tc>
          <w:tcPr>
            <w:tcW w:w="8220" w:type="dxa"/>
            <w:tcBorders>
              <w:left w:val="nil"/>
              <w:right w:val="nil"/>
            </w:tcBorders>
            <w:tcMar>
              <w:top w:w="15" w:type="dxa"/>
              <w:left w:w="360" w:type="dxa"/>
              <w:bottom w:w="15" w:type="dxa"/>
              <w:right w:w="15" w:type="dxa"/>
            </w:tcMar>
            <w:hideMark/>
          </w:tcPr>
          <w:p w:rsidR="004611F8" w:rsidRDefault="004611F8">
            <w:pPr>
              <w:ind w:firstLine="360" w:firstLineChars="200"/>
              <w:rPr>
                <w:rFonts w:ascii="Verdana" w:hAnsi="Verdana"/>
                <w:color w:val="000000"/>
                <w:sz w:val="18"/>
                <w:szCs w:val="18"/>
              </w:rPr>
            </w:pPr>
            <w:r>
              <w:rPr>
                <w:rFonts w:ascii="Verdana" w:hAnsi="Verdana"/>
                <w:color w:val="000000"/>
                <w:sz w:val="18"/>
                <w:szCs w:val="18"/>
              </w:rPr>
              <w:t xml:space="preserve">Ontvangsten </w:t>
            </w:r>
            <w:proofErr w:type="spellStart"/>
            <w:r>
              <w:rPr>
                <w:rFonts w:ascii="Verdana" w:hAnsi="Verdana"/>
                <w:color w:val="000000"/>
                <w:sz w:val="18"/>
                <w:szCs w:val="18"/>
              </w:rPr>
              <w:t>ijsland</w:t>
            </w:r>
            <w:proofErr w:type="spellEnd"/>
          </w:p>
        </w:tc>
        <w:tc>
          <w:tcPr>
            <w:tcW w:w="882" w:type="dxa"/>
            <w:tcBorders>
              <w:left w:val="nil"/>
              <w:right w:val="nil"/>
            </w:tcBorders>
            <w:hideMark/>
          </w:tcPr>
          <w:p w:rsidR="004611F8" w:rsidRDefault="004611F8">
            <w:pPr>
              <w:jc w:val="right"/>
              <w:rPr>
                <w:rFonts w:ascii="Verdana" w:hAnsi="Verdana"/>
                <w:color w:val="000000"/>
                <w:sz w:val="18"/>
                <w:szCs w:val="18"/>
              </w:rPr>
            </w:pPr>
            <w:r>
              <w:rPr>
                <w:rFonts w:ascii="Verdana" w:hAnsi="Verdana"/>
                <w:color w:val="000000"/>
                <w:sz w:val="18"/>
                <w:szCs w:val="18"/>
              </w:rPr>
              <w:t>58,5</w:t>
            </w:r>
          </w:p>
        </w:tc>
      </w:tr>
      <w:tr w:rsidR="004611F8" w:rsidTr="004611F8">
        <w:tc>
          <w:tcPr>
            <w:tcW w:w="8220" w:type="dxa"/>
            <w:tcBorders>
              <w:left w:val="nil"/>
              <w:right w:val="nil"/>
            </w:tcBorders>
            <w:hideMark/>
          </w:tcPr>
          <w:p w:rsidR="004611F8" w:rsidP="002849A9" w:rsidRDefault="002849A9">
            <w:pPr>
              <w:ind w:firstLine="360" w:firstLineChars="200"/>
              <w:rPr>
                <w:rFonts w:ascii="Verdana" w:hAnsi="Verdana"/>
                <w:color w:val="000000"/>
                <w:sz w:val="18"/>
                <w:szCs w:val="18"/>
              </w:rPr>
            </w:pPr>
            <w:r>
              <w:rPr>
                <w:rFonts w:ascii="Verdana" w:hAnsi="Verdana"/>
                <w:color w:val="000000"/>
                <w:sz w:val="18"/>
                <w:szCs w:val="18"/>
              </w:rPr>
              <w:t>Verkoop eerste tranche ABN AMRO</w:t>
            </w:r>
          </w:p>
        </w:tc>
        <w:tc>
          <w:tcPr>
            <w:tcW w:w="882" w:type="dxa"/>
            <w:tcBorders>
              <w:left w:val="nil"/>
              <w:right w:val="nil"/>
            </w:tcBorders>
            <w:hideMark/>
          </w:tcPr>
          <w:p w:rsidR="004611F8" w:rsidP="005C0AB8" w:rsidRDefault="004611F8">
            <w:pPr>
              <w:jc w:val="right"/>
              <w:rPr>
                <w:rFonts w:ascii="Verdana" w:hAnsi="Verdana"/>
                <w:color w:val="000000"/>
                <w:sz w:val="18"/>
                <w:szCs w:val="18"/>
              </w:rPr>
            </w:pPr>
            <w:r>
              <w:rPr>
                <w:rFonts w:ascii="Verdana" w:hAnsi="Verdana"/>
                <w:color w:val="000000"/>
                <w:sz w:val="18"/>
                <w:szCs w:val="18"/>
              </w:rPr>
              <w:t>3.337,0</w:t>
            </w:r>
          </w:p>
        </w:tc>
      </w:tr>
      <w:tr w:rsidR="004611F8" w:rsidTr="004611F8">
        <w:tc>
          <w:tcPr>
            <w:tcW w:w="8220" w:type="dxa"/>
            <w:tcBorders>
              <w:left w:val="nil"/>
              <w:right w:val="nil"/>
            </w:tcBorders>
            <w:hideMark/>
          </w:tcPr>
          <w:p w:rsidR="004611F8" w:rsidRDefault="004611F8">
            <w:pPr>
              <w:ind w:firstLine="360" w:firstLineChars="200"/>
              <w:rPr>
                <w:rFonts w:ascii="Verdana" w:hAnsi="Verdana"/>
                <w:color w:val="000000"/>
                <w:sz w:val="18"/>
                <w:szCs w:val="18"/>
              </w:rPr>
            </w:pPr>
            <w:r>
              <w:rPr>
                <w:rFonts w:ascii="Verdana" w:hAnsi="Verdana"/>
                <w:color w:val="000000"/>
                <w:sz w:val="18"/>
                <w:szCs w:val="18"/>
              </w:rPr>
              <w:t xml:space="preserve">Verrekening overbruggingskrediet </w:t>
            </w:r>
            <w:proofErr w:type="spellStart"/>
            <w:r>
              <w:rPr>
                <w:rFonts w:ascii="Verdana" w:hAnsi="Verdana"/>
                <w:color w:val="000000"/>
                <w:sz w:val="18"/>
                <w:szCs w:val="18"/>
              </w:rPr>
              <w:t>ivm</w:t>
            </w:r>
            <w:proofErr w:type="spellEnd"/>
            <w:r>
              <w:rPr>
                <w:rFonts w:ascii="Verdana" w:hAnsi="Verdana"/>
                <w:color w:val="000000"/>
                <w:sz w:val="18"/>
                <w:szCs w:val="18"/>
              </w:rPr>
              <w:t xml:space="preserve"> aankoop </w:t>
            </w:r>
            <w:proofErr w:type="spellStart"/>
            <w:r>
              <w:rPr>
                <w:rFonts w:ascii="Verdana" w:hAnsi="Verdana"/>
                <w:color w:val="000000"/>
                <w:sz w:val="18"/>
                <w:szCs w:val="18"/>
              </w:rPr>
              <w:t>sns</w:t>
            </w:r>
            <w:proofErr w:type="spellEnd"/>
            <w:r>
              <w:rPr>
                <w:rFonts w:ascii="Verdana" w:hAnsi="Verdana"/>
                <w:color w:val="000000"/>
                <w:sz w:val="18"/>
                <w:szCs w:val="18"/>
              </w:rPr>
              <w:t xml:space="preserve"> bank</w:t>
            </w:r>
          </w:p>
        </w:tc>
        <w:tc>
          <w:tcPr>
            <w:tcW w:w="882" w:type="dxa"/>
            <w:tcBorders>
              <w:left w:val="nil"/>
              <w:right w:val="nil"/>
            </w:tcBorders>
            <w:hideMark/>
          </w:tcPr>
          <w:p w:rsidR="004611F8" w:rsidP="005C0AB8" w:rsidRDefault="004611F8">
            <w:pPr>
              <w:jc w:val="right"/>
              <w:rPr>
                <w:rFonts w:ascii="Verdana" w:hAnsi="Verdana"/>
                <w:color w:val="000000"/>
                <w:sz w:val="18"/>
                <w:szCs w:val="18"/>
              </w:rPr>
            </w:pPr>
            <w:r>
              <w:rPr>
                <w:rFonts w:ascii="Verdana" w:hAnsi="Verdana"/>
                <w:color w:val="000000"/>
                <w:sz w:val="18"/>
                <w:szCs w:val="18"/>
              </w:rPr>
              <w:t>1.100,0</w:t>
            </w:r>
          </w:p>
        </w:tc>
      </w:tr>
      <w:tr w:rsidR="004611F8" w:rsidTr="004611F8">
        <w:tc>
          <w:tcPr>
            <w:tcW w:w="8220" w:type="dxa"/>
            <w:tcBorders>
              <w:left w:val="nil"/>
              <w:right w:val="nil"/>
            </w:tcBorders>
            <w:hideMark/>
          </w:tcPr>
          <w:p w:rsidR="004611F8" w:rsidRDefault="004611F8">
            <w:pPr>
              <w:ind w:firstLine="360" w:firstLineChars="200"/>
              <w:rPr>
                <w:rFonts w:ascii="Verdana" w:hAnsi="Verdana"/>
                <w:color w:val="000000"/>
                <w:sz w:val="18"/>
                <w:szCs w:val="18"/>
              </w:rPr>
            </w:pPr>
            <w:r>
              <w:rPr>
                <w:rFonts w:ascii="Verdana" w:hAnsi="Verdana"/>
                <w:color w:val="000000"/>
                <w:sz w:val="18"/>
                <w:szCs w:val="18"/>
              </w:rPr>
              <w:t>Diversen</w:t>
            </w:r>
          </w:p>
        </w:tc>
        <w:tc>
          <w:tcPr>
            <w:tcW w:w="882" w:type="dxa"/>
            <w:tcBorders>
              <w:bottom w:val="single" w:color="000000" w:sz="6" w:space="0"/>
            </w:tcBorders>
            <w:hideMark/>
          </w:tcPr>
          <w:p w:rsidR="004611F8" w:rsidRDefault="004611F8">
            <w:pPr>
              <w:jc w:val="right"/>
              <w:rPr>
                <w:rFonts w:ascii="Verdana" w:hAnsi="Verdana"/>
                <w:color w:val="000000"/>
                <w:sz w:val="18"/>
                <w:szCs w:val="18"/>
              </w:rPr>
            </w:pPr>
            <w:r>
              <w:rPr>
                <w:rFonts w:ascii="Verdana" w:hAnsi="Verdana"/>
                <w:color w:val="000000"/>
                <w:sz w:val="18"/>
                <w:szCs w:val="18"/>
              </w:rPr>
              <w:t>-17,1</w:t>
            </w:r>
          </w:p>
        </w:tc>
      </w:tr>
      <w:tr w:rsidR="004611F8" w:rsidTr="004611F8">
        <w:tc>
          <w:tcPr>
            <w:tcW w:w="8220" w:type="dxa"/>
            <w:tcBorders>
              <w:left w:val="nil"/>
              <w:right w:val="nil"/>
            </w:tcBorders>
            <w:hideMark/>
          </w:tcPr>
          <w:p w:rsidRPr="004611F8" w:rsidR="004611F8" w:rsidRDefault="004611F8">
            <w:pPr>
              <w:rPr>
                <w:rFonts w:ascii="Verdana" w:hAnsi="Verdana"/>
                <w:color w:val="000000"/>
                <w:sz w:val="18"/>
                <w:szCs w:val="18"/>
              </w:rPr>
            </w:pPr>
          </w:p>
        </w:tc>
        <w:tc>
          <w:tcPr>
            <w:tcW w:w="882" w:type="dxa"/>
            <w:tcBorders>
              <w:top w:val="single" w:color="000000" w:sz="6" w:space="0"/>
              <w:left w:val="nil"/>
              <w:right w:val="nil"/>
            </w:tcBorders>
            <w:hideMark/>
          </w:tcPr>
          <w:p w:rsidRPr="004611F8" w:rsidR="004611F8" w:rsidP="005C0AB8" w:rsidRDefault="004611F8">
            <w:pPr>
              <w:jc w:val="right"/>
              <w:rPr>
                <w:rFonts w:ascii="Verdana" w:hAnsi="Verdana"/>
                <w:color w:val="000000"/>
                <w:sz w:val="18"/>
                <w:szCs w:val="18"/>
              </w:rPr>
            </w:pPr>
            <w:r w:rsidRPr="004611F8">
              <w:rPr>
                <w:rFonts w:ascii="Verdana" w:hAnsi="Verdana"/>
                <w:color w:val="000000"/>
                <w:sz w:val="18"/>
                <w:szCs w:val="18"/>
              </w:rPr>
              <w:t>4.463,1</w:t>
            </w:r>
          </w:p>
        </w:tc>
      </w:tr>
      <w:tr w:rsidR="004611F8" w:rsidTr="004611F8">
        <w:tc>
          <w:tcPr>
            <w:tcW w:w="8220" w:type="dxa"/>
            <w:tcBorders>
              <w:left w:val="nil"/>
              <w:right w:val="nil"/>
            </w:tcBorders>
            <w:hideMark/>
          </w:tcPr>
          <w:p w:rsidRPr="004611F8" w:rsidR="004611F8" w:rsidRDefault="004611F8">
            <w:pPr>
              <w:rPr>
                <w:rFonts w:ascii="Verdana" w:hAnsi="Verdana"/>
                <w:color w:val="000000"/>
                <w:sz w:val="18"/>
                <w:szCs w:val="18"/>
              </w:rPr>
            </w:pPr>
            <w:r w:rsidRPr="004611F8">
              <w:rPr>
                <w:rFonts w:ascii="Verdana" w:hAnsi="Verdana"/>
                <w:color w:val="000000"/>
                <w:sz w:val="18"/>
                <w:szCs w:val="18"/>
              </w:rPr>
              <w:t>Totaal mutaties sinds Miljoenennota 2016</w:t>
            </w:r>
          </w:p>
        </w:tc>
        <w:tc>
          <w:tcPr>
            <w:tcW w:w="882" w:type="dxa"/>
            <w:tcBorders>
              <w:left w:val="nil"/>
              <w:right w:val="nil"/>
            </w:tcBorders>
            <w:hideMark/>
          </w:tcPr>
          <w:p w:rsidRPr="004611F8" w:rsidR="004611F8" w:rsidRDefault="004611F8">
            <w:pPr>
              <w:jc w:val="right"/>
              <w:rPr>
                <w:rFonts w:ascii="Verdana" w:hAnsi="Verdana"/>
                <w:color w:val="000000"/>
                <w:sz w:val="18"/>
                <w:szCs w:val="18"/>
              </w:rPr>
            </w:pPr>
            <w:r w:rsidRPr="004611F8">
              <w:rPr>
                <w:rFonts w:ascii="Verdana" w:hAnsi="Verdana"/>
                <w:color w:val="000000"/>
                <w:sz w:val="18"/>
                <w:szCs w:val="18"/>
              </w:rPr>
              <w:t>4.419,4</w:t>
            </w:r>
          </w:p>
        </w:tc>
      </w:tr>
      <w:tr w:rsidR="004611F8" w:rsidTr="00096AA1">
        <w:tc>
          <w:tcPr>
            <w:tcW w:w="8220" w:type="dxa"/>
            <w:tcBorders>
              <w:left w:val="nil"/>
              <w:right w:val="nil"/>
            </w:tcBorders>
            <w:hideMark/>
          </w:tcPr>
          <w:p w:rsidRPr="004611F8" w:rsidR="004611F8" w:rsidRDefault="004611F8">
            <w:pPr>
              <w:rPr>
                <w:rFonts w:ascii="Verdana" w:hAnsi="Verdana"/>
                <w:color w:val="000000"/>
                <w:sz w:val="18"/>
                <w:szCs w:val="18"/>
              </w:rPr>
            </w:pPr>
          </w:p>
        </w:tc>
        <w:tc>
          <w:tcPr>
            <w:tcW w:w="882" w:type="dxa"/>
            <w:tcBorders>
              <w:top w:val="single" w:color="000000" w:sz="6" w:space="0"/>
              <w:left w:val="nil"/>
              <w:right w:val="nil"/>
            </w:tcBorders>
            <w:vAlign w:val="bottom"/>
            <w:hideMark/>
          </w:tcPr>
          <w:p w:rsidRPr="004611F8" w:rsidR="004611F8" w:rsidRDefault="004611F8">
            <w:pPr>
              <w:rPr>
                <w:rFonts w:ascii="Verdana" w:hAnsi="Verdana"/>
                <w:color w:val="000000"/>
                <w:sz w:val="18"/>
                <w:szCs w:val="18"/>
              </w:rPr>
            </w:pPr>
          </w:p>
        </w:tc>
      </w:tr>
      <w:tr w:rsidRPr="004611F8" w:rsidR="004611F8" w:rsidTr="00096AA1">
        <w:tc>
          <w:tcPr>
            <w:tcW w:w="8220" w:type="dxa"/>
            <w:tcBorders>
              <w:left w:val="nil"/>
              <w:right w:val="nil"/>
            </w:tcBorders>
            <w:shd w:val="clear" w:color="auto" w:fill="auto"/>
            <w:hideMark/>
          </w:tcPr>
          <w:p w:rsidRPr="004611F8" w:rsidR="004611F8" w:rsidP="004611F8" w:rsidRDefault="004611F8">
            <w:pPr>
              <w:rPr>
                <w:rFonts w:ascii="Verdana" w:hAnsi="Verdana"/>
                <w:color w:val="000000"/>
                <w:sz w:val="18"/>
                <w:szCs w:val="18"/>
              </w:rPr>
            </w:pPr>
            <w:r w:rsidRPr="004611F8">
              <w:rPr>
                <w:rFonts w:ascii="Verdana" w:hAnsi="Verdana"/>
                <w:color w:val="000000"/>
                <w:sz w:val="18"/>
                <w:szCs w:val="18"/>
              </w:rPr>
              <w:t>Stand Najaarsnota 2015 (subtotaal)</w:t>
            </w:r>
          </w:p>
        </w:tc>
        <w:tc>
          <w:tcPr>
            <w:tcW w:w="882" w:type="dxa"/>
            <w:tcBorders>
              <w:left w:val="nil"/>
              <w:right w:val="nil"/>
            </w:tcBorders>
            <w:shd w:val="clear" w:color="auto" w:fill="auto"/>
            <w:vAlign w:val="bottom"/>
            <w:hideMark/>
          </w:tcPr>
          <w:p w:rsidRPr="004611F8" w:rsidR="004611F8" w:rsidP="004611F8" w:rsidRDefault="004611F8">
            <w:pPr>
              <w:jc w:val="right"/>
              <w:rPr>
                <w:rFonts w:ascii="Verdana" w:hAnsi="Verdana"/>
                <w:color w:val="000000"/>
                <w:sz w:val="18"/>
                <w:szCs w:val="18"/>
              </w:rPr>
            </w:pPr>
            <w:r w:rsidRPr="004611F8">
              <w:rPr>
                <w:rFonts w:ascii="Verdana" w:hAnsi="Verdana"/>
                <w:color w:val="000000"/>
                <w:sz w:val="18"/>
                <w:szCs w:val="18"/>
              </w:rPr>
              <w:t>8.228,4</w:t>
            </w:r>
          </w:p>
        </w:tc>
      </w:tr>
      <w:tr w:rsidRPr="004611F8" w:rsidR="004611F8" w:rsidTr="004611F8">
        <w:tc>
          <w:tcPr>
            <w:tcW w:w="8220" w:type="dxa"/>
            <w:tcBorders>
              <w:left w:val="nil"/>
              <w:right w:val="nil"/>
            </w:tcBorders>
            <w:shd w:val="clear" w:color="auto" w:fill="auto"/>
            <w:hideMark/>
          </w:tcPr>
          <w:p w:rsidRPr="004611F8" w:rsidR="004611F8" w:rsidP="004611F8" w:rsidRDefault="004611F8">
            <w:pPr>
              <w:rPr>
                <w:rFonts w:ascii="Verdana" w:hAnsi="Verdana"/>
                <w:color w:val="000000"/>
                <w:sz w:val="18"/>
                <w:szCs w:val="18"/>
              </w:rPr>
            </w:pPr>
            <w:r w:rsidRPr="004611F8">
              <w:rPr>
                <w:rFonts w:ascii="Verdana" w:hAnsi="Verdana"/>
                <w:color w:val="000000"/>
                <w:sz w:val="18"/>
                <w:szCs w:val="18"/>
              </w:rPr>
              <w:t>Totaal Internationale samenwerking</w:t>
            </w:r>
          </w:p>
        </w:tc>
        <w:tc>
          <w:tcPr>
            <w:tcW w:w="882" w:type="dxa"/>
            <w:tcBorders>
              <w:left w:val="nil"/>
              <w:bottom w:val="single" w:color="000000" w:sz="6" w:space="0"/>
              <w:right w:val="nil"/>
            </w:tcBorders>
            <w:shd w:val="clear" w:color="auto" w:fill="auto"/>
            <w:vAlign w:val="bottom"/>
            <w:hideMark/>
          </w:tcPr>
          <w:p w:rsidRPr="004611F8" w:rsidR="004611F8" w:rsidP="004611F8" w:rsidRDefault="004611F8">
            <w:pPr>
              <w:jc w:val="right"/>
              <w:rPr>
                <w:rFonts w:ascii="Verdana" w:hAnsi="Verdana"/>
                <w:color w:val="000000"/>
                <w:sz w:val="18"/>
                <w:szCs w:val="18"/>
              </w:rPr>
            </w:pPr>
            <w:r w:rsidRPr="004611F8">
              <w:rPr>
                <w:rFonts w:ascii="Verdana" w:hAnsi="Verdana"/>
                <w:color w:val="000000"/>
                <w:sz w:val="18"/>
                <w:szCs w:val="18"/>
              </w:rPr>
              <w:t>4,8</w:t>
            </w:r>
          </w:p>
        </w:tc>
      </w:tr>
      <w:tr w:rsidRPr="004611F8" w:rsidR="004611F8" w:rsidTr="004611F8">
        <w:tc>
          <w:tcPr>
            <w:tcW w:w="8220" w:type="dxa"/>
            <w:tcBorders>
              <w:left w:val="nil"/>
              <w:right w:val="nil"/>
            </w:tcBorders>
            <w:shd w:val="clear" w:color="auto" w:fill="auto"/>
            <w:hideMark/>
          </w:tcPr>
          <w:p w:rsidRPr="004611F8" w:rsidR="004611F8" w:rsidP="004611F8" w:rsidRDefault="004611F8">
            <w:pPr>
              <w:rPr>
                <w:rFonts w:ascii="Verdana" w:hAnsi="Verdana"/>
                <w:color w:val="000000"/>
                <w:sz w:val="18"/>
                <w:szCs w:val="18"/>
              </w:rPr>
            </w:pPr>
            <w:r w:rsidRPr="004611F8">
              <w:rPr>
                <w:rFonts w:ascii="Verdana" w:hAnsi="Verdana"/>
                <w:color w:val="000000"/>
                <w:sz w:val="18"/>
                <w:szCs w:val="18"/>
              </w:rPr>
              <w:t>Stand Najaarsnota 2015</w:t>
            </w:r>
          </w:p>
        </w:tc>
        <w:tc>
          <w:tcPr>
            <w:tcW w:w="882" w:type="dxa"/>
            <w:tcBorders>
              <w:top w:val="single" w:color="000000" w:sz="6" w:space="0"/>
              <w:left w:val="nil"/>
              <w:right w:val="nil"/>
            </w:tcBorders>
            <w:shd w:val="clear" w:color="auto" w:fill="auto"/>
            <w:vAlign w:val="bottom"/>
            <w:hideMark/>
          </w:tcPr>
          <w:p w:rsidRPr="004611F8" w:rsidR="004611F8" w:rsidP="004611F8" w:rsidRDefault="004611F8">
            <w:pPr>
              <w:jc w:val="right"/>
              <w:rPr>
                <w:rFonts w:ascii="Verdana" w:hAnsi="Verdana"/>
                <w:color w:val="000000"/>
                <w:sz w:val="18"/>
                <w:szCs w:val="18"/>
              </w:rPr>
            </w:pPr>
            <w:r w:rsidRPr="004611F8">
              <w:rPr>
                <w:rFonts w:ascii="Verdana" w:hAnsi="Verdana"/>
                <w:color w:val="000000"/>
                <w:sz w:val="18"/>
                <w:szCs w:val="18"/>
              </w:rPr>
              <w:t>8.233,2</w:t>
            </w:r>
          </w:p>
        </w:tc>
      </w:tr>
    </w:tbl>
    <w:p w:rsidR="00760152" w:rsidRDefault="00760152">
      <w:pPr>
        <w:rPr>
          <w:rFonts w:ascii="Verdana" w:hAnsi="Verdana" w:cs="Verdana"/>
          <w:b/>
          <w:bCs/>
          <w:sz w:val="18"/>
          <w:szCs w:val="18"/>
        </w:rPr>
      </w:pPr>
    </w:p>
    <w:p w:rsidR="00312FEE" w:rsidP="00312FEE" w:rsidRDefault="00312FEE">
      <w:pPr>
        <w:rPr>
          <w:rFonts w:ascii="Verdana" w:hAnsi="Verdana"/>
          <w:b/>
          <w:sz w:val="18"/>
          <w:szCs w:val="18"/>
        </w:rPr>
      </w:pPr>
    </w:p>
    <w:p w:rsidRPr="00312FEE" w:rsidR="00312FEE" w:rsidP="007B36F3" w:rsidRDefault="00312FEE">
      <w:pPr>
        <w:spacing w:line="240" w:lineRule="exact"/>
        <w:rPr>
          <w:rFonts w:ascii="Verdana" w:hAnsi="Verdana"/>
          <w:i/>
          <w:sz w:val="18"/>
          <w:szCs w:val="18"/>
        </w:rPr>
      </w:pPr>
      <w:r w:rsidRPr="00312FEE">
        <w:rPr>
          <w:rFonts w:ascii="Verdana" w:hAnsi="Verdana"/>
          <w:i/>
          <w:sz w:val="18"/>
          <w:szCs w:val="18"/>
        </w:rPr>
        <w:t>Bijstelling BIR (uitgaven en ontvangsten)</w:t>
      </w:r>
      <w:r w:rsidRPr="00312FEE">
        <w:rPr>
          <w:rFonts w:ascii="Verdana" w:hAnsi="Verdana"/>
          <w:i/>
          <w:sz w:val="18"/>
          <w:szCs w:val="18"/>
        </w:rPr>
        <w:br/>
      </w:r>
      <w:r w:rsidRPr="00312FEE">
        <w:rPr>
          <w:rFonts w:ascii="Verdana" w:hAnsi="Verdana"/>
          <w:sz w:val="18"/>
          <w:szCs w:val="18"/>
        </w:rPr>
        <w:t xml:space="preserve">De uitgaven belasting- en invorderingsrente worden met 86,6 mln. naar beneden bijgesteld. Omdat </w:t>
      </w:r>
      <w:r w:rsidRPr="00312FEE">
        <w:rPr>
          <w:rFonts w:ascii="Verdana" w:hAnsi="Verdana"/>
          <w:sz w:val="18"/>
          <w:szCs w:val="18"/>
        </w:rPr>
        <w:lastRenderedPageBreak/>
        <w:t xml:space="preserve">de grondslag voor de BIR lager is dan de oorspronkelijke raming hoeft de belastingdienst minder rente te vergoeden bij het vaststellen van definitieve aanslagen. </w:t>
      </w:r>
    </w:p>
    <w:p w:rsidR="00030989" w:rsidP="007B36F3" w:rsidRDefault="00030989">
      <w:pPr>
        <w:spacing w:line="240" w:lineRule="exact"/>
        <w:rPr>
          <w:rFonts w:ascii="Verdana" w:hAnsi="Verdana"/>
          <w:i/>
          <w:sz w:val="18"/>
          <w:szCs w:val="18"/>
        </w:rPr>
      </w:pPr>
    </w:p>
    <w:p w:rsidRPr="00312FEE" w:rsidR="00312FEE" w:rsidP="007B36F3" w:rsidRDefault="00312FEE">
      <w:pPr>
        <w:spacing w:line="240" w:lineRule="exact"/>
        <w:rPr>
          <w:rFonts w:ascii="Verdana" w:hAnsi="Verdana" w:eastAsiaTheme="minorEastAsia"/>
          <w:sz w:val="18"/>
          <w:szCs w:val="18"/>
        </w:rPr>
      </w:pPr>
      <w:r w:rsidRPr="00312FEE">
        <w:rPr>
          <w:rFonts w:ascii="Verdana" w:hAnsi="Verdana"/>
          <w:i/>
          <w:sz w:val="18"/>
          <w:szCs w:val="18"/>
        </w:rPr>
        <w:t>Onderuitputting eigen personeel</w:t>
      </w:r>
      <w:r w:rsidRPr="00312FEE">
        <w:rPr>
          <w:rFonts w:ascii="Verdana" w:hAnsi="Verdana"/>
          <w:i/>
          <w:sz w:val="18"/>
          <w:szCs w:val="18"/>
        </w:rPr>
        <w:br/>
      </w:r>
      <w:r w:rsidRPr="00312FEE">
        <w:rPr>
          <w:rFonts w:ascii="Verdana" w:hAnsi="Verdana"/>
          <w:sz w:val="18"/>
          <w:szCs w:val="18"/>
        </w:rPr>
        <w:t>De onderuitputting is onder andere te verklaren doordat personele instroom bij de Belastingdienst later op gang is gekomen en uitstroom hoger is dan verwacht.</w:t>
      </w:r>
    </w:p>
    <w:p w:rsidR="007B36F3" w:rsidP="007B36F3" w:rsidRDefault="007B36F3">
      <w:pPr>
        <w:spacing w:line="240" w:lineRule="exact"/>
        <w:rPr>
          <w:rFonts w:ascii="Verdana" w:hAnsi="Verdana"/>
          <w:i/>
          <w:sz w:val="18"/>
          <w:szCs w:val="18"/>
        </w:rPr>
      </w:pPr>
    </w:p>
    <w:p w:rsidRPr="00312FEE" w:rsidR="00312FEE" w:rsidP="007B36F3" w:rsidRDefault="00312FEE">
      <w:pPr>
        <w:spacing w:line="240" w:lineRule="exact"/>
        <w:rPr>
          <w:rFonts w:ascii="Verdana" w:hAnsi="Verdana"/>
          <w:i/>
          <w:sz w:val="18"/>
          <w:szCs w:val="18"/>
        </w:rPr>
      </w:pPr>
      <w:r w:rsidRPr="00312FEE">
        <w:rPr>
          <w:rFonts w:ascii="Verdana" w:hAnsi="Verdana"/>
          <w:i/>
          <w:sz w:val="18"/>
          <w:szCs w:val="18"/>
        </w:rPr>
        <w:t>Schade-uitkering EKV</w:t>
      </w:r>
      <w:r w:rsidRPr="00312FEE">
        <w:rPr>
          <w:rFonts w:ascii="Verdana" w:hAnsi="Verdana"/>
          <w:i/>
          <w:sz w:val="18"/>
          <w:szCs w:val="18"/>
        </w:rPr>
        <w:br/>
      </w:r>
      <w:r w:rsidRPr="00312FEE">
        <w:rPr>
          <w:rFonts w:ascii="Verdana" w:hAnsi="Verdana"/>
          <w:sz w:val="18"/>
          <w:szCs w:val="18"/>
        </w:rPr>
        <w:t>De raming op de schade-uitgaven wordt naar boven bijgesteld door een grote verwachte schade-uitkering eind 2015.</w:t>
      </w:r>
    </w:p>
    <w:p w:rsidRPr="00312FEE" w:rsidR="00312FEE" w:rsidP="007B36F3" w:rsidRDefault="00312FEE">
      <w:pPr>
        <w:spacing w:line="240" w:lineRule="exact"/>
        <w:rPr>
          <w:rFonts w:ascii="Verdana" w:hAnsi="Verdana"/>
          <w:sz w:val="18"/>
          <w:szCs w:val="18"/>
        </w:rPr>
      </w:pPr>
    </w:p>
    <w:p w:rsidRPr="00312FEE" w:rsidR="00312FEE" w:rsidP="007B36F3" w:rsidRDefault="007B36F3">
      <w:pPr>
        <w:spacing w:line="240" w:lineRule="exact"/>
        <w:rPr>
          <w:rFonts w:ascii="Verdana" w:hAnsi="Verdana"/>
          <w:sz w:val="18"/>
          <w:szCs w:val="18"/>
        </w:rPr>
      </w:pPr>
      <w:r>
        <w:rPr>
          <w:rFonts w:ascii="Verdana" w:hAnsi="Verdana"/>
          <w:i/>
          <w:sz w:val="18"/>
          <w:szCs w:val="18"/>
        </w:rPr>
        <w:t>Diversen (</w:t>
      </w:r>
      <w:r w:rsidRPr="00312FEE" w:rsidR="00312FEE">
        <w:rPr>
          <w:rFonts w:ascii="Verdana" w:hAnsi="Verdana"/>
          <w:i/>
          <w:sz w:val="18"/>
          <w:szCs w:val="18"/>
        </w:rPr>
        <w:t>Beleidsmatige</w:t>
      </w:r>
      <w:r>
        <w:rPr>
          <w:rFonts w:ascii="Verdana" w:hAnsi="Verdana"/>
          <w:i/>
          <w:sz w:val="18"/>
          <w:szCs w:val="18"/>
        </w:rPr>
        <w:t xml:space="preserve"> - </w:t>
      </w:r>
      <w:r w:rsidRPr="00312FEE" w:rsidR="00312FEE">
        <w:rPr>
          <w:rFonts w:ascii="Verdana" w:hAnsi="Verdana"/>
          <w:i/>
          <w:sz w:val="18"/>
          <w:szCs w:val="18"/>
        </w:rPr>
        <w:t>rijksbegroting in enge zin)</w:t>
      </w:r>
      <w:r w:rsidRPr="00312FEE" w:rsidR="00312FEE">
        <w:rPr>
          <w:rFonts w:ascii="Verdana" w:hAnsi="Verdana"/>
          <w:sz w:val="18"/>
          <w:szCs w:val="18"/>
        </w:rPr>
        <w:br/>
        <w:t xml:space="preserve">Dit betreft onder andere een onderuitputting van 6 mln. bij de Douane. Het budget voor sancties Rusland is pas halverwege het jaar uitgekeerd, waarna werving van personeel in gang kon worden gezet. Hierdoor is er geen volledig jaar aan personele kosten gemaakt. Verder betreft dit een kasschuif in verband met </w:t>
      </w:r>
      <w:proofErr w:type="spellStart"/>
      <w:r w:rsidRPr="00312FEE" w:rsidR="00312FEE">
        <w:rPr>
          <w:rFonts w:ascii="Verdana" w:hAnsi="Verdana"/>
          <w:sz w:val="18"/>
          <w:szCs w:val="18"/>
        </w:rPr>
        <w:t>ICT-uitgaven</w:t>
      </w:r>
      <w:proofErr w:type="spellEnd"/>
      <w:r w:rsidRPr="00312FEE" w:rsidR="00312FEE">
        <w:rPr>
          <w:rFonts w:ascii="Verdana" w:hAnsi="Verdana"/>
          <w:sz w:val="18"/>
          <w:szCs w:val="18"/>
        </w:rPr>
        <w:t xml:space="preserve"> die in 2016 in plaats van 2015 plaatsvinden. </w:t>
      </w:r>
    </w:p>
    <w:p w:rsidRPr="00312FEE" w:rsidR="00312FEE" w:rsidP="007B36F3" w:rsidRDefault="00312FEE">
      <w:pPr>
        <w:spacing w:line="240" w:lineRule="exact"/>
        <w:rPr>
          <w:rFonts w:ascii="Verdana" w:hAnsi="Verdana"/>
          <w:sz w:val="18"/>
          <w:szCs w:val="18"/>
        </w:rPr>
      </w:pPr>
    </w:p>
    <w:p w:rsidRPr="00312FEE" w:rsidR="00312FEE" w:rsidP="007B36F3" w:rsidRDefault="007B36F3">
      <w:pPr>
        <w:pStyle w:val="Geenafstand"/>
        <w:spacing w:line="240" w:lineRule="exact"/>
        <w:rPr>
          <w:rFonts w:ascii="Verdana" w:hAnsi="Verdana" w:eastAsiaTheme="minorHAnsi"/>
          <w:sz w:val="18"/>
          <w:szCs w:val="18"/>
        </w:rPr>
      </w:pPr>
      <w:r>
        <w:rPr>
          <w:rFonts w:ascii="Verdana" w:hAnsi="Verdana"/>
          <w:i/>
          <w:sz w:val="18"/>
          <w:szCs w:val="18"/>
        </w:rPr>
        <w:t>Diversen (</w:t>
      </w:r>
      <w:r w:rsidRPr="00312FEE" w:rsidR="00312FEE">
        <w:rPr>
          <w:rFonts w:ascii="Verdana" w:hAnsi="Verdana"/>
          <w:i/>
          <w:sz w:val="18"/>
          <w:szCs w:val="18"/>
        </w:rPr>
        <w:t>Technische mutatie</w:t>
      </w:r>
      <w:r>
        <w:rPr>
          <w:rFonts w:ascii="Verdana" w:hAnsi="Verdana"/>
          <w:i/>
          <w:sz w:val="18"/>
          <w:szCs w:val="18"/>
        </w:rPr>
        <w:t xml:space="preserve"> - </w:t>
      </w:r>
      <w:r w:rsidRPr="00312FEE" w:rsidR="00312FEE">
        <w:rPr>
          <w:rFonts w:ascii="Verdana" w:hAnsi="Verdana"/>
          <w:i/>
          <w:sz w:val="18"/>
          <w:szCs w:val="18"/>
        </w:rPr>
        <w:t>rijksbegroting in enge zin)</w:t>
      </w:r>
      <w:r w:rsidRPr="00312FEE" w:rsidR="00312FEE">
        <w:rPr>
          <w:rFonts w:ascii="Verdana" w:hAnsi="Verdana"/>
          <w:i/>
          <w:sz w:val="18"/>
          <w:szCs w:val="18"/>
        </w:rPr>
        <w:br/>
      </w:r>
      <w:r w:rsidRPr="00312FEE" w:rsidR="00312FEE">
        <w:rPr>
          <w:rFonts w:ascii="Verdana" w:hAnsi="Verdana"/>
          <w:sz w:val="18"/>
          <w:szCs w:val="18"/>
        </w:rPr>
        <w:t xml:space="preserve">Dit betreft vooral de aanvullende middelen ten behoeve van de uitvoering van de loonruimteovereenkomst publieke sector. </w:t>
      </w:r>
    </w:p>
    <w:p w:rsidRPr="00312FEE" w:rsidR="00312FEE" w:rsidP="007B36F3" w:rsidRDefault="00312FEE">
      <w:pPr>
        <w:pStyle w:val="Geenafstand"/>
        <w:spacing w:line="240" w:lineRule="exact"/>
        <w:rPr>
          <w:rFonts w:ascii="Verdana" w:hAnsi="Verdana"/>
          <w:sz w:val="18"/>
          <w:szCs w:val="18"/>
        </w:rPr>
      </w:pPr>
      <w:r w:rsidRPr="00312FEE">
        <w:rPr>
          <w:rFonts w:ascii="Verdana" w:hAnsi="Verdana"/>
          <w:sz w:val="18"/>
          <w:szCs w:val="18"/>
        </w:rPr>
        <w:br/>
      </w:r>
      <w:r w:rsidRPr="00312FEE">
        <w:rPr>
          <w:rFonts w:ascii="Verdana" w:hAnsi="Verdana"/>
          <w:i/>
          <w:sz w:val="18"/>
          <w:szCs w:val="18"/>
        </w:rPr>
        <w:t>Aankoop SNS Bank</w:t>
      </w:r>
      <w:r w:rsidR="00030989">
        <w:rPr>
          <w:rFonts w:ascii="Verdana" w:hAnsi="Verdana"/>
          <w:i/>
          <w:sz w:val="18"/>
          <w:szCs w:val="18"/>
        </w:rPr>
        <w:t xml:space="preserve"> zie kamerbrief van 28 augustus</w:t>
      </w:r>
      <w:r w:rsidRPr="00312FEE">
        <w:rPr>
          <w:rFonts w:ascii="Verdana" w:hAnsi="Verdana"/>
          <w:sz w:val="18"/>
          <w:szCs w:val="18"/>
        </w:rPr>
        <w:br/>
        <w:t>In verband met de verplaatsing van SNS Bank heeft de staat de aandelen SNS Bank van SNS REAAL gekocht, zie ook Kamerbrief 33 532 nr. 47. Hierbij is de eerder aan SNS REAAL verstrekte overbruggingslening van 1,1 mld. verrekend met de aankoopprijs. Bij de uitgaven is daarom een betaling van 1,1 mld. opgenomen. Aan de ontvangstenkant is hetzelfde bedrag opgenomen voor de verrekening met het overbruggingskrediet.</w:t>
      </w:r>
    </w:p>
    <w:p w:rsidRPr="00312FEE" w:rsidR="00312FEE" w:rsidP="007B36F3" w:rsidRDefault="00312FEE">
      <w:pPr>
        <w:pStyle w:val="Geenafstand"/>
        <w:spacing w:line="240" w:lineRule="exact"/>
        <w:rPr>
          <w:rFonts w:ascii="Verdana" w:hAnsi="Verdana"/>
          <w:i/>
          <w:sz w:val="18"/>
          <w:szCs w:val="18"/>
        </w:rPr>
      </w:pPr>
    </w:p>
    <w:p w:rsidRPr="00312FEE" w:rsidR="00312FEE" w:rsidP="007B36F3" w:rsidRDefault="00312FEE">
      <w:pPr>
        <w:pStyle w:val="Geenafstand"/>
        <w:spacing w:line="240" w:lineRule="exact"/>
        <w:rPr>
          <w:rFonts w:ascii="Verdana" w:hAnsi="Verdana"/>
          <w:sz w:val="18"/>
          <w:szCs w:val="18"/>
        </w:rPr>
      </w:pPr>
      <w:r w:rsidRPr="00312FEE">
        <w:rPr>
          <w:rFonts w:ascii="Verdana" w:hAnsi="Verdana"/>
          <w:i/>
          <w:sz w:val="18"/>
          <w:szCs w:val="18"/>
        </w:rPr>
        <w:t xml:space="preserve">Diversen (niet tot een </w:t>
      </w:r>
      <w:proofErr w:type="spellStart"/>
      <w:r w:rsidRPr="00312FEE">
        <w:rPr>
          <w:rFonts w:ascii="Verdana" w:hAnsi="Verdana"/>
          <w:i/>
          <w:sz w:val="18"/>
          <w:szCs w:val="18"/>
        </w:rPr>
        <w:t>ijklijn</w:t>
      </w:r>
      <w:proofErr w:type="spellEnd"/>
      <w:r w:rsidRPr="00312FEE">
        <w:rPr>
          <w:rFonts w:ascii="Verdana" w:hAnsi="Verdana"/>
          <w:i/>
          <w:sz w:val="18"/>
          <w:szCs w:val="18"/>
        </w:rPr>
        <w:t xml:space="preserve"> behorend)</w:t>
      </w:r>
      <w:r w:rsidRPr="00312FEE">
        <w:rPr>
          <w:rFonts w:ascii="Verdana" w:hAnsi="Verdana"/>
          <w:i/>
          <w:sz w:val="18"/>
          <w:szCs w:val="18"/>
        </w:rPr>
        <w:br/>
      </w:r>
      <w:r w:rsidRPr="00312FEE">
        <w:rPr>
          <w:rFonts w:ascii="Verdana" w:hAnsi="Verdana"/>
          <w:sz w:val="18"/>
          <w:szCs w:val="18"/>
        </w:rPr>
        <w:t>De uitvoeringskosten voor de staatsdeelnemingen zijn voornamelijk verhoogd in verband met de verkoop van ABN AMRO. Het grootste deel van de mutatie ziet op de vergoeding aan de zakenbanken voor de verkoop van aandelen (9,5 mln.).</w:t>
      </w:r>
    </w:p>
    <w:p w:rsidRPr="00312FEE" w:rsidR="00312FEE" w:rsidP="007B36F3" w:rsidRDefault="00312FEE">
      <w:pPr>
        <w:spacing w:line="240" w:lineRule="exact"/>
        <w:rPr>
          <w:rFonts w:ascii="Verdana" w:hAnsi="Verdana"/>
          <w:b/>
          <w:sz w:val="18"/>
          <w:szCs w:val="18"/>
          <w:u w:val="single"/>
        </w:rPr>
      </w:pPr>
    </w:p>
    <w:p w:rsidRPr="00312FEE" w:rsidR="00312FEE" w:rsidP="007B36F3" w:rsidRDefault="00312FEE">
      <w:pPr>
        <w:spacing w:line="240" w:lineRule="exact"/>
        <w:rPr>
          <w:rFonts w:ascii="Verdana" w:hAnsi="Verdana"/>
          <w:i/>
          <w:sz w:val="18"/>
          <w:szCs w:val="18"/>
        </w:rPr>
      </w:pPr>
      <w:r w:rsidRPr="00312FEE">
        <w:rPr>
          <w:rFonts w:ascii="Verdana" w:hAnsi="Verdana"/>
          <w:i/>
          <w:sz w:val="18"/>
          <w:szCs w:val="18"/>
        </w:rPr>
        <w:t>Bijstelling BIR</w:t>
      </w:r>
      <w:r w:rsidRPr="00312FEE">
        <w:rPr>
          <w:rFonts w:ascii="Verdana" w:hAnsi="Verdana"/>
          <w:i/>
          <w:sz w:val="18"/>
          <w:szCs w:val="18"/>
        </w:rPr>
        <w:br/>
      </w:r>
      <w:r w:rsidRPr="00312FEE">
        <w:rPr>
          <w:rFonts w:ascii="Verdana" w:hAnsi="Verdana"/>
          <w:sz w:val="18"/>
          <w:szCs w:val="18"/>
        </w:rPr>
        <w:t>De ontvangsten uit belasting- en invorderingsrente worden met 90 mln. naar beneden bijgesteld. Dit wordt met name veroorzaakt doordat aangiften sneller worden ontvangen (onder andere als gevolg van de vooraf ingevulde aangifte) en aanslagen hierdoor sneller kunnen worden opgelegd waardoor burgers en bedrijven minder rente hoeven te betalen dan eerder geraamd. Daarnaast is sprake van lagere renteontvangsten omdat veel bedrijven kiezen voor het betalen van een hogere voorlopige belastingaanslag, waardoor bij de vaststelling van de definitieve aanslag minder rente verschuldigd is.</w:t>
      </w:r>
    </w:p>
    <w:p w:rsidRPr="00312FEE" w:rsidR="00312FEE" w:rsidP="007B36F3" w:rsidRDefault="00312FEE">
      <w:pPr>
        <w:spacing w:line="240" w:lineRule="exact"/>
        <w:rPr>
          <w:rFonts w:ascii="Verdana" w:hAnsi="Verdana"/>
          <w:i/>
          <w:sz w:val="18"/>
          <w:szCs w:val="18"/>
        </w:rPr>
      </w:pPr>
    </w:p>
    <w:p w:rsidRPr="00312FEE" w:rsidR="00312FEE" w:rsidP="007B36F3" w:rsidRDefault="00312FEE">
      <w:pPr>
        <w:spacing w:line="240" w:lineRule="exact"/>
        <w:rPr>
          <w:rFonts w:ascii="Verdana" w:hAnsi="Verdana"/>
          <w:sz w:val="18"/>
          <w:szCs w:val="18"/>
        </w:rPr>
      </w:pPr>
      <w:r w:rsidRPr="00312FEE">
        <w:rPr>
          <w:rFonts w:ascii="Verdana" w:hAnsi="Verdana"/>
          <w:i/>
          <w:sz w:val="18"/>
          <w:szCs w:val="18"/>
        </w:rPr>
        <w:t>Exportkredietverzekering</w:t>
      </w:r>
      <w:r w:rsidRPr="00312FEE">
        <w:rPr>
          <w:rFonts w:ascii="Verdana" w:hAnsi="Verdana"/>
          <w:sz w:val="18"/>
          <w:szCs w:val="18"/>
        </w:rPr>
        <w:br/>
        <w:t>Door enkele grote exporttransacties zijn de premie-inkomsten hoger dan geraamd. De raming wordt daarom naar boven bijgesteld. Het saldo van mee- en tegenvallers binnen de EKV wordt ultimo boekjaar gestort in de begrotingsreserve.</w:t>
      </w:r>
    </w:p>
    <w:p w:rsidRPr="00312FEE" w:rsidR="00312FEE" w:rsidP="007B36F3" w:rsidRDefault="00312FEE">
      <w:pPr>
        <w:spacing w:line="240" w:lineRule="exact"/>
        <w:rPr>
          <w:rFonts w:ascii="Verdana" w:hAnsi="Verdana"/>
          <w:sz w:val="18"/>
          <w:szCs w:val="18"/>
        </w:rPr>
      </w:pPr>
    </w:p>
    <w:p w:rsidRPr="00312FEE" w:rsidR="00312FEE" w:rsidP="007B36F3" w:rsidRDefault="00312FEE">
      <w:pPr>
        <w:spacing w:line="240" w:lineRule="exact"/>
        <w:rPr>
          <w:rFonts w:ascii="Verdana" w:hAnsi="Verdana"/>
          <w:sz w:val="18"/>
          <w:szCs w:val="18"/>
        </w:rPr>
      </w:pPr>
      <w:r w:rsidRPr="00312FEE">
        <w:rPr>
          <w:rFonts w:ascii="Verdana" w:hAnsi="Verdana"/>
          <w:i/>
          <w:sz w:val="18"/>
          <w:szCs w:val="18"/>
        </w:rPr>
        <w:t xml:space="preserve">Ontvangsten boetes en schikkingen </w:t>
      </w:r>
      <w:r w:rsidRPr="00312FEE">
        <w:rPr>
          <w:rFonts w:ascii="Verdana" w:hAnsi="Verdana"/>
          <w:i/>
          <w:sz w:val="18"/>
          <w:szCs w:val="18"/>
        </w:rPr>
        <w:br/>
      </w:r>
      <w:r w:rsidRPr="00312FEE">
        <w:rPr>
          <w:rFonts w:ascii="Verdana" w:hAnsi="Verdana"/>
          <w:sz w:val="18"/>
          <w:szCs w:val="18"/>
        </w:rPr>
        <w:t xml:space="preserve">De ontvangsten van boetes zijn 16 mln. hoger dan geraamd. Dit wordt vooral veroorzaakt door hogere ontvangsten boetes motorrijtuigenbelasting. </w:t>
      </w:r>
    </w:p>
    <w:p w:rsidRPr="00312FEE" w:rsidR="00312FEE" w:rsidP="007B36F3" w:rsidRDefault="00312FEE">
      <w:pPr>
        <w:spacing w:line="240" w:lineRule="exact"/>
        <w:rPr>
          <w:rFonts w:ascii="Verdana" w:hAnsi="Verdana"/>
          <w:sz w:val="18"/>
          <w:szCs w:val="18"/>
        </w:rPr>
      </w:pPr>
    </w:p>
    <w:p w:rsidRPr="00312FEE" w:rsidR="00312FEE" w:rsidP="007B36F3" w:rsidRDefault="00312FEE">
      <w:pPr>
        <w:pStyle w:val="Geenafstand"/>
        <w:spacing w:line="240" w:lineRule="exact"/>
        <w:rPr>
          <w:rFonts w:ascii="Verdana" w:hAnsi="Verdana" w:eastAsiaTheme="minorHAnsi"/>
          <w:sz w:val="18"/>
          <w:szCs w:val="18"/>
        </w:rPr>
      </w:pPr>
      <w:r w:rsidRPr="00312FEE">
        <w:rPr>
          <w:rFonts w:ascii="Verdana" w:hAnsi="Verdana"/>
          <w:i/>
          <w:sz w:val="18"/>
          <w:szCs w:val="18"/>
        </w:rPr>
        <w:t>Schaderestituties</w:t>
      </w:r>
      <w:r w:rsidRPr="00312FEE">
        <w:rPr>
          <w:rFonts w:ascii="Verdana" w:hAnsi="Verdana"/>
          <w:sz w:val="18"/>
          <w:szCs w:val="18"/>
        </w:rPr>
        <w:br/>
        <w:t>De schaderestituties uit hoofde van terugbetalingsregelingen zijn lager dan geraamd. De raming wordt daarom naar beneden bijgesteld.</w:t>
      </w:r>
    </w:p>
    <w:p w:rsidRPr="00312FEE" w:rsidR="00312FEE" w:rsidP="007B36F3" w:rsidRDefault="00312FEE">
      <w:pPr>
        <w:pStyle w:val="Geenafstand"/>
        <w:spacing w:line="240" w:lineRule="exact"/>
        <w:rPr>
          <w:rFonts w:ascii="Verdana" w:hAnsi="Verdana"/>
          <w:i/>
          <w:sz w:val="18"/>
          <w:szCs w:val="18"/>
        </w:rPr>
      </w:pPr>
    </w:p>
    <w:p w:rsidRPr="00312FEE" w:rsidR="00312FEE" w:rsidP="007B36F3" w:rsidRDefault="007B36F3">
      <w:pPr>
        <w:spacing w:line="240" w:lineRule="exact"/>
        <w:rPr>
          <w:rFonts w:ascii="Verdana" w:hAnsi="Verdana"/>
          <w:i/>
          <w:sz w:val="18"/>
          <w:szCs w:val="18"/>
        </w:rPr>
      </w:pPr>
      <w:r>
        <w:rPr>
          <w:rFonts w:ascii="Verdana" w:hAnsi="Verdana"/>
          <w:i/>
          <w:sz w:val="18"/>
          <w:szCs w:val="18"/>
        </w:rPr>
        <w:t>Diversen (</w:t>
      </w:r>
      <w:r w:rsidRPr="00312FEE" w:rsidR="00312FEE">
        <w:rPr>
          <w:rFonts w:ascii="Verdana" w:hAnsi="Verdana"/>
          <w:i/>
          <w:sz w:val="18"/>
          <w:szCs w:val="18"/>
        </w:rPr>
        <w:t>Beleidsmatige mutaties</w:t>
      </w:r>
      <w:r>
        <w:rPr>
          <w:rFonts w:ascii="Verdana" w:hAnsi="Verdana"/>
          <w:i/>
          <w:sz w:val="18"/>
          <w:szCs w:val="18"/>
        </w:rPr>
        <w:t xml:space="preserve"> - rijksbegroting in enge zin</w:t>
      </w:r>
      <w:r w:rsidRPr="00312FEE" w:rsidR="00312FEE">
        <w:rPr>
          <w:rFonts w:ascii="Verdana" w:hAnsi="Verdana"/>
          <w:i/>
          <w:sz w:val="18"/>
          <w:szCs w:val="18"/>
        </w:rPr>
        <w:t>)</w:t>
      </w:r>
      <w:r w:rsidRPr="00312FEE" w:rsidR="00312FEE">
        <w:rPr>
          <w:rFonts w:ascii="Verdana" w:hAnsi="Verdana"/>
          <w:i/>
          <w:sz w:val="18"/>
          <w:szCs w:val="18"/>
        </w:rPr>
        <w:br/>
      </w:r>
      <w:r w:rsidRPr="00312FEE" w:rsidR="00312FEE">
        <w:rPr>
          <w:rFonts w:ascii="Verdana" w:hAnsi="Verdana"/>
          <w:sz w:val="18"/>
          <w:szCs w:val="18"/>
        </w:rPr>
        <w:t xml:space="preserve">Voor de Staatloterij was rekening gehouden met het risico dat er een tegenvaller zou zijn op de </w:t>
      </w:r>
      <w:r w:rsidRPr="00312FEE" w:rsidR="00312FEE">
        <w:rPr>
          <w:rFonts w:ascii="Verdana" w:hAnsi="Verdana"/>
          <w:sz w:val="18"/>
          <w:szCs w:val="18"/>
        </w:rPr>
        <w:lastRenderedPageBreak/>
        <w:t>afdrachten. Dit risico heeft zich in mindere mate gematerialiseerd, waardoor de raming naar boven kon worden bijgesteld.</w:t>
      </w:r>
    </w:p>
    <w:p w:rsidRPr="00312FEE" w:rsidR="00312FEE" w:rsidP="007B36F3" w:rsidRDefault="00312FEE">
      <w:pPr>
        <w:spacing w:line="240" w:lineRule="exact"/>
        <w:rPr>
          <w:rFonts w:ascii="Verdana" w:hAnsi="Verdana"/>
          <w:sz w:val="18"/>
          <w:szCs w:val="18"/>
        </w:rPr>
      </w:pPr>
    </w:p>
    <w:p w:rsidRPr="00312FEE" w:rsidR="00312FEE" w:rsidP="007B36F3" w:rsidRDefault="007B36F3">
      <w:pPr>
        <w:spacing w:line="240" w:lineRule="exact"/>
        <w:rPr>
          <w:rFonts w:ascii="Verdana" w:hAnsi="Verdana"/>
          <w:sz w:val="18"/>
          <w:szCs w:val="18"/>
        </w:rPr>
      </w:pPr>
      <w:r>
        <w:rPr>
          <w:rFonts w:ascii="Verdana" w:hAnsi="Verdana"/>
          <w:i/>
          <w:sz w:val="18"/>
          <w:szCs w:val="18"/>
        </w:rPr>
        <w:t>Diversen (</w:t>
      </w:r>
      <w:r w:rsidRPr="00312FEE" w:rsidR="00312FEE">
        <w:rPr>
          <w:rFonts w:ascii="Verdana" w:hAnsi="Verdana"/>
          <w:i/>
          <w:sz w:val="18"/>
          <w:szCs w:val="18"/>
        </w:rPr>
        <w:t xml:space="preserve">Technische mutaties </w:t>
      </w:r>
      <w:r>
        <w:rPr>
          <w:rFonts w:ascii="Verdana" w:hAnsi="Verdana"/>
          <w:i/>
          <w:sz w:val="18"/>
          <w:szCs w:val="18"/>
        </w:rPr>
        <w:t xml:space="preserve">- </w:t>
      </w:r>
      <w:r w:rsidRPr="00312FEE" w:rsidR="00312FEE">
        <w:rPr>
          <w:rFonts w:ascii="Verdana" w:hAnsi="Verdana"/>
          <w:i/>
          <w:sz w:val="18"/>
          <w:szCs w:val="18"/>
        </w:rPr>
        <w:t>rijksbegroting in enge zin)</w:t>
      </w:r>
      <w:r w:rsidRPr="00312FEE" w:rsidR="00312FEE">
        <w:rPr>
          <w:rFonts w:ascii="Verdana" w:hAnsi="Verdana"/>
          <w:i/>
          <w:sz w:val="18"/>
          <w:szCs w:val="18"/>
        </w:rPr>
        <w:br/>
      </w:r>
      <w:r w:rsidRPr="00312FEE" w:rsidR="00312FEE">
        <w:rPr>
          <w:rFonts w:ascii="Verdana" w:hAnsi="Verdana"/>
          <w:sz w:val="18"/>
          <w:szCs w:val="18"/>
        </w:rPr>
        <w:t xml:space="preserve">De ontvangsten van de doorberekende tarieven Kostenwet (de kosten vervolging) blijven licht achter bij de raming. </w:t>
      </w:r>
    </w:p>
    <w:p w:rsidRPr="00312FEE" w:rsidR="00312FEE" w:rsidP="007B36F3" w:rsidRDefault="00312FEE">
      <w:pPr>
        <w:spacing w:line="240" w:lineRule="exact"/>
        <w:rPr>
          <w:rFonts w:ascii="Verdana" w:hAnsi="Verdana"/>
          <w:i/>
          <w:sz w:val="18"/>
          <w:szCs w:val="18"/>
        </w:rPr>
      </w:pPr>
    </w:p>
    <w:p w:rsidRPr="00312FEE" w:rsidR="00312FEE" w:rsidP="007B36F3" w:rsidRDefault="00312FEE">
      <w:pPr>
        <w:spacing w:line="240" w:lineRule="exact"/>
        <w:rPr>
          <w:rFonts w:ascii="Verdana" w:hAnsi="Verdana"/>
          <w:i/>
          <w:sz w:val="18"/>
          <w:szCs w:val="18"/>
        </w:rPr>
      </w:pPr>
      <w:r w:rsidRPr="00312FEE">
        <w:rPr>
          <w:rFonts w:ascii="Verdana" w:hAnsi="Verdana"/>
          <w:i/>
          <w:sz w:val="18"/>
          <w:szCs w:val="18"/>
        </w:rPr>
        <w:t xml:space="preserve">Ontvangsten IJsland </w:t>
      </w:r>
      <w:r w:rsidRPr="00312FEE">
        <w:rPr>
          <w:rFonts w:ascii="Verdana" w:hAnsi="Verdana"/>
          <w:i/>
          <w:sz w:val="18"/>
          <w:szCs w:val="18"/>
        </w:rPr>
        <w:br/>
      </w:r>
      <w:r w:rsidRPr="00312FEE">
        <w:rPr>
          <w:rFonts w:ascii="Verdana" w:hAnsi="Verdana"/>
          <w:sz w:val="18"/>
          <w:szCs w:val="18"/>
        </w:rPr>
        <w:t xml:space="preserve">Het dossier </w:t>
      </w:r>
      <w:proofErr w:type="spellStart"/>
      <w:r w:rsidRPr="00312FEE">
        <w:rPr>
          <w:rFonts w:ascii="Verdana" w:hAnsi="Verdana"/>
          <w:sz w:val="18"/>
          <w:szCs w:val="18"/>
        </w:rPr>
        <w:t>Ice</w:t>
      </w:r>
      <w:proofErr w:type="spellEnd"/>
      <w:r w:rsidRPr="00312FEE">
        <w:rPr>
          <w:rFonts w:ascii="Verdana" w:hAnsi="Verdana"/>
          <w:sz w:val="18"/>
          <w:szCs w:val="18"/>
        </w:rPr>
        <w:t xml:space="preserve"> Save is na zeven jaar gesloten. Met het IJslandse DGS is een schikking overeengekomen. Dit zijn niet-geraamde ontvangsten als gevolg van de afwikkeling van de vordering inzake </w:t>
      </w:r>
      <w:proofErr w:type="spellStart"/>
      <w:r w:rsidRPr="00312FEE">
        <w:rPr>
          <w:rFonts w:ascii="Verdana" w:hAnsi="Verdana"/>
          <w:sz w:val="18"/>
          <w:szCs w:val="18"/>
        </w:rPr>
        <w:t>Ice</w:t>
      </w:r>
      <w:proofErr w:type="spellEnd"/>
      <w:r w:rsidRPr="00312FEE">
        <w:rPr>
          <w:rFonts w:ascii="Verdana" w:hAnsi="Verdana"/>
          <w:sz w:val="18"/>
          <w:szCs w:val="18"/>
        </w:rPr>
        <w:t xml:space="preserve"> Save.</w:t>
      </w:r>
    </w:p>
    <w:p w:rsidRPr="00312FEE" w:rsidR="00312FEE" w:rsidP="007B36F3" w:rsidRDefault="00312FEE">
      <w:pPr>
        <w:spacing w:line="240" w:lineRule="exact"/>
        <w:rPr>
          <w:rFonts w:ascii="Verdana" w:hAnsi="Verdana" w:eastAsiaTheme="minorEastAsia"/>
          <w:sz w:val="18"/>
          <w:szCs w:val="18"/>
        </w:rPr>
      </w:pPr>
    </w:p>
    <w:p w:rsidR="00B86D23" w:rsidP="007B36F3" w:rsidRDefault="00B86D23">
      <w:pPr>
        <w:pStyle w:val="Geenafstand"/>
        <w:spacing w:line="240" w:lineRule="exact"/>
        <w:rPr>
          <w:rFonts w:ascii="Verdana" w:hAnsi="Verdana"/>
          <w:i/>
          <w:sz w:val="18"/>
          <w:szCs w:val="18"/>
        </w:rPr>
      </w:pPr>
      <w:r w:rsidRPr="006944DA">
        <w:rPr>
          <w:rFonts w:ascii="Verdana" w:hAnsi="Verdana"/>
          <w:i/>
          <w:sz w:val="18"/>
          <w:szCs w:val="18"/>
        </w:rPr>
        <w:t>Verkoop eerste tranche ABN AMRO</w:t>
      </w:r>
      <w:r w:rsidRPr="006944DA">
        <w:rPr>
          <w:rFonts w:ascii="Verdana" w:hAnsi="Verdana"/>
          <w:i/>
          <w:sz w:val="18"/>
          <w:szCs w:val="18"/>
        </w:rPr>
        <w:br/>
      </w:r>
      <w:r>
        <w:rPr>
          <w:rFonts w:ascii="Verdana" w:hAnsi="Verdana"/>
          <w:sz w:val="18"/>
          <w:szCs w:val="18"/>
        </w:rPr>
        <w:t>Dit zijn de opbrengsten van de verkoop van de eerste tranche van aandelen van ABN AMRO</w:t>
      </w:r>
      <w:r w:rsidR="009D47E4">
        <w:rPr>
          <w:rFonts w:ascii="Verdana" w:hAnsi="Verdana"/>
          <w:sz w:val="18"/>
          <w:szCs w:val="18"/>
        </w:rPr>
        <w:t>.</w:t>
      </w:r>
    </w:p>
    <w:p w:rsidR="00B86D23" w:rsidP="007B36F3" w:rsidRDefault="00B86D23">
      <w:pPr>
        <w:pStyle w:val="Geenafstand"/>
        <w:spacing w:line="240" w:lineRule="exact"/>
        <w:rPr>
          <w:rFonts w:ascii="Verdana" w:hAnsi="Verdana"/>
          <w:i/>
          <w:sz w:val="18"/>
          <w:szCs w:val="18"/>
        </w:rPr>
      </w:pPr>
    </w:p>
    <w:p w:rsidRPr="00312FEE" w:rsidR="00312FEE" w:rsidP="007B36F3" w:rsidRDefault="00312FEE">
      <w:pPr>
        <w:pStyle w:val="Geenafstand"/>
        <w:spacing w:line="240" w:lineRule="exact"/>
        <w:rPr>
          <w:rFonts w:ascii="Verdana" w:hAnsi="Verdana"/>
          <w:i/>
          <w:sz w:val="18"/>
          <w:szCs w:val="18"/>
        </w:rPr>
      </w:pPr>
      <w:r w:rsidRPr="00312FEE">
        <w:rPr>
          <w:rFonts w:ascii="Verdana" w:hAnsi="Verdana"/>
          <w:i/>
          <w:sz w:val="18"/>
          <w:szCs w:val="18"/>
        </w:rPr>
        <w:t>Verrekening overbruggingskrediet</w:t>
      </w:r>
      <w:r w:rsidR="009D47E4">
        <w:rPr>
          <w:rFonts w:ascii="Verdana" w:hAnsi="Verdana"/>
          <w:i/>
          <w:sz w:val="18"/>
          <w:szCs w:val="18"/>
        </w:rPr>
        <w:t xml:space="preserve"> i.v.m.</w:t>
      </w:r>
      <w:r w:rsidRPr="00312FEE">
        <w:rPr>
          <w:rFonts w:ascii="Verdana" w:hAnsi="Verdana"/>
          <w:i/>
          <w:sz w:val="18"/>
          <w:szCs w:val="18"/>
        </w:rPr>
        <w:t xml:space="preserve"> SNS Bank </w:t>
      </w:r>
      <w:r w:rsidRPr="00312FEE">
        <w:rPr>
          <w:rFonts w:ascii="Verdana" w:hAnsi="Verdana"/>
          <w:i/>
          <w:sz w:val="18"/>
          <w:szCs w:val="18"/>
        </w:rPr>
        <w:br/>
      </w:r>
      <w:r w:rsidRPr="00312FEE">
        <w:rPr>
          <w:rFonts w:ascii="Verdana" w:hAnsi="Verdana"/>
          <w:sz w:val="18"/>
          <w:szCs w:val="18"/>
        </w:rPr>
        <w:t>In verband met de verplaatsing van SNS Bank heeft de staat de aandelen SNS Bank van SNS REAAL gekocht, zie ook Kamerbrief 33 532 nr. 47. Hierbij is de eerder aan SNS REAAL verstrekte overbruggingslening van 1,1 mld. verrekend met de aankoopprijs. Bij de uitgaven is daarom een betaling van 1,1 mld. opgenomen. Aan de ontvangstenkant is hetzelfde bedrag opgenomen voor de verrekening met het overbruggingskrediet.</w:t>
      </w:r>
    </w:p>
    <w:p w:rsidRPr="00312FEE" w:rsidR="00312FEE" w:rsidP="007B36F3" w:rsidRDefault="00312FEE">
      <w:pPr>
        <w:spacing w:line="240" w:lineRule="exact"/>
        <w:rPr>
          <w:rFonts w:ascii="Verdana" w:hAnsi="Verdana"/>
          <w:sz w:val="18"/>
          <w:szCs w:val="18"/>
        </w:rPr>
      </w:pPr>
    </w:p>
    <w:p w:rsidRPr="00312FEE" w:rsidR="00312FEE" w:rsidP="007B36F3" w:rsidRDefault="00B80679">
      <w:pPr>
        <w:spacing w:line="240" w:lineRule="exact"/>
        <w:rPr>
          <w:rFonts w:ascii="Verdana" w:hAnsi="Verdana"/>
          <w:i/>
          <w:sz w:val="18"/>
          <w:szCs w:val="18"/>
        </w:rPr>
      </w:pPr>
      <w:r>
        <w:rPr>
          <w:rFonts w:ascii="Verdana" w:hAnsi="Verdana"/>
          <w:i/>
          <w:sz w:val="18"/>
          <w:szCs w:val="18"/>
        </w:rPr>
        <w:t>Diversen (</w:t>
      </w:r>
      <w:r w:rsidRPr="00312FEE" w:rsidR="00312FEE">
        <w:rPr>
          <w:rFonts w:ascii="Verdana" w:hAnsi="Verdana"/>
          <w:i/>
          <w:sz w:val="18"/>
          <w:szCs w:val="18"/>
        </w:rPr>
        <w:t>Technische mutaties</w:t>
      </w:r>
      <w:r>
        <w:rPr>
          <w:rFonts w:ascii="Verdana" w:hAnsi="Verdana"/>
          <w:i/>
          <w:sz w:val="18"/>
          <w:szCs w:val="18"/>
        </w:rPr>
        <w:t xml:space="preserve"> - </w:t>
      </w:r>
      <w:r w:rsidRPr="00312FEE" w:rsidR="00312FEE">
        <w:rPr>
          <w:rFonts w:ascii="Verdana" w:hAnsi="Verdana"/>
          <w:i/>
          <w:sz w:val="18"/>
          <w:szCs w:val="18"/>
        </w:rPr>
        <w:t xml:space="preserve">niet tot een </w:t>
      </w:r>
      <w:proofErr w:type="spellStart"/>
      <w:r w:rsidRPr="00312FEE" w:rsidR="00312FEE">
        <w:rPr>
          <w:rFonts w:ascii="Verdana" w:hAnsi="Verdana"/>
          <w:i/>
          <w:sz w:val="18"/>
          <w:szCs w:val="18"/>
        </w:rPr>
        <w:t>ijklijn</w:t>
      </w:r>
      <w:proofErr w:type="spellEnd"/>
      <w:r w:rsidRPr="00312FEE" w:rsidR="00312FEE">
        <w:rPr>
          <w:rFonts w:ascii="Verdana" w:hAnsi="Verdana"/>
          <w:i/>
          <w:sz w:val="18"/>
          <w:szCs w:val="18"/>
        </w:rPr>
        <w:t xml:space="preserve"> behorend)</w:t>
      </w:r>
      <w:r w:rsidRPr="00312FEE" w:rsidR="00312FEE">
        <w:rPr>
          <w:rFonts w:ascii="Verdana" w:hAnsi="Verdana"/>
          <w:i/>
          <w:sz w:val="18"/>
          <w:szCs w:val="18"/>
        </w:rPr>
        <w:br/>
      </w:r>
      <w:r w:rsidRPr="00312FEE" w:rsidR="00312FEE">
        <w:rPr>
          <w:rFonts w:ascii="Verdana" w:hAnsi="Verdana"/>
          <w:sz w:val="18"/>
          <w:szCs w:val="18"/>
        </w:rPr>
        <w:t xml:space="preserve">Dit betreft met name lagere renteontvangsten van SNS REAAL als gevolg van het </w:t>
      </w:r>
      <w:proofErr w:type="spellStart"/>
      <w:r w:rsidRPr="00312FEE" w:rsidR="00312FEE">
        <w:rPr>
          <w:rFonts w:ascii="Verdana" w:hAnsi="Verdana"/>
          <w:sz w:val="18"/>
          <w:szCs w:val="18"/>
        </w:rPr>
        <w:t>het</w:t>
      </w:r>
      <w:proofErr w:type="spellEnd"/>
      <w:r w:rsidRPr="00312FEE" w:rsidR="00312FEE">
        <w:rPr>
          <w:rFonts w:ascii="Verdana" w:hAnsi="Verdana"/>
          <w:sz w:val="18"/>
          <w:szCs w:val="18"/>
        </w:rPr>
        <w:t xml:space="preserve"> verrekenen van de overbruggingslening met de aankoop van SNS Bank (zie ook Kamerbrief 31 789, nr. 77). Daarnaast zorgt de lage </w:t>
      </w:r>
      <w:proofErr w:type="spellStart"/>
      <w:r w:rsidRPr="00312FEE" w:rsidR="00312FEE">
        <w:rPr>
          <w:rFonts w:ascii="Verdana" w:hAnsi="Verdana"/>
          <w:sz w:val="18"/>
          <w:szCs w:val="18"/>
        </w:rPr>
        <w:t>Euriborrente</w:t>
      </w:r>
      <w:proofErr w:type="spellEnd"/>
      <w:r w:rsidRPr="00312FEE" w:rsidR="00312FEE">
        <w:rPr>
          <w:rFonts w:ascii="Verdana" w:hAnsi="Verdana"/>
          <w:sz w:val="18"/>
          <w:szCs w:val="18"/>
        </w:rPr>
        <w:t xml:space="preserve"> voor lagere renteontvangsten van Griekenland. Per saldo leidt dit tot een tegenvaller van 19 mln. </w:t>
      </w:r>
    </w:p>
    <w:p w:rsidR="00D57CD6" w:rsidRDefault="00D57CD6">
      <w:pPr>
        <w:rPr>
          <w:rFonts w:ascii="Verdana" w:hAnsi="Verdana" w:cs="Verdana"/>
          <w:b/>
          <w:bCs/>
          <w:sz w:val="18"/>
          <w:szCs w:val="18"/>
        </w:rPr>
      </w:pPr>
      <w:r>
        <w:rPr>
          <w:rFonts w:ascii="Verdana" w:hAnsi="Verdana" w:cs="Verdana"/>
          <w:b/>
          <w:bCs/>
          <w:sz w:val="18"/>
          <w:szCs w:val="18"/>
        </w:rPr>
        <w:br w:type="page"/>
      </w:r>
    </w:p>
    <w:p w:rsidRPr="00533D5C" w:rsidR="00512EDB" w:rsidP="00533D5C" w:rsidRDefault="00C05141">
      <w:pPr>
        <w:spacing w:line="240" w:lineRule="exact"/>
        <w:rPr>
          <w:rFonts w:ascii="Verdana" w:hAnsi="Verdana" w:cs="Verdana"/>
          <w:b/>
          <w:bCs/>
          <w:sz w:val="18"/>
          <w:szCs w:val="18"/>
        </w:rPr>
      </w:pPr>
      <w:r w:rsidRPr="00E22BB2">
        <w:rPr>
          <w:rFonts w:ascii="Verdana" w:hAnsi="Verdana" w:cs="Verdana"/>
          <w:b/>
          <w:bCs/>
          <w:sz w:val="18"/>
          <w:szCs w:val="18"/>
        </w:rPr>
        <w:lastRenderedPageBreak/>
        <w:t>Defensie</w:t>
      </w:r>
    </w:p>
    <w:tbl>
      <w:tblPr>
        <w:tblW w:w="0" w:type="auto"/>
        <w:tblCellMar>
          <w:top w:w="15" w:type="dxa"/>
          <w:left w:w="15" w:type="dxa"/>
          <w:bottom w:w="15" w:type="dxa"/>
          <w:right w:w="15" w:type="dxa"/>
        </w:tblCellMar>
        <w:tblLook w:val="04A0"/>
      </w:tblPr>
      <w:tblGrid>
        <w:gridCol w:w="8220"/>
        <w:gridCol w:w="22"/>
        <w:gridCol w:w="860"/>
      </w:tblGrid>
      <w:tr w:rsidR="0069331B" w:rsidTr="0069331B">
        <w:tc>
          <w:tcPr>
            <w:tcW w:w="8220" w:type="dxa"/>
            <w:tcBorders>
              <w:left w:val="nil"/>
              <w:right w:val="nil"/>
            </w:tcBorders>
            <w:hideMark/>
          </w:tcPr>
          <w:p w:rsidR="0069331B" w:rsidP="006D23DC" w:rsidRDefault="0069331B">
            <w:pPr>
              <w:rPr>
                <w:rFonts w:ascii="Verdana" w:hAnsi="Verdana"/>
                <w:sz w:val="18"/>
                <w:szCs w:val="18"/>
              </w:rPr>
            </w:pPr>
          </w:p>
        </w:tc>
        <w:tc>
          <w:tcPr>
            <w:tcW w:w="882" w:type="dxa"/>
            <w:gridSpan w:val="2"/>
            <w:tcBorders>
              <w:left w:val="nil"/>
              <w:right w:val="nil"/>
            </w:tcBorders>
            <w:hideMark/>
          </w:tcPr>
          <w:p w:rsidR="0069331B" w:rsidP="006D23DC" w:rsidRDefault="0069331B">
            <w:pPr>
              <w:rPr>
                <w:rFonts w:ascii="Verdana" w:hAnsi="Verdana"/>
                <w:sz w:val="18"/>
                <w:szCs w:val="18"/>
              </w:rPr>
            </w:pPr>
            <w:r>
              <w:rPr>
                <w:rFonts w:ascii="Verdana" w:hAnsi="Verdana"/>
                <w:sz w:val="18"/>
                <w:szCs w:val="18"/>
              </w:rPr>
              <w:t> </w:t>
            </w:r>
          </w:p>
        </w:tc>
      </w:tr>
      <w:tr w:rsidR="0069331B" w:rsidTr="006D23DC">
        <w:tc>
          <w:tcPr>
            <w:tcW w:w="0" w:type="auto"/>
            <w:tcBorders>
              <w:left w:val="nil"/>
              <w:right w:val="nil"/>
            </w:tcBorders>
            <w:hideMark/>
          </w:tcPr>
          <w:p w:rsidR="0069331B" w:rsidP="006D23DC" w:rsidRDefault="0069331B">
            <w:pPr>
              <w:rPr>
                <w:rFonts w:ascii="Verdana" w:hAnsi="Verdana"/>
                <w:sz w:val="18"/>
                <w:szCs w:val="18"/>
              </w:rPr>
            </w:pPr>
            <w:r>
              <w:rPr>
                <w:rFonts w:ascii="Verdana" w:hAnsi="Verdana"/>
                <w:sz w:val="18"/>
                <w:szCs w:val="18"/>
              </w:rPr>
              <w:t>X DEFENSIE: UITGAVEN</w:t>
            </w:r>
          </w:p>
        </w:tc>
        <w:tc>
          <w:tcPr>
            <w:tcW w:w="0" w:type="auto"/>
            <w:gridSpan w:val="2"/>
            <w:hideMark/>
          </w:tcPr>
          <w:p w:rsidR="0069331B" w:rsidP="006D23DC" w:rsidRDefault="0069331B">
            <w:pPr>
              <w:rPr>
                <w:sz w:val="20"/>
                <w:szCs w:val="20"/>
              </w:rPr>
            </w:pPr>
          </w:p>
        </w:tc>
      </w:tr>
      <w:tr w:rsidR="0069331B" w:rsidTr="006D23DC">
        <w:tc>
          <w:tcPr>
            <w:tcW w:w="0" w:type="auto"/>
            <w:tcBorders>
              <w:top w:val="single" w:color="000000" w:sz="6" w:space="0"/>
              <w:left w:val="nil"/>
              <w:bottom w:val="single" w:color="000000" w:sz="6" w:space="0"/>
              <w:right w:val="nil"/>
            </w:tcBorders>
            <w:hideMark/>
          </w:tcPr>
          <w:p w:rsidR="0069331B" w:rsidP="006D23DC" w:rsidRDefault="0069331B">
            <w:pPr>
              <w:jc w:val="right"/>
              <w:rPr>
                <w:rFonts w:ascii="Verdana" w:hAnsi="Verdana"/>
                <w:sz w:val="18"/>
                <w:szCs w:val="18"/>
              </w:rPr>
            </w:pPr>
          </w:p>
        </w:tc>
        <w:tc>
          <w:tcPr>
            <w:tcW w:w="0" w:type="auto"/>
            <w:gridSpan w:val="2"/>
            <w:tcBorders>
              <w:top w:val="single" w:color="000000" w:sz="6" w:space="0"/>
              <w:left w:val="nil"/>
              <w:bottom w:val="single" w:color="000000" w:sz="6" w:space="0"/>
              <w:right w:val="nil"/>
            </w:tcBorders>
            <w:hideMark/>
          </w:tcPr>
          <w:p w:rsidR="0069331B" w:rsidP="006D23DC" w:rsidRDefault="0069331B">
            <w:pPr>
              <w:jc w:val="right"/>
              <w:rPr>
                <w:rFonts w:ascii="Verdana" w:hAnsi="Verdana"/>
                <w:sz w:val="18"/>
                <w:szCs w:val="18"/>
              </w:rPr>
            </w:pPr>
            <w:r>
              <w:rPr>
                <w:rFonts w:ascii="Verdana" w:hAnsi="Verdana"/>
                <w:sz w:val="18"/>
                <w:szCs w:val="18"/>
              </w:rPr>
              <w:t>2015</w:t>
            </w:r>
          </w:p>
        </w:tc>
      </w:tr>
      <w:tr w:rsidR="0069331B" w:rsidTr="006D23DC">
        <w:tc>
          <w:tcPr>
            <w:tcW w:w="0" w:type="auto"/>
            <w:tcBorders>
              <w:left w:val="nil"/>
              <w:right w:val="nil"/>
            </w:tcBorders>
            <w:hideMark/>
          </w:tcPr>
          <w:p w:rsidR="0069331B" w:rsidP="006D23DC" w:rsidRDefault="0069331B">
            <w:pPr>
              <w:rPr>
                <w:rFonts w:ascii="Verdana" w:hAnsi="Verdana"/>
                <w:sz w:val="18"/>
                <w:szCs w:val="18"/>
              </w:rPr>
            </w:pPr>
            <w:r>
              <w:rPr>
                <w:rFonts w:ascii="Verdana" w:hAnsi="Verdana"/>
                <w:sz w:val="18"/>
                <w:szCs w:val="18"/>
              </w:rPr>
              <w:t>Stand Miljoenennota 2016 (excl. IS)</w:t>
            </w:r>
          </w:p>
        </w:tc>
        <w:tc>
          <w:tcPr>
            <w:tcW w:w="0" w:type="auto"/>
            <w:gridSpan w:val="2"/>
            <w:tcBorders>
              <w:top w:val="single" w:color="000000" w:sz="6" w:space="0"/>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7.657,4</w:t>
            </w:r>
          </w:p>
        </w:tc>
      </w:tr>
      <w:tr w:rsidR="0069331B" w:rsidTr="006D23DC">
        <w:tc>
          <w:tcPr>
            <w:tcW w:w="0" w:type="auto"/>
            <w:tcBorders>
              <w:left w:val="nil"/>
              <w:right w:val="nil"/>
            </w:tcBorders>
            <w:hideMark/>
          </w:tcPr>
          <w:p w:rsidR="0069331B" w:rsidP="006D23DC" w:rsidRDefault="0069331B">
            <w:pPr>
              <w:rPr>
                <w:rFonts w:ascii="Verdana" w:hAnsi="Verdana"/>
                <w:sz w:val="18"/>
                <w:szCs w:val="18"/>
              </w:rPr>
            </w:pPr>
            <w:r>
              <w:rPr>
                <w:rFonts w:ascii="Verdana" w:hAnsi="Verdana"/>
                <w:sz w:val="18"/>
                <w:szCs w:val="18"/>
              </w:rPr>
              <w:t>Mee- en tegenvallers</w:t>
            </w:r>
          </w:p>
        </w:tc>
        <w:tc>
          <w:tcPr>
            <w:tcW w:w="0" w:type="auto"/>
            <w:gridSpan w:val="2"/>
            <w:hideMark/>
          </w:tcPr>
          <w:p w:rsidR="0069331B" w:rsidP="006D23DC" w:rsidRDefault="0069331B">
            <w:pPr>
              <w:rPr>
                <w:sz w:val="20"/>
                <w:szCs w:val="20"/>
              </w:rPr>
            </w:pPr>
          </w:p>
        </w:tc>
      </w:tr>
      <w:tr w:rsidR="0069331B" w:rsidTr="006D23DC">
        <w:tc>
          <w:tcPr>
            <w:tcW w:w="0" w:type="auto"/>
            <w:tcBorders>
              <w:left w:val="nil"/>
              <w:right w:val="nil"/>
            </w:tcBorders>
            <w:tcMar>
              <w:top w:w="15" w:type="dxa"/>
              <w:left w:w="180" w:type="dxa"/>
              <w:bottom w:w="15" w:type="dxa"/>
              <w:right w:w="15" w:type="dxa"/>
            </w:tcMar>
            <w:vAlign w:val="both"/>
            <w:hideMark/>
          </w:tcPr>
          <w:p w:rsidR="0069331B" w:rsidP="006D23DC" w:rsidRDefault="0069331B">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69331B" w:rsidP="006D23DC" w:rsidRDefault="0069331B">
            <w:pPr>
              <w:rPr>
                <w:sz w:val="20"/>
                <w:szCs w:val="20"/>
              </w:rPr>
            </w:pPr>
          </w:p>
        </w:tc>
      </w:tr>
      <w:tr w:rsidR="0069331B" w:rsidTr="006D23DC">
        <w:tc>
          <w:tcPr>
            <w:tcW w:w="0" w:type="auto"/>
            <w:tcBorders>
              <w:left w:val="nil"/>
              <w:right w:val="nil"/>
            </w:tcBorders>
            <w:tcMar>
              <w:top w:w="15" w:type="dxa"/>
              <w:left w:w="360" w:type="dxa"/>
              <w:bottom w:w="15" w:type="dxa"/>
              <w:right w:w="15" w:type="dxa"/>
            </w:tcMar>
            <w:vAlign w:val="both"/>
            <w:hideMark/>
          </w:tcPr>
          <w:p w:rsidR="0069331B" w:rsidP="006D23DC" w:rsidRDefault="0069331B">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8,0</w:t>
            </w:r>
          </w:p>
        </w:tc>
      </w:tr>
      <w:tr w:rsidR="0069331B" w:rsidTr="006D23DC">
        <w:tc>
          <w:tcPr>
            <w:tcW w:w="0" w:type="auto"/>
            <w:tcBorders>
              <w:left w:val="nil"/>
              <w:right w:val="nil"/>
            </w:tcBorders>
            <w:hideMark/>
          </w:tcPr>
          <w:p w:rsidR="0069331B" w:rsidP="006D23DC" w:rsidRDefault="0069331B">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8,0</w:t>
            </w:r>
          </w:p>
        </w:tc>
      </w:tr>
      <w:tr w:rsidR="0069331B" w:rsidTr="006D23DC">
        <w:tc>
          <w:tcPr>
            <w:tcW w:w="0" w:type="auto"/>
            <w:tcBorders>
              <w:left w:val="nil"/>
              <w:right w:val="nil"/>
            </w:tcBorders>
            <w:hideMark/>
          </w:tcPr>
          <w:p w:rsidR="0069331B" w:rsidP="006D23DC" w:rsidRDefault="0069331B">
            <w:pPr>
              <w:rPr>
                <w:rFonts w:ascii="Verdana" w:hAnsi="Verdana"/>
                <w:sz w:val="18"/>
                <w:szCs w:val="18"/>
              </w:rPr>
            </w:pPr>
            <w:r>
              <w:rPr>
                <w:rFonts w:ascii="Verdana" w:hAnsi="Verdana"/>
                <w:sz w:val="18"/>
                <w:szCs w:val="18"/>
              </w:rPr>
              <w:t>Beleidsmatige mutaties</w:t>
            </w:r>
          </w:p>
        </w:tc>
        <w:tc>
          <w:tcPr>
            <w:tcW w:w="0" w:type="auto"/>
            <w:gridSpan w:val="2"/>
            <w:hideMark/>
          </w:tcPr>
          <w:p w:rsidR="0069331B" w:rsidP="006D23DC" w:rsidRDefault="0069331B">
            <w:pPr>
              <w:rPr>
                <w:sz w:val="20"/>
                <w:szCs w:val="20"/>
              </w:rPr>
            </w:pPr>
          </w:p>
        </w:tc>
      </w:tr>
      <w:tr w:rsidR="0069331B" w:rsidTr="006D23DC">
        <w:tc>
          <w:tcPr>
            <w:tcW w:w="0" w:type="auto"/>
            <w:tcBorders>
              <w:left w:val="nil"/>
              <w:right w:val="nil"/>
            </w:tcBorders>
            <w:tcMar>
              <w:top w:w="15" w:type="dxa"/>
              <w:left w:w="180" w:type="dxa"/>
              <w:bottom w:w="15" w:type="dxa"/>
              <w:right w:w="15" w:type="dxa"/>
            </w:tcMar>
            <w:vAlign w:val="both"/>
            <w:hideMark/>
          </w:tcPr>
          <w:p w:rsidR="0069331B" w:rsidP="006D23DC" w:rsidRDefault="0069331B">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69331B" w:rsidP="006D23DC" w:rsidRDefault="0069331B">
            <w:pPr>
              <w:rPr>
                <w:sz w:val="20"/>
                <w:szCs w:val="20"/>
              </w:rPr>
            </w:pPr>
          </w:p>
        </w:tc>
      </w:tr>
      <w:tr w:rsidR="0069331B" w:rsidTr="006D23DC">
        <w:tc>
          <w:tcPr>
            <w:tcW w:w="0" w:type="auto"/>
            <w:tcBorders>
              <w:left w:val="nil"/>
              <w:right w:val="nil"/>
            </w:tcBorders>
            <w:tcMar>
              <w:top w:w="15" w:type="dxa"/>
              <w:left w:w="360" w:type="dxa"/>
              <w:bottom w:w="15" w:type="dxa"/>
              <w:right w:w="15" w:type="dxa"/>
            </w:tcMar>
            <w:vAlign w:val="both"/>
            <w:hideMark/>
          </w:tcPr>
          <w:p w:rsidR="0069331B" w:rsidP="006D23DC" w:rsidRDefault="0069331B">
            <w:pPr>
              <w:ind w:firstLine="360" w:firstLineChars="200"/>
              <w:rPr>
                <w:rFonts w:ascii="Verdana" w:hAnsi="Verdana"/>
                <w:sz w:val="18"/>
                <w:szCs w:val="18"/>
              </w:rPr>
            </w:pPr>
            <w:r>
              <w:rPr>
                <w:rFonts w:ascii="Verdana" w:hAnsi="Verdana"/>
                <w:sz w:val="18"/>
                <w:szCs w:val="18"/>
              </w:rPr>
              <w:t xml:space="preserve">Aflossing </w:t>
            </w:r>
            <w:proofErr w:type="spellStart"/>
            <w:r>
              <w:rPr>
                <w:rFonts w:ascii="Verdana" w:hAnsi="Verdana"/>
                <w:sz w:val="18"/>
                <w:szCs w:val="18"/>
              </w:rPr>
              <w:t>sdd-emu</w:t>
            </w:r>
            <w:proofErr w:type="spellEnd"/>
            <w:r>
              <w:rPr>
                <w:rFonts w:ascii="Verdana" w:hAnsi="Verdana"/>
                <w:sz w:val="18"/>
                <w:szCs w:val="18"/>
              </w:rPr>
              <w:t xml:space="preserve"> lening project vervanging f-16</w:t>
            </w:r>
          </w:p>
        </w:tc>
        <w:tc>
          <w:tcPr>
            <w:tcW w:w="0" w:type="auto"/>
            <w:gridSpan w:val="2"/>
            <w:tcBorders>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-62,6</w:t>
            </w:r>
          </w:p>
        </w:tc>
      </w:tr>
      <w:tr w:rsidR="0069331B" w:rsidTr="006D23DC">
        <w:tc>
          <w:tcPr>
            <w:tcW w:w="0" w:type="auto"/>
            <w:tcBorders>
              <w:left w:val="nil"/>
              <w:right w:val="nil"/>
            </w:tcBorders>
            <w:tcMar>
              <w:top w:w="15" w:type="dxa"/>
              <w:left w:w="360" w:type="dxa"/>
              <w:bottom w:w="15" w:type="dxa"/>
              <w:right w:w="15" w:type="dxa"/>
            </w:tcMar>
            <w:vAlign w:val="both"/>
            <w:hideMark/>
          </w:tcPr>
          <w:p w:rsidR="0069331B" w:rsidP="006D23DC" w:rsidRDefault="0069331B">
            <w:pPr>
              <w:ind w:firstLine="360" w:firstLineChars="200"/>
              <w:rPr>
                <w:rFonts w:ascii="Verdana" w:hAnsi="Verdana"/>
                <w:sz w:val="18"/>
                <w:szCs w:val="18"/>
              </w:rPr>
            </w:pPr>
            <w:r>
              <w:rPr>
                <w:rFonts w:ascii="Verdana" w:hAnsi="Verdana"/>
                <w:sz w:val="18"/>
                <w:szCs w:val="18"/>
              </w:rPr>
              <w:t>Bijstelling investeringen</w:t>
            </w:r>
          </w:p>
        </w:tc>
        <w:tc>
          <w:tcPr>
            <w:tcW w:w="0" w:type="auto"/>
            <w:gridSpan w:val="2"/>
            <w:tcBorders>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-142,4</w:t>
            </w:r>
          </w:p>
        </w:tc>
      </w:tr>
      <w:tr w:rsidR="0069331B" w:rsidTr="006D23DC">
        <w:tc>
          <w:tcPr>
            <w:tcW w:w="0" w:type="auto"/>
            <w:tcBorders>
              <w:left w:val="nil"/>
              <w:right w:val="nil"/>
            </w:tcBorders>
            <w:tcMar>
              <w:top w:w="15" w:type="dxa"/>
              <w:left w:w="360" w:type="dxa"/>
              <w:bottom w:w="15" w:type="dxa"/>
              <w:right w:w="15" w:type="dxa"/>
            </w:tcMar>
            <w:vAlign w:val="both"/>
            <w:hideMark/>
          </w:tcPr>
          <w:p w:rsidR="0069331B" w:rsidP="006D23DC" w:rsidRDefault="0069331B">
            <w:pPr>
              <w:ind w:firstLine="360" w:firstLineChars="200"/>
              <w:rPr>
                <w:rFonts w:ascii="Verdana" w:hAnsi="Verdana"/>
                <w:sz w:val="18"/>
                <w:szCs w:val="18"/>
              </w:rPr>
            </w:pPr>
            <w:r>
              <w:rPr>
                <w:rFonts w:ascii="Verdana" w:hAnsi="Verdana"/>
                <w:sz w:val="18"/>
                <w:szCs w:val="18"/>
              </w:rPr>
              <w:t>Doorwerking ontvangsten</w:t>
            </w:r>
          </w:p>
        </w:tc>
        <w:tc>
          <w:tcPr>
            <w:tcW w:w="0" w:type="auto"/>
            <w:gridSpan w:val="2"/>
            <w:tcBorders>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16,9</w:t>
            </w:r>
          </w:p>
        </w:tc>
      </w:tr>
      <w:tr w:rsidR="0069331B" w:rsidTr="006D23DC">
        <w:tc>
          <w:tcPr>
            <w:tcW w:w="0" w:type="auto"/>
            <w:tcBorders>
              <w:left w:val="nil"/>
              <w:right w:val="nil"/>
            </w:tcBorders>
            <w:tcMar>
              <w:top w:w="15" w:type="dxa"/>
              <w:left w:w="360" w:type="dxa"/>
              <w:bottom w:w="15" w:type="dxa"/>
              <w:right w:w="15" w:type="dxa"/>
            </w:tcMar>
            <w:vAlign w:val="both"/>
            <w:hideMark/>
          </w:tcPr>
          <w:p w:rsidR="0069331B" w:rsidP="006D23DC" w:rsidRDefault="0069331B">
            <w:pPr>
              <w:ind w:firstLine="360" w:firstLineChars="200"/>
              <w:rPr>
                <w:rFonts w:ascii="Verdana" w:hAnsi="Verdana"/>
                <w:sz w:val="18"/>
                <w:szCs w:val="18"/>
              </w:rPr>
            </w:pPr>
            <w:r>
              <w:rPr>
                <w:rFonts w:ascii="Verdana" w:hAnsi="Verdana"/>
                <w:sz w:val="18"/>
                <w:szCs w:val="18"/>
              </w:rPr>
              <w:t>Overloop naar 2016 wettelijke betalingen</w:t>
            </w:r>
          </w:p>
        </w:tc>
        <w:tc>
          <w:tcPr>
            <w:tcW w:w="0" w:type="auto"/>
            <w:gridSpan w:val="2"/>
            <w:tcBorders>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-53,6</w:t>
            </w:r>
          </w:p>
        </w:tc>
      </w:tr>
      <w:tr w:rsidR="0069331B" w:rsidTr="006D23DC">
        <w:tc>
          <w:tcPr>
            <w:tcW w:w="0" w:type="auto"/>
            <w:tcBorders>
              <w:left w:val="nil"/>
              <w:right w:val="nil"/>
            </w:tcBorders>
            <w:tcMar>
              <w:top w:w="15" w:type="dxa"/>
              <w:left w:w="360" w:type="dxa"/>
              <w:bottom w:w="15" w:type="dxa"/>
              <w:right w:w="15" w:type="dxa"/>
            </w:tcMar>
            <w:vAlign w:val="both"/>
            <w:hideMark/>
          </w:tcPr>
          <w:p w:rsidR="0069331B" w:rsidP="006D23DC" w:rsidRDefault="0069331B">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-6,5</w:t>
            </w:r>
          </w:p>
        </w:tc>
      </w:tr>
      <w:tr w:rsidR="0069331B" w:rsidTr="006D23DC">
        <w:tc>
          <w:tcPr>
            <w:tcW w:w="0" w:type="auto"/>
            <w:tcBorders>
              <w:left w:val="nil"/>
              <w:right w:val="nil"/>
            </w:tcBorders>
            <w:hideMark/>
          </w:tcPr>
          <w:p w:rsidR="0069331B" w:rsidP="006D23DC" w:rsidRDefault="0069331B">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-248,2</w:t>
            </w:r>
          </w:p>
        </w:tc>
      </w:tr>
      <w:tr w:rsidR="0069331B" w:rsidTr="006D23DC">
        <w:tc>
          <w:tcPr>
            <w:tcW w:w="0" w:type="auto"/>
            <w:tcBorders>
              <w:left w:val="nil"/>
              <w:right w:val="nil"/>
            </w:tcBorders>
            <w:hideMark/>
          </w:tcPr>
          <w:p w:rsidR="0069331B" w:rsidP="006D23DC" w:rsidRDefault="0069331B">
            <w:pPr>
              <w:rPr>
                <w:rFonts w:ascii="Verdana" w:hAnsi="Verdana"/>
                <w:sz w:val="18"/>
                <w:szCs w:val="18"/>
              </w:rPr>
            </w:pPr>
            <w:r>
              <w:rPr>
                <w:rFonts w:ascii="Verdana" w:hAnsi="Verdana"/>
                <w:sz w:val="18"/>
                <w:szCs w:val="18"/>
              </w:rPr>
              <w:t>Technische mutaties</w:t>
            </w:r>
          </w:p>
        </w:tc>
        <w:tc>
          <w:tcPr>
            <w:tcW w:w="0" w:type="auto"/>
            <w:gridSpan w:val="2"/>
            <w:hideMark/>
          </w:tcPr>
          <w:p w:rsidR="0069331B" w:rsidP="006D23DC" w:rsidRDefault="0069331B">
            <w:pPr>
              <w:rPr>
                <w:sz w:val="20"/>
                <w:szCs w:val="20"/>
              </w:rPr>
            </w:pPr>
          </w:p>
        </w:tc>
      </w:tr>
      <w:tr w:rsidR="0069331B" w:rsidTr="006D23DC">
        <w:tc>
          <w:tcPr>
            <w:tcW w:w="0" w:type="auto"/>
            <w:tcBorders>
              <w:left w:val="nil"/>
              <w:right w:val="nil"/>
            </w:tcBorders>
            <w:tcMar>
              <w:top w:w="15" w:type="dxa"/>
              <w:left w:w="180" w:type="dxa"/>
              <w:bottom w:w="15" w:type="dxa"/>
              <w:right w:w="15" w:type="dxa"/>
            </w:tcMar>
            <w:vAlign w:val="both"/>
            <w:hideMark/>
          </w:tcPr>
          <w:p w:rsidR="0069331B" w:rsidP="006D23DC" w:rsidRDefault="0069331B">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69331B" w:rsidP="006D23DC" w:rsidRDefault="0069331B">
            <w:pPr>
              <w:rPr>
                <w:sz w:val="20"/>
                <w:szCs w:val="20"/>
              </w:rPr>
            </w:pPr>
          </w:p>
        </w:tc>
      </w:tr>
      <w:tr w:rsidR="0069331B" w:rsidTr="006D23DC">
        <w:tc>
          <w:tcPr>
            <w:tcW w:w="0" w:type="auto"/>
            <w:tcBorders>
              <w:left w:val="nil"/>
              <w:right w:val="nil"/>
            </w:tcBorders>
            <w:tcMar>
              <w:top w:w="15" w:type="dxa"/>
              <w:left w:w="360" w:type="dxa"/>
              <w:bottom w:w="15" w:type="dxa"/>
              <w:right w:w="15" w:type="dxa"/>
            </w:tcMar>
            <w:vAlign w:val="both"/>
            <w:hideMark/>
          </w:tcPr>
          <w:p w:rsidR="0069331B" w:rsidP="006D23DC" w:rsidRDefault="0069331B">
            <w:pPr>
              <w:ind w:firstLine="360" w:firstLineChars="200"/>
              <w:rPr>
                <w:rFonts w:ascii="Verdana" w:hAnsi="Verdana"/>
                <w:sz w:val="18"/>
                <w:szCs w:val="18"/>
              </w:rPr>
            </w:pPr>
            <w:r>
              <w:rPr>
                <w:rFonts w:ascii="Verdana" w:hAnsi="Verdana"/>
                <w:sz w:val="18"/>
                <w:szCs w:val="18"/>
              </w:rPr>
              <w:t>Loonbijstelling bovensectorale loonruimte deal</w:t>
            </w:r>
          </w:p>
        </w:tc>
        <w:tc>
          <w:tcPr>
            <w:tcW w:w="0" w:type="auto"/>
            <w:gridSpan w:val="2"/>
            <w:tcBorders>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39,8</w:t>
            </w:r>
          </w:p>
        </w:tc>
      </w:tr>
      <w:tr w:rsidR="0069331B" w:rsidTr="006D23DC">
        <w:tc>
          <w:tcPr>
            <w:tcW w:w="0" w:type="auto"/>
            <w:tcBorders>
              <w:left w:val="nil"/>
              <w:right w:val="nil"/>
            </w:tcBorders>
            <w:tcMar>
              <w:top w:w="15" w:type="dxa"/>
              <w:left w:w="360" w:type="dxa"/>
              <w:bottom w:w="15" w:type="dxa"/>
              <w:right w:w="15" w:type="dxa"/>
            </w:tcMar>
            <w:vAlign w:val="both"/>
            <w:hideMark/>
          </w:tcPr>
          <w:p w:rsidR="0069331B" w:rsidP="006D23DC" w:rsidRDefault="0069331B">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3,8</w:t>
            </w:r>
          </w:p>
        </w:tc>
      </w:tr>
      <w:tr w:rsidR="0069331B" w:rsidTr="006D23DC">
        <w:tc>
          <w:tcPr>
            <w:tcW w:w="0" w:type="auto"/>
            <w:tcBorders>
              <w:left w:val="nil"/>
              <w:right w:val="nil"/>
            </w:tcBorders>
            <w:tcMar>
              <w:top w:w="15" w:type="dxa"/>
              <w:left w:w="180" w:type="dxa"/>
              <w:bottom w:w="15" w:type="dxa"/>
              <w:right w:w="15" w:type="dxa"/>
            </w:tcMar>
            <w:vAlign w:val="both"/>
            <w:hideMark/>
          </w:tcPr>
          <w:p w:rsidR="0069331B" w:rsidP="006D23DC" w:rsidRDefault="0069331B">
            <w:pPr>
              <w:ind w:firstLine="180" w:firstLineChars="100"/>
              <w:rPr>
                <w:rFonts w:ascii="Verdana" w:hAnsi="Verdana"/>
                <w:sz w:val="18"/>
                <w:szCs w:val="18"/>
              </w:rPr>
            </w:pPr>
            <w:r>
              <w:rPr>
                <w:rFonts w:ascii="Verdana" w:hAnsi="Verdana"/>
                <w:sz w:val="18"/>
                <w:szCs w:val="18"/>
              </w:rPr>
              <w:t xml:space="preserve">Niet tot een </w:t>
            </w:r>
            <w:proofErr w:type="spellStart"/>
            <w:r>
              <w:rPr>
                <w:rFonts w:ascii="Verdana" w:hAnsi="Verdana"/>
                <w:sz w:val="18"/>
                <w:szCs w:val="18"/>
              </w:rPr>
              <w:t>ijklijn</w:t>
            </w:r>
            <w:proofErr w:type="spellEnd"/>
            <w:r>
              <w:rPr>
                <w:rFonts w:ascii="Verdana" w:hAnsi="Verdana"/>
                <w:sz w:val="18"/>
                <w:szCs w:val="18"/>
              </w:rPr>
              <w:t xml:space="preserve"> behorend</w:t>
            </w:r>
          </w:p>
        </w:tc>
        <w:tc>
          <w:tcPr>
            <w:tcW w:w="0" w:type="auto"/>
            <w:gridSpan w:val="2"/>
            <w:hideMark/>
          </w:tcPr>
          <w:p w:rsidR="0069331B" w:rsidP="006D23DC" w:rsidRDefault="0069331B">
            <w:pPr>
              <w:rPr>
                <w:sz w:val="20"/>
                <w:szCs w:val="20"/>
              </w:rPr>
            </w:pPr>
          </w:p>
        </w:tc>
      </w:tr>
      <w:tr w:rsidR="0069331B" w:rsidTr="006D23DC">
        <w:tc>
          <w:tcPr>
            <w:tcW w:w="0" w:type="auto"/>
            <w:tcBorders>
              <w:left w:val="nil"/>
              <w:right w:val="nil"/>
            </w:tcBorders>
            <w:tcMar>
              <w:top w:w="15" w:type="dxa"/>
              <w:left w:w="360" w:type="dxa"/>
              <w:bottom w:w="15" w:type="dxa"/>
              <w:right w:w="15" w:type="dxa"/>
            </w:tcMar>
            <w:vAlign w:val="both"/>
            <w:hideMark/>
          </w:tcPr>
          <w:p w:rsidR="0069331B" w:rsidP="006D23DC" w:rsidRDefault="0069331B">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-5,3</w:t>
            </w:r>
          </w:p>
        </w:tc>
      </w:tr>
      <w:tr w:rsidR="0069331B" w:rsidTr="006D23DC">
        <w:tc>
          <w:tcPr>
            <w:tcW w:w="0" w:type="auto"/>
            <w:tcBorders>
              <w:left w:val="nil"/>
              <w:right w:val="nil"/>
            </w:tcBorders>
            <w:hideMark/>
          </w:tcPr>
          <w:p w:rsidR="0069331B" w:rsidP="006D23DC" w:rsidRDefault="0069331B">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38,3</w:t>
            </w:r>
          </w:p>
        </w:tc>
      </w:tr>
      <w:tr w:rsidR="0069331B" w:rsidTr="006D23DC">
        <w:tc>
          <w:tcPr>
            <w:tcW w:w="0" w:type="auto"/>
            <w:tcBorders>
              <w:left w:val="nil"/>
              <w:right w:val="nil"/>
            </w:tcBorders>
            <w:hideMark/>
          </w:tcPr>
          <w:p w:rsidR="0069331B" w:rsidP="006D23DC" w:rsidRDefault="0069331B">
            <w:pPr>
              <w:rPr>
                <w:rFonts w:ascii="Verdana" w:hAnsi="Verdana"/>
                <w:sz w:val="18"/>
                <w:szCs w:val="18"/>
              </w:rPr>
            </w:pPr>
            <w:r>
              <w:rPr>
                <w:rFonts w:ascii="Verdana" w:hAnsi="Verdana"/>
                <w:sz w:val="18"/>
                <w:szCs w:val="18"/>
              </w:rPr>
              <w:t>Totaal mutaties sinds Miljoenennota 2016</w:t>
            </w:r>
          </w:p>
        </w:tc>
        <w:tc>
          <w:tcPr>
            <w:tcW w:w="0" w:type="auto"/>
            <w:gridSpan w:val="2"/>
            <w:tcBorders>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-201,8</w:t>
            </w:r>
          </w:p>
        </w:tc>
      </w:tr>
      <w:tr w:rsidR="0069331B" w:rsidTr="006D23DC">
        <w:tc>
          <w:tcPr>
            <w:tcW w:w="0" w:type="auto"/>
            <w:tcBorders>
              <w:left w:val="nil"/>
              <w:right w:val="nil"/>
            </w:tcBorders>
            <w:hideMark/>
          </w:tcPr>
          <w:p w:rsidR="0069331B" w:rsidP="006D23DC" w:rsidRDefault="0069331B">
            <w:pPr>
              <w:rPr>
                <w:rFonts w:ascii="Verdana" w:hAnsi="Verdana"/>
                <w:sz w:val="18"/>
                <w:szCs w:val="18"/>
              </w:rPr>
            </w:pPr>
            <w:r>
              <w:rPr>
                <w:rFonts w:ascii="Verdana" w:hAnsi="Verdana"/>
                <w:sz w:val="18"/>
                <w:szCs w:val="18"/>
              </w:rPr>
              <w:t> </w:t>
            </w:r>
          </w:p>
        </w:tc>
        <w:tc>
          <w:tcPr>
            <w:tcW w:w="0" w:type="auto"/>
            <w:gridSpan w:val="2"/>
            <w:hideMark/>
          </w:tcPr>
          <w:p w:rsidR="0069331B" w:rsidP="006D23DC" w:rsidRDefault="0069331B">
            <w:pPr>
              <w:rPr>
                <w:sz w:val="20"/>
                <w:szCs w:val="20"/>
              </w:rPr>
            </w:pPr>
          </w:p>
        </w:tc>
      </w:tr>
      <w:tr w:rsidR="0069331B" w:rsidTr="006D23DC">
        <w:tc>
          <w:tcPr>
            <w:tcW w:w="0" w:type="auto"/>
            <w:tcBorders>
              <w:left w:val="nil"/>
              <w:right w:val="nil"/>
            </w:tcBorders>
            <w:hideMark/>
          </w:tcPr>
          <w:p w:rsidR="0069331B" w:rsidP="006D23DC" w:rsidRDefault="0069331B">
            <w:pPr>
              <w:rPr>
                <w:rFonts w:ascii="Verdana" w:hAnsi="Verdana"/>
                <w:sz w:val="18"/>
                <w:szCs w:val="18"/>
              </w:rPr>
            </w:pPr>
            <w:r>
              <w:rPr>
                <w:rFonts w:ascii="Verdana" w:hAnsi="Verdana"/>
                <w:sz w:val="18"/>
                <w:szCs w:val="18"/>
              </w:rPr>
              <w:t>Stand Najaarsnota 2015 (subtotaal)</w:t>
            </w:r>
          </w:p>
        </w:tc>
        <w:tc>
          <w:tcPr>
            <w:tcW w:w="0" w:type="auto"/>
            <w:gridSpan w:val="2"/>
            <w:tcBorders>
              <w:top w:val="single" w:color="000000" w:sz="6" w:space="0"/>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7.455,5</w:t>
            </w:r>
          </w:p>
        </w:tc>
      </w:tr>
      <w:tr w:rsidR="0069331B" w:rsidTr="006D23DC">
        <w:tc>
          <w:tcPr>
            <w:tcW w:w="0" w:type="auto"/>
            <w:tcBorders>
              <w:left w:val="nil"/>
              <w:right w:val="nil"/>
            </w:tcBorders>
            <w:hideMark/>
          </w:tcPr>
          <w:p w:rsidR="0069331B" w:rsidP="006D23DC" w:rsidRDefault="0069331B">
            <w:pPr>
              <w:rPr>
                <w:rFonts w:ascii="Verdana" w:hAnsi="Verdana"/>
                <w:sz w:val="18"/>
                <w:szCs w:val="18"/>
              </w:rPr>
            </w:pPr>
            <w:r>
              <w:rPr>
                <w:rFonts w:ascii="Verdana" w:hAnsi="Verdana"/>
                <w:sz w:val="18"/>
                <w:szCs w:val="18"/>
              </w:rPr>
              <w:t>Totaal Internationale samenwerking</w:t>
            </w:r>
          </w:p>
        </w:tc>
        <w:tc>
          <w:tcPr>
            <w:tcW w:w="0" w:type="auto"/>
            <w:gridSpan w:val="2"/>
            <w:tcBorders>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302,6</w:t>
            </w:r>
          </w:p>
        </w:tc>
      </w:tr>
      <w:tr w:rsidR="0069331B" w:rsidTr="006D23DC">
        <w:tc>
          <w:tcPr>
            <w:tcW w:w="0" w:type="auto"/>
            <w:tcBorders>
              <w:left w:val="nil"/>
              <w:right w:val="nil"/>
            </w:tcBorders>
            <w:hideMark/>
          </w:tcPr>
          <w:p w:rsidR="0069331B" w:rsidP="006D23DC" w:rsidRDefault="0069331B">
            <w:pPr>
              <w:rPr>
                <w:rFonts w:ascii="Verdana" w:hAnsi="Verdana"/>
                <w:sz w:val="18"/>
                <w:szCs w:val="18"/>
              </w:rPr>
            </w:pPr>
            <w:r>
              <w:rPr>
                <w:rFonts w:ascii="Verdana" w:hAnsi="Verdana"/>
                <w:sz w:val="18"/>
                <w:szCs w:val="18"/>
              </w:rPr>
              <w:t>Stand Najaarsnota 2015</w:t>
            </w:r>
          </w:p>
        </w:tc>
        <w:tc>
          <w:tcPr>
            <w:tcW w:w="0" w:type="auto"/>
            <w:gridSpan w:val="2"/>
            <w:tcBorders>
              <w:top w:val="single" w:color="000000" w:sz="6" w:space="0"/>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7.758,1</w:t>
            </w:r>
          </w:p>
        </w:tc>
      </w:tr>
      <w:tr w:rsidR="0069331B" w:rsidTr="0069331B">
        <w:tc>
          <w:tcPr>
            <w:tcW w:w="8242" w:type="dxa"/>
            <w:gridSpan w:val="2"/>
            <w:tcBorders>
              <w:left w:val="nil"/>
              <w:right w:val="nil"/>
            </w:tcBorders>
            <w:hideMark/>
          </w:tcPr>
          <w:p w:rsidR="0069331B" w:rsidP="006D23DC" w:rsidRDefault="0069331B">
            <w:pPr>
              <w:rPr>
                <w:rFonts w:ascii="Verdana" w:hAnsi="Verdana"/>
                <w:sz w:val="18"/>
                <w:szCs w:val="18"/>
              </w:rPr>
            </w:pPr>
            <w:r>
              <w:rPr>
                <w:rFonts w:ascii="Verdana" w:hAnsi="Verdana"/>
                <w:sz w:val="18"/>
                <w:szCs w:val="18"/>
              </w:rPr>
              <w:t> </w:t>
            </w:r>
          </w:p>
        </w:tc>
        <w:tc>
          <w:tcPr>
            <w:tcW w:w="860" w:type="dxa"/>
            <w:tcBorders>
              <w:left w:val="nil"/>
              <w:right w:val="nil"/>
            </w:tcBorders>
            <w:hideMark/>
          </w:tcPr>
          <w:p w:rsidR="0069331B" w:rsidP="006D23DC" w:rsidRDefault="0069331B">
            <w:pPr>
              <w:rPr>
                <w:rFonts w:ascii="Verdana" w:hAnsi="Verdana"/>
                <w:sz w:val="18"/>
                <w:szCs w:val="18"/>
              </w:rPr>
            </w:pPr>
            <w:r>
              <w:rPr>
                <w:rFonts w:ascii="Verdana" w:hAnsi="Verdana"/>
                <w:sz w:val="18"/>
                <w:szCs w:val="18"/>
              </w:rPr>
              <w:t> </w:t>
            </w:r>
          </w:p>
        </w:tc>
      </w:tr>
      <w:tr w:rsidR="0069331B" w:rsidTr="006D23DC">
        <w:tc>
          <w:tcPr>
            <w:tcW w:w="0" w:type="auto"/>
            <w:gridSpan w:val="2"/>
            <w:tcBorders>
              <w:left w:val="nil"/>
              <w:right w:val="nil"/>
            </w:tcBorders>
            <w:hideMark/>
          </w:tcPr>
          <w:p w:rsidR="0069331B" w:rsidP="006D23DC" w:rsidRDefault="0069331B">
            <w:pPr>
              <w:rPr>
                <w:rFonts w:ascii="Verdana" w:hAnsi="Verdana"/>
                <w:sz w:val="18"/>
                <w:szCs w:val="18"/>
              </w:rPr>
            </w:pPr>
            <w:r>
              <w:rPr>
                <w:rFonts w:ascii="Verdana" w:hAnsi="Verdana"/>
                <w:sz w:val="18"/>
                <w:szCs w:val="18"/>
              </w:rPr>
              <w:t>X DEFENSIE: NIET-BELASTINGONTVANGSTEN</w:t>
            </w:r>
          </w:p>
        </w:tc>
        <w:tc>
          <w:tcPr>
            <w:tcW w:w="0" w:type="auto"/>
            <w:hideMark/>
          </w:tcPr>
          <w:p w:rsidR="0069331B" w:rsidP="006D23DC" w:rsidRDefault="0069331B">
            <w:pPr>
              <w:rPr>
                <w:sz w:val="20"/>
                <w:szCs w:val="20"/>
              </w:rPr>
            </w:pPr>
          </w:p>
        </w:tc>
      </w:tr>
      <w:tr w:rsidR="0069331B" w:rsidTr="006D23DC">
        <w:tc>
          <w:tcPr>
            <w:tcW w:w="0" w:type="auto"/>
            <w:gridSpan w:val="2"/>
            <w:tcBorders>
              <w:top w:val="single" w:color="000000" w:sz="6" w:space="0"/>
              <w:left w:val="nil"/>
              <w:bottom w:val="single" w:color="000000" w:sz="6" w:space="0"/>
              <w:right w:val="nil"/>
            </w:tcBorders>
            <w:hideMark/>
          </w:tcPr>
          <w:p w:rsidR="0069331B" w:rsidP="006D23DC" w:rsidRDefault="0069331B">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69331B" w:rsidP="006D23DC" w:rsidRDefault="0069331B">
            <w:pPr>
              <w:jc w:val="right"/>
              <w:rPr>
                <w:rFonts w:ascii="Verdana" w:hAnsi="Verdana"/>
                <w:sz w:val="18"/>
                <w:szCs w:val="18"/>
              </w:rPr>
            </w:pPr>
            <w:r>
              <w:rPr>
                <w:rFonts w:ascii="Verdana" w:hAnsi="Verdana"/>
                <w:sz w:val="18"/>
                <w:szCs w:val="18"/>
              </w:rPr>
              <w:t>2015</w:t>
            </w:r>
          </w:p>
        </w:tc>
      </w:tr>
      <w:tr w:rsidR="0069331B" w:rsidTr="006D23DC">
        <w:tc>
          <w:tcPr>
            <w:tcW w:w="0" w:type="auto"/>
            <w:gridSpan w:val="2"/>
            <w:tcBorders>
              <w:left w:val="nil"/>
              <w:right w:val="nil"/>
            </w:tcBorders>
            <w:hideMark/>
          </w:tcPr>
          <w:p w:rsidR="0069331B" w:rsidP="006D23DC" w:rsidRDefault="0069331B">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353,4</w:t>
            </w:r>
          </w:p>
        </w:tc>
      </w:tr>
      <w:tr w:rsidR="0069331B" w:rsidTr="006D23DC">
        <w:tc>
          <w:tcPr>
            <w:tcW w:w="0" w:type="auto"/>
            <w:gridSpan w:val="2"/>
            <w:tcBorders>
              <w:left w:val="nil"/>
              <w:right w:val="nil"/>
            </w:tcBorders>
            <w:hideMark/>
          </w:tcPr>
          <w:p w:rsidR="0069331B" w:rsidP="006D23DC" w:rsidRDefault="0069331B">
            <w:pPr>
              <w:rPr>
                <w:rFonts w:ascii="Verdana" w:hAnsi="Verdana"/>
                <w:sz w:val="18"/>
                <w:szCs w:val="18"/>
              </w:rPr>
            </w:pPr>
            <w:r>
              <w:rPr>
                <w:rFonts w:ascii="Verdana" w:hAnsi="Verdana"/>
                <w:sz w:val="18"/>
                <w:szCs w:val="18"/>
              </w:rPr>
              <w:t>Beleidsmatige mutaties</w:t>
            </w:r>
          </w:p>
        </w:tc>
        <w:tc>
          <w:tcPr>
            <w:tcW w:w="0" w:type="auto"/>
            <w:hideMark/>
          </w:tcPr>
          <w:p w:rsidR="0069331B" w:rsidP="006D23DC" w:rsidRDefault="0069331B">
            <w:pPr>
              <w:rPr>
                <w:sz w:val="20"/>
                <w:szCs w:val="20"/>
              </w:rPr>
            </w:pPr>
          </w:p>
        </w:tc>
      </w:tr>
      <w:tr w:rsidR="0069331B" w:rsidTr="006D23DC">
        <w:tc>
          <w:tcPr>
            <w:tcW w:w="0" w:type="auto"/>
            <w:gridSpan w:val="2"/>
            <w:tcBorders>
              <w:left w:val="nil"/>
              <w:right w:val="nil"/>
            </w:tcBorders>
            <w:tcMar>
              <w:top w:w="15" w:type="dxa"/>
              <w:left w:w="180" w:type="dxa"/>
              <w:bottom w:w="15" w:type="dxa"/>
              <w:right w:w="15" w:type="dxa"/>
            </w:tcMar>
            <w:vAlign w:val="both"/>
            <w:hideMark/>
          </w:tcPr>
          <w:p w:rsidR="0069331B" w:rsidP="006D23DC" w:rsidRDefault="0069331B">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69331B" w:rsidP="006D23DC" w:rsidRDefault="0069331B">
            <w:pPr>
              <w:rPr>
                <w:sz w:val="20"/>
                <w:szCs w:val="20"/>
              </w:rPr>
            </w:pPr>
          </w:p>
        </w:tc>
      </w:tr>
      <w:tr w:rsidR="0069331B" w:rsidTr="006D23DC">
        <w:tc>
          <w:tcPr>
            <w:tcW w:w="0" w:type="auto"/>
            <w:gridSpan w:val="2"/>
            <w:tcBorders>
              <w:left w:val="nil"/>
              <w:right w:val="nil"/>
            </w:tcBorders>
            <w:tcMar>
              <w:top w:w="15" w:type="dxa"/>
              <w:left w:w="360" w:type="dxa"/>
              <w:bottom w:w="15" w:type="dxa"/>
              <w:right w:w="15" w:type="dxa"/>
            </w:tcMar>
            <w:vAlign w:val="both"/>
            <w:hideMark/>
          </w:tcPr>
          <w:p w:rsidR="0069331B" w:rsidP="006D23DC" w:rsidRDefault="0069331B">
            <w:pPr>
              <w:ind w:firstLine="360" w:firstLineChars="200"/>
              <w:rPr>
                <w:rFonts w:ascii="Verdana" w:hAnsi="Verdana"/>
                <w:sz w:val="18"/>
                <w:szCs w:val="18"/>
              </w:rPr>
            </w:pPr>
            <w:r>
              <w:rPr>
                <w:rFonts w:ascii="Verdana" w:hAnsi="Verdana"/>
                <w:sz w:val="18"/>
                <w:szCs w:val="18"/>
              </w:rPr>
              <w:t>Bijstellen ontvangsten</w:t>
            </w:r>
          </w:p>
        </w:tc>
        <w:tc>
          <w:tcPr>
            <w:tcW w:w="0" w:type="auto"/>
            <w:tcBorders>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16,9</w:t>
            </w:r>
          </w:p>
        </w:tc>
      </w:tr>
      <w:tr w:rsidR="0069331B" w:rsidTr="006D23DC">
        <w:tc>
          <w:tcPr>
            <w:tcW w:w="0" w:type="auto"/>
            <w:gridSpan w:val="2"/>
            <w:tcBorders>
              <w:left w:val="nil"/>
              <w:right w:val="nil"/>
            </w:tcBorders>
            <w:hideMark/>
          </w:tcPr>
          <w:p w:rsidR="0069331B" w:rsidP="006D23DC" w:rsidRDefault="0069331B">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16,9</w:t>
            </w:r>
          </w:p>
        </w:tc>
      </w:tr>
      <w:tr w:rsidR="0069331B" w:rsidTr="006D23DC">
        <w:tc>
          <w:tcPr>
            <w:tcW w:w="0" w:type="auto"/>
            <w:gridSpan w:val="2"/>
            <w:tcBorders>
              <w:left w:val="nil"/>
              <w:right w:val="nil"/>
            </w:tcBorders>
            <w:hideMark/>
          </w:tcPr>
          <w:p w:rsidR="0069331B" w:rsidP="006D23DC" w:rsidRDefault="0069331B">
            <w:pPr>
              <w:rPr>
                <w:rFonts w:ascii="Verdana" w:hAnsi="Verdana"/>
                <w:sz w:val="18"/>
                <w:szCs w:val="18"/>
              </w:rPr>
            </w:pPr>
            <w:r>
              <w:rPr>
                <w:rFonts w:ascii="Verdana" w:hAnsi="Verdana"/>
                <w:sz w:val="18"/>
                <w:szCs w:val="18"/>
              </w:rPr>
              <w:t>Technische mutaties</w:t>
            </w:r>
          </w:p>
        </w:tc>
        <w:tc>
          <w:tcPr>
            <w:tcW w:w="0" w:type="auto"/>
            <w:hideMark/>
          </w:tcPr>
          <w:p w:rsidR="0069331B" w:rsidP="006D23DC" w:rsidRDefault="0069331B">
            <w:pPr>
              <w:rPr>
                <w:sz w:val="20"/>
                <w:szCs w:val="20"/>
              </w:rPr>
            </w:pPr>
          </w:p>
        </w:tc>
      </w:tr>
      <w:tr w:rsidR="0069331B" w:rsidTr="006D23DC">
        <w:tc>
          <w:tcPr>
            <w:tcW w:w="0" w:type="auto"/>
            <w:gridSpan w:val="2"/>
            <w:tcBorders>
              <w:left w:val="nil"/>
              <w:right w:val="nil"/>
            </w:tcBorders>
            <w:tcMar>
              <w:top w:w="15" w:type="dxa"/>
              <w:left w:w="180" w:type="dxa"/>
              <w:bottom w:w="15" w:type="dxa"/>
              <w:right w:w="15" w:type="dxa"/>
            </w:tcMar>
            <w:vAlign w:val="both"/>
            <w:hideMark/>
          </w:tcPr>
          <w:p w:rsidR="0069331B" w:rsidP="006D23DC" w:rsidRDefault="0069331B">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69331B" w:rsidP="006D23DC" w:rsidRDefault="0069331B">
            <w:pPr>
              <w:rPr>
                <w:sz w:val="20"/>
                <w:szCs w:val="20"/>
              </w:rPr>
            </w:pPr>
          </w:p>
        </w:tc>
      </w:tr>
      <w:tr w:rsidR="0069331B" w:rsidTr="006D23DC">
        <w:tc>
          <w:tcPr>
            <w:tcW w:w="0" w:type="auto"/>
            <w:gridSpan w:val="2"/>
            <w:tcBorders>
              <w:left w:val="nil"/>
              <w:right w:val="nil"/>
            </w:tcBorders>
            <w:tcMar>
              <w:top w:w="15" w:type="dxa"/>
              <w:left w:w="360" w:type="dxa"/>
              <w:bottom w:w="15" w:type="dxa"/>
              <w:right w:w="15" w:type="dxa"/>
            </w:tcMar>
            <w:vAlign w:val="both"/>
            <w:hideMark/>
          </w:tcPr>
          <w:p w:rsidR="0069331B" w:rsidP="006D23DC" w:rsidRDefault="0069331B">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5,8</w:t>
            </w:r>
          </w:p>
        </w:tc>
      </w:tr>
      <w:tr w:rsidR="0069331B" w:rsidTr="006D23DC">
        <w:tc>
          <w:tcPr>
            <w:tcW w:w="0" w:type="auto"/>
            <w:gridSpan w:val="2"/>
            <w:tcBorders>
              <w:left w:val="nil"/>
              <w:right w:val="nil"/>
            </w:tcBorders>
            <w:tcMar>
              <w:top w:w="15" w:type="dxa"/>
              <w:left w:w="180" w:type="dxa"/>
              <w:bottom w:w="15" w:type="dxa"/>
              <w:right w:w="15" w:type="dxa"/>
            </w:tcMar>
            <w:vAlign w:val="both"/>
            <w:hideMark/>
          </w:tcPr>
          <w:p w:rsidR="0069331B" w:rsidP="006D23DC" w:rsidRDefault="0069331B">
            <w:pPr>
              <w:ind w:firstLine="180" w:firstLineChars="100"/>
              <w:rPr>
                <w:rFonts w:ascii="Verdana" w:hAnsi="Verdana"/>
                <w:sz w:val="18"/>
                <w:szCs w:val="18"/>
              </w:rPr>
            </w:pPr>
            <w:r>
              <w:rPr>
                <w:rFonts w:ascii="Verdana" w:hAnsi="Verdana"/>
                <w:sz w:val="18"/>
                <w:szCs w:val="18"/>
              </w:rPr>
              <w:t xml:space="preserve">Niet tot een </w:t>
            </w:r>
            <w:proofErr w:type="spellStart"/>
            <w:r>
              <w:rPr>
                <w:rFonts w:ascii="Verdana" w:hAnsi="Verdana"/>
                <w:sz w:val="18"/>
                <w:szCs w:val="18"/>
              </w:rPr>
              <w:t>ijklijn</w:t>
            </w:r>
            <w:proofErr w:type="spellEnd"/>
            <w:r>
              <w:rPr>
                <w:rFonts w:ascii="Verdana" w:hAnsi="Verdana"/>
                <w:sz w:val="18"/>
                <w:szCs w:val="18"/>
              </w:rPr>
              <w:t xml:space="preserve"> behorend</w:t>
            </w:r>
          </w:p>
        </w:tc>
        <w:tc>
          <w:tcPr>
            <w:tcW w:w="0" w:type="auto"/>
            <w:hideMark/>
          </w:tcPr>
          <w:p w:rsidR="0069331B" w:rsidP="006D23DC" w:rsidRDefault="0069331B">
            <w:pPr>
              <w:rPr>
                <w:sz w:val="20"/>
                <w:szCs w:val="20"/>
              </w:rPr>
            </w:pPr>
          </w:p>
        </w:tc>
      </w:tr>
      <w:tr w:rsidR="0069331B" w:rsidTr="006D23DC">
        <w:tc>
          <w:tcPr>
            <w:tcW w:w="0" w:type="auto"/>
            <w:gridSpan w:val="2"/>
            <w:tcBorders>
              <w:left w:val="nil"/>
              <w:right w:val="nil"/>
            </w:tcBorders>
            <w:tcMar>
              <w:top w:w="15" w:type="dxa"/>
              <w:left w:w="360" w:type="dxa"/>
              <w:bottom w:w="15" w:type="dxa"/>
              <w:right w:w="15" w:type="dxa"/>
            </w:tcMar>
            <w:vAlign w:val="both"/>
            <w:hideMark/>
          </w:tcPr>
          <w:p w:rsidR="0069331B" w:rsidP="006D23DC" w:rsidRDefault="0069331B">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15,0</w:t>
            </w:r>
          </w:p>
        </w:tc>
      </w:tr>
      <w:tr w:rsidR="0069331B" w:rsidTr="006D23DC">
        <w:tc>
          <w:tcPr>
            <w:tcW w:w="0" w:type="auto"/>
            <w:gridSpan w:val="2"/>
            <w:tcBorders>
              <w:left w:val="nil"/>
              <w:right w:val="nil"/>
            </w:tcBorders>
            <w:hideMark/>
          </w:tcPr>
          <w:p w:rsidR="0069331B" w:rsidP="006D23DC" w:rsidRDefault="0069331B">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20,8</w:t>
            </w:r>
          </w:p>
        </w:tc>
      </w:tr>
      <w:tr w:rsidR="0069331B" w:rsidTr="006D23DC">
        <w:tc>
          <w:tcPr>
            <w:tcW w:w="0" w:type="auto"/>
            <w:gridSpan w:val="2"/>
            <w:tcBorders>
              <w:left w:val="nil"/>
              <w:right w:val="nil"/>
            </w:tcBorders>
            <w:hideMark/>
          </w:tcPr>
          <w:p w:rsidR="0069331B" w:rsidP="006D23DC" w:rsidRDefault="0069331B">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37,7</w:t>
            </w:r>
          </w:p>
        </w:tc>
      </w:tr>
      <w:tr w:rsidR="0069331B" w:rsidTr="006D23DC">
        <w:tc>
          <w:tcPr>
            <w:tcW w:w="0" w:type="auto"/>
            <w:gridSpan w:val="2"/>
            <w:tcBorders>
              <w:left w:val="nil"/>
              <w:right w:val="nil"/>
            </w:tcBorders>
            <w:hideMark/>
          </w:tcPr>
          <w:p w:rsidR="0069331B" w:rsidP="006D23DC" w:rsidRDefault="0069331B">
            <w:pPr>
              <w:rPr>
                <w:rFonts w:ascii="Verdana" w:hAnsi="Verdana"/>
                <w:sz w:val="18"/>
                <w:szCs w:val="18"/>
              </w:rPr>
            </w:pPr>
            <w:r>
              <w:rPr>
                <w:rFonts w:ascii="Verdana" w:hAnsi="Verdana"/>
                <w:sz w:val="18"/>
                <w:szCs w:val="18"/>
              </w:rPr>
              <w:t> </w:t>
            </w:r>
          </w:p>
        </w:tc>
        <w:tc>
          <w:tcPr>
            <w:tcW w:w="0" w:type="auto"/>
            <w:hideMark/>
          </w:tcPr>
          <w:p w:rsidR="0069331B" w:rsidP="006D23DC" w:rsidRDefault="0069331B">
            <w:pPr>
              <w:rPr>
                <w:sz w:val="20"/>
                <w:szCs w:val="20"/>
              </w:rPr>
            </w:pPr>
          </w:p>
        </w:tc>
      </w:tr>
      <w:tr w:rsidR="0069331B" w:rsidTr="006D23DC">
        <w:tc>
          <w:tcPr>
            <w:tcW w:w="0" w:type="auto"/>
            <w:gridSpan w:val="2"/>
            <w:tcBorders>
              <w:left w:val="nil"/>
              <w:right w:val="nil"/>
            </w:tcBorders>
            <w:hideMark/>
          </w:tcPr>
          <w:p w:rsidR="0069331B" w:rsidP="006D23DC" w:rsidRDefault="0069331B">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391,1</w:t>
            </w:r>
          </w:p>
        </w:tc>
      </w:tr>
      <w:tr w:rsidR="0069331B" w:rsidTr="006D23DC">
        <w:tc>
          <w:tcPr>
            <w:tcW w:w="0" w:type="auto"/>
            <w:gridSpan w:val="2"/>
            <w:tcBorders>
              <w:left w:val="nil"/>
              <w:right w:val="nil"/>
            </w:tcBorders>
            <w:hideMark/>
          </w:tcPr>
          <w:p w:rsidR="0069331B" w:rsidP="006D23DC" w:rsidRDefault="0069331B">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20,9</w:t>
            </w:r>
          </w:p>
        </w:tc>
      </w:tr>
      <w:tr w:rsidR="0069331B" w:rsidTr="006D23DC">
        <w:tc>
          <w:tcPr>
            <w:tcW w:w="0" w:type="auto"/>
            <w:gridSpan w:val="2"/>
            <w:tcBorders>
              <w:left w:val="nil"/>
              <w:right w:val="nil"/>
            </w:tcBorders>
            <w:hideMark/>
          </w:tcPr>
          <w:p w:rsidR="0069331B" w:rsidP="006D23DC" w:rsidRDefault="0069331B">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69331B" w:rsidP="006D23DC" w:rsidRDefault="0069331B">
            <w:pPr>
              <w:jc w:val="right"/>
              <w:rPr>
                <w:rFonts w:ascii="Verdana" w:hAnsi="Verdana"/>
                <w:sz w:val="18"/>
                <w:szCs w:val="18"/>
              </w:rPr>
            </w:pPr>
            <w:r>
              <w:rPr>
                <w:rFonts w:ascii="Verdana" w:hAnsi="Verdana"/>
                <w:sz w:val="18"/>
                <w:szCs w:val="18"/>
              </w:rPr>
              <w:t>412,0</w:t>
            </w:r>
          </w:p>
        </w:tc>
      </w:tr>
    </w:tbl>
    <w:p w:rsidRPr="00533D5C" w:rsidR="0069331B" w:rsidP="00533D5C" w:rsidRDefault="0069331B">
      <w:pPr>
        <w:spacing w:line="240" w:lineRule="exact"/>
        <w:rPr>
          <w:rFonts w:ascii="Verdana" w:hAnsi="Verdana" w:cs="Verdana"/>
          <w:b/>
          <w:bCs/>
          <w:sz w:val="18"/>
          <w:szCs w:val="18"/>
        </w:rPr>
      </w:pPr>
    </w:p>
    <w:p w:rsidR="005D48AD" w:rsidRDefault="005D48AD">
      <w:pPr>
        <w:rPr>
          <w:rFonts w:ascii="Verdana" w:hAnsi="Verdana" w:cs="Verdana"/>
          <w:b/>
          <w:bCs/>
          <w:sz w:val="18"/>
          <w:szCs w:val="18"/>
        </w:rPr>
      </w:pPr>
    </w:p>
    <w:p w:rsidRPr="005D48AD" w:rsidR="005D48AD" w:rsidP="005D48AD" w:rsidRDefault="005D48AD">
      <w:pPr>
        <w:spacing w:line="240" w:lineRule="exact"/>
        <w:rPr>
          <w:rFonts w:ascii="Verdana" w:hAnsi="Verdana"/>
          <w:i/>
          <w:color w:val="000000"/>
          <w:sz w:val="18"/>
          <w:szCs w:val="18"/>
        </w:rPr>
      </w:pPr>
      <w:r w:rsidRPr="005D48AD">
        <w:rPr>
          <w:rFonts w:ascii="Verdana" w:hAnsi="Verdana"/>
          <w:i/>
          <w:color w:val="000000"/>
          <w:sz w:val="18"/>
          <w:szCs w:val="18"/>
        </w:rPr>
        <w:t xml:space="preserve">Aflossing </w:t>
      </w:r>
      <w:proofErr w:type="spellStart"/>
      <w:r w:rsidRPr="005D48AD">
        <w:rPr>
          <w:rFonts w:ascii="Verdana" w:hAnsi="Verdana"/>
          <w:i/>
          <w:color w:val="000000"/>
          <w:sz w:val="18"/>
          <w:szCs w:val="18"/>
        </w:rPr>
        <w:t>sdd-emu</w:t>
      </w:r>
      <w:proofErr w:type="spellEnd"/>
      <w:r w:rsidRPr="005D48AD">
        <w:rPr>
          <w:rFonts w:ascii="Verdana" w:hAnsi="Verdana"/>
          <w:i/>
          <w:color w:val="000000"/>
          <w:sz w:val="18"/>
          <w:szCs w:val="18"/>
        </w:rPr>
        <w:t xml:space="preserve"> lening project vervanging f-16</w:t>
      </w:r>
    </w:p>
    <w:p w:rsidRPr="005D48AD" w:rsidR="005D48AD" w:rsidP="005D48AD" w:rsidRDefault="005D48AD">
      <w:pPr>
        <w:spacing w:line="240" w:lineRule="exact"/>
        <w:rPr>
          <w:rFonts w:ascii="Verdana" w:hAnsi="Verdana" w:eastAsiaTheme="minorHAnsi" w:cstheme="minorBidi"/>
          <w:sz w:val="18"/>
          <w:szCs w:val="18"/>
          <w:lang w:eastAsia="en-US"/>
        </w:rPr>
      </w:pPr>
      <w:r w:rsidRPr="005D48AD">
        <w:rPr>
          <w:rFonts w:ascii="Verdana" w:hAnsi="Verdana"/>
          <w:sz w:val="18"/>
          <w:szCs w:val="18"/>
        </w:rPr>
        <w:t xml:space="preserve">Dit betreft de aflossing van de lening voor de SDD (System </w:t>
      </w:r>
      <w:proofErr w:type="spellStart"/>
      <w:r w:rsidRPr="005D48AD">
        <w:rPr>
          <w:rFonts w:ascii="Verdana" w:hAnsi="Verdana"/>
          <w:sz w:val="18"/>
          <w:szCs w:val="18"/>
        </w:rPr>
        <w:t>Development</w:t>
      </w:r>
      <w:proofErr w:type="spellEnd"/>
      <w:r w:rsidRPr="005D48AD">
        <w:rPr>
          <w:rFonts w:ascii="Verdana" w:hAnsi="Verdana"/>
          <w:sz w:val="18"/>
          <w:szCs w:val="18"/>
        </w:rPr>
        <w:t xml:space="preserve"> and </w:t>
      </w:r>
      <w:proofErr w:type="spellStart"/>
      <w:r w:rsidRPr="005D48AD">
        <w:rPr>
          <w:rFonts w:ascii="Verdana" w:hAnsi="Verdana"/>
          <w:sz w:val="18"/>
          <w:szCs w:val="18"/>
        </w:rPr>
        <w:t>Demonstration</w:t>
      </w:r>
      <w:proofErr w:type="spellEnd"/>
      <w:r w:rsidRPr="005D48AD">
        <w:rPr>
          <w:rFonts w:ascii="Verdana" w:hAnsi="Verdana"/>
          <w:sz w:val="18"/>
          <w:szCs w:val="18"/>
        </w:rPr>
        <w:t>) fase, die onderdeel is van de financiering van het project vervanging F-16.</w:t>
      </w:r>
    </w:p>
    <w:p w:rsidR="0069331B" w:rsidP="005D48AD" w:rsidRDefault="0069331B">
      <w:pPr>
        <w:spacing w:line="240" w:lineRule="exact"/>
        <w:rPr>
          <w:rFonts w:ascii="Verdana" w:hAnsi="Verdana"/>
          <w:i/>
          <w:color w:val="000000"/>
          <w:sz w:val="18"/>
          <w:szCs w:val="18"/>
        </w:rPr>
      </w:pPr>
    </w:p>
    <w:p w:rsidR="0069331B" w:rsidP="005D48AD" w:rsidRDefault="0069331B">
      <w:pPr>
        <w:spacing w:line="240" w:lineRule="exact"/>
        <w:rPr>
          <w:rFonts w:ascii="Verdana" w:hAnsi="Verdana"/>
          <w:i/>
          <w:color w:val="000000"/>
          <w:sz w:val="18"/>
          <w:szCs w:val="18"/>
        </w:rPr>
      </w:pPr>
    </w:p>
    <w:p w:rsidRPr="005D48AD" w:rsidR="005D48AD" w:rsidP="005D48AD" w:rsidRDefault="00A66E02">
      <w:pPr>
        <w:spacing w:line="240" w:lineRule="exact"/>
        <w:rPr>
          <w:rFonts w:ascii="Verdana" w:hAnsi="Verdana"/>
          <w:i/>
          <w:color w:val="000000"/>
          <w:sz w:val="18"/>
          <w:szCs w:val="18"/>
        </w:rPr>
      </w:pPr>
      <w:r>
        <w:rPr>
          <w:rFonts w:ascii="Verdana" w:hAnsi="Verdana"/>
          <w:i/>
          <w:color w:val="000000"/>
          <w:sz w:val="18"/>
          <w:szCs w:val="18"/>
        </w:rPr>
        <w:lastRenderedPageBreak/>
        <w:t>Bijstelling i</w:t>
      </w:r>
      <w:r w:rsidRPr="005D48AD" w:rsidR="005D48AD">
        <w:rPr>
          <w:rFonts w:ascii="Verdana" w:hAnsi="Verdana"/>
          <w:i/>
          <w:color w:val="000000"/>
          <w:sz w:val="18"/>
          <w:szCs w:val="18"/>
        </w:rPr>
        <w:t>nvesteringen</w:t>
      </w:r>
    </w:p>
    <w:p w:rsidRPr="005D48AD" w:rsidR="005D48AD" w:rsidP="005D48AD" w:rsidRDefault="005D48AD">
      <w:pPr>
        <w:spacing w:line="240" w:lineRule="exact"/>
        <w:rPr>
          <w:rFonts w:ascii="Verdana" w:hAnsi="Verdana" w:cs="Courier New"/>
          <w:color w:val="000000"/>
          <w:sz w:val="18"/>
          <w:szCs w:val="18"/>
        </w:rPr>
      </w:pPr>
      <w:r w:rsidRPr="005D48AD">
        <w:rPr>
          <w:rFonts w:ascii="Verdana" w:hAnsi="Verdana" w:cs="Courier New"/>
          <w:color w:val="000000"/>
          <w:sz w:val="18"/>
          <w:szCs w:val="18"/>
        </w:rPr>
        <w:t>Een gedeelte van de geplande uitgaven uit het investeringsbudget komt in 2015 niet tot besteding en wordt doorgeschoven naar 2016.</w:t>
      </w:r>
      <w:r w:rsidRPr="005D48AD">
        <w:rPr>
          <w:rFonts w:ascii="Verdana" w:hAnsi="Verdana"/>
          <w:color w:val="000000"/>
          <w:sz w:val="18"/>
          <w:szCs w:val="18"/>
        </w:rPr>
        <w:t xml:space="preserve"> Deze middelen worden meegenomen via de eindejaarsmarge.</w:t>
      </w:r>
    </w:p>
    <w:p w:rsidRPr="005D48AD" w:rsidR="005D48AD" w:rsidP="005D48AD" w:rsidRDefault="005D48AD">
      <w:pPr>
        <w:spacing w:line="240" w:lineRule="exact"/>
        <w:rPr>
          <w:rFonts w:ascii="Verdana" w:hAnsi="Verdana"/>
          <w:i/>
          <w:color w:val="000000"/>
          <w:sz w:val="18"/>
          <w:szCs w:val="18"/>
        </w:rPr>
      </w:pPr>
    </w:p>
    <w:p w:rsidRPr="005D48AD" w:rsidR="005D48AD" w:rsidP="005D48AD" w:rsidRDefault="005D48AD">
      <w:pPr>
        <w:spacing w:line="240" w:lineRule="exact"/>
        <w:rPr>
          <w:rFonts w:ascii="Verdana" w:hAnsi="Verdana"/>
          <w:i/>
          <w:color w:val="000000"/>
          <w:sz w:val="18"/>
          <w:szCs w:val="18"/>
        </w:rPr>
      </w:pPr>
      <w:r w:rsidRPr="005D48AD">
        <w:rPr>
          <w:rFonts w:ascii="Verdana" w:hAnsi="Verdana"/>
          <w:i/>
          <w:color w:val="000000"/>
          <w:sz w:val="18"/>
          <w:szCs w:val="18"/>
        </w:rPr>
        <w:t>Bijstellen en doorwerking ontvangsten</w:t>
      </w:r>
    </w:p>
    <w:p w:rsidRPr="005D48AD" w:rsidR="005D48AD" w:rsidP="005D48AD" w:rsidRDefault="005D48AD">
      <w:pPr>
        <w:spacing w:line="240" w:lineRule="exact"/>
        <w:rPr>
          <w:rFonts w:ascii="Verdana" w:hAnsi="Verdana" w:eastAsiaTheme="minorHAnsi" w:cstheme="minorBidi"/>
          <w:sz w:val="18"/>
          <w:szCs w:val="18"/>
          <w:lang w:eastAsia="en-US"/>
        </w:rPr>
      </w:pPr>
      <w:r w:rsidRPr="005D48AD">
        <w:rPr>
          <w:rFonts w:ascii="Verdana" w:hAnsi="Verdana"/>
          <w:color w:val="000000"/>
          <w:sz w:val="18"/>
          <w:szCs w:val="18"/>
        </w:rPr>
        <w:t xml:space="preserve">De ontvangsten voor 2015 worden o.a. aangepast door vervroegde ontvangsten uit de verkoop van tanks aan Finland en </w:t>
      </w:r>
      <w:r w:rsidRPr="005D48AD">
        <w:rPr>
          <w:rFonts w:ascii="Verdana" w:hAnsi="Verdana"/>
          <w:sz w:val="18"/>
          <w:szCs w:val="18"/>
        </w:rPr>
        <w:t>lagere opbrengsten van verkoop van onroerend goed door vertraging in de introductie van de werkwijze Kader Overname Rijksvastgoed (KORV). De uitgaven worden navenant bijgesteld.</w:t>
      </w:r>
    </w:p>
    <w:p w:rsidRPr="005D48AD" w:rsidR="005D48AD" w:rsidP="005D48AD" w:rsidRDefault="005D48AD">
      <w:pPr>
        <w:spacing w:line="240" w:lineRule="exact"/>
        <w:rPr>
          <w:rFonts w:ascii="Verdana" w:hAnsi="Verdana"/>
          <w:color w:val="000000"/>
          <w:sz w:val="18"/>
          <w:szCs w:val="18"/>
        </w:rPr>
      </w:pPr>
    </w:p>
    <w:p w:rsidRPr="005D48AD" w:rsidR="005D48AD" w:rsidP="005D48AD" w:rsidRDefault="005D48AD">
      <w:pPr>
        <w:spacing w:line="240" w:lineRule="exact"/>
        <w:rPr>
          <w:rFonts w:ascii="Verdana" w:hAnsi="Verdana"/>
          <w:i/>
          <w:color w:val="000000"/>
          <w:sz w:val="18"/>
          <w:szCs w:val="18"/>
        </w:rPr>
      </w:pPr>
      <w:r w:rsidRPr="005D48AD">
        <w:rPr>
          <w:rFonts w:ascii="Verdana" w:hAnsi="Verdana"/>
          <w:i/>
          <w:color w:val="000000"/>
          <w:sz w:val="18"/>
          <w:szCs w:val="18"/>
        </w:rPr>
        <w:t>Overloop naar 2016 wettelijke betalingen</w:t>
      </w:r>
    </w:p>
    <w:p w:rsidRPr="005D48AD" w:rsidR="005D48AD" w:rsidP="005D48AD" w:rsidRDefault="005D48AD">
      <w:pPr>
        <w:spacing w:line="240" w:lineRule="exact"/>
        <w:rPr>
          <w:rFonts w:ascii="Verdana" w:hAnsi="Verdana"/>
          <w:color w:val="000000"/>
          <w:sz w:val="18"/>
          <w:szCs w:val="18"/>
        </w:rPr>
      </w:pPr>
      <w:r w:rsidRPr="005D48AD">
        <w:rPr>
          <w:rFonts w:ascii="Verdana" w:hAnsi="Verdana"/>
          <w:sz w:val="18"/>
          <w:szCs w:val="18"/>
        </w:rPr>
        <w:t>De uitgaven voor risico-inventarisaties en evaluaties (RI&amp;E), veteranenuitkeringen en de participatiewet komen niet in 2015 maar in 2016 tot uitbetaling</w:t>
      </w:r>
      <w:r w:rsidRPr="005D48AD">
        <w:rPr>
          <w:rFonts w:ascii="Verdana" w:hAnsi="Verdana"/>
          <w:color w:val="000000"/>
          <w:sz w:val="18"/>
          <w:szCs w:val="18"/>
        </w:rPr>
        <w:t>. Deze middelen worden meegenomen via de eindejaarsmarge.</w:t>
      </w:r>
    </w:p>
    <w:p w:rsidRPr="005D48AD" w:rsidR="005D48AD" w:rsidP="005D48AD" w:rsidRDefault="005D48AD">
      <w:pPr>
        <w:spacing w:line="240" w:lineRule="exact"/>
        <w:rPr>
          <w:rFonts w:ascii="Verdana" w:hAnsi="Verdana"/>
          <w:i/>
          <w:color w:val="000000"/>
          <w:sz w:val="18"/>
          <w:szCs w:val="18"/>
        </w:rPr>
      </w:pPr>
    </w:p>
    <w:p w:rsidRPr="005D48AD" w:rsidR="005D48AD" w:rsidP="005D48AD" w:rsidRDefault="005D48AD">
      <w:pPr>
        <w:pStyle w:val="Geenafstand"/>
        <w:spacing w:line="240" w:lineRule="exact"/>
        <w:rPr>
          <w:rFonts w:ascii="Verdana" w:hAnsi="Verdana" w:eastAsiaTheme="minorHAnsi" w:cstheme="minorBidi"/>
          <w:i/>
          <w:iCs/>
          <w:sz w:val="18"/>
          <w:szCs w:val="18"/>
          <w:lang w:eastAsia="en-US"/>
        </w:rPr>
      </w:pPr>
      <w:r w:rsidRPr="005D48AD">
        <w:rPr>
          <w:rFonts w:ascii="Verdana" w:hAnsi="Verdana"/>
          <w:i/>
          <w:iCs/>
          <w:sz w:val="18"/>
          <w:szCs w:val="18"/>
        </w:rPr>
        <w:t>Loonbijstelling bovensectorale loonruimte deal</w:t>
      </w:r>
    </w:p>
    <w:p w:rsidRPr="005D48AD" w:rsidR="005D48AD" w:rsidP="005D48AD" w:rsidRDefault="005D48AD">
      <w:pPr>
        <w:pStyle w:val="Geenafstand"/>
        <w:spacing w:line="240" w:lineRule="exact"/>
        <w:rPr>
          <w:rFonts w:ascii="Verdana" w:hAnsi="Verdana"/>
          <w:sz w:val="18"/>
          <w:szCs w:val="18"/>
        </w:rPr>
      </w:pPr>
      <w:r w:rsidRPr="005D48AD">
        <w:rPr>
          <w:rFonts w:ascii="Verdana" w:hAnsi="Verdana"/>
          <w:sz w:val="18"/>
          <w:szCs w:val="18"/>
        </w:rPr>
        <w:t xml:space="preserve">Dit betreft de aanvullende middelen ten behoeve van de uitvoering van de loonruimteovereenkomst publieke sector. </w:t>
      </w:r>
    </w:p>
    <w:p w:rsidRPr="005D48AD" w:rsidR="005D48AD" w:rsidP="005D48AD" w:rsidRDefault="005D48AD">
      <w:pPr>
        <w:spacing w:line="240" w:lineRule="exact"/>
        <w:rPr>
          <w:rFonts w:ascii="Verdana" w:hAnsi="Verdana"/>
          <w:i/>
          <w:color w:val="000000"/>
          <w:sz w:val="18"/>
          <w:szCs w:val="18"/>
        </w:rPr>
      </w:pPr>
    </w:p>
    <w:p w:rsidRPr="005D48AD" w:rsidR="005D48AD" w:rsidP="005D48AD" w:rsidRDefault="005D48AD">
      <w:pPr>
        <w:spacing w:line="240" w:lineRule="exact"/>
        <w:rPr>
          <w:rFonts w:ascii="Verdana" w:hAnsi="Verdana" w:cs="Courier New"/>
          <w:i/>
          <w:color w:val="000000"/>
          <w:sz w:val="18"/>
          <w:szCs w:val="18"/>
        </w:rPr>
      </w:pPr>
      <w:r w:rsidRPr="005D48AD">
        <w:rPr>
          <w:rFonts w:ascii="Verdana" w:hAnsi="Verdana" w:cs="Courier New"/>
          <w:i/>
          <w:color w:val="000000"/>
          <w:sz w:val="18"/>
          <w:szCs w:val="18"/>
        </w:rPr>
        <w:t>Diversen (uitgaven en niet-belastingontvangsten)</w:t>
      </w:r>
    </w:p>
    <w:p w:rsidRPr="005D48AD" w:rsidR="005D48AD" w:rsidP="005D48AD" w:rsidRDefault="005D48AD">
      <w:pPr>
        <w:spacing w:line="240" w:lineRule="exact"/>
        <w:rPr>
          <w:rFonts w:ascii="Verdana" w:hAnsi="Verdana" w:cs="Courier New"/>
          <w:color w:val="000000"/>
          <w:sz w:val="18"/>
          <w:szCs w:val="18"/>
        </w:rPr>
      </w:pPr>
      <w:r w:rsidRPr="005D48AD">
        <w:rPr>
          <w:rFonts w:ascii="Verdana" w:hAnsi="Verdana" w:cs="Courier New"/>
          <w:color w:val="000000"/>
          <w:sz w:val="18"/>
          <w:szCs w:val="18"/>
        </w:rPr>
        <w:t xml:space="preserve">De uitgaven- en ontvangstenmutaties in de categorie diversen bestaan vooral uit diverse kleinere mutaties, waaronder een </w:t>
      </w:r>
      <w:proofErr w:type="spellStart"/>
      <w:r w:rsidRPr="005D48AD">
        <w:rPr>
          <w:rFonts w:ascii="Verdana" w:hAnsi="Verdana" w:cs="Courier New"/>
          <w:color w:val="000000"/>
          <w:sz w:val="18"/>
          <w:szCs w:val="18"/>
        </w:rPr>
        <w:t>herallocatie</w:t>
      </w:r>
      <w:proofErr w:type="spellEnd"/>
      <w:r w:rsidRPr="005D48AD">
        <w:rPr>
          <w:rFonts w:ascii="Verdana" w:hAnsi="Verdana" w:cs="Courier New"/>
          <w:color w:val="000000"/>
          <w:sz w:val="18"/>
          <w:szCs w:val="18"/>
        </w:rPr>
        <w:t xml:space="preserve"> van middelen van artikel 12 Nominaal en Onvoorzien naar verschillende beleidsartikelen, </w:t>
      </w:r>
      <w:r w:rsidRPr="005D48AD">
        <w:rPr>
          <w:rFonts w:ascii="Verdana" w:hAnsi="Verdana"/>
          <w:sz w:val="18"/>
          <w:szCs w:val="18"/>
        </w:rPr>
        <w:t>ter dekking van tekorten op formatie, informatievoorziening en transport. Daarnaast betreft het bijstelling van het leenbedrag aan ABP 2015 voor het kapitaaldekkingstelsel militaire ouderdomspensioenen en de aflossing van eenzelfde lening uit 2005. Tot slot gaat het om ontvangsten van de Stichting Defensiemusea.</w:t>
      </w:r>
    </w:p>
    <w:p w:rsidR="00D57CD6" w:rsidRDefault="00D57CD6">
      <w:pPr>
        <w:rPr>
          <w:rFonts w:ascii="Verdana" w:hAnsi="Verdana" w:cs="Verdana"/>
          <w:b/>
          <w:bCs/>
          <w:sz w:val="18"/>
          <w:szCs w:val="18"/>
        </w:rPr>
      </w:pPr>
      <w:r>
        <w:rPr>
          <w:rFonts w:ascii="Verdana" w:hAnsi="Verdana" w:cs="Verdana"/>
          <w:b/>
          <w:bCs/>
          <w:sz w:val="18"/>
          <w:szCs w:val="18"/>
        </w:rPr>
        <w:br w:type="page"/>
      </w:r>
    </w:p>
    <w:p w:rsidRPr="00533D5C" w:rsidR="00512EDB" w:rsidP="00533D5C" w:rsidRDefault="00C05141">
      <w:pPr>
        <w:spacing w:line="240" w:lineRule="exact"/>
        <w:rPr>
          <w:rFonts w:ascii="Verdana" w:hAnsi="Verdana" w:cs="Verdana"/>
          <w:b/>
          <w:bCs/>
          <w:sz w:val="18"/>
          <w:szCs w:val="18"/>
        </w:rPr>
      </w:pPr>
      <w:r w:rsidRPr="00E262E2">
        <w:rPr>
          <w:rFonts w:ascii="Verdana" w:hAnsi="Verdana" w:cs="Verdana"/>
          <w:b/>
          <w:bCs/>
          <w:sz w:val="18"/>
          <w:szCs w:val="18"/>
        </w:rPr>
        <w:lastRenderedPageBreak/>
        <w:t>Infrastructuur en Milieu</w:t>
      </w:r>
    </w:p>
    <w:tbl>
      <w:tblPr>
        <w:tblW w:w="0" w:type="auto"/>
        <w:tblCellMar>
          <w:top w:w="15" w:type="dxa"/>
          <w:left w:w="15" w:type="dxa"/>
          <w:bottom w:w="15" w:type="dxa"/>
          <w:right w:w="15" w:type="dxa"/>
        </w:tblCellMar>
        <w:tblLook w:val="04A0"/>
      </w:tblPr>
      <w:tblGrid>
        <w:gridCol w:w="8220"/>
        <w:gridCol w:w="22"/>
        <w:gridCol w:w="860"/>
      </w:tblGrid>
      <w:tr w:rsidR="007B29A6" w:rsidTr="007B29A6">
        <w:tc>
          <w:tcPr>
            <w:tcW w:w="8220" w:type="dxa"/>
            <w:tcBorders>
              <w:left w:val="nil"/>
              <w:right w:val="nil"/>
            </w:tcBorders>
            <w:hideMark/>
          </w:tcPr>
          <w:p w:rsidR="007B29A6" w:rsidP="006D23DC" w:rsidRDefault="007B29A6">
            <w:pPr>
              <w:rPr>
                <w:rFonts w:ascii="Verdana" w:hAnsi="Verdana"/>
                <w:sz w:val="18"/>
                <w:szCs w:val="18"/>
              </w:rPr>
            </w:pPr>
            <w:r>
              <w:rPr>
                <w:rFonts w:ascii="Verdana" w:hAnsi="Verdana"/>
                <w:sz w:val="18"/>
                <w:szCs w:val="18"/>
              </w:rPr>
              <w:t> </w:t>
            </w:r>
          </w:p>
        </w:tc>
        <w:tc>
          <w:tcPr>
            <w:tcW w:w="882" w:type="dxa"/>
            <w:gridSpan w:val="2"/>
            <w:tcBorders>
              <w:left w:val="nil"/>
              <w:right w:val="nil"/>
            </w:tcBorders>
            <w:hideMark/>
          </w:tcPr>
          <w:p w:rsidR="007B29A6" w:rsidP="006D23DC" w:rsidRDefault="007B29A6">
            <w:pPr>
              <w:rPr>
                <w:rFonts w:ascii="Verdana" w:hAnsi="Verdana"/>
                <w:sz w:val="18"/>
                <w:szCs w:val="18"/>
              </w:rPr>
            </w:pPr>
            <w:r>
              <w:rPr>
                <w:rFonts w:ascii="Verdana" w:hAnsi="Verdana"/>
                <w:sz w:val="18"/>
                <w:szCs w:val="18"/>
              </w:rPr>
              <w:t> </w:t>
            </w:r>
          </w:p>
        </w:tc>
      </w:tr>
      <w:tr w:rsidR="007B29A6" w:rsidTr="006D23DC">
        <w:tc>
          <w:tcPr>
            <w:tcW w:w="0" w:type="auto"/>
            <w:tcBorders>
              <w:left w:val="nil"/>
              <w:right w:val="nil"/>
            </w:tcBorders>
            <w:hideMark/>
          </w:tcPr>
          <w:p w:rsidR="007B29A6" w:rsidP="006D23DC" w:rsidRDefault="007B29A6">
            <w:pPr>
              <w:rPr>
                <w:rFonts w:ascii="Verdana" w:hAnsi="Verdana"/>
                <w:sz w:val="18"/>
                <w:szCs w:val="18"/>
              </w:rPr>
            </w:pPr>
            <w:r>
              <w:rPr>
                <w:rFonts w:ascii="Verdana" w:hAnsi="Verdana"/>
                <w:sz w:val="18"/>
                <w:szCs w:val="18"/>
              </w:rPr>
              <w:t>XII INFRASTRUCTUUR EN MILIEU: UITGAVEN</w:t>
            </w:r>
          </w:p>
        </w:tc>
        <w:tc>
          <w:tcPr>
            <w:tcW w:w="0" w:type="auto"/>
            <w:gridSpan w:val="2"/>
            <w:hideMark/>
          </w:tcPr>
          <w:p w:rsidR="007B29A6" w:rsidP="006D23DC" w:rsidRDefault="007B29A6">
            <w:pPr>
              <w:rPr>
                <w:sz w:val="20"/>
                <w:szCs w:val="20"/>
              </w:rPr>
            </w:pPr>
          </w:p>
        </w:tc>
      </w:tr>
      <w:tr w:rsidR="007B29A6" w:rsidTr="006D23DC">
        <w:tc>
          <w:tcPr>
            <w:tcW w:w="0" w:type="auto"/>
            <w:tcBorders>
              <w:top w:val="single" w:color="000000" w:sz="6" w:space="0"/>
              <w:left w:val="nil"/>
              <w:bottom w:val="single" w:color="000000" w:sz="6" w:space="0"/>
              <w:right w:val="nil"/>
            </w:tcBorders>
            <w:hideMark/>
          </w:tcPr>
          <w:p w:rsidR="007B29A6" w:rsidP="006D23DC" w:rsidRDefault="007B29A6">
            <w:pPr>
              <w:jc w:val="right"/>
              <w:rPr>
                <w:rFonts w:ascii="Verdana" w:hAnsi="Verdana"/>
                <w:sz w:val="18"/>
                <w:szCs w:val="18"/>
              </w:rPr>
            </w:pPr>
          </w:p>
        </w:tc>
        <w:tc>
          <w:tcPr>
            <w:tcW w:w="0" w:type="auto"/>
            <w:gridSpan w:val="2"/>
            <w:tcBorders>
              <w:top w:val="single" w:color="000000" w:sz="6" w:space="0"/>
              <w:left w:val="nil"/>
              <w:bottom w:val="single" w:color="000000" w:sz="6" w:space="0"/>
              <w:right w:val="nil"/>
            </w:tcBorders>
            <w:hideMark/>
          </w:tcPr>
          <w:p w:rsidR="007B29A6" w:rsidP="006D23DC" w:rsidRDefault="007B29A6">
            <w:pPr>
              <w:jc w:val="right"/>
              <w:rPr>
                <w:rFonts w:ascii="Verdana" w:hAnsi="Verdana"/>
                <w:sz w:val="18"/>
                <w:szCs w:val="18"/>
              </w:rPr>
            </w:pPr>
            <w:r>
              <w:rPr>
                <w:rFonts w:ascii="Verdana" w:hAnsi="Verdana"/>
                <w:sz w:val="18"/>
                <w:szCs w:val="18"/>
              </w:rPr>
              <w:t>2015</w:t>
            </w:r>
          </w:p>
        </w:tc>
      </w:tr>
      <w:tr w:rsidR="007B29A6" w:rsidTr="006D23DC">
        <w:tc>
          <w:tcPr>
            <w:tcW w:w="0" w:type="auto"/>
            <w:tcBorders>
              <w:left w:val="nil"/>
              <w:right w:val="nil"/>
            </w:tcBorders>
            <w:hideMark/>
          </w:tcPr>
          <w:p w:rsidR="007B29A6" w:rsidP="006D23DC" w:rsidRDefault="007B29A6">
            <w:pPr>
              <w:rPr>
                <w:rFonts w:ascii="Verdana" w:hAnsi="Verdana"/>
                <w:sz w:val="18"/>
                <w:szCs w:val="18"/>
              </w:rPr>
            </w:pPr>
            <w:r>
              <w:rPr>
                <w:rFonts w:ascii="Verdana" w:hAnsi="Verdana"/>
                <w:sz w:val="18"/>
                <w:szCs w:val="18"/>
              </w:rPr>
              <w:t>Stand Miljoenennota 2016 (excl. IS)</w:t>
            </w:r>
          </w:p>
        </w:tc>
        <w:tc>
          <w:tcPr>
            <w:tcW w:w="0" w:type="auto"/>
            <w:gridSpan w:val="2"/>
            <w:tcBorders>
              <w:top w:val="single" w:color="000000" w:sz="6" w:space="0"/>
              <w:left w:val="nil"/>
              <w:right w:val="nil"/>
            </w:tcBorders>
            <w:hideMark/>
          </w:tcPr>
          <w:p w:rsidR="007B29A6" w:rsidP="006D23DC" w:rsidRDefault="007B29A6">
            <w:pPr>
              <w:jc w:val="right"/>
              <w:rPr>
                <w:rFonts w:ascii="Verdana" w:hAnsi="Verdana"/>
                <w:sz w:val="18"/>
                <w:szCs w:val="18"/>
              </w:rPr>
            </w:pPr>
            <w:r>
              <w:rPr>
                <w:rFonts w:ascii="Verdana" w:hAnsi="Verdana"/>
                <w:sz w:val="18"/>
                <w:szCs w:val="18"/>
              </w:rPr>
              <w:t>8.728,8</w:t>
            </w:r>
          </w:p>
        </w:tc>
      </w:tr>
      <w:tr w:rsidR="007B29A6" w:rsidTr="006D23DC">
        <w:tc>
          <w:tcPr>
            <w:tcW w:w="0" w:type="auto"/>
            <w:tcBorders>
              <w:left w:val="nil"/>
              <w:right w:val="nil"/>
            </w:tcBorders>
            <w:hideMark/>
          </w:tcPr>
          <w:p w:rsidR="007B29A6" w:rsidP="006D23DC" w:rsidRDefault="007B29A6">
            <w:pPr>
              <w:rPr>
                <w:rFonts w:ascii="Verdana" w:hAnsi="Verdana"/>
                <w:sz w:val="18"/>
                <w:szCs w:val="18"/>
              </w:rPr>
            </w:pPr>
            <w:r>
              <w:rPr>
                <w:rFonts w:ascii="Verdana" w:hAnsi="Verdana"/>
                <w:sz w:val="18"/>
                <w:szCs w:val="18"/>
              </w:rPr>
              <w:t>Beleidsmatige mutaties</w:t>
            </w:r>
          </w:p>
        </w:tc>
        <w:tc>
          <w:tcPr>
            <w:tcW w:w="0" w:type="auto"/>
            <w:gridSpan w:val="2"/>
            <w:hideMark/>
          </w:tcPr>
          <w:p w:rsidR="007B29A6" w:rsidP="006D23DC" w:rsidRDefault="007B29A6">
            <w:pPr>
              <w:rPr>
                <w:sz w:val="20"/>
                <w:szCs w:val="20"/>
              </w:rPr>
            </w:pPr>
          </w:p>
        </w:tc>
      </w:tr>
      <w:tr w:rsidR="007B29A6" w:rsidTr="006D23DC">
        <w:tc>
          <w:tcPr>
            <w:tcW w:w="0" w:type="auto"/>
            <w:tcBorders>
              <w:left w:val="nil"/>
              <w:right w:val="nil"/>
            </w:tcBorders>
            <w:tcMar>
              <w:top w:w="15" w:type="dxa"/>
              <w:left w:w="180" w:type="dxa"/>
              <w:bottom w:w="15" w:type="dxa"/>
              <w:right w:w="15" w:type="dxa"/>
            </w:tcMar>
            <w:vAlign w:val="both"/>
            <w:hideMark/>
          </w:tcPr>
          <w:p w:rsidR="007B29A6" w:rsidP="006D23DC" w:rsidRDefault="007B29A6">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7B29A6" w:rsidP="006D23DC" w:rsidRDefault="007B29A6">
            <w:pPr>
              <w:rPr>
                <w:sz w:val="20"/>
                <w:szCs w:val="20"/>
              </w:rPr>
            </w:pPr>
          </w:p>
        </w:tc>
      </w:tr>
      <w:tr w:rsidR="007B29A6" w:rsidTr="006D23DC">
        <w:tc>
          <w:tcPr>
            <w:tcW w:w="0" w:type="auto"/>
            <w:tcBorders>
              <w:left w:val="nil"/>
              <w:right w:val="nil"/>
            </w:tcBorders>
            <w:tcMar>
              <w:top w:w="15" w:type="dxa"/>
              <w:left w:w="360" w:type="dxa"/>
              <w:bottom w:w="15" w:type="dxa"/>
              <w:right w:w="15" w:type="dxa"/>
            </w:tcMar>
            <w:vAlign w:val="both"/>
            <w:hideMark/>
          </w:tcPr>
          <w:p w:rsidR="007B29A6" w:rsidP="006D23DC" w:rsidRDefault="007B29A6">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7B29A6" w:rsidP="006D23DC" w:rsidRDefault="007B29A6">
            <w:pPr>
              <w:jc w:val="right"/>
              <w:rPr>
                <w:rFonts w:ascii="Verdana" w:hAnsi="Verdana"/>
                <w:sz w:val="18"/>
                <w:szCs w:val="18"/>
              </w:rPr>
            </w:pPr>
            <w:r>
              <w:rPr>
                <w:rFonts w:ascii="Verdana" w:hAnsi="Verdana"/>
                <w:sz w:val="18"/>
                <w:szCs w:val="18"/>
              </w:rPr>
              <w:t>-15,7</w:t>
            </w:r>
          </w:p>
        </w:tc>
      </w:tr>
      <w:tr w:rsidR="007B29A6" w:rsidTr="006D23DC">
        <w:tc>
          <w:tcPr>
            <w:tcW w:w="0" w:type="auto"/>
            <w:tcBorders>
              <w:left w:val="nil"/>
              <w:right w:val="nil"/>
            </w:tcBorders>
            <w:hideMark/>
          </w:tcPr>
          <w:p w:rsidR="007B29A6" w:rsidP="006D23DC" w:rsidRDefault="007B29A6">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7B29A6" w:rsidP="006D23DC" w:rsidRDefault="007B29A6">
            <w:pPr>
              <w:jc w:val="right"/>
              <w:rPr>
                <w:rFonts w:ascii="Verdana" w:hAnsi="Verdana"/>
                <w:sz w:val="18"/>
                <w:szCs w:val="18"/>
              </w:rPr>
            </w:pPr>
            <w:r>
              <w:rPr>
                <w:rFonts w:ascii="Verdana" w:hAnsi="Verdana"/>
                <w:sz w:val="18"/>
                <w:szCs w:val="18"/>
              </w:rPr>
              <w:t>-15,7</w:t>
            </w:r>
          </w:p>
        </w:tc>
      </w:tr>
      <w:tr w:rsidR="007B29A6" w:rsidTr="006D23DC">
        <w:tc>
          <w:tcPr>
            <w:tcW w:w="0" w:type="auto"/>
            <w:tcBorders>
              <w:left w:val="nil"/>
              <w:right w:val="nil"/>
            </w:tcBorders>
            <w:hideMark/>
          </w:tcPr>
          <w:p w:rsidR="007B29A6" w:rsidP="006D23DC" w:rsidRDefault="007B29A6">
            <w:pPr>
              <w:rPr>
                <w:rFonts w:ascii="Verdana" w:hAnsi="Verdana"/>
                <w:sz w:val="18"/>
                <w:szCs w:val="18"/>
              </w:rPr>
            </w:pPr>
            <w:r>
              <w:rPr>
                <w:rFonts w:ascii="Verdana" w:hAnsi="Verdana"/>
                <w:sz w:val="18"/>
                <w:szCs w:val="18"/>
              </w:rPr>
              <w:t>Technische mutaties</w:t>
            </w:r>
          </w:p>
        </w:tc>
        <w:tc>
          <w:tcPr>
            <w:tcW w:w="0" w:type="auto"/>
            <w:gridSpan w:val="2"/>
            <w:hideMark/>
          </w:tcPr>
          <w:p w:rsidR="007B29A6" w:rsidP="006D23DC" w:rsidRDefault="007B29A6">
            <w:pPr>
              <w:rPr>
                <w:sz w:val="20"/>
                <w:szCs w:val="20"/>
              </w:rPr>
            </w:pPr>
          </w:p>
        </w:tc>
      </w:tr>
      <w:tr w:rsidR="007B29A6" w:rsidTr="006D23DC">
        <w:tc>
          <w:tcPr>
            <w:tcW w:w="0" w:type="auto"/>
            <w:tcBorders>
              <w:left w:val="nil"/>
              <w:right w:val="nil"/>
            </w:tcBorders>
            <w:tcMar>
              <w:top w:w="15" w:type="dxa"/>
              <w:left w:w="180" w:type="dxa"/>
              <w:bottom w:w="15" w:type="dxa"/>
              <w:right w:w="15" w:type="dxa"/>
            </w:tcMar>
            <w:vAlign w:val="both"/>
            <w:hideMark/>
          </w:tcPr>
          <w:p w:rsidR="007B29A6" w:rsidP="006D23DC" w:rsidRDefault="007B29A6">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7B29A6" w:rsidP="006D23DC" w:rsidRDefault="007B29A6">
            <w:pPr>
              <w:rPr>
                <w:sz w:val="20"/>
                <w:szCs w:val="20"/>
              </w:rPr>
            </w:pPr>
          </w:p>
        </w:tc>
      </w:tr>
      <w:tr w:rsidR="007B29A6" w:rsidTr="006D23DC">
        <w:tc>
          <w:tcPr>
            <w:tcW w:w="0" w:type="auto"/>
            <w:tcBorders>
              <w:left w:val="nil"/>
              <w:right w:val="nil"/>
            </w:tcBorders>
            <w:tcMar>
              <w:top w:w="15" w:type="dxa"/>
              <w:left w:w="360" w:type="dxa"/>
              <w:bottom w:w="15" w:type="dxa"/>
              <w:right w:w="15" w:type="dxa"/>
            </w:tcMar>
            <w:vAlign w:val="both"/>
            <w:hideMark/>
          </w:tcPr>
          <w:p w:rsidR="007B29A6" w:rsidP="006D23DC" w:rsidRDefault="007B29A6">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7B29A6" w:rsidP="006D23DC" w:rsidRDefault="007B29A6">
            <w:pPr>
              <w:jc w:val="right"/>
              <w:rPr>
                <w:rFonts w:ascii="Verdana" w:hAnsi="Verdana"/>
                <w:sz w:val="18"/>
                <w:szCs w:val="18"/>
              </w:rPr>
            </w:pPr>
            <w:r>
              <w:rPr>
                <w:rFonts w:ascii="Verdana" w:hAnsi="Verdana"/>
                <w:sz w:val="18"/>
                <w:szCs w:val="18"/>
              </w:rPr>
              <w:t>-19,3</w:t>
            </w:r>
          </w:p>
        </w:tc>
      </w:tr>
      <w:tr w:rsidR="007B29A6" w:rsidTr="006D23DC">
        <w:tc>
          <w:tcPr>
            <w:tcW w:w="0" w:type="auto"/>
            <w:tcBorders>
              <w:left w:val="nil"/>
              <w:right w:val="nil"/>
            </w:tcBorders>
            <w:hideMark/>
          </w:tcPr>
          <w:p w:rsidR="007B29A6" w:rsidP="006D23DC" w:rsidRDefault="007B29A6">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7B29A6" w:rsidP="006D23DC" w:rsidRDefault="007B29A6">
            <w:pPr>
              <w:jc w:val="right"/>
              <w:rPr>
                <w:rFonts w:ascii="Verdana" w:hAnsi="Verdana"/>
                <w:sz w:val="18"/>
                <w:szCs w:val="18"/>
              </w:rPr>
            </w:pPr>
            <w:r>
              <w:rPr>
                <w:rFonts w:ascii="Verdana" w:hAnsi="Verdana"/>
                <w:sz w:val="18"/>
                <w:szCs w:val="18"/>
              </w:rPr>
              <w:t>-19,3</w:t>
            </w:r>
          </w:p>
        </w:tc>
      </w:tr>
      <w:tr w:rsidR="007B29A6" w:rsidTr="006D23DC">
        <w:tc>
          <w:tcPr>
            <w:tcW w:w="0" w:type="auto"/>
            <w:tcBorders>
              <w:left w:val="nil"/>
              <w:right w:val="nil"/>
            </w:tcBorders>
            <w:hideMark/>
          </w:tcPr>
          <w:p w:rsidR="007B29A6" w:rsidP="006D23DC" w:rsidRDefault="007B29A6">
            <w:pPr>
              <w:rPr>
                <w:rFonts w:ascii="Verdana" w:hAnsi="Verdana"/>
                <w:sz w:val="18"/>
                <w:szCs w:val="18"/>
              </w:rPr>
            </w:pPr>
            <w:r>
              <w:rPr>
                <w:rFonts w:ascii="Verdana" w:hAnsi="Verdana"/>
                <w:sz w:val="18"/>
                <w:szCs w:val="18"/>
              </w:rPr>
              <w:t>Totaal mutaties sinds Miljoenennota 2016</w:t>
            </w:r>
          </w:p>
        </w:tc>
        <w:tc>
          <w:tcPr>
            <w:tcW w:w="0" w:type="auto"/>
            <w:gridSpan w:val="2"/>
            <w:tcBorders>
              <w:left w:val="nil"/>
              <w:right w:val="nil"/>
            </w:tcBorders>
            <w:hideMark/>
          </w:tcPr>
          <w:p w:rsidR="007B29A6" w:rsidP="006D23DC" w:rsidRDefault="007B29A6">
            <w:pPr>
              <w:jc w:val="right"/>
              <w:rPr>
                <w:rFonts w:ascii="Verdana" w:hAnsi="Verdana"/>
                <w:sz w:val="18"/>
                <w:szCs w:val="18"/>
              </w:rPr>
            </w:pPr>
            <w:r>
              <w:rPr>
                <w:rFonts w:ascii="Verdana" w:hAnsi="Verdana"/>
                <w:sz w:val="18"/>
                <w:szCs w:val="18"/>
              </w:rPr>
              <w:t>-34,9</w:t>
            </w:r>
          </w:p>
        </w:tc>
      </w:tr>
      <w:tr w:rsidR="007B29A6" w:rsidTr="006D23DC">
        <w:tc>
          <w:tcPr>
            <w:tcW w:w="0" w:type="auto"/>
            <w:tcBorders>
              <w:left w:val="nil"/>
              <w:right w:val="nil"/>
            </w:tcBorders>
            <w:hideMark/>
          </w:tcPr>
          <w:p w:rsidR="007B29A6" w:rsidP="006D23DC" w:rsidRDefault="007B29A6">
            <w:pPr>
              <w:rPr>
                <w:rFonts w:ascii="Verdana" w:hAnsi="Verdana"/>
                <w:sz w:val="18"/>
                <w:szCs w:val="18"/>
              </w:rPr>
            </w:pPr>
            <w:r>
              <w:rPr>
                <w:rFonts w:ascii="Verdana" w:hAnsi="Verdana"/>
                <w:sz w:val="18"/>
                <w:szCs w:val="18"/>
              </w:rPr>
              <w:t> </w:t>
            </w:r>
          </w:p>
        </w:tc>
        <w:tc>
          <w:tcPr>
            <w:tcW w:w="0" w:type="auto"/>
            <w:gridSpan w:val="2"/>
            <w:hideMark/>
          </w:tcPr>
          <w:p w:rsidR="007B29A6" w:rsidP="006D23DC" w:rsidRDefault="007B29A6">
            <w:pPr>
              <w:rPr>
                <w:sz w:val="20"/>
                <w:szCs w:val="20"/>
              </w:rPr>
            </w:pPr>
          </w:p>
        </w:tc>
      </w:tr>
      <w:tr w:rsidR="007B29A6" w:rsidTr="006D23DC">
        <w:tc>
          <w:tcPr>
            <w:tcW w:w="0" w:type="auto"/>
            <w:tcBorders>
              <w:left w:val="nil"/>
              <w:right w:val="nil"/>
            </w:tcBorders>
            <w:hideMark/>
          </w:tcPr>
          <w:p w:rsidR="007B29A6" w:rsidP="006D23DC" w:rsidRDefault="007B29A6">
            <w:pPr>
              <w:rPr>
                <w:rFonts w:ascii="Verdana" w:hAnsi="Verdana"/>
                <w:sz w:val="18"/>
                <w:szCs w:val="18"/>
              </w:rPr>
            </w:pPr>
            <w:r>
              <w:rPr>
                <w:rFonts w:ascii="Verdana" w:hAnsi="Verdana"/>
                <w:sz w:val="18"/>
                <w:szCs w:val="18"/>
              </w:rPr>
              <w:t>Stand Najaarsnota 2015 (subtotaal)</w:t>
            </w:r>
          </w:p>
        </w:tc>
        <w:tc>
          <w:tcPr>
            <w:tcW w:w="0" w:type="auto"/>
            <w:gridSpan w:val="2"/>
            <w:tcBorders>
              <w:top w:val="single" w:color="000000" w:sz="6" w:space="0"/>
              <w:left w:val="nil"/>
              <w:right w:val="nil"/>
            </w:tcBorders>
            <w:hideMark/>
          </w:tcPr>
          <w:p w:rsidR="007B29A6" w:rsidP="006D23DC" w:rsidRDefault="007B29A6">
            <w:pPr>
              <w:jc w:val="right"/>
              <w:rPr>
                <w:rFonts w:ascii="Verdana" w:hAnsi="Verdana"/>
                <w:sz w:val="18"/>
                <w:szCs w:val="18"/>
              </w:rPr>
            </w:pPr>
            <w:r>
              <w:rPr>
                <w:rFonts w:ascii="Verdana" w:hAnsi="Verdana"/>
                <w:sz w:val="18"/>
                <w:szCs w:val="18"/>
              </w:rPr>
              <w:t>8.693,9</w:t>
            </w:r>
          </w:p>
        </w:tc>
      </w:tr>
      <w:tr w:rsidR="007B29A6" w:rsidTr="006D23DC">
        <w:tc>
          <w:tcPr>
            <w:tcW w:w="0" w:type="auto"/>
            <w:tcBorders>
              <w:left w:val="nil"/>
              <w:right w:val="nil"/>
            </w:tcBorders>
            <w:hideMark/>
          </w:tcPr>
          <w:p w:rsidR="007B29A6" w:rsidP="006D23DC" w:rsidRDefault="007B29A6">
            <w:pPr>
              <w:rPr>
                <w:rFonts w:ascii="Verdana" w:hAnsi="Verdana"/>
                <w:sz w:val="18"/>
                <w:szCs w:val="18"/>
              </w:rPr>
            </w:pPr>
            <w:r>
              <w:rPr>
                <w:rFonts w:ascii="Verdana" w:hAnsi="Verdana"/>
                <w:sz w:val="18"/>
                <w:szCs w:val="18"/>
              </w:rPr>
              <w:t>Totaal Internationale samenwerking</w:t>
            </w:r>
          </w:p>
        </w:tc>
        <w:tc>
          <w:tcPr>
            <w:tcW w:w="0" w:type="auto"/>
            <w:gridSpan w:val="2"/>
            <w:tcBorders>
              <w:left w:val="nil"/>
              <w:right w:val="nil"/>
            </w:tcBorders>
            <w:hideMark/>
          </w:tcPr>
          <w:p w:rsidR="007B29A6" w:rsidP="006D23DC" w:rsidRDefault="007B29A6">
            <w:pPr>
              <w:jc w:val="right"/>
              <w:rPr>
                <w:rFonts w:ascii="Verdana" w:hAnsi="Verdana"/>
                <w:sz w:val="18"/>
                <w:szCs w:val="18"/>
              </w:rPr>
            </w:pPr>
            <w:r>
              <w:rPr>
                <w:rFonts w:ascii="Verdana" w:hAnsi="Verdana"/>
                <w:sz w:val="18"/>
                <w:szCs w:val="18"/>
              </w:rPr>
              <w:t>25,5</w:t>
            </w:r>
          </w:p>
        </w:tc>
      </w:tr>
      <w:tr w:rsidR="007B29A6" w:rsidTr="006D23DC">
        <w:tc>
          <w:tcPr>
            <w:tcW w:w="0" w:type="auto"/>
            <w:tcBorders>
              <w:left w:val="nil"/>
              <w:right w:val="nil"/>
            </w:tcBorders>
            <w:hideMark/>
          </w:tcPr>
          <w:p w:rsidR="007B29A6" w:rsidP="006D23DC" w:rsidRDefault="007B29A6">
            <w:pPr>
              <w:rPr>
                <w:rFonts w:ascii="Verdana" w:hAnsi="Verdana"/>
                <w:sz w:val="18"/>
                <w:szCs w:val="18"/>
              </w:rPr>
            </w:pPr>
            <w:r>
              <w:rPr>
                <w:rFonts w:ascii="Verdana" w:hAnsi="Verdana"/>
                <w:sz w:val="18"/>
                <w:szCs w:val="18"/>
              </w:rPr>
              <w:t>Stand Najaarsnota 2015</w:t>
            </w:r>
          </w:p>
        </w:tc>
        <w:tc>
          <w:tcPr>
            <w:tcW w:w="0" w:type="auto"/>
            <w:gridSpan w:val="2"/>
            <w:tcBorders>
              <w:top w:val="single" w:color="000000" w:sz="6" w:space="0"/>
              <w:left w:val="nil"/>
              <w:right w:val="nil"/>
            </w:tcBorders>
            <w:hideMark/>
          </w:tcPr>
          <w:p w:rsidR="007B29A6" w:rsidP="006D23DC" w:rsidRDefault="007B29A6">
            <w:pPr>
              <w:jc w:val="right"/>
              <w:rPr>
                <w:rFonts w:ascii="Verdana" w:hAnsi="Verdana"/>
                <w:sz w:val="18"/>
                <w:szCs w:val="18"/>
              </w:rPr>
            </w:pPr>
            <w:r>
              <w:rPr>
                <w:rFonts w:ascii="Verdana" w:hAnsi="Verdana"/>
                <w:sz w:val="18"/>
                <w:szCs w:val="18"/>
              </w:rPr>
              <w:t>8.719,3</w:t>
            </w:r>
          </w:p>
        </w:tc>
      </w:tr>
      <w:tr w:rsidR="007B29A6" w:rsidTr="007B29A6">
        <w:tc>
          <w:tcPr>
            <w:tcW w:w="8242" w:type="dxa"/>
            <w:gridSpan w:val="2"/>
            <w:tcBorders>
              <w:left w:val="nil"/>
              <w:right w:val="nil"/>
            </w:tcBorders>
            <w:hideMark/>
          </w:tcPr>
          <w:p w:rsidR="007B29A6" w:rsidP="006D23DC" w:rsidRDefault="007B29A6">
            <w:pPr>
              <w:rPr>
                <w:rFonts w:ascii="Verdana" w:hAnsi="Verdana"/>
                <w:sz w:val="18"/>
                <w:szCs w:val="18"/>
              </w:rPr>
            </w:pPr>
          </w:p>
        </w:tc>
        <w:tc>
          <w:tcPr>
            <w:tcW w:w="860" w:type="dxa"/>
            <w:tcBorders>
              <w:left w:val="nil"/>
              <w:right w:val="nil"/>
            </w:tcBorders>
            <w:hideMark/>
          </w:tcPr>
          <w:p w:rsidR="007B29A6" w:rsidP="006D23DC" w:rsidRDefault="007B29A6">
            <w:pPr>
              <w:rPr>
                <w:rFonts w:ascii="Verdana" w:hAnsi="Verdana"/>
                <w:sz w:val="18"/>
                <w:szCs w:val="18"/>
              </w:rPr>
            </w:pPr>
            <w:r>
              <w:rPr>
                <w:rFonts w:ascii="Verdana" w:hAnsi="Verdana"/>
                <w:sz w:val="18"/>
                <w:szCs w:val="18"/>
              </w:rPr>
              <w:t> </w:t>
            </w:r>
          </w:p>
        </w:tc>
      </w:tr>
      <w:tr w:rsidR="007B29A6" w:rsidTr="006D23DC">
        <w:tc>
          <w:tcPr>
            <w:tcW w:w="0" w:type="auto"/>
            <w:gridSpan w:val="2"/>
            <w:tcBorders>
              <w:left w:val="nil"/>
              <w:right w:val="nil"/>
            </w:tcBorders>
            <w:hideMark/>
          </w:tcPr>
          <w:p w:rsidR="007B29A6" w:rsidP="006D23DC" w:rsidRDefault="007B29A6">
            <w:pPr>
              <w:rPr>
                <w:rFonts w:ascii="Verdana" w:hAnsi="Verdana"/>
                <w:sz w:val="18"/>
                <w:szCs w:val="18"/>
              </w:rPr>
            </w:pPr>
            <w:r>
              <w:rPr>
                <w:rFonts w:ascii="Verdana" w:hAnsi="Verdana"/>
                <w:sz w:val="18"/>
                <w:szCs w:val="18"/>
              </w:rPr>
              <w:t>XII INFRASTRUCTUUR EN MILIEU: NIET-BELASTINGONTVANGSTEN</w:t>
            </w:r>
          </w:p>
        </w:tc>
        <w:tc>
          <w:tcPr>
            <w:tcW w:w="0" w:type="auto"/>
            <w:hideMark/>
          </w:tcPr>
          <w:p w:rsidR="007B29A6" w:rsidP="006D23DC" w:rsidRDefault="007B29A6">
            <w:pPr>
              <w:rPr>
                <w:sz w:val="20"/>
                <w:szCs w:val="20"/>
              </w:rPr>
            </w:pPr>
          </w:p>
        </w:tc>
      </w:tr>
      <w:tr w:rsidR="007B29A6" w:rsidTr="006D23DC">
        <w:tc>
          <w:tcPr>
            <w:tcW w:w="0" w:type="auto"/>
            <w:gridSpan w:val="2"/>
            <w:tcBorders>
              <w:top w:val="single" w:color="000000" w:sz="6" w:space="0"/>
              <w:left w:val="nil"/>
              <w:bottom w:val="single" w:color="000000" w:sz="6" w:space="0"/>
              <w:right w:val="nil"/>
            </w:tcBorders>
            <w:hideMark/>
          </w:tcPr>
          <w:p w:rsidR="007B29A6" w:rsidP="006D23DC" w:rsidRDefault="007B29A6">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7B29A6" w:rsidP="006D23DC" w:rsidRDefault="007B29A6">
            <w:pPr>
              <w:jc w:val="right"/>
              <w:rPr>
                <w:rFonts w:ascii="Verdana" w:hAnsi="Verdana"/>
                <w:sz w:val="18"/>
                <w:szCs w:val="18"/>
              </w:rPr>
            </w:pPr>
            <w:r>
              <w:rPr>
                <w:rFonts w:ascii="Verdana" w:hAnsi="Verdana"/>
                <w:sz w:val="18"/>
                <w:szCs w:val="18"/>
              </w:rPr>
              <w:t>2015</w:t>
            </w:r>
          </w:p>
        </w:tc>
      </w:tr>
      <w:tr w:rsidR="007B29A6" w:rsidTr="006D23DC">
        <w:tc>
          <w:tcPr>
            <w:tcW w:w="0" w:type="auto"/>
            <w:gridSpan w:val="2"/>
            <w:tcBorders>
              <w:left w:val="nil"/>
              <w:right w:val="nil"/>
            </w:tcBorders>
            <w:hideMark/>
          </w:tcPr>
          <w:p w:rsidR="007B29A6" w:rsidP="006D23DC" w:rsidRDefault="007B29A6">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7B29A6" w:rsidP="006D23DC" w:rsidRDefault="007B29A6">
            <w:pPr>
              <w:jc w:val="right"/>
              <w:rPr>
                <w:rFonts w:ascii="Verdana" w:hAnsi="Verdana"/>
                <w:sz w:val="18"/>
                <w:szCs w:val="18"/>
              </w:rPr>
            </w:pPr>
            <w:r>
              <w:rPr>
                <w:rFonts w:ascii="Verdana" w:hAnsi="Verdana"/>
                <w:sz w:val="18"/>
                <w:szCs w:val="18"/>
              </w:rPr>
              <w:t>271,9</w:t>
            </w:r>
          </w:p>
        </w:tc>
      </w:tr>
      <w:tr w:rsidR="007B29A6" w:rsidTr="006D23DC">
        <w:tc>
          <w:tcPr>
            <w:tcW w:w="0" w:type="auto"/>
            <w:gridSpan w:val="2"/>
            <w:tcBorders>
              <w:left w:val="nil"/>
              <w:right w:val="nil"/>
            </w:tcBorders>
            <w:hideMark/>
          </w:tcPr>
          <w:p w:rsidR="007B29A6" w:rsidP="006D23DC" w:rsidRDefault="007B29A6">
            <w:pPr>
              <w:rPr>
                <w:rFonts w:ascii="Verdana" w:hAnsi="Verdana"/>
                <w:sz w:val="18"/>
                <w:szCs w:val="18"/>
              </w:rPr>
            </w:pPr>
            <w:r>
              <w:rPr>
                <w:rFonts w:ascii="Verdana" w:hAnsi="Verdana"/>
                <w:sz w:val="18"/>
                <w:szCs w:val="18"/>
              </w:rPr>
              <w:t>Beleidsmatige mutaties</w:t>
            </w:r>
          </w:p>
        </w:tc>
        <w:tc>
          <w:tcPr>
            <w:tcW w:w="0" w:type="auto"/>
            <w:hideMark/>
          </w:tcPr>
          <w:p w:rsidR="007B29A6" w:rsidP="006D23DC" w:rsidRDefault="007B29A6">
            <w:pPr>
              <w:rPr>
                <w:sz w:val="20"/>
                <w:szCs w:val="20"/>
              </w:rPr>
            </w:pPr>
          </w:p>
        </w:tc>
      </w:tr>
      <w:tr w:rsidR="007B29A6" w:rsidTr="006D23DC">
        <w:tc>
          <w:tcPr>
            <w:tcW w:w="0" w:type="auto"/>
            <w:gridSpan w:val="2"/>
            <w:tcBorders>
              <w:left w:val="nil"/>
              <w:right w:val="nil"/>
            </w:tcBorders>
            <w:tcMar>
              <w:top w:w="15" w:type="dxa"/>
              <w:left w:w="180" w:type="dxa"/>
              <w:bottom w:w="15" w:type="dxa"/>
              <w:right w:w="15" w:type="dxa"/>
            </w:tcMar>
            <w:vAlign w:val="both"/>
            <w:hideMark/>
          </w:tcPr>
          <w:p w:rsidR="007B29A6" w:rsidP="006D23DC" w:rsidRDefault="007B29A6">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7B29A6" w:rsidP="006D23DC" w:rsidRDefault="007B29A6">
            <w:pPr>
              <w:rPr>
                <w:sz w:val="20"/>
                <w:szCs w:val="20"/>
              </w:rPr>
            </w:pPr>
          </w:p>
        </w:tc>
      </w:tr>
      <w:tr w:rsidR="007B29A6" w:rsidTr="006D23DC">
        <w:tc>
          <w:tcPr>
            <w:tcW w:w="0" w:type="auto"/>
            <w:gridSpan w:val="2"/>
            <w:tcBorders>
              <w:left w:val="nil"/>
              <w:right w:val="nil"/>
            </w:tcBorders>
            <w:tcMar>
              <w:top w:w="15" w:type="dxa"/>
              <w:left w:w="360" w:type="dxa"/>
              <w:bottom w:w="15" w:type="dxa"/>
              <w:right w:w="15" w:type="dxa"/>
            </w:tcMar>
            <w:vAlign w:val="both"/>
            <w:hideMark/>
          </w:tcPr>
          <w:p w:rsidR="007B29A6" w:rsidP="006D23DC" w:rsidRDefault="007B29A6">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7B29A6" w:rsidP="006D23DC" w:rsidRDefault="007B29A6">
            <w:pPr>
              <w:jc w:val="right"/>
              <w:rPr>
                <w:rFonts w:ascii="Verdana" w:hAnsi="Verdana"/>
                <w:sz w:val="18"/>
                <w:szCs w:val="18"/>
              </w:rPr>
            </w:pPr>
            <w:r>
              <w:rPr>
                <w:rFonts w:ascii="Verdana" w:hAnsi="Verdana"/>
                <w:sz w:val="18"/>
                <w:szCs w:val="18"/>
              </w:rPr>
              <w:t>3,4</w:t>
            </w:r>
          </w:p>
        </w:tc>
      </w:tr>
      <w:tr w:rsidR="007B29A6" w:rsidTr="006D23DC">
        <w:tc>
          <w:tcPr>
            <w:tcW w:w="0" w:type="auto"/>
            <w:gridSpan w:val="2"/>
            <w:tcBorders>
              <w:left w:val="nil"/>
              <w:right w:val="nil"/>
            </w:tcBorders>
            <w:hideMark/>
          </w:tcPr>
          <w:p w:rsidR="007B29A6" w:rsidP="006D23DC" w:rsidRDefault="007B29A6">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7B29A6" w:rsidP="006D23DC" w:rsidRDefault="007B29A6">
            <w:pPr>
              <w:jc w:val="right"/>
              <w:rPr>
                <w:rFonts w:ascii="Verdana" w:hAnsi="Verdana"/>
                <w:sz w:val="18"/>
                <w:szCs w:val="18"/>
              </w:rPr>
            </w:pPr>
            <w:r>
              <w:rPr>
                <w:rFonts w:ascii="Verdana" w:hAnsi="Verdana"/>
                <w:sz w:val="18"/>
                <w:szCs w:val="18"/>
              </w:rPr>
              <w:t>3,4</w:t>
            </w:r>
          </w:p>
        </w:tc>
      </w:tr>
      <w:tr w:rsidR="007B29A6" w:rsidTr="006D23DC">
        <w:tc>
          <w:tcPr>
            <w:tcW w:w="0" w:type="auto"/>
            <w:gridSpan w:val="2"/>
            <w:tcBorders>
              <w:left w:val="nil"/>
              <w:right w:val="nil"/>
            </w:tcBorders>
            <w:hideMark/>
          </w:tcPr>
          <w:p w:rsidR="007B29A6" w:rsidP="006D23DC" w:rsidRDefault="007B29A6">
            <w:pPr>
              <w:rPr>
                <w:rFonts w:ascii="Verdana" w:hAnsi="Verdana"/>
                <w:sz w:val="18"/>
                <w:szCs w:val="18"/>
              </w:rPr>
            </w:pPr>
            <w:r>
              <w:rPr>
                <w:rFonts w:ascii="Verdana" w:hAnsi="Verdana"/>
                <w:sz w:val="18"/>
                <w:szCs w:val="18"/>
              </w:rPr>
              <w:t>Technische mutaties</w:t>
            </w:r>
          </w:p>
        </w:tc>
        <w:tc>
          <w:tcPr>
            <w:tcW w:w="0" w:type="auto"/>
            <w:hideMark/>
          </w:tcPr>
          <w:p w:rsidR="007B29A6" w:rsidP="006D23DC" w:rsidRDefault="007B29A6">
            <w:pPr>
              <w:rPr>
                <w:sz w:val="20"/>
                <w:szCs w:val="20"/>
              </w:rPr>
            </w:pPr>
          </w:p>
        </w:tc>
      </w:tr>
      <w:tr w:rsidR="007B29A6" w:rsidTr="006D23DC">
        <w:tc>
          <w:tcPr>
            <w:tcW w:w="0" w:type="auto"/>
            <w:gridSpan w:val="2"/>
            <w:tcBorders>
              <w:left w:val="nil"/>
              <w:right w:val="nil"/>
            </w:tcBorders>
            <w:tcMar>
              <w:top w:w="15" w:type="dxa"/>
              <w:left w:w="180" w:type="dxa"/>
              <w:bottom w:w="15" w:type="dxa"/>
              <w:right w:w="15" w:type="dxa"/>
            </w:tcMar>
            <w:vAlign w:val="both"/>
            <w:hideMark/>
          </w:tcPr>
          <w:p w:rsidR="007B29A6" w:rsidP="006D23DC" w:rsidRDefault="007B29A6">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7B29A6" w:rsidP="006D23DC" w:rsidRDefault="007B29A6">
            <w:pPr>
              <w:rPr>
                <w:sz w:val="20"/>
                <w:szCs w:val="20"/>
              </w:rPr>
            </w:pPr>
          </w:p>
        </w:tc>
      </w:tr>
      <w:tr w:rsidR="007B29A6" w:rsidTr="006D23DC">
        <w:tc>
          <w:tcPr>
            <w:tcW w:w="0" w:type="auto"/>
            <w:gridSpan w:val="2"/>
            <w:tcBorders>
              <w:left w:val="nil"/>
              <w:right w:val="nil"/>
            </w:tcBorders>
            <w:tcMar>
              <w:top w:w="15" w:type="dxa"/>
              <w:left w:w="360" w:type="dxa"/>
              <w:bottom w:w="15" w:type="dxa"/>
              <w:right w:w="15" w:type="dxa"/>
            </w:tcMar>
            <w:vAlign w:val="both"/>
            <w:hideMark/>
          </w:tcPr>
          <w:p w:rsidR="007B29A6" w:rsidP="006D23DC" w:rsidRDefault="007B29A6">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7B29A6" w:rsidP="006D23DC" w:rsidRDefault="007B29A6">
            <w:pPr>
              <w:jc w:val="right"/>
              <w:rPr>
                <w:rFonts w:ascii="Verdana" w:hAnsi="Verdana"/>
                <w:sz w:val="18"/>
                <w:szCs w:val="18"/>
              </w:rPr>
            </w:pPr>
            <w:r>
              <w:rPr>
                <w:rFonts w:ascii="Verdana" w:hAnsi="Verdana"/>
                <w:sz w:val="18"/>
                <w:szCs w:val="18"/>
              </w:rPr>
              <w:t>11,6</w:t>
            </w:r>
          </w:p>
        </w:tc>
      </w:tr>
      <w:tr w:rsidR="007B29A6" w:rsidTr="006D23DC">
        <w:tc>
          <w:tcPr>
            <w:tcW w:w="0" w:type="auto"/>
            <w:gridSpan w:val="2"/>
            <w:tcBorders>
              <w:left w:val="nil"/>
              <w:right w:val="nil"/>
            </w:tcBorders>
            <w:hideMark/>
          </w:tcPr>
          <w:p w:rsidR="007B29A6" w:rsidP="006D23DC" w:rsidRDefault="007B29A6">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7B29A6" w:rsidP="006D23DC" w:rsidRDefault="007B29A6">
            <w:pPr>
              <w:jc w:val="right"/>
              <w:rPr>
                <w:rFonts w:ascii="Verdana" w:hAnsi="Verdana"/>
                <w:sz w:val="18"/>
                <w:szCs w:val="18"/>
              </w:rPr>
            </w:pPr>
            <w:r>
              <w:rPr>
                <w:rFonts w:ascii="Verdana" w:hAnsi="Verdana"/>
                <w:sz w:val="18"/>
                <w:szCs w:val="18"/>
              </w:rPr>
              <w:t>11,6</w:t>
            </w:r>
          </w:p>
        </w:tc>
      </w:tr>
      <w:tr w:rsidR="007B29A6" w:rsidTr="006D23DC">
        <w:tc>
          <w:tcPr>
            <w:tcW w:w="0" w:type="auto"/>
            <w:gridSpan w:val="2"/>
            <w:tcBorders>
              <w:left w:val="nil"/>
              <w:right w:val="nil"/>
            </w:tcBorders>
            <w:hideMark/>
          </w:tcPr>
          <w:p w:rsidR="007B29A6" w:rsidP="006D23DC" w:rsidRDefault="007B29A6">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7B29A6" w:rsidP="006D23DC" w:rsidRDefault="007B29A6">
            <w:pPr>
              <w:jc w:val="right"/>
              <w:rPr>
                <w:rFonts w:ascii="Verdana" w:hAnsi="Verdana"/>
                <w:sz w:val="18"/>
                <w:szCs w:val="18"/>
              </w:rPr>
            </w:pPr>
            <w:r>
              <w:rPr>
                <w:rFonts w:ascii="Verdana" w:hAnsi="Verdana"/>
                <w:sz w:val="18"/>
                <w:szCs w:val="18"/>
              </w:rPr>
              <w:t>15,0</w:t>
            </w:r>
          </w:p>
        </w:tc>
      </w:tr>
      <w:tr w:rsidR="007B29A6" w:rsidTr="006D23DC">
        <w:tc>
          <w:tcPr>
            <w:tcW w:w="0" w:type="auto"/>
            <w:gridSpan w:val="2"/>
            <w:tcBorders>
              <w:left w:val="nil"/>
              <w:right w:val="nil"/>
            </w:tcBorders>
            <w:hideMark/>
          </w:tcPr>
          <w:p w:rsidR="007B29A6" w:rsidP="006D23DC" w:rsidRDefault="007B29A6">
            <w:pPr>
              <w:rPr>
                <w:rFonts w:ascii="Verdana" w:hAnsi="Verdana"/>
                <w:sz w:val="18"/>
                <w:szCs w:val="18"/>
              </w:rPr>
            </w:pPr>
            <w:r>
              <w:rPr>
                <w:rFonts w:ascii="Verdana" w:hAnsi="Verdana"/>
                <w:sz w:val="18"/>
                <w:szCs w:val="18"/>
              </w:rPr>
              <w:t> </w:t>
            </w:r>
          </w:p>
        </w:tc>
        <w:tc>
          <w:tcPr>
            <w:tcW w:w="0" w:type="auto"/>
            <w:hideMark/>
          </w:tcPr>
          <w:p w:rsidR="007B29A6" w:rsidP="006D23DC" w:rsidRDefault="007B29A6">
            <w:pPr>
              <w:rPr>
                <w:sz w:val="20"/>
                <w:szCs w:val="20"/>
              </w:rPr>
            </w:pPr>
          </w:p>
        </w:tc>
      </w:tr>
      <w:tr w:rsidR="007B29A6" w:rsidTr="006D23DC">
        <w:tc>
          <w:tcPr>
            <w:tcW w:w="0" w:type="auto"/>
            <w:gridSpan w:val="2"/>
            <w:tcBorders>
              <w:left w:val="nil"/>
              <w:right w:val="nil"/>
            </w:tcBorders>
            <w:hideMark/>
          </w:tcPr>
          <w:p w:rsidR="007B29A6" w:rsidP="006D23DC" w:rsidRDefault="007B29A6">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7B29A6" w:rsidP="006D23DC" w:rsidRDefault="007B29A6">
            <w:pPr>
              <w:jc w:val="right"/>
              <w:rPr>
                <w:rFonts w:ascii="Verdana" w:hAnsi="Verdana"/>
                <w:sz w:val="18"/>
                <w:szCs w:val="18"/>
              </w:rPr>
            </w:pPr>
            <w:r>
              <w:rPr>
                <w:rFonts w:ascii="Verdana" w:hAnsi="Verdana"/>
                <w:sz w:val="18"/>
                <w:szCs w:val="18"/>
              </w:rPr>
              <w:t>286,9</w:t>
            </w:r>
          </w:p>
        </w:tc>
      </w:tr>
      <w:tr w:rsidR="007B29A6" w:rsidTr="006D23DC">
        <w:tc>
          <w:tcPr>
            <w:tcW w:w="0" w:type="auto"/>
            <w:gridSpan w:val="2"/>
            <w:tcBorders>
              <w:left w:val="nil"/>
              <w:right w:val="nil"/>
            </w:tcBorders>
            <w:hideMark/>
          </w:tcPr>
          <w:p w:rsidR="007B29A6" w:rsidP="006D23DC" w:rsidRDefault="007B29A6">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7B29A6" w:rsidP="006D23DC" w:rsidRDefault="007B29A6">
            <w:pPr>
              <w:jc w:val="right"/>
              <w:rPr>
                <w:rFonts w:ascii="Verdana" w:hAnsi="Verdana"/>
                <w:sz w:val="18"/>
                <w:szCs w:val="18"/>
              </w:rPr>
            </w:pPr>
            <w:r>
              <w:rPr>
                <w:rFonts w:ascii="Verdana" w:hAnsi="Verdana"/>
                <w:sz w:val="18"/>
                <w:szCs w:val="18"/>
              </w:rPr>
              <w:t>0,0</w:t>
            </w:r>
          </w:p>
        </w:tc>
      </w:tr>
      <w:tr w:rsidR="007B29A6" w:rsidTr="006D23DC">
        <w:tc>
          <w:tcPr>
            <w:tcW w:w="0" w:type="auto"/>
            <w:gridSpan w:val="2"/>
            <w:tcBorders>
              <w:left w:val="nil"/>
              <w:right w:val="nil"/>
            </w:tcBorders>
            <w:hideMark/>
          </w:tcPr>
          <w:p w:rsidR="007B29A6" w:rsidP="006D23DC" w:rsidRDefault="007B29A6">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7B29A6" w:rsidP="006D23DC" w:rsidRDefault="007B29A6">
            <w:pPr>
              <w:jc w:val="right"/>
              <w:rPr>
                <w:rFonts w:ascii="Verdana" w:hAnsi="Verdana"/>
                <w:sz w:val="18"/>
                <w:szCs w:val="18"/>
              </w:rPr>
            </w:pPr>
            <w:r>
              <w:rPr>
                <w:rFonts w:ascii="Verdana" w:hAnsi="Verdana"/>
                <w:sz w:val="18"/>
                <w:szCs w:val="18"/>
              </w:rPr>
              <w:t>286,9</w:t>
            </w:r>
          </w:p>
        </w:tc>
      </w:tr>
    </w:tbl>
    <w:p w:rsidRPr="004F664C" w:rsidR="007B29A6" w:rsidP="004F664C" w:rsidRDefault="007B29A6">
      <w:pPr>
        <w:spacing w:line="240" w:lineRule="exact"/>
        <w:rPr>
          <w:rFonts w:ascii="Verdana" w:hAnsi="Verdana" w:cs="Verdana"/>
          <w:b/>
          <w:bCs/>
          <w:sz w:val="18"/>
          <w:szCs w:val="18"/>
        </w:rPr>
      </w:pPr>
    </w:p>
    <w:p w:rsidR="004F664C" w:rsidP="004F664C" w:rsidRDefault="004F664C">
      <w:pPr>
        <w:spacing w:line="240" w:lineRule="exact"/>
        <w:rPr>
          <w:rFonts w:ascii="Verdana" w:hAnsi="Verdana"/>
          <w:b/>
          <w:i/>
          <w:sz w:val="18"/>
          <w:szCs w:val="14"/>
        </w:rPr>
      </w:pPr>
    </w:p>
    <w:p w:rsidRPr="004F664C" w:rsidR="004F664C" w:rsidP="004F664C" w:rsidRDefault="004F664C">
      <w:pPr>
        <w:spacing w:line="240" w:lineRule="exact"/>
        <w:rPr>
          <w:rFonts w:ascii="Verdana" w:hAnsi="Verdana"/>
          <w:i/>
          <w:sz w:val="18"/>
          <w:szCs w:val="14"/>
        </w:rPr>
      </w:pPr>
      <w:r w:rsidRPr="004F664C">
        <w:rPr>
          <w:rFonts w:ascii="Verdana" w:hAnsi="Verdana"/>
          <w:i/>
          <w:sz w:val="18"/>
          <w:szCs w:val="14"/>
        </w:rPr>
        <w:t>Diversen (Beleidsmatige mutaties – uitgaven)</w:t>
      </w:r>
    </w:p>
    <w:p w:rsidRPr="004F664C" w:rsidR="004F664C" w:rsidP="004F664C" w:rsidRDefault="004F664C">
      <w:pPr>
        <w:pStyle w:val="Geenafstand"/>
        <w:spacing w:line="240" w:lineRule="exact"/>
        <w:rPr>
          <w:rFonts w:ascii="Verdana" w:hAnsi="Verdana"/>
          <w:sz w:val="18"/>
          <w:szCs w:val="14"/>
        </w:rPr>
      </w:pPr>
      <w:r w:rsidRPr="004F664C">
        <w:rPr>
          <w:rFonts w:ascii="Verdana" w:hAnsi="Verdana"/>
          <w:sz w:val="18"/>
          <w:szCs w:val="14"/>
        </w:rPr>
        <w:t xml:space="preserve">De drie grootste mutaties binnen deze post zijn (1) een overboeking van 3,9 mln. naar het </w:t>
      </w:r>
      <w:proofErr w:type="spellStart"/>
      <w:r w:rsidRPr="004F664C">
        <w:rPr>
          <w:rFonts w:ascii="Verdana" w:hAnsi="Verdana"/>
          <w:sz w:val="18"/>
          <w:szCs w:val="14"/>
        </w:rPr>
        <w:t>BES-fonds</w:t>
      </w:r>
      <w:proofErr w:type="spellEnd"/>
      <w:r w:rsidRPr="004F664C">
        <w:rPr>
          <w:rFonts w:ascii="Verdana" w:hAnsi="Verdana"/>
          <w:sz w:val="18"/>
          <w:szCs w:val="14"/>
        </w:rPr>
        <w:t xml:space="preserve"> om de drink- en afvalwatervoorzieningen in </w:t>
      </w:r>
      <w:proofErr w:type="spellStart"/>
      <w:r w:rsidRPr="004F664C">
        <w:rPr>
          <w:rFonts w:ascii="Verdana" w:hAnsi="Verdana"/>
          <w:sz w:val="18"/>
          <w:szCs w:val="14"/>
        </w:rPr>
        <w:t>Caribisch</w:t>
      </w:r>
      <w:proofErr w:type="spellEnd"/>
      <w:r w:rsidRPr="004F664C">
        <w:rPr>
          <w:rFonts w:ascii="Verdana" w:hAnsi="Verdana"/>
          <w:sz w:val="18"/>
          <w:szCs w:val="14"/>
        </w:rPr>
        <w:t xml:space="preserve"> Nederland op een aanvaardbaar voorzieningenniveau te brengen; (</w:t>
      </w:r>
      <w:r w:rsidRPr="004F664C">
        <w:rPr>
          <w:rFonts w:ascii="Verdana" w:hAnsi="Verdana"/>
          <w:sz w:val="18"/>
        </w:rPr>
        <w:t xml:space="preserve">2) hogere uitgaven van per saldo 8 mln. ten behoeve van de uitvoering van de loonruimteovereenkomst publieke sector; (3) onderuitputting van 9 mln. binnen de subsidieregeling </w:t>
      </w:r>
      <w:r w:rsidRPr="004F664C">
        <w:rPr>
          <w:rFonts w:ascii="Verdana" w:hAnsi="Verdana"/>
          <w:i/>
          <w:sz w:val="18"/>
          <w:szCs w:val="14"/>
        </w:rPr>
        <w:t>Beheersing GSM-R interferentie</w:t>
      </w:r>
      <w:r w:rsidRPr="004F664C">
        <w:rPr>
          <w:rFonts w:ascii="Verdana" w:hAnsi="Verdana" w:cs="Verdana"/>
          <w:sz w:val="18"/>
          <w:szCs w:val="14"/>
        </w:rPr>
        <w:t xml:space="preserve">. Deze subsidie komt tegemoet in de kosten die </w:t>
      </w:r>
      <w:r w:rsidRPr="00227769">
        <w:rPr>
          <w:rFonts w:ascii="Verdana" w:hAnsi="Verdana"/>
          <w:sz w:val="18"/>
          <w:szCs w:val="14"/>
        </w:rPr>
        <w:t xml:space="preserve">spoorvervoerders moeten maken voor het vervangen van bestaande radioapparatuur in spoorvoertuigen. </w:t>
      </w:r>
      <w:r w:rsidRPr="00227769" w:rsidR="00227769">
        <w:rPr>
          <w:rFonts w:ascii="Verdana" w:hAnsi="Verdana"/>
          <w:sz w:val="18"/>
          <w:szCs w:val="14"/>
        </w:rPr>
        <w:t xml:space="preserve">Van de onderuitputting wordt 1,3 mln. gebruikt voor het dekken van de onverwachte hogere uitgaven in het kader van de klimaatconferentie in Parijs en het </w:t>
      </w:r>
      <w:proofErr w:type="spellStart"/>
      <w:r w:rsidRPr="00227769" w:rsidR="00227769">
        <w:rPr>
          <w:rFonts w:ascii="Verdana" w:hAnsi="Verdana"/>
          <w:sz w:val="18"/>
          <w:szCs w:val="14"/>
        </w:rPr>
        <w:t>SER-Energieakkoord</w:t>
      </w:r>
      <w:proofErr w:type="spellEnd"/>
      <w:r w:rsidRPr="00227769" w:rsidR="00227769">
        <w:rPr>
          <w:rFonts w:ascii="Verdana" w:hAnsi="Verdana"/>
          <w:sz w:val="18"/>
          <w:szCs w:val="14"/>
        </w:rPr>
        <w:t>.</w:t>
      </w:r>
    </w:p>
    <w:p w:rsidRPr="004F664C" w:rsidR="004F664C" w:rsidP="004F664C" w:rsidRDefault="004F664C">
      <w:pPr>
        <w:spacing w:line="240" w:lineRule="exact"/>
        <w:rPr>
          <w:rFonts w:ascii="Verdana" w:hAnsi="Verdana"/>
          <w:color w:val="FF0000"/>
          <w:sz w:val="18"/>
          <w:szCs w:val="14"/>
        </w:rPr>
      </w:pPr>
    </w:p>
    <w:p w:rsidRPr="004F664C" w:rsidR="004F664C" w:rsidP="004F664C" w:rsidRDefault="004F664C">
      <w:pPr>
        <w:spacing w:line="240" w:lineRule="exact"/>
        <w:rPr>
          <w:rFonts w:ascii="Verdana" w:hAnsi="Verdana"/>
          <w:i/>
          <w:sz w:val="18"/>
          <w:szCs w:val="14"/>
        </w:rPr>
      </w:pPr>
      <w:r w:rsidRPr="004F664C">
        <w:rPr>
          <w:rFonts w:ascii="Verdana" w:hAnsi="Verdana"/>
          <w:i/>
          <w:sz w:val="18"/>
          <w:szCs w:val="14"/>
        </w:rPr>
        <w:t>Diversen (Technische mutaties – uitgaven)</w:t>
      </w:r>
    </w:p>
    <w:p w:rsidRPr="004F664C" w:rsidR="004F664C" w:rsidP="004F664C" w:rsidRDefault="004F664C">
      <w:pPr>
        <w:spacing w:line="240" w:lineRule="exact"/>
        <w:rPr>
          <w:rFonts w:ascii="Verdana" w:hAnsi="Verdana"/>
          <w:sz w:val="18"/>
          <w:szCs w:val="18"/>
        </w:rPr>
      </w:pPr>
      <w:r w:rsidRPr="004F664C">
        <w:rPr>
          <w:rFonts w:ascii="Verdana" w:hAnsi="Verdana"/>
          <w:sz w:val="18"/>
          <w:szCs w:val="14"/>
        </w:rPr>
        <w:t xml:space="preserve">De drie grootste mutaties binnen deze post zijn (1) </w:t>
      </w:r>
      <w:r w:rsidRPr="004F664C">
        <w:rPr>
          <w:rFonts w:ascii="Verdana" w:hAnsi="Verdana" w:cs="Verdana"/>
          <w:sz w:val="18"/>
          <w:szCs w:val="14"/>
        </w:rPr>
        <w:t xml:space="preserve">een overboeking van 8 mln. naar het GF in het kader van het Meerjarenprogramma Bodem. Dit bedrag is bestemd voor de bodemsanering van gasfabrieken en de </w:t>
      </w:r>
      <w:proofErr w:type="spellStart"/>
      <w:r w:rsidRPr="004F664C">
        <w:rPr>
          <w:rFonts w:ascii="Verdana" w:hAnsi="Verdana" w:cs="Verdana"/>
          <w:sz w:val="18"/>
          <w:szCs w:val="14"/>
        </w:rPr>
        <w:t>Volgermeerpolder</w:t>
      </w:r>
      <w:proofErr w:type="spellEnd"/>
      <w:r w:rsidRPr="004F664C">
        <w:rPr>
          <w:rFonts w:ascii="Verdana" w:hAnsi="Verdana" w:cs="Verdana"/>
          <w:sz w:val="18"/>
          <w:szCs w:val="14"/>
        </w:rPr>
        <w:t xml:space="preserve"> in Amsterdam; (2) </w:t>
      </w:r>
      <w:r w:rsidRPr="004F664C">
        <w:rPr>
          <w:rFonts w:ascii="Verdana" w:hAnsi="Verdana"/>
          <w:sz w:val="18"/>
          <w:szCs w:val="14"/>
        </w:rPr>
        <w:t>hogere ontvangsten van 9,1 mln. van het Rijksvastgoedbedrijf als gevolg van een tariefsverlaging. Deze ontvangsten hebben betrekking op de agentschappen RWS, KNMI en de ILT; (3) verdeling van 11 mln. aan a</w:t>
      </w:r>
      <w:r w:rsidRPr="004F664C">
        <w:rPr>
          <w:rFonts w:ascii="Verdana" w:hAnsi="Verdana"/>
          <w:sz w:val="18"/>
          <w:szCs w:val="18"/>
        </w:rPr>
        <w:t>anvullende middelen ten behoeve van de uitvoering van de loonruimteovereenkomst publieke sector.</w:t>
      </w:r>
    </w:p>
    <w:p w:rsidRPr="004F664C" w:rsidR="004F664C" w:rsidP="004F664C" w:rsidRDefault="004F664C">
      <w:pPr>
        <w:spacing w:line="240" w:lineRule="exact"/>
        <w:rPr>
          <w:rFonts w:ascii="Verdana" w:hAnsi="Verdana"/>
          <w:sz w:val="18"/>
          <w:szCs w:val="14"/>
        </w:rPr>
      </w:pPr>
    </w:p>
    <w:p w:rsidRPr="004F664C" w:rsidR="004F664C" w:rsidP="004F664C" w:rsidRDefault="004F664C">
      <w:pPr>
        <w:spacing w:line="240" w:lineRule="exact"/>
        <w:rPr>
          <w:rFonts w:ascii="Verdana" w:hAnsi="Verdana"/>
          <w:sz w:val="18"/>
          <w:szCs w:val="14"/>
        </w:rPr>
      </w:pPr>
    </w:p>
    <w:p w:rsidRPr="004F664C" w:rsidR="004F664C" w:rsidP="004F664C" w:rsidRDefault="004F664C">
      <w:pPr>
        <w:spacing w:line="240" w:lineRule="exact"/>
        <w:rPr>
          <w:rFonts w:ascii="Verdana" w:hAnsi="Verdana"/>
          <w:i/>
          <w:sz w:val="18"/>
          <w:szCs w:val="14"/>
        </w:rPr>
      </w:pPr>
      <w:r w:rsidRPr="004F664C">
        <w:rPr>
          <w:rFonts w:ascii="Verdana" w:hAnsi="Verdana"/>
          <w:i/>
          <w:sz w:val="18"/>
          <w:szCs w:val="14"/>
        </w:rPr>
        <w:t>Diversen (beleidsmatige mutaties – niet-belastingontvangsten)</w:t>
      </w:r>
    </w:p>
    <w:p w:rsidRPr="004F664C" w:rsidR="004F664C" w:rsidP="004F664C" w:rsidRDefault="004F664C">
      <w:pPr>
        <w:spacing w:line="240" w:lineRule="exact"/>
        <w:rPr>
          <w:rFonts w:ascii="Verdana" w:hAnsi="Verdana"/>
          <w:sz w:val="18"/>
          <w:szCs w:val="14"/>
        </w:rPr>
      </w:pPr>
      <w:r w:rsidRPr="004F664C">
        <w:rPr>
          <w:rFonts w:ascii="Verdana" w:hAnsi="Verdana"/>
          <w:sz w:val="18"/>
          <w:szCs w:val="14"/>
        </w:rPr>
        <w:t>Deze post bestaat onder andere uit 4,3 mln. aan hogere ontvangsten van het Rijksvastgoedbedrijf m.b.t. de Bestuurskern en SSC-ICT. De hogere ontvangsten zijn het gevolg van de hierboven genoemde tariefsverlaging en van niet-geraamde ontvangst van een openstaande vordering uit 2010.</w:t>
      </w:r>
    </w:p>
    <w:p w:rsidRPr="004F664C" w:rsidR="004F664C" w:rsidP="004F664C" w:rsidRDefault="004F664C">
      <w:pPr>
        <w:spacing w:line="240" w:lineRule="exact"/>
        <w:rPr>
          <w:rFonts w:ascii="Verdana" w:hAnsi="Verdana"/>
          <w:sz w:val="18"/>
          <w:szCs w:val="14"/>
        </w:rPr>
      </w:pPr>
    </w:p>
    <w:p w:rsidRPr="004F664C" w:rsidR="004F664C" w:rsidP="004F664C" w:rsidRDefault="004F664C">
      <w:pPr>
        <w:spacing w:line="240" w:lineRule="exact"/>
        <w:rPr>
          <w:rFonts w:ascii="Verdana" w:hAnsi="Verdana"/>
          <w:i/>
          <w:sz w:val="18"/>
          <w:szCs w:val="14"/>
        </w:rPr>
      </w:pPr>
      <w:r w:rsidRPr="004F664C">
        <w:rPr>
          <w:rFonts w:ascii="Verdana" w:hAnsi="Verdana"/>
          <w:i/>
          <w:sz w:val="18"/>
          <w:szCs w:val="14"/>
        </w:rPr>
        <w:t>Diversen (Technische mutaties – niet- belastingontvangsten)</w:t>
      </w:r>
    </w:p>
    <w:p w:rsidRPr="004F664C" w:rsidR="004F664C" w:rsidP="004F664C" w:rsidRDefault="004F664C">
      <w:pPr>
        <w:spacing w:line="240" w:lineRule="exact"/>
        <w:rPr>
          <w:rFonts w:ascii="Verdana" w:hAnsi="Verdana"/>
          <w:sz w:val="18"/>
          <w:szCs w:val="14"/>
        </w:rPr>
      </w:pPr>
      <w:r w:rsidRPr="004F664C">
        <w:rPr>
          <w:rFonts w:ascii="Verdana" w:hAnsi="Verdana"/>
          <w:sz w:val="18"/>
          <w:szCs w:val="14"/>
        </w:rPr>
        <w:t xml:space="preserve">Deze post bestaat onder andere uit de post </w:t>
      </w:r>
      <w:r w:rsidRPr="004F664C">
        <w:rPr>
          <w:rFonts w:ascii="Verdana" w:hAnsi="Verdana" w:cs="Verdana"/>
          <w:sz w:val="18"/>
          <w:szCs w:val="14"/>
        </w:rPr>
        <w:t>Rijkshuisvesting agentschappen en betreft</w:t>
      </w:r>
      <w:r w:rsidRPr="004F664C">
        <w:rPr>
          <w:rFonts w:ascii="Verdana" w:hAnsi="Verdana" w:cs="Verdana"/>
          <w:i/>
          <w:sz w:val="18"/>
          <w:szCs w:val="14"/>
        </w:rPr>
        <w:t xml:space="preserve"> </w:t>
      </w:r>
      <w:r w:rsidRPr="004F664C">
        <w:rPr>
          <w:rFonts w:ascii="Verdana" w:hAnsi="Verdana"/>
          <w:sz w:val="18"/>
          <w:szCs w:val="14"/>
        </w:rPr>
        <w:t>9,1 mln</w:t>
      </w:r>
      <w:r w:rsidR="001E08CC">
        <w:rPr>
          <w:rFonts w:ascii="Verdana" w:hAnsi="Verdana"/>
          <w:sz w:val="18"/>
          <w:szCs w:val="14"/>
        </w:rPr>
        <w:t xml:space="preserve">. </w:t>
      </w:r>
      <w:r w:rsidRPr="004F664C">
        <w:rPr>
          <w:rFonts w:ascii="Verdana" w:hAnsi="Verdana"/>
          <w:sz w:val="18"/>
          <w:szCs w:val="14"/>
        </w:rPr>
        <w:t xml:space="preserve"> als gevolg van een tariefsverlaging</w:t>
      </w:r>
      <w:r w:rsidR="001E08CC">
        <w:rPr>
          <w:rFonts w:ascii="Verdana" w:hAnsi="Verdana"/>
          <w:sz w:val="18"/>
          <w:szCs w:val="14"/>
        </w:rPr>
        <w:t xml:space="preserve"> van het Rijksvastgoedbedrijf</w:t>
      </w:r>
      <w:r w:rsidRPr="004F664C">
        <w:rPr>
          <w:rFonts w:ascii="Verdana" w:hAnsi="Verdana"/>
          <w:sz w:val="18"/>
          <w:szCs w:val="14"/>
        </w:rPr>
        <w:t>. Deze ontvangsten hebben betrekking op de agentschappen RWS, KNMI en de ILT.</w:t>
      </w:r>
    </w:p>
    <w:p w:rsidRPr="00533D5C" w:rsidR="00283CE9" w:rsidP="00533D5C" w:rsidRDefault="00283CE9">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697E35" w:rsidP="00533D5C" w:rsidRDefault="00512EDB">
      <w:pPr>
        <w:spacing w:line="240" w:lineRule="exact"/>
        <w:rPr>
          <w:rFonts w:ascii="Verdana" w:hAnsi="Verdana" w:cs="Verdana"/>
          <w:bCs/>
          <w:sz w:val="18"/>
          <w:szCs w:val="18"/>
        </w:rPr>
      </w:pPr>
      <w:r w:rsidRPr="00C6173F">
        <w:rPr>
          <w:rFonts w:ascii="Verdana" w:hAnsi="Verdana" w:cs="Verdana"/>
          <w:b/>
          <w:bCs/>
          <w:sz w:val="18"/>
          <w:szCs w:val="18"/>
        </w:rPr>
        <w:lastRenderedPageBreak/>
        <w:t>E</w:t>
      </w:r>
      <w:r w:rsidRPr="00C6173F" w:rsidR="007A4321">
        <w:rPr>
          <w:rFonts w:ascii="Verdana" w:hAnsi="Verdana" w:cs="Verdana"/>
          <w:b/>
          <w:bCs/>
          <w:sz w:val="18"/>
          <w:szCs w:val="18"/>
        </w:rPr>
        <w:t>conomische Zaken</w:t>
      </w:r>
      <w:r w:rsidRPr="00533D5C" w:rsidR="00104F23">
        <w:rPr>
          <w:rFonts w:ascii="Verdana" w:hAnsi="Verdana" w:cs="Verdana"/>
          <w:b/>
          <w:bCs/>
          <w:sz w:val="18"/>
          <w:szCs w:val="18"/>
        </w:rPr>
        <w:t xml:space="preserve"> </w:t>
      </w:r>
    </w:p>
    <w:tbl>
      <w:tblPr>
        <w:tblW w:w="0" w:type="auto"/>
        <w:tblCellMar>
          <w:top w:w="15" w:type="dxa"/>
          <w:left w:w="15" w:type="dxa"/>
          <w:bottom w:w="15" w:type="dxa"/>
          <w:right w:w="15" w:type="dxa"/>
        </w:tblCellMar>
        <w:tblLook w:val="04A0"/>
      </w:tblPr>
      <w:tblGrid>
        <w:gridCol w:w="8219"/>
        <w:gridCol w:w="883"/>
      </w:tblGrid>
      <w:tr w:rsidR="004E4AFD" w:rsidTr="004E4AFD">
        <w:tc>
          <w:tcPr>
            <w:tcW w:w="8219" w:type="dxa"/>
            <w:tcBorders>
              <w:left w:val="nil"/>
              <w:right w:val="nil"/>
            </w:tcBorders>
            <w:hideMark/>
          </w:tcPr>
          <w:p w:rsidR="004E4AFD" w:rsidP="006D23DC" w:rsidRDefault="004E4AFD">
            <w:pPr>
              <w:rPr>
                <w:rFonts w:ascii="Verdana" w:hAnsi="Verdana"/>
                <w:sz w:val="18"/>
                <w:szCs w:val="18"/>
              </w:rPr>
            </w:pPr>
          </w:p>
        </w:tc>
        <w:tc>
          <w:tcPr>
            <w:tcW w:w="883" w:type="dxa"/>
            <w:tcBorders>
              <w:left w:val="nil"/>
              <w:right w:val="nil"/>
            </w:tcBorders>
            <w:hideMark/>
          </w:tcPr>
          <w:p w:rsidR="004E4AFD" w:rsidP="006D23DC" w:rsidRDefault="004E4AFD">
            <w:pPr>
              <w:rPr>
                <w:rFonts w:ascii="Verdana" w:hAnsi="Verdana"/>
                <w:sz w:val="18"/>
                <w:szCs w:val="18"/>
              </w:rPr>
            </w:pPr>
            <w:r>
              <w:rPr>
                <w:rFonts w:ascii="Verdana" w:hAnsi="Verdana"/>
                <w:sz w:val="18"/>
                <w:szCs w:val="18"/>
              </w:rPr>
              <w:t> </w:t>
            </w: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XIII ECONOMISCHE ZAKEN: UITGAVEN</w:t>
            </w:r>
          </w:p>
        </w:tc>
        <w:tc>
          <w:tcPr>
            <w:tcW w:w="0" w:type="auto"/>
            <w:hideMark/>
          </w:tcPr>
          <w:p w:rsidR="004E4AFD" w:rsidP="006D23DC" w:rsidRDefault="004E4AFD">
            <w:pPr>
              <w:rPr>
                <w:sz w:val="20"/>
                <w:szCs w:val="20"/>
              </w:rPr>
            </w:pPr>
          </w:p>
        </w:tc>
      </w:tr>
      <w:tr w:rsidR="004E4AFD" w:rsidTr="006D23DC">
        <w:tc>
          <w:tcPr>
            <w:tcW w:w="0" w:type="auto"/>
            <w:tcBorders>
              <w:top w:val="single" w:color="000000" w:sz="6" w:space="0"/>
              <w:left w:val="nil"/>
              <w:bottom w:val="single" w:color="000000" w:sz="6" w:space="0"/>
              <w:right w:val="nil"/>
            </w:tcBorders>
            <w:hideMark/>
          </w:tcPr>
          <w:p w:rsidR="004E4AFD" w:rsidP="006D23DC" w:rsidRDefault="004E4AFD">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4E4AFD" w:rsidP="006D23DC" w:rsidRDefault="004E4AFD">
            <w:pPr>
              <w:jc w:val="right"/>
              <w:rPr>
                <w:rFonts w:ascii="Verdana" w:hAnsi="Verdana"/>
                <w:sz w:val="18"/>
                <w:szCs w:val="18"/>
              </w:rPr>
            </w:pPr>
            <w:r>
              <w:rPr>
                <w:rFonts w:ascii="Verdana" w:hAnsi="Verdana"/>
                <w:sz w:val="18"/>
                <w:szCs w:val="18"/>
              </w:rPr>
              <w:t>2015</w:t>
            </w: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5.011,7</w:t>
            </w: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Mee- en tegenvallers</w:t>
            </w:r>
          </w:p>
        </w:tc>
        <w:tc>
          <w:tcPr>
            <w:tcW w:w="0" w:type="auto"/>
            <w:hideMark/>
          </w:tcPr>
          <w:p w:rsidR="004E4AFD" w:rsidP="006D23DC" w:rsidRDefault="004E4AFD">
            <w:pPr>
              <w:rPr>
                <w:sz w:val="20"/>
                <w:szCs w:val="20"/>
              </w:rPr>
            </w:pPr>
          </w:p>
        </w:tc>
      </w:tr>
      <w:tr w:rsidR="004E4AFD" w:rsidTr="006D23DC">
        <w:tc>
          <w:tcPr>
            <w:tcW w:w="0" w:type="auto"/>
            <w:tcBorders>
              <w:left w:val="nil"/>
              <w:right w:val="nil"/>
            </w:tcBorders>
            <w:tcMar>
              <w:top w:w="15" w:type="dxa"/>
              <w:left w:w="180" w:type="dxa"/>
              <w:bottom w:w="15" w:type="dxa"/>
              <w:right w:w="15" w:type="dxa"/>
            </w:tcMar>
            <w:vAlign w:val="both"/>
            <w:hideMark/>
          </w:tcPr>
          <w:p w:rsidR="004E4AFD" w:rsidP="006D23DC" w:rsidRDefault="004E4AFD">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4E4AFD" w:rsidP="006D23DC" w:rsidRDefault="004E4AFD">
            <w:pPr>
              <w:rPr>
                <w:sz w:val="20"/>
                <w:szCs w:val="20"/>
              </w:rPr>
            </w:pPr>
          </w:p>
        </w:tc>
      </w:tr>
      <w:tr w:rsidR="004E4AFD" w:rsidTr="006D23DC">
        <w:tc>
          <w:tcPr>
            <w:tcW w:w="0" w:type="auto"/>
            <w:tcBorders>
              <w:left w:val="nil"/>
              <w:right w:val="nil"/>
            </w:tcBorders>
            <w:tcMar>
              <w:top w:w="15" w:type="dxa"/>
              <w:left w:w="360" w:type="dxa"/>
              <w:bottom w:w="15" w:type="dxa"/>
              <w:right w:w="15" w:type="dxa"/>
            </w:tcMar>
            <w:vAlign w:val="both"/>
            <w:hideMark/>
          </w:tcPr>
          <w:p w:rsidR="004E4AFD" w:rsidP="006D23DC" w:rsidRDefault="004E4AFD">
            <w:pPr>
              <w:ind w:firstLine="360" w:firstLineChars="200"/>
              <w:rPr>
                <w:rFonts w:ascii="Verdana" w:hAnsi="Verdana"/>
                <w:sz w:val="18"/>
                <w:szCs w:val="18"/>
              </w:rPr>
            </w:pPr>
            <w:proofErr w:type="spellStart"/>
            <w:r>
              <w:rPr>
                <w:rFonts w:ascii="Verdana" w:hAnsi="Verdana"/>
                <w:sz w:val="18"/>
                <w:szCs w:val="18"/>
              </w:rPr>
              <w:t>Ets-compensatie</w:t>
            </w:r>
            <w:proofErr w:type="spellEnd"/>
          </w:p>
        </w:tc>
        <w:tc>
          <w:tcPr>
            <w:tcW w:w="0" w:type="auto"/>
            <w:tcBorders>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-24,0</w:t>
            </w:r>
          </w:p>
        </w:tc>
      </w:tr>
      <w:tr w:rsidR="004E4AFD" w:rsidTr="006D23DC">
        <w:tc>
          <w:tcPr>
            <w:tcW w:w="0" w:type="auto"/>
            <w:tcBorders>
              <w:left w:val="nil"/>
              <w:right w:val="nil"/>
            </w:tcBorders>
            <w:tcMar>
              <w:top w:w="15" w:type="dxa"/>
              <w:left w:w="360" w:type="dxa"/>
              <w:bottom w:w="15" w:type="dxa"/>
              <w:right w:w="15" w:type="dxa"/>
            </w:tcMar>
            <w:vAlign w:val="both"/>
            <w:hideMark/>
          </w:tcPr>
          <w:p w:rsidR="004E4AFD" w:rsidP="006D23DC" w:rsidRDefault="004E4AFD">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2,6</w:t>
            </w: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-21,4</w:t>
            </w: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Beleidsmatige mutaties</w:t>
            </w:r>
          </w:p>
        </w:tc>
        <w:tc>
          <w:tcPr>
            <w:tcW w:w="0" w:type="auto"/>
            <w:hideMark/>
          </w:tcPr>
          <w:p w:rsidR="004E4AFD" w:rsidP="006D23DC" w:rsidRDefault="004E4AFD">
            <w:pPr>
              <w:rPr>
                <w:sz w:val="20"/>
                <w:szCs w:val="20"/>
              </w:rPr>
            </w:pPr>
          </w:p>
        </w:tc>
      </w:tr>
      <w:tr w:rsidR="004E4AFD" w:rsidTr="006D23DC">
        <w:tc>
          <w:tcPr>
            <w:tcW w:w="0" w:type="auto"/>
            <w:tcBorders>
              <w:left w:val="nil"/>
              <w:right w:val="nil"/>
            </w:tcBorders>
            <w:tcMar>
              <w:top w:w="15" w:type="dxa"/>
              <w:left w:w="180" w:type="dxa"/>
              <w:bottom w:w="15" w:type="dxa"/>
              <w:right w:w="15" w:type="dxa"/>
            </w:tcMar>
            <w:vAlign w:val="both"/>
            <w:hideMark/>
          </w:tcPr>
          <w:p w:rsidR="004E4AFD" w:rsidP="006D23DC" w:rsidRDefault="004E4AFD">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4E4AFD" w:rsidP="006D23DC" w:rsidRDefault="004E4AFD">
            <w:pPr>
              <w:rPr>
                <w:sz w:val="20"/>
                <w:szCs w:val="20"/>
              </w:rPr>
            </w:pPr>
          </w:p>
        </w:tc>
      </w:tr>
      <w:tr w:rsidR="004E4AFD" w:rsidTr="006D23DC">
        <w:tc>
          <w:tcPr>
            <w:tcW w:w="0" w:type="auto"/>
            <w:tcBorders>
              <w:left w:val="nil"/>
              <w:right w:val="nil"/>
            </w:tcBorders>
            <w:tcMar>
              <w:top w:w="15" w:type="dxa"/>
              <w:left w:w="360" w:type="dxa"/>
              <w:bottom w:w="15" w:type="dxa"/>
              <w:right w:w="15" w:type="dxa"/>
            </w:tcMar>
            <w:vAlign w:val="both"/>
            <w:hideMark/>
          </w:tcPr>
          <w:p w:rsidR="004E4AFD" w:rsidP="006D23DC" w:rsidRDefault="004E4AFD">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1,1</w:t>
            </w: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1,1</w:t>
            </w: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Technische mutaties</w:t>
            </w:r>
          </w:p>
        </w:tc>
        <w:tc>
          <w:tcPr>
            <w:tcW w:w="0" w:type="auto"/>
            <w:hideMark/>
          </w:tcPr>
          <w:p w:rsidR="004E4AFD" w:rsidP="006D23DC" w:rsidRDefault="004E4AFD">
            <w:pPr>
              <w:rPr>
                <w:sz w:val="20"/>
                <w:szCs w:val="20"/>
              </w:rPr>
            </w:pPr>
          </w:p>
        </w:tc>
      </w:tr>
      <w:tr w:rsidR="004E4AFD" w:rsidTr="006D23DC">
        <w:tc>
          <w:tcPr>
            <w:tcW w:w="0" w:type="auto"/>
            <w:tcBorders>
              <w:left w:val="nil"/>
              <w:right w:val="nil"/>
            </w:tcBorders>
            <w:tcMar>
              <w:top w:w="15" w:type="dxa"/>
              <w:left w:w="180" w:type="dxa"/>
              <w:bottom w:w="15" w:type="dxa"/>
              <w:right w:w="15" w:type="dxa"/>
            </w:tcMar>
            <w:vAlign w:val="both"/>
            <w:hideMark/>
          </w:tcPr>
          <w:p w:rsidR="004E4AFD" w:rsidP="006D23DC" w:rsidRDefault="004E4AFD">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4E4AFD" w:rsidP="006D23DC" w:rsidRDefault="004E4AFD">
            <w:pPr>
              <w:rPr>
                <w:sz w:val="20"/>
                <w:szCs w:val="20"/>
              </w:rPr>
            </w:pPr>
          </w:p>
        </w:tc>
      </w:tr>
      <w:tr w:rsidR="004E4AFD" w:rsidTr="006D23DC">
        <w:tc>
          <w:tcPr>
            <w:tcW w:w="0" w:type="auto"/>
            <w:tcBorders>
              <w:left w:val="nil"/>
              <w:right w:val="nil"/>
            </w:tcBorders>
            <w:tcMar>
              <w:top w:w="15" w:type="dxa"/>
              <w:left w:w="360" w:type="dxa"/>
              <w:bottom w:w="15" w:type="dxa"/>
              <w:right w:w="15" w:type="dxa"/>
            </w:tcMar>
            <w:vAlign w:val="both"/>
            <w:hideMark/>
          </w:tcPr>
          <w:p w:rsidR="004E4AFD" w:rsidP="006D23DC" w:rsidRDefault="004E4AFD">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13,2</w:t>
            </w:r>
          </w:p>
        </w:tc>
      </w:tr>
      <w:tr w:rsidR="004E4AFD" w:rsidTr="006D23DC">
        <w:tc>
          <w:tcPr>
            <w:tcW w:w="0" w:type="auto"/>
            <w:tcBorders>
              <w:left w:val="nil"/>
              <w:right w:val="nil"/>
            </w:tcBorders>
            <w:tcMar>
              <w:top w:w="15" w:type="dxa"/>
              <w:left w:w="180" w:type="dxa"/>
              <w:bottom w:w="15" w:type="dxa"/>
              <w:right w:w="15" w:type="dxa"/>
            </w:tcMar>
            <w:vAlign w:val="both"/>
            <w:hideMark/>
          </w:tcPr>
          <w:p w:rsidR="004E4AFD" w:rsidP="006D23DC" w:rsidRDefault="004E4AFD">
            <w:pPr>
              <w:ind w:firstLine="180" w:firstLineChars="100"/>
              <w:rPr>
                <w:rFonts w:ascii="Verdana" w:hAnsi="Verdana"/>
                <w:sz w:val="18"/>
                <w:szCs w:val="18"/>
              </w:rPr>
            </w:pPr>
            <w:r>
              <w:rPr>
                <w:rFonts w:ascii="Verdana" w:hAnsi="Verdana"/>
                <w:sz w:val="18"/>
                <w:szCs w:val="18"/>
              </w:rPr>
              <w:t xml:space="preserve">Niet tot een </w:t>
            </w:r>
            <w:proofErr w:type="spellStart"/>
            <w:r>
              <w:rPr>
                <w:rFonts w:ascii="Verdana" w:hAnsi="Verdana"/>
                <w:sz w:val="18"/>
                <w:szCs w:val="18"/>
              </w:rPr>
              <w:t>ijklijn</w:t>
            </w:r>
            <w:proofErr w:type="spellEnd"/>
            <w:r>
              <w:rPr>
                <w:rFonts w:ascii="Verdana" w:hAnsi="Verdana"/>
                <w:sz w:val="18"/>
                <w:szCs w:val="18"/>
              </w:rPr>
              <w:t xml:space="preserve"> behorend</w:t>
            </w:r>
          </w:p>
        </w:tc>
        <w:tc>
          <w:tcPr>
            <w:tcW w:w="0" w:type="auto"/>
            <w:hideMark/>
          </w:tcPr>
          <w:p w:rsidR="004E4AFD" w:rsidP="006D23DC" w:rsidRDefault="004E4AFD">
            <w:pPr>
              <w:rPr>
                <w:sz w:val="20"/>
                <w:szCs w:val="20"/>
              </w:rPr>
            </w:pPr>
          </w:p>
        </w:tc>
      </w:tr>
      <w:tr w:rsidR="004E4AFD" w:rsidTr="006D23DC">
        <w:tc>
          <w:tcPr>
            <w:tcW w:w="0" w:type="auto"/>
            <w:tcBorders>
              <w:left w:val="nil"/>
              <w:right w:val="nil"/>
            </w:tcBorders>
            <w:tcMar>
              <w:top w:w="15" w:type="dxa"/>
              <w:left w:w="360" w:type="dxa"/>
              <w:bottom w:w="15" w:type="dxa"/>
              <w:right w:w="15" w:type="dxa"/>
            </w:tcMar>
            <w:vAlign w:val="both"/>
            <w:hideMark/>
          </w:tcPr>
          <w:p w:rsidR="004E4AFD" w:rsidP="006D23DC" w:rsidRDefault="004E4AFD">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-30,8</w:t>
            </w: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-17,6</w:t>
            </w: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-37,8</w:t>
            </w: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 </w:t>
            </w:r>
          </w:p>
        </w:tc>
        <w:tc>
          <w:tcPr>
            <w:tcW w:w="0" w:type="auto"/>
            <w:hideMark/>
          </w:tcPr>
          <w:p w:rsidR="004E4AFD" w:rsidP="006D23DC" w:rsidRDefault="004E4AFD">
            <w:pPr>
              <w:rPr>
                <w:sz w:val="20"/>
                <w:szCs w:val="20"/>
              </w:rPr>
            </w:pP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4.973,9</w:t>
            </w: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54,4</w:t>
            </w: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5.028,2</w:t>
            </w:r>
          </w:p>
        </w:tc>
      </w:tr>
      <w:tr w:rsidR="004E4AFD" w:rsidTr="004E4AFD">
        <w:tc>
          <w:tcPr>
            <w:tcW w:w="8222" w:type="dxa"/>
            <w:tcBorders>
              <w:left w:val="nil"/>
              <w:right w:val="nil"/>
            </w:tcBorders>
            <w:hideMark/>
          </w:tcPr>
          <w:p w:rsidR="004E4AFD" w:rsidP="006D23DC" w:rsidRDefault="004E4AFD">
            <w:pPr>
              <w:rPr>
                <w:rFonts w:ascii="Verdana" w:hAnsi="Verdana"/>
                <w:sz w:val="18"/>
                <w:szCs w:val="18"/>
              </w:rPr>
            </w:pPr>
            <w:r>
              <w:rPr>
                <w:rFonts w:ascii="Verdana" w:hAnsi="Verdana"/>
                <w:sz w:val="18"/>
                <w:szCs w:val="18"/>
              </w:rPr>
              <w:t> </w:t>
            </w:r>
          </w:p>
        </w:tc>
        <w:tc>
          <w:tcPr>
            <w:tcW w:w="880" w:type="dxa"/>
            <w:tcBorders>
              <w:left w:val="nil"/>
              <w:right w:val="nil"/>
            </w:tcBorders>
            <w:hideMark/>
          </w:tcPr>
          <w:p w:rsidR="004E4AFD" w:rsidP="006D23DC" w:rsidRDefault="004E4AFD">
            <w:pPr>
              <w:rPr>
                <w:rFonts w:ascii="Verdana" w:hAnsi="Verdana"/>
                <w:sz w:val="18"/>
                <w:szCs w:val="18"/>
              </w:rPr>
            </w:pPr>
            <w:r>
              <w:rPr>
                <w:rFonts w:ascii="Verdana" w:hAnsi="Verdana"/>
                <w:sz w:val="18"/>
                <w:szCs w:val="18"/>
              </w:rPr>
              <w:t> </w:t>
            </w: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XIII ECONOMISCHE ZAKEN: NIET-BELASTINGONTVANGSTEN</w:t>
            </w:r>
          </w:p>
        </w:tc>
        <w:tc>
          <w:tcPr>
            <w:tcW w:w="0" w:type="auto"/>
            <w:hideMark/>
          </w:tcPr>
          <w:p w:rsidR="004E4AFD" w:rsidP="006D23DC" w:rsidRDefault="004E4AFD">
            <w:pPr>
              <w:rPr>
                <w:sz w:val="20"/>
                <w:szCs w:val="20"/>
              </w:rPr>
            </w:pPr>
          </w:p>
        </w:tc>
      </w:tr>
      <w:tr w:rsidR="004E4AFD" w:rsidTr="006D23DC">
        <w:tc>
          <w:tcPr>
            <w:tcW w:w="0" w:type="auto"/>
            <w:tcBorders>
              <w:top w:val="single" w:color="000000" w:sz="6" w:space="0"/>
              <w:left w:val="nil"/>
              <w:bottom w:val="single" w:color="000000" w:sz="6" w:space="0"/>
              <w:right w:val="nil"/>
            </w:tcBorders>
            <w:hideMark/>
          </w:tcPr>
          <w:p w:rsidR="004E4AFD" w:rsidP="006D23DC" w:rsidRDefault="004E4AFD">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4E4AFD" w:rsidP="006D23DC" w:rsidRDefault="004E4AFD">
            <w:pPr>
              <w:jc w:val="right"/>
              <w:rPr>
                <w:rFonts w:ascii="Verdana" w:hAnsi="Verdana"/>
                <w:sz w:val="18"/>
                <w:szCs w:val="18"/>
              </w:rPr>
            </w:pPr>
            <w:r>
              <w:rPr>
                <w:rFonts w:ascii="Verdana" w:hAnsi="Verdana"/>
                <w:sz w:val="18"/>
                <w:szCs w:val="18"/>
              </w:rPr>
              <w:t>2015</w:t>
            </w: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7.790,6</w:t>
            </w: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Mee- en tegenvallers</w:t>
            </w:r>
          </w:p>
        </w:tc>
        <w:tc>
          <w:tcPr>
            <w:tcW w:w="0" w:type="auto"/>
            <w:hideMark/>
          </w:tcPr>
          <w:p w:rsidR="004E4AFD" w:rsidP="006D23DC" w:rsidRDefault="004E4AFD">
            <w:pPr>
              <w:rPr>
                <w:sz w:val="20"/>
                <w:szCs w:val="20"/>
              </w:rPr>
            </w:pPr>
          </w:p>
        </w:tc>
      </w:tr>
      <w:tr w:rsidR="004E4AFD" w:rsidTr="006D23DC">
        <w:tc>
          <w:tcPr>
            <w:tcW w:w="0" w:type="auto"/>
            <w:tcBorders>
              <w:left w:val="nil"/>
              <w:right w:val="nil"/>
            </w:tcBorders>
            <w:tcMar>
              <w:top w:w="15" w:type="dxa"/>
              <w:left w:w="180" w:type="dxa"/>
              <w:bottom w:w="15" w:type="dxa"/>
              <w:right w:w="15" w:type="dxa"/>
            </w:tcMar>
            <w:vAlign w:val="both"/>
            <w:hideMark/>
          </w:tcPr>
          <w:p w:rsidR="004E4AFD" w:rsidP="006D23DC" w:rsidRDefault="004E4AFD">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4E4AFD" w:rsidP="006D23DC" w:rsidRDefault="004E4AFD">
            <w:pPr>
              <w:rPr>
                <w:sz w:val="20"/>
                <w:szCs w:val="20"/>
              </w:rPr>
            </w:pPr>
          </w:p>
        </w:tc>
      </w:tr>
      <w:tr w:rsidR="004E4AFD" w:rsidTr="006D23DC">
        <w:tc>
          <w:tcPr>
            <w:tcW w:w="0" w:type="auto"/>
            <w:tcBorders>
              <w:left w:val="nil"/>
              <w:right w:val="nil"/>
            </w:tcBorders>
            <w:tcMar>
              <w:top w:w="15" w:type="dxa"/>
              <w:left w:w="360" w:type="dxa"/>
              <w:bottom w:w="15" w:type="dxa"/>
              <w:right w:w="15" w:type="dxa"/>
            </w:tcMar>
            <w:vAlign w:val="both"/>
            <w:hideMark/>
          </w:tcPr>
          <w:p w:rsidR="004E4AFD" w:rsidP="006D23DC" w:rsidRDefault="004E4AFD">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2,6</w:t>
            </w: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2,6</w:t>
            </w: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Beleidsmatige mutaties</w:t>
            </w:r>
          </w:p>
        </w:tc>
        <w:tc>
          <w:tcPr>
            <w:tcW w:w="0" w:type="auto"/>
            <w:hideMark/>
          </w:tcPr>
          <w:p w:rsidR="004E4AFD" w:rsidP="006D23DC" w:rsidRDefault="004E4AFD">
            <w:pPr>
              <w:rPr>
                <w:sz w:val="20"/>
                <w:szCs w:val="20"/>
              </w:rPr>
            </w:pPr>
          </w:p>
        </w:tc>
      </w:tr>
      <w:tr w:rsidR="004E4AFD" w:rsidTr="006D23DC">
        <w:tc>
          <w:tcPr>
            <w:tcW w:w="0" w:type="auto"/>
            <w:tcBorders>
              <w:left w:val="nil"/>
              <w:right w:val="nil"/>
            </w:tcBorders>
            <w:tcMar>
              <w:top w:w="15" w:type="dxa"/>
              <w:left w:w="180" w:type="dxa"/>
              <w:bottom w:w="15" w:type="dxa"/>
              <w:right w:w="15" w:type="dxa"/>
            </w:tcMar>
            <w:vAlign w:val="both"/>
            <w:hideMark/>
          </w:tcPr>
          <w:p w:rsidR="004E4AFD" w:rsidP="006D23DC" w:rsidRDefault="004E4AFD">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4E4AFD" w:rsidP="006D23DC" w:rsidRDefault="004E4AFD">
            <w:pPr>
              <w:rPr>
                <w:sz w:val="20"/>
                <w:szCs w:val="20"/>
              </w:rPr>
            </w:pPr>
          </w:p>
        </w:tc>
      </w:tr>
      <w:tr w:rsidR="004E4AFD" w:rsidTr="006D23DC">
        <w:tc>
          <w:tcPr>
            <w:tcW w:w="0" w:type="auto"/>
            <w:tcBorders>
              <w:left w:val="nil"/>
              <w:right w:val="nil"/>
            </w:tcBorders>
            <w:tcMar>
              <w:top w:w="15" w:type="dxa"/>
              <w:left w:w="360" w:type="dxa"/>
              <w:bottom w:w="15" w:type="dxa"/>
              <w:right w:w="15" w:type="dxa"/>
            </w:tcMar>
            <w:vAlign w:val="both"/>
            <w:hideMark/>
          </w:tcPr>
          <w:p w:rsidR="004E4AFD" w:rsidP="006D23DC" w:rsidRDefault="004E4AFD">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2,3</w:t>
            </w: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2,3</w:t>
            </w: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Technische mutaties</w:t>
            </w:r>
          </w:p>
        </w:tc>
        <w:tc>
          <w:tcPr>
            <w:tcW w:w="0" w:type="auto"/>
            <w:hideMark/>
          </w:tcPr>
          <w:p w:rsidR="004E4AFD" w:rsidP="006D23DC" w:rsidRDefault="004E4AFD">
            <w:pPr>
              <w:rPr>
                <w:sz w:val="20"/>
                <w:szCs w:val="20"/>
              </w:rPr>
            </w:pPr>
          </w:p>
        </w:tc>
      </w:tr>
      <w:tr w:rsidR="004E4AFD" w:rsidTr="006D23DC">
        <w:tc>
          <w:tcPr>
            <w:tcW w:w="0" w:type="auto"/>
            <w:tcBorders>
              <w:left w:val="nil"/>
              <w:right w:val="nil"/>
            </w:tcBorders>
            <w:tcMar>
              <w:top w:w="15" w:type="dxa"/>
              <w:left w:w="180" w:type="dxa"/>
              <w:bottom w:w="15" w:type="dxa"/>
              <w:right w:w="15" w:type="dxa"/>
            </w:tcMar>
            <w:vAlign w:val="both"/>
            <w:hideMark/>
          </w:tcPr>
          <w:p w:rsidR="004E4AFD" w:rsidP="006D23DC" w:rsidRDefault="004E4AFD">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4E4AFD" w:rsidP="006D23DC" w:rsidRDefault="004E4AFD">
            <w:pPr>
              <w:rPr>
                <w:sz w:val="20"/>
                <w:szCs w:val="20"/>
              </w:rPr>
            </w:pPr>
          </w:p>
        </w:tc>
      </w:tr>
      <w:tr w:rsidR="004E4AFD" w:rsidTr="006D23DC">
        <w:tc>
          <w:tcPr>
            <w:tcW w:w="0" w:type="auto"/>
            <w:tcBorders>
              <w:left w:val="nil"/>
              <w:right w:val="nil"/>
            </w:tcBorders>
            <w:tcMar>
              <w:top w:w="15" w:type="dxa"/>
              <w:left w:w="360" w:type="dxa"/>
              <w:bottom w:w="15" w:type="dxa"/>
              <w:right w:w="15" w:type="dxa"/>
            </w:tcMar>
            <w:vAlign w:val="both"/>
            <w:hideMark/>
          </w:tcPr>
          <w:p w:rsidR="004E4AFD" w:rsidP="006D23DC" w:rsidRDefault="004E4AFD">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34,4</w:t>
            </w:r>
          </w:p>
        </w:tc>
      </w:tr>
      <w:tr w:rsidR="004E4AFD" w:rsidTr="006D23DC">
        <w:tc>
          <w:tcPr>
            <w:tcW w:w="0" w:type="auto"/>
            <w:tcBorders>
              <w:left w:val="nil"/>
              <w:right w:val="nil"/>
            </w:tcBorders>
            <w:tcMar>
              <w:top w:w="15" w:type="dxa"/>
              <w:left w:w="180" w:type="dxa"/>
              <w:bottom w:w="15" w:type="dxa"/>
              <w:right w:w="15" w:type="dxa"/>
            </w:tcMar>
            <w:vAlign w:val="both"/>
            <w:hideMark/>
          </w:tcPr>
          <w:p w:rsidR="004E4AFD" w:rsidP="006D23DC" w:rsidRDefault="004E4AFD">
            <w:pPr>
              <w:ind w:firstLine="180" w:firstLineChars="100"/>
              <w:rPr>
                <w:rFonts w:ascii="Verdana" w:hAnsi="Verdana"/>
                <w:sz w:val="18"/>
                <w:szCs w:val="18"/>
              </w:rPr>
            </w:pPr>
            <w:r>
              <w:rPr>
                <w:rFonts w:ascii="Verdana" w:hAnsi="Verdana"/>
                <w:sz w:val="18"/>
                <w:szCs w:val="18"/>
              </w:rPr>
              <w:t xml:space="preserve">Niet tot een </w:t>
            </w:r>
            <w:proofErr w:type="spellStart"/>
            <w:r>
              <w:rPr>
                <w:rFonts w:ascii="Verdana" w:hAnsi="Verdana"/>
                <w:sz w:val="18"/>
                <w:szCs w:val="18"/>
              </w:rPr>
              <w:t>ijklijn</w:t>
            </w:r>
            <w:proofErr w:type="spellEnd"/>
            <w:r>
              <w:rPr>
                <w:rFonts w:ascii="Verdana" w:hAnsi="Verdana"/>
                <w:sz w:val="18"/>
                <w:szCs w:val="18"/>
              </w:rPr>
              <w:t xml:space="preserve"> behorend</w:t>
            </w:r>
          </w:p>
        </w:tc>
        <w:tc>
          <w:tcPr>
            <w:tcW w:w="0" w:type="auto"/>
            <w:hideMark/>
          </w:tcPr>
          <w:p w:rsidR="004E4AFD" w:rsidP="006D23DC" w:rsidRDefault="004E4AFD">
            <w:pPr>
              <w:rPr>
                <w:sz w:val="20"/>
                <w:szCs w:val="20"/>
              </w:rPr>
            </w:pPr>
          </w:p>
        </w:tc>
      </w:tr>
      <w:tr w:rsidR="004E4AFD" w:rsidTr="006D23DC">
        <w:tc>
          <w:tcPr>
            <w:tcW w:w="0" w:type="auto"/>
            <w:tcBorders>
              <w:left w:val="nil"/>
              <w:right w:val="nil"/>
            </w:tcBorders>
            <w:tcMar>
              <w:top w:w="15" w:type="dxa"/>
              <w:left w:w="360" w:type="dxa"/>
              <w:bottom w:w="15" w:type="dxa"/>
              <w:right w:w="15" w:type="dxa"/>
            </w:tcMar>
            <w:vAlign w:val="both"/>
            <w:hideMark/>
          </w:tcPr>
          <w:p w:rsidR="004E4AFD" w:rsidP="006D23DC" w:rsidRDefault="004E4AFD">
            <w:pPr>
              <w:ind w:firstLine="360" w:firstLineChars="200"/>
              <w:rPr>
                <w:rFonts w:ascii="Verdana" w:hAnsi="Verdana"/>
                <w:sz w:val="18"/>
                <w:szCs w:val="18"/>
              </w:rPr>
            </w:pPr>
            <w:r>
              <w:rPr>
                <w:rFonts w:ascii="Verdana" w:hAnsi="Verdana"/>
                <w:sz w:val="18"/>
                <w:szCs w:val="18"/>
              </w:rPr>
              <w:t>Aardgasbaten</w:t>
            </w:r>
          </w:p>
        </w:tc>
        <w:tc>
          <w:tcPr>
            <w:tcW w:w="0" w:type="auto"/>
            <w:tcBorders>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-100,0</w:t>
            </w:r>
          </w:p>
        </w:tc>
      </w:tr>
      <w:tr w:rsidR="004E4AFD" w:rsidTr="006D23DC">
        <w:tc>
          <w:tcPr>
            <w:tcW w:w="0" w:type="auto"/>
            <w:tcBorders>
              <w:left w:val="nil"/>
              <w:right w:val="nil"/>
            </w:tcBorders>
            <w:tcMar>
              <w:top w:w="15" w:type="dxa"/>
              <w:left w:w="360" w:type="dxa"/>
              <w:bottom w:w="15" w:type="dxa"/>
              <w:right w:w="15" w:type="dxa"/>
            </w:tcMar>
            <w:vAlign w:val="both"/>
            <w:hideMark/>
          </w:tcPr>
          <w:p w:rsidR="004E4AFD" w:rsidP="006D23DC" w:rsidRDefault="004E4AFD">
            <w:pPr>
              <w:ind w:firstLine="360" w:firstLineChars="200"/>
              <w:rPr>
                <w:rFonts w:ascii="Verdana" w:hAnsi="Verdana"/>
                <w:sz w:val="18"/>
                <w:szCs w:val="18"/>
              </w:rPr>
            </w:pPr>
            <w:proofErr w:type="spellStart"/>
            <w:r>
              <w:rPr>
                <w:rFonts w:ascii="Verdana" w:hAnsi="Verdana"/>
                <w:sz w:val="18"/>
                <w:szCs w:val="18"/>
              </w:rPr>
              <w:t>Liof</w:t>
            </w:r>
            <w:proofErr w:type="spellEnd"/>
          </w:p>
        </w:tc>
        <w:tc>
          <w:tcPr>
            <w:tcW w:w="0" w:type="auto"/>
            <w:tcBorders>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-32,0</w:t>
            </w:r>
          </w:p>
        </w:tc>
      </w:tr>
      <w:tr w:rsidR="004E4AFD" w:rsidTr="006D23DC">
        <w:tc>
          <w:tcPr>
            <w:tcW w:w="0" w:type="auto"/>
            <w:tcBorders>
              <w:left w:val="nil"/>
              <w:right w:val="nil"/>
            </w:tcBorders>
            <w:tcMar>
              <w:top w:w="15" w:type="dxa"/>
              <w:left w:w="360" w:type="dxa"/>
              <w:bottom w:w="15" w:type="dxa"/>
              <w:right w:w="15" w:type="dxa"/>
            </w:tcMar>
            <w:vAlign w:val="both"/>
            <w:hideMark/>
          </w:tcPr>
          <w:p w:rsidR="004E4AFD" w:rsidP="006D23DC" w:rsidRDefault="004E4AFD">
            <w:pPr>
              <w:ind w:firstLine="360" w:firstLineChars="200"/>
              <w:rPr>
                <w:rFonts w:ascii="Verdana" w:hAnsi="Verdana"/>
                <w:sz w:val="18"/>
                <w:szCs w:val="18"/>
              </w:rPr>
            </w:pPr>
            <w:r>
              <w:rPr>
                <w:rFonts w:ascii="Verdana" w:hAnsi="Verdana"/>
                <w:sz w:val="18"/>
                <w:szCs w:val="18"/>
              </w:rPr>
              <w:t xml:space="preserve">Ontvangsten </w:t>
            </w:r>
            <w:proofErr w:type="spellStart"/>
            <w:r>
              <w:rPr>
                <w:rFonts w:ascii="Verdana" w:hAnsi="Verdana"/>
                <w:sz w:val="18"/>
                <w:szCs w:val="18"/>
              </w:rPr>
              <w:t>sde</w:t>
            </w:r>
            <w:proofErr w:type="spellEnd"/>
            <w:r>
              <w:rPr>
                <w:rFonts w:ascii="Verdana" w:hAnsi="Verdana"/>
                <w:sz w:val="18"/>
                <w:szCs w:val="18"/>
              </w:rPr>
              <w:t>+</w:t>
            </w:r>
          </w:p>
        </w:tc>
        <w:tc>
          <w:tcPr>
            <w:tcW w:w="0" w:type="auto"/>
            <w:tcBorders>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-41,0</w:t>
            </w:r>
          </w:p>
        </w:tc>
      </w:tr>
      <w:tr w:rsidR="004E4AFD" w:rsidTr="006D23DC">
        <w:tc>
          <w:tcPr>
            <w:tcW w:w="0" w:type="auto"/>
            <w:tcBorders>
              <w:left w:val="nil"/>
              <w:right w:val="nil"/>
            </w:tcBorders>
            <w:tcMar>
              <w:top w:w="15" w:type="dxa"/>
              <w:left w:w="360" w:type="dxa"/>
              <w:bottom w:w="15" w:type="dxa"/>
              <w:right w:w="15" w:type="dxa"/>
            </w:tcMar>
            <w:vAlign w:val="both"/>
            <w:hideMark/>
          </w:tcPr>
          <w:p w:rsidR="004E4AFD" w:rsidP="006D23DC" w:rsidRDefault="004E4AFD">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-5,8</w:t>
            </w: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-144,4</w:t>
            </w: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-139,5</w:t>
            </w: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 </w:t>
            </w:r>
          </w:p>
        </w:tc>
        <w:tc>
          <w:tcPr>
            <w:tcW w:w="0" w:type="auto"/>
            <w:hideMark/>
          </w:tcPr>
          <w:p w:rsidR="004E4AFD" w:rsidP="006D23DC" w:rsidRDefault="004E4AFD">
            <w:pPr>
              <w:rPr>
                <w:sz w:val="20"/>
                <w:szCs w:val="20"/>
              </w:rPr>
            </w:pP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7.651,1</w:t>
            </w: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0,4</w:t>
            </w:r>
          </w:p>
        </w:tc>
      </w:tr>
      <w:tr w:rsidR="004E4AFD" w:rsidTr="006D23DC">
        <w:tc>
          <w:tcPr>
            <w:tcW w:w="0" w:type="auto"/>
            <w:tcBorders>
              <w:left w:val="nil"/>
              <w:right w:val="nil"/>
            </w:tcBorders>
            <w:hideMark/>
          </w:tcPr>
          <w:p w:rsidR="004E4AFD" w:rsidP="006D23DC" w:rsidRDefault="004E4AFD">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4E4AFD" w:rsidP="006D23DC" w:rsidRDefault="004E4AFD">
            <w:pPr>
              <w:jc w:val="right"/>
              <w:rPr>
                <w:rFonts w:ascii="Verdana" w:hAnsi="Verdana"/>
                <w:sz w:val="18"/>
                <w:szCs w:val="18"/>
              </w:rPr>
            </w:pPr>
            <w:r>
              <w:rPr>
                <w:rFonts w:ascii="Verdana" w:hAnsi="Verdana"/>
                <w:sz w:val="18"/>
                <w:szCs w:val="18"/>
              </w:rPr>
              <w:t>7.651,5</w:t>
            </w:r>
          </w:p>
        </w:tc>
      </w:tr>
    </w:tbl>
    <w:p w:rsidRPr="002C17E8" w:rsidR="004E4AFD" w:rsidP="002C17E8" w:rsidRDefault="004E4AFD">
      <w:pPr>
        <w:spacing w:line="240" w:lineRule="exact"/>
        <w:rPr>
          <w:rFonts w:ascii="Verdana" w:hAnsi="Verdana"/>
          <w:i/>
          <w:sz w:val="18"/>
          <w:szCs w:val="18"/>
        </w:rPr>
      </w:pPr>
    </w:p>
    <w:p w:rsidRPr="002C17E8" w:rsidR="002C17E8" w:rsidP="002C17E8" w:rsidRDefault="002C17E8">
      <w:pPr>
        <w:spacing w:line="240" w:lineRule="exact"/>
        <w:rPr>
          <w:rFonts w:ascii="Verdana" w:hAnsi="Verdana"/>
          <w:i/>
          <w:sz w:val="18"/>
          <w:szCs w:val="18"/>
        </w:rPr>
      </w:pPr>
    </w:p>
    <w:p w:rsidR="002C17E8" w:rsidP="002C17E8" w:rsidRDefault="002C17E8">
      <w:pPr>
        <w:spacing w:line="240" w:lineRule="exact"/>
        <w:rPr>
          <w:rFonts w:ascii="Verdana" w:hAnsi="Verdana"/>
          <w:i/>
          <w:sz w:val="18"/>
          <w:szCs w:val="18"/>
        </w:rPr>
      </w:pPr>
    </w:p>
    <w:p w:rsidR="002C17E8" w:rsidP="002C17E8" w:rsidRDefault="002C17E8">
      <w:pPr>
        <w:spacing w:line="240" w:lineRule="exact"/>
        <w:rPr>
          <w:rFonts w:ascii="Verdana" w:hAnsi="Verdana"/>
          <w:i/>
          <w:sz w:val="18"/>
          <w:szCs w:val="18"/>
        </w:rPr>
      </w:pPr>
    </w:p>
    <w:p w:rsidRPr="002C17E8" w:rsidR="002C17E8" w:rsidP="002C17E8" w:rsidRDefault="002C17E8">
      <w:pPr>
        <w:spacing w:line="240" w:lineRule="exact"/>
        <w:rPr>
          <w:rFonts w:ascii="Verdana" w:hAnsi="Verdana"/>
          <w:i/>
          <w:sz w:val="18"/>
          <w:szCs w:val="18"/>
        </w:rPr>
      </w:pPr>
      <w:proofErr w:type="spellStart"/>
      <w:r w:rsidRPr="002C17E8">
        <w:rPr>
          <w:rFonts w:ascii="Verdana" w:hAnsi="Verdana"/>
          <w:i/>
          <w:sz w:val="18"/>
          <w:szCs w:val="18"/>
        </w:rPr>
        <w:lastRenderedPageBreak/>
        <w:t>ETS-compensatie</w:t>
      </w:r>
      <w:proofErr w:type="spellEnd"/>
    </w:p>
    <w:p w:rsidRPr="002C17E8" w:rsidR="002C17E8" w:rsidP="002C17E8" w:rsidRDefault="002C17E8">
      <w:pPr>
        <w:spacing w:line="240" w:lineRule="exact"/>
        <w:rPr>
          <w:rFonts w:ascii="Verdana" w:hAnsi="Verdana"/>
          <w:sz w:val="18"/>
          <w:szCs w:val="18"/>
        </w:rPr>
      </w:pPr>
      <w:r w:rsidRPr="002C17E8">
        <w:rPr>
          <w:rFonts w:ascii="Verdana" w:hAnsi="Verdana"/>
          <w:sz w:val="18"/>
          <w:szCs w:val="18"/>
        </w:rPr>
        <w:t xml:space="preserve">Door lagere prijzen voor de </w:t>
      </w:r>
      <w:proofErr w:type="spellStart"/>
      <w:r w:rsidRPr="002C17E8">
        <w:rPr>
          <w:rFonts w:ascii="Verdana" w:hAnsi="Verdana"/>
          <w:sz w:val="18"/>
          <w:szCs w:val="18"/>
        </w:rPr>
        <w:t>ETS-rechten</w:t>
      </w:r>
      <w:proofErr w:type="spellEnd"/>
      <w:r w:rsidRPr="002C17E8">
        <w:rPr>
          <w:rFonts w:ascii="Verdana" w:hAnsi="Verdana"/>
          <w:sz w:val="18"/>
          <w:szCs w:val="18"/>
        </w:rPr>
        <w:t xml:space="preserve"> was het beroep op de regeling Compensatie Energie-intensieve bedrijven lager dan het bedrag dat voor de regeling beschikbaar was. </w:t>
      </w:r>
    </w:p>
    <w:p w:rsidR="002C17E8" w:rsidP="002C17E8" w:rsidRDefault="002C17E8">
      <w:pPr>
        <w:spacing w:line="240" w:lineRule="exact"/>
        <w:rPr>
          <w:rFonts w:ascii="Verdana" w:hAnsi="Verdana"/>
          <w:i/>
          <w:sz w:val="18"/>
          <w:szCs w:val="18"/>
        </w:rPr>
      </w:pPr>
    </w:p>
    <w:p w:rsidRPr="002C17E8" w:rsidR="002C17E8" w:rsidP="002C17E8" w:rsidRDefault="002C17E8">
      <w:pPr>
        <w:spacing w:line="240" w:lineRule="exact"/>
        <w:rPr>
          <w:rFonts w:ascii="Verdana" w:hAnsi="Verdana"/>
          <w:i/>
          <w:sz w:val="18"/>
          <w:szCs w:val="18"/>
        </w:rPr>
      </w:pPr>
      <w:r w:rsidRPr="002C17E8">
        <w:rPr>
          <w:rFonts w:ascii="Verdana" w:hAnsi="Verdana"/>
          <w:i/>
          <w:sz w:val="18"/>
          <w:szCs w:val="18"/>
        </w:rPr>
        <w:t xml:space="preserve">Diversen (niet tot een </w:t>
      </w:r>
      <w:proofErr w:type="spellStart"/>
      <w:r w:rsidRPr="002C17E8">
        <w:rPr>
          <w:rFonts w:ascii="Verdana" w:hAnsi="Verdana"/>
          <w:i/>
          <w:sz w:val="18"/>
          <w:szCs w:val="18"/>
        </w:rPr>
        <w:t>ijklijn</w:t>
      </w:r>
      <w:proofErr w:type="spellEnd"/>
      <w:r w:rsidRPr="002C17E8">
        <w:rPr>
          <w:rFonts w:ascii="Verdana" w:hAnsi="Verdana"/>
          <w:i/>
          <w:sz w:val="18"/>
          <w:szCs w:val="18"/>
        </w:rPr>
        <w:t xml:space="preserve"> behorend)</w:t>
      </w:r>
    </w:p>
    <w:p w:rsidRPr="002C17E8" w:rsidR="002C17E8" w:rsidP="002C17E8" w:rsidRDefault="002C17E8">
      <w:pPr>
        <w:spacing w:line="240" w:lineRule="exact"/>
        <w:rPr>
          <w:rFonts w:ascii="Verdana" w:hAnsi="Verdana"/>
          <w:sz w:val="18"/>
          <w:szCs w:val="18"/>
        </w:rPr>
      </w:pPr>
      <w:proofErr w:type="spellStart"/>
      <w:r w:rsidRPr="002C17E8">
        <w:rPr>
          <w:rFonts w:ascii="Verdana" w:hAnsi="Verdana"/>
          <w:sz w:val="18"/>
          <w:szCs w:val="18"/>
        </w:rPr>
        <w:t>Rekkof</w:t>
      </w:r>
      <w:proofErr w:type="spellEnd"/>
      <w:r w:rsidRPr="002C17E8">
        <w:rPr>
          <w:rFonts w:ascii="Verdana" w:hAnsi="Verdana"/>
          <w:sz w:val="18"/>
          <w:szCs w:val="18"/>
        </w:rPr>
        <w:t xml:space="preserve"> </w:t>
      </w:r>
      <w:proofErr w:type="spellStart"/>
      <w:r w:rsidRPr="002C17E8">
        <w:rPr>
          <w:rFonts w:ascii="Verdana" w:hAnsi="Verdana"/>
          <w:sz w:val="18"/>
          <w:szCs w:val="18"/>
        </w:rPr>
        <w:t>Aircraft</w:t>
      </w:r>
      <w:proofErr w:type="spellEnd"/>
      <w:r w:rsidRPr="002C17E8">
        <w:rPr>
          <w:rFonts w:ascii="Verdana" w:hAnsi="Verdana"/>
          <w:sz w:val="18"/>
          <w:szCs w:val="18"/>
        </w:rPr>
        <w:t xml:space="preserve"> N.V. heeft in 2015 geen gebruik gemaakt van de </w:t>
      </w:r>
      <w:r w:rsidRPr="002C17E8">
        <w:rPr>
          <w:rFonts w:ascii="Verdana" w:hAnsi="Verdana" w:eastAsia="Calibri"/>
          <w:sz w:val="18"/>
          <w:szCs w:val="18"/>
        </w:rPr>
        <w:t xml:space="preserve">luchtvaartkredietfaciliteit (ruim 20 mln.). </w:t>
      </w:r>
      <w:r w:rsidRPr="002C17E8">
        <w:rPr>
          <w:rFonts w:ascii="Verdana" w:hAnsi="Verdana"/>
          <w:sz w:val="18"/>
          <w:szCs w:val="18"/>
        </w:rPr>
        <w:t xml:space="preserve">Daarnaast vraagt ECN/NRG de overeengekomen lening minder snel op dan eerder geraamd (ruim 10 mln.).   </w:t>
      </w:r>
    </w:p>
    <w:p w:rsidR="002C17E8" w:rsidP="002C17E8" w:rsidRDefault="002C17E8">
      <w:pPr>
        <w:spacing w:line="240" w:lineRule="exact"/>
        <w:rPr>
          <w:rFonts w:ascii="Verdana" w:hAnsi="Verdana"/>
          <w:i/>
          <w:sz w:val="18"/>
          <w:szCs w:val="18"/>
        </w:rPr>
      </w:pPr>
    </w:p>
    <w:p w:rsidRPr="002C17E8" w:rsidR="002C17E8" w:rsidP="002C17E8" w:rsidRDefault="002C17E8">
      <w:pPr>
        <w:spacing w:line="240" w:lineRule="exact"/>
        <w:rPr>
          <w:rFonts w:ascii="Verdana" w:hAnsi="Verdana"/>
          <w:i/>
          <w:sz w:val="18"/>
          <w:szCs w:val="18"/>
        </w:rPr>
      </w:pPr>
      <w:r w:rsidRPr="002C17E8">
        <w:rPr>
          <w:rFonts w:ascii="Verdana" w:hAnsi="Verdana"/>
          <w:i/>
          <w:sz w:val="18"/>
          <w:szCs w:val="18"/>
        </w:rPr>
        <w:t>Aardgasbaten</w:t>
      </w:r>
    </w:p>
    <w:p w:rsidRPr="002C17E8" w:rsidR="002C17E8" w:rsidP="002C17E8" w:rsidRDefault="002C17E8">
      <w:pPr>
        <w:spacing w:line="240" w:lineRule="exact"/>
        <w:rPr>
          <w:rFonts w:ascii="Verdana" w:hAnsi="Verdana"/>
          <w:sz w:val="18"/>
          <w:szCs w:val="18"/>
        </w:rPr>
      </w:pPr>
      <w:r w:rsidRPr="002C17E8">
        <w:rPr>
          <w:rFonts w:ascii="Verdana" w:hAnsi="Verdana"/>
          <w:sz w:val="18"/>
          <w:szCs w:val="18"/>
        </w:rPr>
        <w:t xml:space="preserve">De raming van de aardgasbaten is naar beneden bijgesteld door lager dan geraamde prijzen.  </w:t>
      </w:r>
    </w:p>
    <w:p w:rsidRPr="002C17E8" w:rsidR="002C17E8" w:rsidP="002C17E8" w:rsidRDefault="002C17E8">
      <w:pPr>
        <w:spacing w:line="240" w:lineRule="exact"/>
        <w:rPr>
          <w:rFonts w:ascii="Verdana" w:hAnsi="Verdana" w:eastAsia="Verdana"/>
          <w:i/>
          <w:sz w:val="18"/>
          <w:szCs w:val="18"/>
        </w:rPr>
      </w:pPr>
    </w:p>
    <w:p w:rsidRPr="002C17E8" w:rsidR="002C17E8" w:rsidP="002C17E8" w:rsidRDefault="002C17E8">
      <w:pPr>
        <w:spacing w:line="240" w:lineRule="exact"/>
        <w:rPr>
          <w:rFonts w:ascii="Verdana" w:hAnsi="Verdana" w:eastAsia="Verdana"/>
          <w:i/>
          <w:sz w:val="18"/>
          <w:szCs w:val="18"/>
        </w:rPr>
      </w:pPr>
      <w:r w:rsidRPr="002C17E8">
        <w:rPr>
          <w:rFonts w:ascii="Verdana" w:hAnsi="Verdana" w:eastAsia="Verdana"/>
          <w:i/>
          <w:sz w:val="18"/>
          <w:szCs w:val="18"/>
        </w:rPr>
        <w:t>LIOF</w:t>
      </w:r>
    </w:p>
    <w:p w:rsidRPr="002C17E8" w:rsidR="002C17E8" w:rsidP="002C17E8" w:rsidRDefault="002C17E8">
      <w:pPr>
        <w:spacing w:line="240" w:lineRule="exact"/>
        <w:rPr>
          <w:rFonts w:ascii="Verdana" w:hAnsi="Verdana" w:eastAsia="Verdana"/>
          <w:sz w:val="18"/>
          <w:szCs w:val="18"/>
        </w:rPr>
      </w:pPr>
      <w:r w:rsidRPr="002C17E8">
        <w:rPr>
          <w:rFonts w:ascii="Verdana" w:hAnsi="Verdana" w:eastAsia="Verdana"/>
          <w:sz w:val="18"/>
          <w:szCs w:val="18"/>
        </w:rPr>
        <w:t xml:space="preserve">Een deel van de aandelen die het Rijk houdt in de Limburgse </w:t>
      </w:r>
      <w:proofErr w:type="spellStart"/>
      <w:r w:rsidRPr="002C17E8">
        <w:rPr>
          <w:rFonts w:ascii="Verdana" w:hAnsi="Verdana" w:eastAsia="Verdana"/>
          <w:sz w:val="18"/>
          <w:szCs w:val="18"/>
        </w:rPr>
        <w:t>Ontwikkelings</w:t>
      </w:r>
      <w:proofErr w:type="spellEnd"/>
      <w:r w:rsidRPr="002C17E8">
        <w:rPr>
          <w:rFonts w:ascii="Verdana" w:hAnsi="Verdana" w:eastAsia="Verdana"/>
          <w:sz w:val="18"/>
          <w:szCs w:val="18"/>
        </w:rPr>
        <w:t xml:space="preserve">- en Investeringsmaatschappij (LIOF) wordt verkocht aan de Provincie Limburg. Naar verwachting zal de verkoopovereenkomst niet meer in 2015 door de Provinciale Staten worden bekrachtigd.  </w:t>
      </w:r>
    </w:p>
    <w:p w:rsidR="002C17E8" w:rsidP="002C17E8" w:rsidRDefault="002C17E8">
      <w:pPr>
        <w:spacing w:line="240" w:lineRule="exact"/>
        <w:rPr>
          <w:rFonts w:ascii="Verdana" w:hAnsi="Verdana" w:eastAsia="Verdana"/>
          <w:i/>
          <w:sz w:val="18"/>
          <w:szCs w:val="18"/>
        </w:rPr>
      </w:pPr>
    </w:p>
    <w:p w:rsidRPr="002C17E8" w:rsidR="002C17E8" w:rsidP="002C17E8" w:rsidRDefault="002C17E8">
      <w:pPr>
        <w:spacing w:line="240" w:lineRule="exact"/>
        <w:rPr>
          <w:rFonts w:ascii="Verdana" w:hAnsi="Verdana" w:eastAsia="Verdana"/>
          <w:i/>
          <w:sz w:val="18"/>
          <w:szCs w:val="18"/>
        </w:rPr>
      </w:pPr>
      <w:r w:rsidRPr="002C17E8">
        <w:rPr>
          <w:rFonts w:ascii="Verdana" w:hAnsi="Verdana" w:eastAsia="Verdana"/>
          <w:i/>
          <w:sz w:val="18"/>
          <w:szCs w:val="18"/>
        </w:rPr>
        <w:t xml:space="preserve">Ontvangsten SDE+ </w:t>
      </w:r>
    </w:p>
    <w:p w:rsidRPr="002C17E8" w:rsidR="002C17E8" w:rsidP="002C17E8" w:rsidRDefault="002C17E8">
      <w:pPr>
        <w:spacing w:line="240" w:lineRule="exact"/>
        <w:rPr>
          <w:rFonts w:ascii="Verdana" w:hAnsi="Verdana" w:eastAsia="Verdana"/>
          <w:sz w:val="18"/>
          <w:szCs w:val="18"/>
        </w:rPr>
      </w:pPr>
      <w:r w:rsidRPr="002C17E8">
        <w:rPr>
          <w:rFonts w:ascii="Verdana" w:hAnsi="Verdana" w:eastAsia="Verdana"/>
          <w:sz w:val="18"/>
          <w:szCs w:val="18"/>
        </w:rPr>
        <w:t>Het kabinet zal naar verwachting in 2015 minder opbrengsten uit de opslag duurzame energie (ODE) realiseren dan geraamd mede onder invloed van de gemiddeld hogere temperatuur.</w:t>
      </w:r>
      <w:bookmarkStart w:name="_GoBack" w:id="1"/>
      <w:bookmarkEnd w:id="1"/>
    </w:p>
    <w:p w:rsidRPr="00533D5C" w:rsidR="003B0AD1" w:rsidP="00533D5C" w:rsidRDefault="003B0AD1">
      <w:pPr>
        <w:spacing w:line="240" w:lineRule="exact"/>
        <w:rPr>
          <w:rFonts w:ascii="Verdana" w:hAnsi="Verdana"/>
          <w:i/>
          <w:sz w:val="18"/>
          <w:szCs w:val="18"/>
        </w:rPr>
      </w:pPr>
      <w:r w:rsidRPr="00533D5C">
        <w:rPr>
          <w:rFonts w:ascii="Verdana" w:hAnsi="Verdana"/>
          <w:i/>
          <w:sz w:val="18"/>
          <w:szCs w:val="18"/>
        </w:rPr>
        <w:br w:type="page"/>
      </w:r>
    </w:p>
    <w:p w:rsidRPr="00533D5C" w:rsidR="00512EDB" w:rsidP="00533D5C" w:rsidRDefault="00C05141">
      <w:pPr>
        <w:spacing w:line="240" w:lineRule="exact"/>
        <w:rPr>
          <w:rFonts w:ascii="Verdana" w:hAnsi="Verdana" w:cs="Verdana"/>
          <w:b/>
          <w:bCs/>
          <w:sz w:val="18"/>
          <w:szCs w:val="18"/>
        </w:rPr>
      </w:pPr>
      <w:r w:rsidRPr="00521774">
        <w:rPr>
          <w:rFonts w:ascii="Verdana" w:hAnsi="Verdana" w:cs="Verdana"/>
          <w:b/>
          <w:bCs/>
          <w:sz w:val="18"/>
          <w:szCs w:val="18"/>
        </w:rPr>
        <w:lastRenderedPageBreak/>
        <w:t>Sociale Zaken en Werkgelegenheid</w:t>
      </w:r>
    </w:p>
    <w:tbl>
      <w:tblPr>
        <w:tblW w:w="0" w:type="auto"/>
        <w:tblCellMar>
          <w:top w:w="15" w:type="dxa"/>
          <w:left w:w="15" w:type="dxa"/>
          <w:bottom w:w="15" w:type="dxa"/>
          <w:right w:w="15" w:type="dxa"/>
        </w:tblCellMar>
        <w:tblLook w:val="04A0"/>
      </w:tblPr>
      <w:tblGrid>
        <w:gridCol w:w="8208"/>
        <w:gridCol w:w="14"/>
        <w:gridCol w:w="880"/>
      </w:tblGrid>
      <w:tr w:rsidR="00CE520D" w:rsidTr="00CE520D">
        <w:tc>
          <w:tcPr>
            <w:tcW w:w="8208" w:type="dxa"/>
            <w:tcBorders>
              <w:left w:val="nil"/>
              <w:right w:val="nil"/>
            </w:tcBorders>
            <w:hideMark/>
          </w:tcPr>
          <w:p w:rsidR="00CE520D" w:rsidP="006D23DC" w:rsidRDefault="00CE520D">
            <w:pPr>
              <w:rPr>
                <w:rFonts w:ascii="Verdana" w:hAnsi="Verdana"/>
                <w:sz w:val="18"/>
                <w:szCs w:val="18"/>
              </w:rPr>
            </w:pPr>
          </w:p>
        </w:tc>
        <w:tc>
          <w:tcPr>
            <w:tcW w:w="894" w:type="dxa"/>
            <w:gridSpan w:val="2"/>
            <w:tcBorders>
              <w:left w:val="nil"/>
              <w:right w:val="nil"/>
            </w:tcBorders>
            <w:hideMark/>
          </w:tcPr>
          <w:p w:rsidR="00CE520D" w:rsidP="006D23DC" w:rsidRDefault="00CE520D">
            <w:pPr>
              <w:rPr>
                <w:rFonts w:ascii="Verdana" w:hAnsi="Verdana"/>
                <w:sz w:val="18"/>
                <w:szCs w:val="18"/>
              </w:rPr>
            </w:pPr>
            <w:r>
              <w:rPr>
                <w:rFonts w:ascii="Verdana" w:hAnsi="Verdana"/>
                <w:sz w:val="18"/>
                <w:szCs w:val="18"/>
              </w:rPr>
              <w:t> </w:t>
            </w:r>
          </w:p>
        </w:tc>
      </w:tr>
      <w:tr w:rsidR="00CE520D" w:rsidTr="006D23DC">
        <w:tc>
          <w:tcPr>
            <w:tcW w:w="0" w:type="auto"/>
            <w:tcBorders>
              <w:left w:val="nil"/>
              <w:right w:val="nil"/>
            </w:tcBorders>
            <w:hideMark/>
          </w:tcPr>
          <w:p w:rsidR="00CE520D" w:rsidP="006D23DC" w:rsidRDefault="00CE520D">
            <w:pPr>
              <w:rPr>
                <w:rFonts w:ascii="Verdana" w:hAnsi="Verdana"/>
                <w:sz w:val="18"/>
                <w:szCs w:val="18"/>
              </w:rPr>
            </w:pPr>
            <w:r>
              <w:rPr>
                <w:rFonts w:ascii="Verdana" w:hAnsi="Verdana"/>
                <w:sz w:val="18"/>
                <w:szCs w:val="18"/>
              </w:rPr>
              <w:t>XV SOCIALE ZAKEN EN WERKGELEGENHEID: UITGAVEN</w:t>
            </w:r>
          </w:p>
        </w:tc>
        <w:tc>
          <w:tcPr>
            <w:tcW w:w="0" w:type="auto"/>
            <w:gridSpan w:val="2"/>
            <w:hideMark/>
          </w:tcPr>
          <w:p w:rsidR="00CE520D" w:rsidP="006D23DC" w:rsidRDefault="00CE520D">
            <w:pPr>
              <w:rPr>
                <w:sz w:val="20"/>
                <w:szCs w:val="20"/>
              </w:rPr>
            </w:pPr>
          </w:p>
        </w:tc>
      </w:tr>
      <w:tr w:rsidR="00CE520D" w:rsidTr="006D23DC">
        <w:tc>
          <w:tcPr>
            <w:tcW w:w="0" w:type="auto"/>
            <w:tcBorders>
              <w:top w:val="single" w:color="000000" w:sz="6" w:space="0"/>
              <w:left w:val="nil"/>
              <w:bottom w:val="single" w:color="000000" w:sz="6" w:space="0"/>
              <w:right w:val="nil"/>
            </w:tcBorders>
            <w:hideMark/>
          </w:tcPr>
          <w:p w:rsidR="00CE520D" w:rsidP="006D23DC" w:rsidRDefault="00CE520D">
            <w:pPr>
              <w:jc w:val="right"/>
              <w:rPr>
                <w:rFonts w:ascii="Verdana" w:hAnsi="Verdana"/>
                <w:sz w:val="18"/>
                <w:szCs w:val="18"/>
              </w:rPr>
            </w:pPr>
          </w:p>
        </w:tc>
        <w:tc>
          <w:tcPr>
            <w:tcW w:w="0" w:type="auto"/>
            <w:gridSpan w:val="2"/>
            <w:tcBorders>
              <w:top w:val="single" w:color="000000" w:sz="6" w:space="0"/>
              <w:left w:val="nil"/>
              <w:bottom w:val="single" w:color="000000" w:sz="6" w:space="0"/>
              <w:right w:val="nil"/>
            </w:tcBorders>
            <w:hideMark/>
          </w:tcPr>
          <w:p w:rsidR="00CE520D" w:rsidP="006D23DC" w:rsidRDefault="00CE520D">
            <w:pPr>
              <w:jc w:val="right"/>
              <w:rPr>
                <w:rFonts w:ascii="Verdana" w:hAnsi="Verdana"/>
                <w:sz w:val="18"/>
                <w:szCs w:val="18"/>
              </w:rPr>
            </w:pPr>
            <w:r>
              <w:rPr>
                <w:rFonts w:ascii="Verdana" w:hAnsi="Verdana"/>
                <w:sz w:val="18"/>
                <w:szCs w:val="18"/>
              </w:rPr>
              <w:t>2015</w:t>
            </w:r>
          </w:p>
        </w:tc>
      </w:tr>
      <w:tr w:rsidR="00CE520D" w:rsidTr="006D23DC">
        <w:tc>
          <w:tcPr>
            <w:tcW w:w="0" w:type="auto"/>
            <w:tcBorders>
              <w:left w:val="nil"/>
              <w:right w:val="nil"/>
            </w:tcBorders>
            <w:hideMark/>
          </w:tcPr>
          <w:p w:rsidR="00CE520D" w:rsidP="006D23DC" w:rsidRDefault="00CE520D">
            <w:pPr>
              <w:rPr>
                <w:rFonts w:ascii="Verdana" w:hAnsi="Verdana"/>
                <w:sz w:val="18"/>
                <w:szCs w:val="18"/>
              </w:rPr>
            </w:pPr>
            <w:r>
              <w:rPr>
                <w:rFonts w:ascii="Verdana" w:hAnsi="Verdana"/>
                <w:sz w:val="18"/>
                <w:szCs w:val="18"/>
              </w:rPr>
              <w:t>Stand Miljoenennota 2016 (excl. IS)</w:t>
            </w:r>
          </w:p>
        </w:tc>
        <w:tc>
          <w:tcPr>
            <w:tcW w:w="0" w:type="auto"/>
            <w:gridSpan w:val="2"/>
            <w:tcBorders>
              <w:top w:val="single" w:color="000000" w:sz="6" w:space="0"/>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31.445,6</w:t>
            </w:r>
          </w:p>
        </w:tc>
      </w:tr>
      <w:tr w:rsidR="00CE520D" w:rsidTr="006D23DC">
        <w:tc>
          <w:tcPr>
            <w:tcW w:w="0" w:type="auto"/>
            <w:tcBorders>
              <w:left w:val="nil"/>
              <w:right w:val="nil"/>
            </w:tcBorders>
            <w:hideMark/>
          </w:tcPr>
          <w:p w:rsidR="00CE520D" w:rsidP="006D23DC" w:rsidRDefault="00CE520D">
            <w:pPr>
              <w:rPr>
                <w:rFonts w:ascii="Verdana" w:hAnsi="Verdana"/>
                <w:sz w:val="18"/>
                <w:szCs w:val="18"/>
              </w:rPr>
            </w:pPr>
            <w:r>
              <w:rPr>
                <w:rFonts w:ascii="Verdana" w:hAnsi="Verdana"/>
                <w:sz w:val="18"/>
                <w:szCs w:val="18"/>
              </w:rPr>
              <w:t>Mee- en tegenvallers</w:t>
            </w:r>
          </w:p>
        </w:tc>
        <w:tc>
          <w:tcPr>
            <w:tcW w:w="0" w:type="auto"/>
            <w:gridSpan w:val="2"/>
            <w:hideMark/>
          </w:tcPr>
          <w:p w:rsidR="00CE520D" w:rsidP="006D23DC" w:rsidRDefault="00CE520D">
            <w:pPr>
              <w:rPr>
                <w:sz w:val="20"/>
                <w:szCs w:val="20"/>
              </w:rPr>
            </w:pPr>
          </w:p>
        </w:tc>
      </w:tr>
      <w:tr w:rsidR="00CE520D" w:rsidTr="006D23DC">
        <w:tc>
          <w:tcPr>
            <w:tcW w:w="0" w:type="auto"/>
            <w:tcBorders>
              <w:left w:val="nil"/>
              <w:right w:val="nil"/>
            </w:tcBorders>
            <w:tcMar>
              <w:top w:w="15" w:type="dxa"/>
              <w:left w:w="180" w:type="dxa"/>
              <w:bottom w:w="15" w:type="dxa"/>
              <w:right w:w="15" w:type="dxa"/>
            </w:tcMar>
            <w:vAlign w:val="both"/>
            <w:hideMark/>
          </w:tcPr>
          <w:p w:rsidR="00CE520D" w:rsidP="006D23DC" w:rsidRDefault="00CE520D">
            <w:pPr>
              <w:ind w:firstLine="180" w:firstLineChars="100"/>
              <w:rPr>
                <w:rFonts w:ascii="Verdana" w:hAnsi="Verdana"/>
                <w:sz w:val="18"/>
                <w:szCs w:val="18"/>
              </w:rPr>
            </w:pPr>
            <w:r>
              <w:rPr>
                <w:rFonts w:ascii="Verdana" w:hAnsi="Verdana"/>
                <w:sz w:val="18"/>
                <w:szCs w:val="18"/>
              </w:rPr>
              <w:t>Sociale zekerheid</w:t>
            </w:r>
          </w:p>
        </w:tc>
        <w:tc>
          <w:tcPr>
            <w:tcW w:w="0" w:type="auto"/>
            <w:gridSpan w:val="2"/>
            <w:hideMark/>
          </w:tcPr>
          <w:p w:rsidR="00CE520D" w:rsidP="006D23DC" w:rsidRDefault="00CE520D">
            <w:pPr>
              <w:rPr>
                <w:sz w:val="20"/>
                <w:szCs w:val="20"/>
              </w:rPr>
            </w:pPr>
          </w:p>
        </w:tc>
      </w:tr>
      <w:tr w:rsidR="00CE520D" w:rsidTr="006D23DC">
        <w:tc>
          <w:tcPr>
            <w:tcW w:w="0" w:type="auto"/>
            <w:tcBorders>
              <w:left w:val="nil"/>
              <w:right w:val="nil"/>
            </w:tcBorders>
            <w:tcMar>
              <w:top w:w="15" w:type="dxa"/>
              <w:left w:w="360" w:type="dxa"/>
              <w:bottom w:w="15" w:type="dxa"/>
              <w:right w:w="15" w:type="dxa"/>
            </w:tcMar>
            <w:vAlign w:val="both"/>
            <w:hideMark/>
          </w:tcPr>
          <w:p w:rsidR="00CE520D" w:rsidP="006D23DC" w:rsidRDefault="00CE520D">
            <w:pPr>
              <w:ind w:firstLine="360" w:firstLineChars="200"/>
              <w:rPr>
                <w:rFonts w:ascii="Verdana" w:hAnsi="Verdana"/>
                <w:sz w:val="18"/>
                <w:szCs w:val="18"/>
              </w:rPr>
            </w:pPr>
            <w:r>
              <w:rPr>
                <w:rFonts w:ascii="Verdana" w:hAnsi="Verdana"/>
                <w:sz w:val="18"/>
                <w:szCs w:val="18"/>
              </w:rPr>
              <w:t>Bijstand</w:t>
            </w:r>
          </w:p>
        </w:tc>
        <w:tc>
          <w:tcPr>
            <w:tcW w:w="0" w:type="auto"/>
            <w:gridSpan w:val="2"/>
            <w:tcBorders>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23,8</w:t>
            </w:r>
          </w:p>
        </w:tc>
      </w:tr>
      <w:tr w:rsidR="00CE520D" w:rsidTr="006D23DC">
        <w:tc>
          <w:tcPr>
            <w:tcW w:w="0" w:type="auto"/>
            <w:tcBorders>
              <w:left w:val="nil"/>
              <w:right w:val="nil"/>
            </w:tcBorders>
            <w:tcMar>
              <w:top w:w="15" w:type="dxa"/>
              <w:left w:w="360" w:type="dxa"/>
              <w:bottom w:w="15" w:type="dxa"/>
              <w:right w:w="15" w:type="dxa"/>
            </w:tcMar>
            <w:vAlign w:val="both"/>
            <w:hideMark/>
          </w:tcPr>
          <w:p w:rsidR="00CE520D" w:rsidP="006D23DC" w:rsidRDefault="00CE520D">
            <w:pPr>
              <w:ind w:firstLine="360" w:firstLineChars="200"/>
              <w:rPr>
                <w:rFonts w:ascii="Verdana" w:hAnsi="Verdana"/>
                <w:sz w:val="18"/>
                <w:szCs w:val="18"/>
              </w:rPr>
            </w:pPr>
            <w:r>
              <w:rPr>
                <w:rFonts w:ascii="Verdana" w:hAnsi="Verdana"/>
                <w:sz w:val="18"/>
                <w:szCs w:val="18"/>
              </w:rPr>
              <w:t>Kinderopvangtoeslag</w:t>
            </w:r>
          </w:p>
        </w:tc>
        <w:tc>
          <w:tcPr>
            <w:tcW w:w="0" w:type="auto"/>
            <w:gridSpan w:val="2"/>
            <w:tcBorders>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-45,0</w:t>
            </w:r>
          </w:p>
        </w:tc>
      </w:tr>
      <w:tr w:rsidR="00CE520D" w:rsidTr="006D23DC">
        <w:tc>
          <w:tcPr>
            <w:tcW w:w="0" w:type="auto"/>
            <w:tcBorders>
              <w:left w:val="nil"/>
              <w:right w:val="nil"/>
            </w:tcBorders>
            <w:tcMar>
              <w:top w:w="15" w:type="dxa"/>
              <w:left w:w="360" w:type="dxa"/>
              <w:bottom w:w="15" w:type="dxa"/>
              <w:right w:w="15" w:type="dxa"/>
            </w:tcMar>
            <w:vAlign w:val="both"/>
            <w:hideMark/>
          </w:tcPr>
          <w:p w:rsidR="00CE520D" w:rsidP="006D23DC" w:rsidRDefault="00CE520D">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10,3</w:t>
            </w:r>
          </w:p>
        </w:tc>
      </w:tr>
      <w:tr w:rsidR="00CE520D" w:rsidTr="006D23DC">
        <w:tc>
          <w:tcPr>
            <w:tcW w:w="0" w:type="auto"/>
            <w:tcBorders>
              <w:left w:val="nil"/>
              <w:right w:val="nil"/>
            </w:tcBorders>
            <w:hideMark/>
          </w:tcPr>
          <w:p w:rsidR="00CE520D" w:rsidP="006D23DC" w:rsidRDefault="00CE520D">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-10,9</w:t>
            </w:r>
          </w:p>
        </w:tc>
      </w:tr>
      <w:tr w:rsidR="00CE520D" w:rsidTr="006D23DC">
        <w:tc>
          <w:tcPr>
            <w:tcW w:w="0" w:type="auto"/>
            <w:tcBorders>
              <w:left w:val="nil"/>
              <w:right w:val="nil"/>
            </w:tcBorders>
            <w:hideMark/>
          </w:tcPr>
          <w:p w:rsidR="00CE520D" w:rsidP="006D23DC" w:rsidRDefault="00CE520D">
            <w:pPr>
              <w:rPr>
                <w:rFonts w:ascii="Verdana" w:hAnsi="Verdana"/>
                <w:sz w:val="18"/>
                <w:szCs w:val="18"/>
              </w:rPr>
            </w:pPr>
            <w:r>
              <w:rPr>
                <w:rFonts w:ascii="Verdana" w:hAnsi="Verdana"/>
                <w:sz w:val="18"/>
                <w:szCs w:val="18"/>
              </w:rPr>
              <w:t>Beleidsmatige mutaties</w:t>
            </w:r>
          </w:p>
        </w:tc>
        <w:tc>
          <w:tcPr>
            <w:tcW w:w="0" w:type="auto"/>
            <w:gridSpan w:val="2"/>
            <w:hideMark/>
          </w:tcPr>
          <w:p w:rsidR="00CE520D" w:rsidP="006D23DC" w:rsidRDefault="00CE520D">
            <w:pPr>
              <w:rPr>
                <w:sz w:val="20"/>
                <w:szCs w:val="20"/>
              </w:rPr>
            </w:pPr>
          </w:p>
        </w:tc>
      </w:tr>
      <w:tr w:rsidR="00CE520D" w:rsidTr="006D23DC">
        <w:tc>
          <w:tcPr>
            <w:tcW w:w="0" w:type="auto"/>
            <w:tcBorders>
              <w:left w:val="nil"/>
              <w:right w:val="nil"/>
            </w:tcBorders>
            <w:tcMar>
              <w:top w:w="15" w:type="dxa"/>
              <w:left w:w="180" w:type="dxa"/>
              <w:bottom w:w="15" w:type="dxa"/>
              <w:right w:w="15" w:type="dxa"/>
            </w:tcMar>
            <w:vAlign w:val="both"/>
            <w:hideMark/>
          </w:tcPr>
          <w:p w:rsidR="00CE520D" w:rsidP="006D23DC" w:rsidRDefault="00CE520D">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CE520D" w:rsidP="006D23DC" w:rsidRDefault="00CE520D">
            <w:pPr>
              <w:rPr>
                <w:sz w:val="20"/>
                <w:szCs w:val="20"/>
              </w:rPr>
            </w:pPr>
          </w:p>
        </w:tc>
      </w:tr>
      <w:tr w:rsidR="00CE520D" w:rsidTr="006D23DC">
        <w:tc>
          <w:tcPr>
            <w:tcW w:w="0" w:type="auto"/>
            <w:tcBorders>
              <w:left w:val="nil"/>
              <w:right w:val="nil"/>
            </w:tcBorders>
            <w:tcMar>
              <w:top w:w="15" w:type="dxa"/>
              <w:left w:w="360" w:type="dxa"/>
              <w:bottom w:w="15" w:type="dxa"/>
              <w:right w:w="15" w:type="dxa"/>
            </w:tcMar>
            <w:vAlign w:val="both"/>
            <w:hideMark/>
          </w:tcPr>
          <w:p w:rsidR="00CE520D" w:rsidP="006D23DC" w:rsidRDefault="00CE520D">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-28,9</w:t>
            </w:r>
          </w:p>
        </w:tc>
      </w:tr>
      <w:tr w:rsidR="00CE520D" w:rsidTr="006D23DC">
        <w:tc>
          <w:tcPr>
            <w:tcW w:w="0" w:type="auto"/>
            <w:tcBorders>
              <w:left w:val="nil"/>
              <w:right w:val="nil"/>
            </w:tcBorders>
            <w:tcMar>
              <w:top w:w="15" w:type="dxa"/>
              <w:left w:w="180" w:type="dxa"/>
              <w:bottom w:w="15" w:type="dxa"/>
              <w:right w:w="15" w:type="dxa"/>
            </w:tcMar>
            <w:vAlign w:val="both"/>
            <w:hideMark/>
          </w:tcPr>
          <w:p w:rsidR="00CE520D" w:rsidP="006D23DC" w:rsidRDefault="00CE520D">
            <w:pPr>
              <w:ind w:firstLine="180" w:firstLineChars="100"/>
              <w:rPr>
                <w:rFonts w:ascii="Verdana" w:hAnsi="Verdana"/>
                <w:sz w:val="18"/>
                <w:szCs w:val="18"/>
              </w:rPr>
            </w:pPr>
            <w:r>
              <w:rPr>
                <w:rFonts w:ascii="Verdana" w:hAnsi="Verdana"/>
                <w:sz w:val="18"/>
                <w:szCs w:val="18"/>
              </w:rPr>
              <w:t>Sociale zekerheid</w:t>
            </w:r>
          </w:p>
        </w:tc>
        <w:tc>
          <w:tcPr>
            <w:tcW w:w="0" w:type="auto"/>
            <w:gridSpan w:val="2"/>
            <w:hideMark/>
          </w:tcPr>
          <w:p w:rsidR="00CE520D" w:rsidP="006D23DC" w:rsidRDefault="00CE520D">
            <w:pPr>
              <w:rPr>
                <w:sz w:val="20"/>
                <w:szCs w:val="20"/>
              </w:rPr>
            </w:pPr>
          </w:p>
        </w:tc>
      </w:tr>
      <w:tr w:rsidR="00CE520D" w:rsidTr="006D23DC">
        <w:tc>
          <w:tcPr>
            <w:tcW w:w="0" w:type="auto"/>
            <w:tcBorders>
              <w:left w:val="nil"/>
              <w:right w:val="nil"/>
            </w:tcBorders>
            <w:tcMar>
              <w:top w:w="15" w:type="dxa"/>
              <w:left w:w="360" w:type="dxa"/>
              <w:bottom w:w="15" w:type="dxa"/>
              <w:right w:w="15" w:type="dxa"/>
            </w:tcMar>
            <w:vAlign w:val="both"/>
            <w:hideMark/>
          </w:tcPr>
          <w:p w:rsidR="00CE520D" w:rsidP="006D23DC" w:rsidRDefault="00CE520D">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1,3</w:t>
            </w:r>
          </w:p>
        </w:tc>
      </w:tr>
      <w:tr w:rsidR="00CE520D" w:rsidTr="006D23DC">
        <w:tc>
          <w:tcPr>
            <w:tcW w:w="0" w:type="auto"/>
            <w:tcBorders>
              <w:left w:val="nil"/>
              <w:right w:val="nil"/>
            </w:tcBorders>
            <w:hideMark/>
          </w:tcPr>
          <w:p w:rsidR="00CE520D" w:rsidP="006D23DC" w:rsidRDefault="00CE520D">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-27,6</w:t>
            </w:r>
          </w:p>
        </w:tc>
      </w:tr>
      <w:tr w:rsidR="00CE520D" w:rsidTr="006D23DC">
        <w:tc>
          <w:tcPr>
            <w:tcW w:w="0" w:type="auto"/>
            <w:tcBorders>
              <w:left w:val="nil"/>
              <w:right w:val="nil"/>
            </w:tcBorders>
            <w:hideMark/>
          </w:tcPr>
          <w:p w:rsidR="00CE520D" w:rsidP="006D23DC" w:rsidRDefault="00CE520D">
            <w:pPr>
              <w:rPr>
                <w:rFonts w:ascii="Verdana" w:hAnsi="Verdana"/>
                <w:sz w:val="18"/>
                <w:szCs w:val="18"/>
              </w:rPr>
            </w:pPr>
            <w:r>
              <w:rPr>
                <w:rFonts w:ascii="Verdana" w:hAnsi="Verdana"/>
                <w:sz w:val="18"/>
                <w:szCs w:val="18"/>
              </w:rPr>
              <w:t>Technische mutaties</w:t>
            </w:r>
          </w:p>
        </w:tc>
        <w:tc>
          <w:tcPr>
            <w:tcW w:w="0" w:type="auto"/>
            <w:gridSpan w:val="2"/>
            <w:hideMark/>
          </w:tcPr>
          <w:p w:rsidR="00CE520D" w:rsidP="006D23DC" w:rsidRDefault="00CE520D">
            <w:pPr>
              <w:rPr>
                <w:sz w:val="20"/>
                <w:szCs w:val="20"/>
              </w:rPr>
            </w:pPr>
          </w:p>
        </w:tc>
      </w:tr>
      <w:tr w:rsidR="00CE520D" w:rsidTr="006D23DC">
        <w:tc>
          <w:tcPr>
            <w:tcW w:w="0" w:type="auto"/>
            <w:tcBorders>
              <w:left w:val="nil"/>
              <w:right w:val="nil"/>
            </w:tcBorders>
            <w:tcMar>
              <w:top w:w="15" w:type="dxa"/>
              <w:left w:w="180" w:type="dxa"/>
              <w:bottom w:w="15" w:type="dxa"/>
              <w:right w:w="15" w:type="dxa"/>
            </w:tcMar>
            <w:vAlign w:val="both"/>
            <w:hideMark/>
          </w:tcPr>
          <w:p w:rsidR="00CE520D" w:rsidP="006D23DC" w:rsidRDefault="00CE520D">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CE520D" w:rsidP="006D23DC" w:rsidRDefault="00CE520D">
            <w:pPr>
              <w:rPr>
                <w:sz w:val="20"/>
                <w:szCs w:val="20"/>
              </w:rPr>
            </w:pPr>
          </w:p>
        </w:tc>
      </w:tr>
      <w:tr w:rsidR="00CE520D" w:rsidTr="006D23DC">
        <w:tc>
          <w:tcPr>
            <w:tcW w:w="0" w:type="auto"/>
            <w:tcBorders>
              <w:left w:val="nil"/>
              <w:right w:val="nil"/>
            </w:tcBorders>
            <w:tcMar>
              <w:top w:w="15" w:type="dxa"/>
              <w:left w:w="360" w:type="dxa"/>
              <w:bottom w:w="15" w:type="dxa"/>
              <w:right w:w="15" w:type="dxa"/>
            </w:tcMar>
            <w:vAlign w:val="both"/>
            <w:hideMark/>
          </w:tcPr>
          <w:p w:rsidR="00CE520D" w:rsidP="006D23DC" w:rsidRDefault="00CE520D">
            <w:pPr>
              <w:ind w:firstLine="360" w:firstLineChars="200"/>
              <w:rPr>
                <w:rFonts w:ascii="Verdana" w:hAnsi="Verdana"/>
                <w:sz w:val="18"/>
                <w:szCs w:val="18"/>
              </w:rPr>
            </w:pPr>
            <w:r>
              <w:rPr>
                <w:rFonts w:ascii="Verdana" w:hAnsi="Verdana"/>
                <w:sz w:val="18"/>
                <w:szCs w:val="18"/>
              </w:rPr>
              <w:t>Bijdrage sociale werkplaatsen</w:t>
            </w:r>
          </w:p>
        </w:tc>
        <w:tc>
          <w:tcPr>
            <w:tcW w:w="0" w:type="auto"/>
            <w:gridSpan w:val="2"/>
            <w:tcBorders>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-30,0</w:t>
            </w:r>
          </w:p>
        </w:tc>
      </w:tr>
      <w:tr w:rsidR="00CE520D" w:rsidTr="006D23DC">
        <w:tc>
          <w:tcPr>
            <w:tcW w:w="0" w:type="auto"/>
            <w:tcBorders>
              <w:left w:val="nil"/>
              <w:right w:val="nil"/>
            </w:tcBorders>
            <w:tcMar>
              <w:top w:w="15" w:type="dxa"/>
              <w:left w:w="360" w:type="dxa"/>
              <w:bottom w:w="15" w:type="dxa"/>
              <w:right w:w="15" w:type="dxa"/>
            </w:tcMar>
            <w:vAlign w:val="both"/>
            <w:hideMark/>
          </w:tcPr>
          <w:p w:rsidR="00CE520D" w:rsidP="006D23DC" w:rsidRDefault="00CE520D">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1,8</w:t>
            </w:r>
          </w:p>
        </w:tc>
      </w:tr>
      <w:tr w:rsidR="00CE520D" w:rsidTr="006D23DC">
        <w:tc>
          <w:tcPr>
            <w:tcW w:w="0" w:type="auto"/>
            <w:tcBorders>
              <w:left w:val="nil"/>
              <w:right w:val="nil"/>
            </w:tcBorders>
            <w:tcMar>
              <w:top w:w="15" w:type="dxa"/>
              <w:left w:w="180" w:type="dxa"/>
              <w:bottom w:w="15" w:type="dxa"/>
              <w:right w:w="15" w:type="dxa"/>
            </w:tcMar>
            <w:vAlign w:val="both"/>
            <w:hideMark/>
          </w:tcPr>
          <w:p w:rsidR="00CE520D" w:rsidP="006D23DC" w:rsidRDefault="00CE520D">
            <w:pPr>
              <w:ind w:firstLine="180" w:firstLineChars="100"/>
              <w:rPr>
                <w:rFonts w:ascii="Verdana" w:hAnsi="Verdana"/>
                <w:sz w:val="18"/>
                <w:szCs w:val="18"/>
              </w:rPr>
            </w:pPr>
            <w:r>
              <w:rPr>
                <w:rFonts w:ascii="Verdana" w:hAnsi="Verdana"/>
                <w:sz w:val="18"/>
                <w:szCs w:val="18"/>
              </w:rPr>
              <w:t>Sociale zekerheid</w:t>
            </w:r>
          </w:p>
        </w:tc>
        <w:tc>
          <w:tcPr>
            <w:tcW w:w="0" w:type="auto"/>
            <w:gridSpan w:val="2"/>
            <w:hideMark/>
          </w:tcPr>
          <w:p w:rsidR="00CE520D" w:rsidP="006D23DC" w:rsidRDefault="00CE520D">
            <w:pPr>
              <w:rPr>
                <w:sz w:val="20"/>
                <w:szCs w:val="20"/>
              </w:rPr>
            </w:pPr>
          </w:p>
        </w:tc>
      </w:tr>
      <w:tr w:rsidR="00CE520D" w:rsidTr="006D23DC">
        <w:tc>
          <w:tcPr>
            <w:tcW w:w="0" w:type="auto"/>
            <w:tcBorders>
              <w:left w:val="nil"/>
              <w:right w:val="nil"/>
            </w:tcBorders>
            <w:tcMar>
              <w:top w:w="15" w:type="dxa"/>
              <w:left w:w="360" w:type="dxa"/>
              <w:bottom w:w="15" w:type="dxa"/>
              <w:right w:w="15" w:type="dxa"/>
            </w:tcMar>
            <w:vAlign w:val="both"/>
            <w:hideMark/>
          </w:tcPr>
          <w:p w:rsidR="00CE520D" w:rsidP="006D23DC" w:rsidRDefault="00CE520D">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-0,5</w:t>
            </w:r>
          </w:p>
        </w:tc>
      </w:tr>
      <w:tr w:rsidR="00CE520D" w:rsidTr="006D23DC">
        <w:tc>
          <w:tcPr>
            <w:tcW w:w="0" w:type="auto"/>
            <w:tcBorders>
              <w:left w:val="nil"/>
              <w:right w:val="nil"/>
            </w:tcBorders>
            <w:tcMar>
              <w:top w:w="15" w:type="dxa"/>
              <w:left w:w="180" w:type="dxa"/>
              <w:bottom w:w="15" w:type="dxa"/>
              <w:right w:w="15" w:type="dxa"/>
            </w:tcMar>
            <w:vAlign w:val="both"/>
            <w:hideMark/>
          </w:tcPr>
          <w:p w:rsidR="00CE520D" w:rsidP="006D23DC" w:rsidRDefault="00CE520D">
            <w:pPr>
              <w:ind w:firstLine="180" w:firstLineChars="100"/>
              <w:rPr>
                <w:rFonts w:ascii="Verdana" w:hAnsi="Verdana"/>
                <w:sz w:val="18"/>
                <w:szCs w:val="18"/>
              </w:rPr>
            </w:pPr>
            <w:r>
              <w:rPr>
                <w:rFonts w:ascii="Verdana" w:hAnsi="Verdana"/>
                <w:sz w:val="18"/>
                <w:szCs w:val="18"/>
              </w:rPr>
              <w:t xml:space="preserve">Niet tot een </w:t>
            </w:r>
            <w:proofErr w:type="spellStart"/>
            <w:r>
              <w:rPr>
                <w:rFonts w:ascii="Verdana" w:hAnsi="Verdana"/>
                <w:sz w:val="18"/>
                <w:szCs w:val="18"/>
              </w:rPr>
              <w:t>ijklijn</w:t>
            </w:r>
            <w:proofErr w:type="spellEnd"/>
            <w:r>
              <w:rPr>
                <w:rFonts w:ascii="Verdana" w:hAnsi="Verdana"/>
                <w:sz w:val="18"/>
                <w:szCs w:val="18"/>
              </w:rPr>
              <w:t xml:space="preserve"> behorend</w:t>
            </w:r>
          </w:p>
        </w:tc>
        <w:tc>
          <w:tcPr>
            <w:tcW w:w="0" w:type="auto"/>
            <w:gridSpan w:val="2"/>
            <w:hideMark/>
          </w:tcPr>
          <w:p w:rsidR="00CE520D" w:rsidP="006D23DC" w:rsidRDefault="00CE520D">
            <w:pPr>
              <w:rPr>
                <w:sz w:val="20"/>
                <w:szCs w:val="20"/>
              </w:rPr>
            </w:pPr>
          </w:p>
        </w:tc>
      </w:tr>
      <w:tr w:rsidR="00CE520D" w:rsidTr="006D23DC">
        <w:tc>
          <w:tcPr>
            <w:tcW w:w="0" w:type="auto"/>
            <w:tcBorders>
              <w:left w:val="nil"/>
              <w:right w:val="nil"/>
            </w:tcBorders>
            <w:tcMar>
              <w:top w:w="15" w:type="dxa"/>
              <w:left w:w="360" w:type="dxa"/>
              <w:bottom w:w="15" w:type="dxa"/>
              <w:right w:w="15" w:type="dxa"/>
            </w:tcMar>
            <w:vAlign w:val="both"/>
            <w:hideMark/>
          </w:tcPr>
          <w:p w:rsidR="00CE520D" w:rsidP="006D23DC" w:rsidRDefault="00CE520D">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2,3</w:t>
            </w:r>
          </w:p>
        </w:tc>
      </w:tr>
      <w:tr w:rsidR="00CE520D" w:rsidTr="006D23DC">
        <w:tc>
          <w:tcPr>
            <w:tcW w:w="0" w:type="auto"/>
            <w:tcBorders>
              <w:left w:val="nil"/>
              <w:right w:val="nil"/>
            </w:tcBorders>
            <w:hideMark/>
          </w:tcPr>
          <w:p w:rsidR="00CE520D" w:rsidP="006D23DC" w:rsidRDefault="00CE520D">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-26,4</w:t>
            </w:r>
          </w:p>
        </w:tc>
      </w:tr>
      <w:tr w:rsidR="00CE520D" w:rsidTr="006D23DC">
        <w:tc>
          <w:tcPr>
            <w:tcW w:w="0" w:type="auto"/>
            <w:tcBorders>
              <w:left w:val="nil"/>
              <w:right w:val="nil"/>
            </w:tcBorders>
            <w:hideMark/>
          </w:tcPr>
          <w:p w:rsidR="00CE520D" w:rsidP="006D23DC" w:rsidRDefault="00CE520D">
            <w:pPr>
              <w:rPr>
                <w:rFonts w:ascii="Verdana" w:hAnsi="Verdana"/>
                <w:sz w:val="18"/>
                <w:szCs w:val="18"/>
              </w:rPr>
            </w:pPr>
            <w:r>
              <w:rPr>
                <w:rFonts w:ascii="Verdana" w:hAnsi="Verdana"/>
                <w:sz w:val="18"/>
                <w:szCs w:val="18"/>
              </w:rPr>
              <w:t>Totaal mutaties sinds Miljoenennota 2016</w:t>
            </w:r>
          </w:p>
        </w:tc>
        <w:tc>
          <w:tcPr>
            <w:tcW w:w="0" w:type="auto"/>
            <w:gridSpan w:val="2"/>
            <w:tcBorders>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-64,8</w:t>
            </w:r>
          </w:p>
        </w:tc>
      </w:tr>
      <w:tr w:rsidR="00CE520D" w:rsidTr="006D23DC">
        <w:tc>
          <w:tcPr>
            <w:tcW w:w="0" w:type="auto"/>
            <w:tcBorders>
              <w:left w:val="nil"/>
              <w:right w:val="nil"/>
            </w:tcBorders>
            <w:hideMark/>
          </w:tcPr>
          <w:p w:rsidR="00CE520D" w:rsidP="006D23DC" w:rsidRDefault="00CE520D">
            <w:pPr>
              <w:rPr>
                <w:rFonts w:ascii="Verdana" w:hAnsi="Verdana"/>
                <w:sz w:val="18"/>
                <w:szCs w:val="18"/>
              </w:rPr>
            </w:pPr>
            <w:r>
              <w:rPr>
                <w:rFonts w:ascii="Verdana" w:hAnsi="Verdana"/>
                <w:sz w:val="18"/>
                <w:szCs w:val="18"/>
              </w:rPr>
              <w:t> </w:t>
            </w:r>
          </w:p>
        </w:tc>
        <w:tc>
          <w:tcPr>
            <w:tcW w:w="0" w:type="auto"/>
            <w:gridSpan w:val="2"/>
            <w:hideMark/>
          </w:tcPr>
          <w:p w:rsidR="00CE520D" w:rsidP="006D23DC" w:rsidRDefault="00CE520D">
            <w:pPr>
              <w:rPr>
                <w:sz w:val="20"/>
                <w:szCs w:val="20"/>
              </w:rPr>
            </w:pPr>
          </w:p>
        </w:tc>
      </w:tr>
      <w:tr w:rsidR="00CE520D" w:rsidTr="006D23DC">
        <w:tc>
          <w:tcPr>
            <w:tcW w:w="0" w:type="auto"/>
            <w:tcBorders>
              <w:left w:val="nil"/>
              <w:right w:val="nil"/>
            </w:tcBorders>
            <w:hideMark/>
          </w:tcPr>
          <w:p w:rsidR="00CE520D" w:rsidP="006D23DC" w:rsidRDefault="00CE520D">
            <w:pPr>
              <w:rPr>
                <w:rFonts w:ascii="Verdana" w:hAnsi="Verdana"/>
                <w:sz w:val="18"/>
                <w:szCs w:val="18"/>
              </w:rPr>
            </w:pPr>
            <w:r>
              <w:rPr>
                <w:rFonts w:ascii="Verdana" w:hAnsi="Verdana"/>
                <w:sz w:val="18"/>
                <w:szCs w:val="18"/>
              </w:rPr>
              <w:t>Stand Najaarsnota 2015 (subtotaal)</w:t>
            </w:r>
          </w:p>
        </w:tc>
        <w:tc>
          <w:tcPr>
            <w:tcW w:w="0" w:type="auto"/>
            <w:gridSpan w:val="2"/>
            <w:tcBorders>
              <w:top w:val="single" w:color="000000" w:sz="6" w:space="0"/>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31.380,8</w:t>
            </w:r>
          </w:p>
        </w:tc>
      </w:tr>
      <w:tr w:rsidR="00CE520D" w:rsidTr="006D23DC">
        <w:tc>
          <w:tcPr>
            <w:tcW w:w="0" w:type="auto"/>
            <w:tcBorders>
              <w:left w:val="nil"/>
              <w:right w:val="nil"/>
            </w:tcBorders>
            <w:hideMark/>
          </w:tcPr>
          <w:p w:rsidR="00CE520D" w:rsidP="006D23DC" w:rsidRDefault="00CE520D">
            <w:pPr>
              <w:rPr>
                <w:rFonts w:ascii="Verdana" w:hAnsi="Verdana"/>
                <w:sz w:val="18"/>
                <w:szCs w:val="18"/>
              </w:rPr>
            </w:pPr>
            <w:r>
              <w:rPr>
                <w:rFonts w:ascii="Verdana" w:hAnsi="Verdana"/>
                <w:sz w:val="18"/>
                <w:szCs w:val="18"/>
              </w:rPr>
              <w:t>Totaal Internationale samenwerking</w:t>
            </w:r>
          </w:p>
        </w:tc>
        <w:tc>
          <w:tcPr>
            <w:tcW w:w="0" w:type="auto"/>
            <w:gridSpan w:val="2"/>
            <w:tcBorders>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0,5</w:t>
            </w:r>
          </w:p>
        </w:tc>
      </w:tr>
      <w:tr w:rsidR="00CE520D" w:rsidTr="006D23DC">
        <w:tc>
          <w:tcPr>
            <w:tcW w:w="0" w:type="auto"/>
            <w:tcBorders>
              <w:left w:val="nil"/>
              <w:right w:val="nil"/>
            </w:tcBorders>
            <w:hideMark/>
          </w:tcPr>
          <w:p w:rsidR="00CE520D" w:rsidP="006D23DC" w:rsidRDefault="00CE520D">
            <w:pPr>
              <w:rPr>
                <w:rFonts w:ascii="Verdana" w:hAnsi="Verdana"/>
                <w:sz w:val="18"/>
                <w:szCs w:val="18"/>
              </w:rPr>
            </w:pPr>
            <w:r>
              <w:rPr>
                <w:rFonts w:ascii="Verdana" w:hAnsi="Verdana"/>
                <w:sz w:val="18"/>
                <w:szCs w:val="18"/>
              </w:rPr>
              <w:t>Stand Najaarsnota 2015</w:t>
            </w:r>
          </w:p>
        </w:tc>
        <w:tc>
          <w:tcPr>
            <w:tcW w:w="0" w:type="auto"/>
            <w:gridSpan w:val="2"/>
            <w:tcBorders>
              <w:top w:val="single" w:color="000000" w:sz="6" w:space="0"/>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31.381,3</w:t>
            </w:r>
          </w:p>
        </w:tc>
      </w:tr>
      <w:tr w:rsidR="00CE520D" w:rsidTr="00CE520D">
        <w:tc>
          <w:tcPr>
            <w:tcW w:w="8222" w:type="dxa"/>
            <w:gridSpan w:val="2"/>
            <w:tcBorders>
              <w:left w:val="nil"/>
              <w:right w:val="nil"/>
            </w:tcBorders>
            <w:hideMark/>
          </w:tcPr>
          <w:p w:rsidR="00CE520D" w:rsidP="006D23DC" w:rsidRDefault="00CE520D">
            <w:pPr>
              <w:rPr>
                <w:rFonts w:ascii="Verdana" w:hAnsi="Verdana"/>
                <w:sz w:val="18"/>
                <w:szCs w:val="18"/>
              </w:rPr>
            </w:pPr>
            <w:r>
              <w:rPr>
                <w:rFonts w:ascii="Verdana" w:hAnsi="Verdana"/>
                <w:sz w:val="18"/>
                <w:szCs w:val="18"/>
              </w:rPr>
              <w:t> </w:t>
            </w:r>
          </w:p>
        </w:tc>
        <w:tc>
          <w:tcPr>
            <w:tcW w:w="880" w:type="dxa"/>
            <w:tcBorders>
              <w:left w:val="nil"/>
              <w:right w:val="nil"/>
            </w:tcBorders>
            <w:hideMark/>
          </w:tcPr>
          <w:p w:rsidR="00CE520D" w:rsidP="006D23DC" w:rsidRDefault="00CE520D">
            <w:pPr>
              <w:rPr>
                <w:rFonts w:ascii="Verdana" w:hAnsi="Verdana"/>
                <w:sz w:val="18"/>
                <w:szCs w:val="18"/>
              </w:rPr>
            </w:pPr>
            <w:r>
              <w:rPr>
                <w:rFonts w:ascii="Verdana" w:hAnsi="Verdana"/>
                <w:sz w:val="18"/>
                <w:szCs w:val="18"/>
              </w:rPr>
              <w:t> </w:t>
            </w:r>
          </w:p>
        </w:tc>
      </w:tr>
      <w:tr w:rsidR="00CE520D" w:rsidTr="006D23DC">
        <w:tc>
          <w:tcPr>
            <w:tcW w:w="0" w:type="auto"/>
            <w:gridSpan w:val="2"/>
            <w:tcBorders>
              <w:left w:val="nil"/>
              <w:right w:val="nil"/>
            </w:tcBorders>
            <w:hideMark/>
          </w:tcPr>
          <w:p w:rsidR="00CE520D" w:rsidP="006D23DC" w:rsidRDefault="00CE520D">
            <w:pPr>
              <w:rPr>
                <w:rFonts w:ascii="Verdana" w:hAnsi="Verdana"/>
                <w:sz w:val="18"/>
                <w:szCs w:val="18"/>
              </w:rPr>
            </w:pPr>
            <w:r>
              <w:rPr>
                <w:rFonts w:ascii="Verdana" w:hAnsi="Verdana"/>
                <w:sz w:val="18"/>
                <w:szCs w:val="18"/>
              </w:rPr>
              <w:t>XV SOCIALE ZAKEN EN WERKGELEGENHEID: NIET-BELASTINGONTVANGSTEN</w:t>
            </w:r>
          </w:p>
        </w:tc>
        <w:tc>
          <w:tcPr>
            <w:tcW w:w="0" w:type="auto"/>
            <w:hideMark/>
          </w:tcPr>
          <w:p w:rsidR="00CE520D" w:rsidP="006D23DC" w:rsidRDefault="00CE520D">
            <w:pPr>
              <w:rPr>
                <w:sz w:val="20"/>
                <w:szCs w:val="20"/>
              </w:rPr>
            </w:pPr>
          </w:p>
        </w:tc>
      </w:tr>
      <w:tr w:rsidR="00CE520D" w:rsidTr="006D23DC">
        <w:tc>
          <w:tcPr>
            <w:tcW w:w="0" w:type="auto"/>
            <w:gridSpan w:val="2"/>
            <w:tcBorders>
              <w:top w:val="single" w:color="000000" w:sz="6" w:space="0"/>
              <w:left w:val="nil"/>
              <w:bottom w:val="single" w:color="000000" w:sz="6" w:space="0"/>
              <w:right w:val="nil"/>
            </w:tcBorders>
            <w:hideMark/>
          </w:tcPr>
          <w:p w:rsidR="00CE520D" w:rsidP="006D23DC" w:rsidRDefault="00CE520D">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CE520D" w:rsidP="006D23DC" w:rsidRDefault="00CE520D">
            <w:pPr>
              <w:jc w:val="right"/>
              <w:rPr>
                <w:rFonts w:ascii="Verdana" w:hAnsi="Verdana"/>
                <w:sz w:val="18"/>
                <w:szCs w:val="18"/>
              </w:rPr>
            </w:pPr>
            <w:r>
              <w:rPr>
                <w:rFonts w:ascii="Verdana" w:hAnsi="Verdana"/>
                <w:sz w:val="18"/>
                <w:szCs w:val="18"/>
              </w:rPr>
              <w:t>2015</w:t>
            </w:r>
          </w:p>
        </w:tc>
      </w:tr>
      <w:tr w:rsidR="00CE520D" w:rsidTr="006D23DC">
        <w:tc>
          <w:tcPr>
            <w:tcW w:w="0" w:type="auto"/>
            <w:gridSpan w:val="2"/>
            <w:tcBorders>
              <w:left w:val="nil"/>
              <w:right w:val="nil"/>
            </w:tcBorders>
            <w:hideMark/>
          </w:tcPr>
          <w:p w:rsidR="00CE520D" w:rsidP="006D23DC" w:rsidRDefault="00CE520D">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1.849,4</w:t>
            </w:r>
          </w:p>
        </w:tc>
      </w:tr>
      <w:tr w:rsidR="00CE520D" w:rsidTr="006D23DC">
        <w:tc>
          <w:tcPr>
            <w:tcW w:w="0" w:type="auto"/>
            <w:gridSpan w:val="2"/>
            <w:tcBorders>
              <w:left w:val="nil"/>
              <w:right w:val="nil"/>
            </w:tcBorders>
            <w:hideMark/>
          </w:tcPr>
          <w:p w:rsidR="00CE520D" w:rsidP="006D23DC" w:rsidRDefault="00CE520D">
            <w:pPr>
              <w:rPr>
                <w:rFonts w:ascii="Verdana" w:hAnsi="Verdana"/>
                <w:sz w:val="18"/>
                <w:szCs w:val="18"/>
              </w:rPr>
            </w:pPr>
            <w:r>
              <w:rPr>
                <w:rFonts w:ascii="Verdana" w:hAnsi="Verdana"/>
                <w:sz w:val="18"/>
                <w:szCs w:val="18"/>
              </w:rPr>
              <w:t>Mee- en tegenvallers</w:t>
            </w:r>
          </w:p>
        </w:tc>
        <w:tc>
          <w:tcPr>
            <w:tcW w:w="0" w:type="auto"/>
            <w:hideMark/>
          </w:tcPr>
          <w:p w:rsidR="00CE520D" w:rsidP="006D23DC" w:rsidRDefault="00CE520D">
            <w:pPr>
              <w:rPr>
                <w:sz w:val="20"/>
                <w:szCs w:val="20"/>
              </w:rPr>
            </w:pPr>
          </w:p>
        </w:tc>
      </w:tr>
      <w:tr w:rsidR="00CE520D" w:rsidTr="006D23DC">
        <w:tc>
          <w:tcPr>
            <w:tcW w:w="0" w:type="auto"/>
            <w:gridSpan w:val="2"/>
            <w:tcBorders>
              <w:left w:val="nil"/>
              <w:right w:val="nil"/>
            </w:tcBorders>
            <w:tcMar>
              <w:top w:w="15" w:type="dxa"/>
              <w:left w:w="180" w:type="dxa"/>
              <w:bottom w:w="15" w:type="dxa"/>
              <w:right w:w="15" w:type="dxa"/>
            </w:tcMar>
            <w:vAlign w:val="both"/>
            <w:hideMark/>
          </w:tcPr>
          <w:p w:rsidR="00CE520D" w:rsidP="006D23DC" w:rsidRDefault="00CE520D">
            <w:pPr>
              <w:ind w:firstLine="180" w:firstLineChars="100"/>
              <w:rPr>
                <w:rFonts w:ascii="Verdana" w:hAnsi="Verdana"/>
                <w:sz w:val="18"/>
                <w:szCs w:val="18"/>
              </w:rPr>
            </w:pPr>
            <w:r>
              <w:rPr>
                <w:rFonts w:ascii="Verdana" w:hAnsi="Verdana"/>
                <w:sz w:val="18"/>
                <w:szCs w:val="18"/>
              </w:rPr>
              <w:t>Sociale zekerheid</w:t>
            </w:r>
          </w:p>
        </w:tc>
        <w:tc>
          <w:tcPr>
            <w:tcW w:w="0" w:type="auto"/>
            <w:hideMark/>
          </w:tcPr>
          <w:p w:rsidR="00CE520D" w:rsidP="006D23DC" w:rsidRDefault="00CE520D">
            <w:pPr>
              <w:rPr>
                <w:sz w:val="20"/>
                <w:szCs w:val="20"/>
              </w:rPr>
            </w:pPr>
          </w:p>
        </w:tc>
      </w:tr>
      <w:tr w:rsidR="00CE520D" w:rsidTr="006D23DC">
        <w:tc>
          <w:tcPr>
            <w:tcW w:w="0" w:type="auto"/>
            <w:gridSpan w:val="2"/>
            <w:tcBorders>
              <w:left w:val="nil"/>
              <w:right w:val="nil"/>
            </w:tcBorders>
            <w:tcMar>
              <w:top w:w="15" w:type="dxa"/>
              <w:left w:w="360" w:type="dxa"/>
              <w:bottom w:w="15" w:type="dxa"/>
              <w:right w:w="15" w:type="dxa"/>
            </w:tcMar>
            <w:vAlign w:val="both"/>
            <w:hideMark/>
          </w:tcPr>
          <w:p w:rsidR="00CE520D" w:rsidP="006D23DC" w:rsidRDefault="00CE520D">
            <w:pPr>
              <w:ind w:firstLine="360" w:firstLineChars="200"/>
              <w:rPr>
                <w:rFonts w:ascii="Verdana" w:hAnsi="Verdana"/>
                <w:sz w:val="18"/>
                <w:szCs w:val="18"/>
              </w:rPr>
            </w:pPr>
            <w:r>
              <w:rPr>
                <w:rFonts w:ascii="Verdana" w:hAnsi="Verdana"/>
                <w:sz w:val="18"/>
                <w:szCs w:val="18"/>
              </w:rPr>
              <w:t>Kinderopvangtoeslag</w:t>
            </w:r>
          </w:p>
        </w:tc>
        <w:tc>
          <w:tcPr>
            <w:tcW w:w="0" w:type="auto"/>
            <w:tcBorders>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17,0</w:t>
            </w:r>
          </w:p>
        </w:tc>
      </w:tr>
      <w:tr w:rsidR="00CE520D" w:rsidTr="006D23DC">
        <w:tc>
          <w:tcPr>
            <w:tcW w:w="0" w:type="auto"/>
            <w:gridSpan w:val="2"/>
            <w:tcBorders>
              <w:left w:val="nil"/>
              <w:right w:val="nil"/>
            </w:tcBorders>
            <w:tcMar>
              <w:top w:w="15" w:type="dxa"/>
              <w:left w:w="360" w:type="dxa"/>
              <w:bottom w:w="15" w:type="dxa"/>
              <w:right w:w="15" w:type="dxa"/>
            </w:tcMar>
            <w:vAlign w:val="both"/>
            <w:hideMark/>
          </w:tcPr>
          <w:p w:rsidR="00CE520D" w:rsidP="006D23DC" w:rsidRDefault="00CE520D">
            <w:pPr>
              <w:ind w:firstLine="360" w:firstLineChars="200"/>
              <w:rPr>
                <w:rFonts w:ascii="Verdana" w:hAnsi="Verdana"/>
                <w:sz w:val="18"/>
                <w:szCs w:val="18"/>
              </w:rPr>
            </w:pPr>
            <w:r>
              <w:rPr>
                <w:rFonts w:ascii="Verdana" w:hAnsi="Verdana"/>
                <w:sz w:val="18"/>
                <w:szCs w:val="18"/>
              </w:rPr>
              <w:t>Nadere afrekening bijstand</w:t>
            </w:r>
          </w:p>
        </w:tc>
        <w:tc>
          <w:tcPr>
            <w:tcW w:w="0" w:type="auto"/>
            <w:tcBorders>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19,5</w:t>
            </w:r>
          </w:p>
        </w:tc>
      </w:tr>
      <w:tr w:rsidR="00CE520D" w:rsidTr="006D23DC">
        <w:tc>
          <w:tcPr>
            <w:tcW w:w="0" w:type="auto"/>
            <w:gridSpan w:val="2"/>
            <w:tcBorders>
              <w:left w:val="nil"/>
              <w:right w:val="nil"/>
            </w:tcBorders>
            <w:tcMar>
              <w:top w:w="15" w:type="dxa"/>
              <w:left w:w="360" w:type="dxa"/>
              <w:bottom w:w="15" w:type="dxa"/>
              <w:right w:w="15" w:type="dxa"/>
            </w:tcMar>
            <w:vAlign w:val="both"/>
            <w:hideMark/>
          </w:tcPr>
          <w:p w:rsidR="00CE520D" w:rsidP="006D23DC" w:rsidRDefault="00CE520D">
            <w:pPr>
              <w:ind w:firstLine="360" w:firstLineChars="200"/>
              <w:rPr>
                <w:rFonts w:ascii="Verdana" w:hAnsi="Verdana"/>
                <w:sz w:val="18"/>
                <w:szCs w:val="18"/>
              </w:rPr>
            </w:pPr>
            <w:r>
              <w:rPr>
                <w:rFonts w:ascii="Verdana" w:hAnsi="Verdana"/>
                <w:sz w:val="18"/>
                <w:szCs w:val="18"/>
              </w:rPr>
              <w:t xml:space="preserve">Nadere afrekening </w:t>
            </w:r>
            <w:proofErr w:type="spellStart"/>
            <w:r>
              <w:rPr>
                <w:rFonts w:ascii="Verdana" w:hAnsi="Verdana"/>
                <w:sz w:val="18"/>
                <w:szCs w:val="18"/>
              </w:rPr>
              <w:t>wajong</w:t>
            </w:r>
            <w:proofErr w:type="spellEnd"/>
          </w:p>
        </w:tc>
        <w:tc>
          <w:tcPr>
            <w:tcW w:w="0" w:type="auto"/>
            <w:tcBorders>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34,1</w:t>
            </w:r>
          </w:p>
        </w:tc>
      </w:tr>
      <w:tr w:rsidR="00CE520D" w:rsidTr="006D23DC">
        <w:tc>
          <w:tcPr>
            <w:tcW w:w="0" w:type="auto"/>
            <w:gridSpan w:val="2"/>
            <w:tcBorders>
              <w:left w:val="nil"/>
              <w:right w:val="nil"/>
            </w:tcBorders>
            <w:tcMar>
              <w:top w:w="15" w:type="dxa"/>
              <w:left w:w="360" w:type="dxa"/>
              <w:bottom w:w="15" w:type="dxa"/>
              <w:right w:w="15" w:type="dxa"/>
            </w:tcMar>
            <w:vAlign w:val="both"/>
            <w:hideMark/>
          </w:tcPr>
          <w:p w:rsidR="00CE520D" w:rsidP="006D23DC" w:rsidRDefault="00CE520D">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-8,5</w:t>
            </w:r>
          </w:p>
        </w:tc>
      </w:tr>
      <w:tr w:rsidR="00CE520D" w:rsidTr="006D23DC">
        <w:tc>
          <w:tcPr>
            <w:tcW w:w="0" w:type="auto"/>
            <w:gridSpan w:val="2"/>
            <w:tcBorders>
              <w:left w:val="nil"/>
              <w:right w:val="nil"/>
            </w:tcBorders>
            <w:hideMark/>
          </w:tcPr>
          <w:p w:rsidR="00CE520D" w:rsidP="006D23DC" w:rsidRDefault="00CE520D">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62,1</w:t>
            </w:r>
          </w:p>
        </w:tc>
      </w:tr>
      <w:tr w:rsidR="00CE520D" w:rsidTr="006D23DC">
        <w:tc>
          <w:tcPr>
            <w:tcW w:w="0" w:type="auto"/>
            <w:gridSpan w:val="2"/>
            <w:tcBorders>
              <w:left w:val="nil"/>
              <w:right w:val="nil"/>
            </w:tcBorders>
            <w:hideMark/>
          </w:tcPr>
          <w:p w:rsidR="00CE520D" w:rsidP="006D23DC" w:rsidRDefault="00CE520D">
            <w:pPr>
              <w:rPr>
                <w:rFonts w:ascii="Verdana" w:hAnsi="Verdana"/>
                <w:sz w:val="18"/>
                <w:szCs w:val="18"/>
              </w:rPr>
            </w:pPr>
            <w:r>
              <w:rPr>
                <w:rFonts w:ascii="Verdana" w:hAnsi="Verdana"/>
                <w:sz w:val="18"/>
                <w:szCs w:val="18"/>
              </w:rPr>
              <w:t>Beleidsmatige mutaties</w:t>
            </w:r>
          </w:p>
        </w:tc>
        <w:tc>
          <w:tcPr>
            <w:tcW w:w="0" w:type="auto"/>
            <w:hideMark/>
          </w:tcPr>
          <w:p w:rsidR="00CE520D" w:rsidP="006D23DC" w:rsidRDefault="00CE520D">
            <w:pPr>
              <w:rPr>
                <w:sz w:val="20"/>
                <w:szCs w:val="20"/>
              </w:rPr>
            </w:pPr>
          </w:p>
        </w:tc>
      </w:tr>
      <w:tr w:rsidR="00CE520D" w:rsidTr="006D23DC">
        <w:tc>
          <w:tcPr>
            <w:tcW w:w="0" w:type="auto"/>
            <w:gridSpan w:val="2"/>
            <w:tcBorders>
              <w:left w:val="nil"/>
              <w:right w:val="nil"/>
            </w:tcBorders>
            <w:tcMar>
              <w:top w:w="15" w:type="dxa"/>
              <w:left w:w="180" w:type="dxa"/>
              <w:bottom w:w="15" w:type="dxa"/>
              <w:right w:w="15" w:type="dxa"/>
            </w:tcMar>
            <w:vAlign w:val="both"/>
            <w:hideMark/>
          </w:tcPr>
          <w:p w:rsidR="00CE520D" w:rsidP="006D23DC" w:rsidRDefault="00CE520D">
            <w:pPr>
              <w:ind w:firstLine="180" w:firstLineChars="100"/>
              <w:rPr>
                <w:rFonts w:ascii="Verdana" w:hAnsi="Verdana"/>
                <w:sz w:val="18"/>
                <w:szCs w:val="18"/>
              </w:rPr>
            </w:pPr>
            <w:r>
              <w:rPr>
                <w:rFonts w:ascii="Verdana" w:hAnsi="Verdana"/>
                <w:sz w:val="18"/>
                <w:szCs w:val="18"/>
              </w:rPr>
              <w:t>Sociale zekerheid</w:t>
            </w:r>
          </w:p>
        </w:tc>
        <w:tc>
          <w:tcPr>
            <w:tcW w:w="0" w:type="auto"/>
            <w:hideMark/>
          </w:tcPr>
          <w:p w:rsidR="00CE520D" w:rsidP="006D23DC" w:rsidRDefault="00CE520D">
            <w:pPr>
              <w:rPr>
                <w:sz w:val="20"/>
                <w:szCs w:val="20"/>
              </w:rPr>
            </w:pPr>
          </w:p>
        </w:tc>
      </w:tr>
      <w:tr w:rsidR="00CE520D" w:rsidTr="006D23DC">
        <w:tc>
          <w:tcPr>
            <w:tcW w:w="0" w:type="auto"/>
            <w:gridSpan w:val="2"/>
            <w:tcBorders>
              <w:left w:val="nil"/>
              <w:right w:val="nil"/>
            </w:tcBorders>
            <w:tcMar>
              <w:top w:w="15" w:type="dxa"/>
              <w:left w:w="360" w:type="dxa"/>
              <w:bottom w:w="15" w:type="dxa"/>
              <w:right w:w="15" w:type="dxa"/>
            </w:tcMar>
            <w:vAlign w:val="both"/>
            <w:hideMark/>
          </w:tcPr>
          <w:p w:rsidR="00CE520D" w:rsidP="006D23DC" w:rsidRDefault="00CE520D">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-1,4</w:t>
            </w:r>
          </w:p>
        </w:tc>
      </w:tr>
      <w:tr w:rsidR="00CE520D" w:rsidTr="006D23DC">
        <w:tc>
          <w:tcPr>
            <w:tcW w:w="0" w:type="auto"/>
            <w:gridSpan w:val="2"/>
            <w:tcBorders>
              <w:left w:val="nil"/>
              <w:right w:val="nil"/>
            </w:tcBorders>
            <w:hideMark/>
          </w:tcPr>
          <w:p w:rsidR="00CE520D" w:rsidP="006D23DC" w:rsidRDefault="00CE520D">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-1,4</w:t>
            </w:r>
          </w:p>
        </w:tc>
      </w:tr>
      <w:tr w:rsidR="00CE520D" w:rsidTr="006D23DC">
        <w:tc>
          <w:tcPr>
            <w:tcW w:w="0" w:type="auto"/>
            <w:gridSpan w:val="2"/>
            <w:tcBorders>
              <w:left w:val="nil"/>
              <w:right w:val="nil"/>
            </w:tcBorders>
            <w:hideMark/>
          </w:tcPr>
          <w:p w:rsidR="00CE520D" w:rsidP="006D23DC" w:rsidRDefault="00CE520D">
            <w:pPr>
              <w:rPr>
                <w:rFonts w:ascii="Verdana" w:hAnsi="Verdana"/>
                <w:sz w:val="18"/>
                <w:szCs w:val="18"/>
              </w:rPr>
            </w:pPr>
            <w:r>
              <w:rPr>
                <w:rFonts w:ascii="Verdana" w:hAnsi="Verdana"/>
                <w:sz w:val="18"/>
                <w:szCs w:val="18"/>
              </w:rPr>
              <w:t>Technische mutaties</w:t>
            </w:r>
          </w:p>
        </w:tc>
        <w:tc>
          <w:tcPr>
            <w:tcW w:w="0" w:type="auto"/>
            <w:hideMark/>
          </w:tcPr>
          <w:p w:rsidR="00CE520D" w:rsidP="006D23DC" w:rsidRDefault="00CE520D">
            <w:pPr>
              <w:rPr>
                <w:sz w:val="20"/>
                <w:szCs w:val="20"/>
              </w:rPr>
            </w:pPr>
          </w:p>
        </w:tc>
      </w:tr>
      <w:tr w:rsidR="00CE520D" w:rsidTr="006D23DC">
        <w:tc>
          <w:tcPr>
            <w:tcW w:w="0" w:type="auto"/>
            <w:gridSpan w:val="2"/>
            <w:tcBorders>
              <w:left w:val="nil"/>
              <w:right w:val="nil"/>
            </w:tcBorders>
            <w:tcMar>
              <w:top w:w="15" w:type="dxa"/>
              <w:left w:w="180" w:type="dxa"/>
              <w:bottom w:w="15" w:type="dxa"/>
              <w:right w:w="15" w:type="dxa"/>
            </w:tcMar>
            <w:vAlign w:val="both"/>
            <w:hideMark/>
          </w:tcPr>
          <w:p w:rsidR="00CE520D" w:rsidP="006D23DC" w:rsidRDefault="00CE520D">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CE520D" w:rsidP="006D23DC" w:rsidRDefault="00CE520D">
            <w:pPr>
              <w:rPr>
                <w:sz w:val="20"/>
                <w:szCs w:val="20"/>
              </w:rPr>
            </w:pPr>
          </w:p>
        </w:tc>
      </w:tr>
      <w:tr w:rsidR="00CE520D" w:rsidTr="006D23DC">
        <w:tc>
          <w:tcPr>
            <w:tcW w:w="0" w:type="auto"/>
            <w:gridSpan w:val="2"/>
            <w:tcBorders>
              <w:left w:val="nil"/>
              <w:right w:val="nil"/>
            </w:tcBorders>
            <w:tcMar>
              <w:top w:w="15" w:type="dxa"/>
              <w:left w:w="360" w:type="dxa"/>
              <w:bottom w:w="15" w:type="dxa"/>
              <w:right w:w="15" w:type="dxa"/>
            </w:tcMar>
            <w:vAlign w:val="both"/>
            <w:hideMark/>
          </w:tcPr>
          <w:p w:rsidR="00CE520D" w:rsidP="006D23DC" w:rsidRDefault="00CE520D">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1,7</w:t>
            </w:r>
          </w:p>
        </w:tc>
      </w:tr>
      <w:tr w:rsidR="00CE520D" w:rsidTr="006D23DC">
        <w:tc>
          <w:tcPr>
            <w:tcW w:w="0" w:type="auto"/>
            <w:gridSpan w:val="2"/>
            <w:tcBorders>
              <w:left w:val="nil"/>
              <w:right w:val="nil"/>
            </w:tcBorders>
            <w:hideMark/>
          </w:tcPr>
          <w:p w:rsidR="00CE520D" w:rsidP="006D23DC" w:rsidRDefault="00CE520D">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1,7</w:t>
            </w:r>
          </w:p>
        </w:tc>
      </w:tr>
      <w:tr w:rsidR="00CE520D" w:rsidTr="006D23DC">
        <w:tc>
          <w:tcPr>
            <w:tcW w:w="0" w:type="auto"/>
            <w:gridSpan w:val="2"/>
            <w:tcBorders>
              <w:left w:val="nil"/>
              <w:right w:val="nil"/>
            </w:tcBorders>
            <w:hideMark/>
          </w:tcPr>
          <w:p w:rsidR="00CE520D" w:rsidP="006D23DC" w:rsidRDefault="00CE520D">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62,4</w:t>
            </w:r>
          </w:p>
        </w:tc>
      </w:tr>
      <w:tr w:rsidR="00CE520D" w:rsidTr="006D23DC">
        <w:tc>
          <w:tcPr>
            <w:tcW w:w="0" w:type="auto"/>
            <w:gridSpan w:val="2"/>
            <w:tcBorders>
              <w:left w:val="nil"/>
              <w:right w:val="nil"/>
            </w:tcBorders>
            <w:hideMark/>
          </w:tcPr>
          <w:p w:rsidR="00CE520D" w:rsidP="006D23DC" w:rsidRDefault="00CE520D">
            <w:pPr>
              <w:rPr>
                <w:rFonts w:ascii="Verdana" w:hAnsi="Verdana"/>
                <w:sz w:val="18"/>
                <w:szCs w:val="18"/>
              </w:rPr>
            </w:pPr>
            <w:r>
              <w:rPr>
                <w:rFonts w:ascii="Verdana" w:hAnsi="Verdana"/>
                <w:sz w:val="18"/>
                <w:szCs w:val="18"/>
              </w:rPr>
              <w:t> </w:t>
            </w:r>
          </w:p>
        </w:tc>
        <w:tc>
          <w:tcPr>
            <w:tcW w:w="0" w:type="auto"/>
            <w:hideMark/>
          </w:tcPr>
          <w:p w:rsidR="00CE520D" w:rsidP="006D23DC" w:rsidRDefault="00CE520D">
            <w:pPr>
              <w:rPr>
                <w:sz w:val="20"/>
                <w:szCs w:val="20"/>
              </w:rPr>
            </w:pPr>
          </w:p>
        </w:tc>
      </w:tr>
      <w:tr w:rsidR="00CE520D" w:rsidTr="006D23DC">
        <w:tc>
          <w:tcPr>
            <w:tcW w:w="0" w:type="auto"/>
            <w:gridSpan w:val="2"/>
            <w:tcBorders>
              <w:left w:val="nil"/>
              <w:right w:val="nil"/>
            </w:tcBorders>
            <w:hideMark/>
          </w:tcPr>
          <w:p w:rsidR="00CE520D" w:rsidP="006D23DC" w:rsidRDefault="00CE520D">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1.911,7</w:t>
            </w:r>
          </w:p>
        </w:tc>
      </w:tr>
      <w:tr w:rsidR="00CE520D" w:rsidTr="006D23DC">
        <w:tc>
          <w:tcPr>
            <w:tcW w:w="0" w:type="auto"/>
            <w:gridSpan w:val="2"/>
            <w:tcBorders>
              <w:left w:val="nil"/>
              <w:right w:val="nil"/>
            </w:tcBorders>
            <w:hideMark/>
          </w:tcPr>
          <w:p w:rsidR="00CE520D" w:rsidP="006D23DC" w:rsidRDefault="00CE520D">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0,0</w:t>
            </w:r>
          </w:p>
        </w:tc>
      </w:tr>
      <w:tr w:rsidR="00CE520D" w:rsidTr="006D23DC">
        <w:tc>
          <w:tcPr>
            <w:tcW w:w="0" w:type="auto"/>
            <w:gridSpan w:val="2"/>
            <w:tcBorders>
              <w:left w:val="nil"/>
              <w:right w:val="nil"/>
            </w:tcBorders>
            <w:hideMark/>
          </w:tcPr>
          <w:p w:rsidR="00CE520D" w:rsidP="006D23DC" w:rsidRDefault="00CE520D">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CE520D" w:rsidP="006D23DC" w:rsidRDefault="00CE520D">
            <w:pPr>
              <w:jc w:val="right"/>
              <w:rPr>
                <w:rFonts w:ascii="Verdana" w:hAnsi="Verdana"/>
                <w:sz w:val="18"/>
                <w:szCs w:val="18"/>
              </w:rPr>
            </w:pPr>
            <w:r>
              <w:rPr>
                <w:rFonts w:ascii="Verdana" w:hAnsi="Verdana"/>
                <w:sz w:val="18"/>
                <w:szCs w:val="18"/>
              </w:rPr>
              <w:t>1.911,7</w:t>
            </w:r>
          </w:p>
        </w:tc>
      </w:tr>
    </w:tbl>
    <w:p w:rsidRPr="00567480" w:rsidR="000D0216" w:rsidP="000D0216" w:rsidRDefault="000D0216">
      <w:pPr>
        <w:spacing w:line="240" w:lineRule="exact"/>
        <w:rPr>
          <w:rFonts w:ascii="Verdana" w:hAnsi="Verdana"/>
          <w:i/>
          <w:iCs/>
          <w:sz w:val="18"/>
          <w:szCs w:val="18"/>
        </w:rPr>
      </w:pPr>
      <w:r w:rsidRPr="00567480">
        <w:rPr>
          <w:rFonts w:ascii="Verdana" w:hAnsi="Verdana"/>
          <w:i/>
          <w:iCs/>
          <w:sz w:val="18"/>
          <w:szCs w:val="18"/>
        </w:rPr>
        <w:lastRenderedPageBreak/>
        <w:t>Bijstand</w:t>
      </w:r>
    </w:p>
    <w:p w:rsidR="000D0216" w:rsidP="000D0216" w:rsidRDefault="000D0216">
      <w:pPr>
        <w:rPr>
          <w:rFonts w:ascii="Verdana" w:hAnsi="Verdana"/>
          <w:sz w:val="18"/>
          <w:szCs w:val="18"/>
        </w:rPr>
      </w:pPr>
      <w:r w:rsidRPr="00567480">
        <w:rPr>
          <w:rFonts w:ascii="Verdana" w:hAnsi="Verdana"/>
          <w:sz w:val="18"/>
          <w:szCs w:val="18"/>
        </w:rPr>
        <w:t>Een correctie op de oorspronkelijk gehanteerde verdeling over de gemeenten leidt tot hogere uitgaven dan oorspronkelijk geraamd. Gemeenten die voordeel hebben van deze correctie krijgen hierdoor in 2015 een hoger budget. Tegelijkertijd zal geen enkele gemeente als gevolg van deze correctie budgetnadeel ontvangen dan bij het voorlopig budget in september 2014 is vastgesteld.</w:t>
      </w:r>
    </w:p>
    <w:p w:rsidR="000D0216" w:rsidP="000D0216" w:rsidRDefault="000D0216">
      <w:pPr>
        <w:spacing w:line="240" w:lineRule="exact"/>
        <w:rPr>
          <w:rFonts w:ascii="Verdana" w:hAnsi="Verdana"/>
          <w:sz w:val="18"/>
          <w:szCs w:val="18"/>
        </w:rPr>
      </w:pPr>
    </w:p>
    <w:p w:rsidR="000D0216" w:rsidP="000D0216" w:rsidRDefault="000D0216">
      <w:pPr>
        <w:spacing w:line="240" w:lineRule="exact"/>
        <w:rPr>
          <w:rFonts w:ascii="Verdana" w:hAnsi="Verdana"/>
          <w:i/>
          <w:sz w:val="18"/>
          <w:szCs w:val="18"/>
        </w:rPr>
      </w:pPr>
      <w:r>
        <w:rPr>
          <w:rFonts w:ascii="Verdana" w:hAnsi="Verdana"/>
          <w:i/>
          <w:sz w:val="18"/>
          <w:szCs w:val="18"/>
        </w:rPr>
        <w:t>Kinderopvangtoeslag (uitgaven en ontvangsten)</w:t>
      </w:r>
    </w:p>
    <w:p w:rsidR="000D0216" w:rsidP="000D0216" w:rsidRDefault="000D0216">
      <w:pPr>
        <w:spacing w:line="240" w:lineRule="exact"/>
        <w:rPr>
          <w:rFonts w:ascii="Verdana" w:hAnsi="Verdana"/>
          <w:sz w:val="18"/>
          <w:szCs w:val="18"/>
        </w:rPr>
      </w:pPr>
      <w:r>
        <w:rPr>
          <w:rFonts w:ascii="Verdana" w:hAnsi="Verdana"/>
          <w:sz w:val="18"/>
          <w:szCs w:val="18"/>
        </w:rPr>
        <w:t xml:space="preserve">Op basis van recente realisatiecijfers van de Belastingdienst is de raming van de uitgaven aan de kinderopvang naar beneden bijgesteld. Dit is het saldo van meer kinderen in de opvang en een lager gemiddeld aantal uren opvang per kind, waarbij het laatste effect groter is. </w:t>
      </w:r>
    </w:p>
    <w:p w:rsidR="000D0216" w:rsidP="000D0216" w:rsidRDefault="000D0216">
      <w:pPr>
        <w:spacing w:line="240" w:lineRule="exact"/>
        <w:rPr>
          <w:rFonts w:ascii="Verdana" w:hAnsi="Verdana"/>
          <w:sz w:val="18"/>
          <w:szCs w:val="18"/>
        </w:rPr>
      </w:pPr>
      <w:r>
        <w:rPr>
          <w:rFonts w:ascii="Verdana" w:hAnsi="Verdana"/>
          <w:sz w:val="18"/>
          <w:szCs w:val="18"/>
        </w:rPr>
        <w:t>Verder zijn de terugvorderingen over recente toeslagjaren hoger dan geraamd. Daarnaast verloopt het proces van definitief afrekenen bij de Belastingdienst steeds sneller waardoor on</w:t>
      </w:r>
      <w:r w:rsidR="00811F95">
        <w:rPr>
          <w:rFonts w:ascii="Verdana" w:hAnsi="Verdana"/>
          <w:sz w:val="18"/>
          <w:szCs w:val="18"/>
        </w:rPr>
        <w:t>tvangsten eerder binnenkomen.</w:t>
      </w:r>
    </w:p>
    <w:p w:rsidR="000D0216" w:rsidP="000D0216" w:rsidRDefault="000D0216">
      <w:pPr>
        <w:spacing w:line="240" w:lineRule="exact"/>
        <w:rPr>
          <w:rFonts w:ascii="Verdana" w:hAnsi="Verdana"/>
          <w:i/>
          <w:sz w:val="18"/>
          <w:szCs w:val="18"/>
        </w:rPr>
      </w:pPr>
    </w:p>
    <w:p w:rsidR="000D0216" w:rsidP="000D0216" w:rsidRDefault="000D0216">
      <w:pPr>
        <w:spacing w:line="240" w:lineRule="exact"/>
        <w:rPr>
          <w:rFonts w:ascii="Verdana" w:hAnsi="Verdana"/>
          <w:i/>
          <w:sz w:val="18"/>
          <w:szCs w:val="18"/>
        </w:rPr>
      </w:pPr>
      <w:r>
        <w:rPr>
          <w:rFonts w:ascii="Verdana" w:hAnsi="Verdana"/>
          <w:i/>
          <w:sz w:val="18"/>
          <w:szCs w:val="18"/>
        </w:rPr>
        <w:t xml:space="preserve">Diversen (beleidsmatige mutaties - </w:t>
      </w:r>
      <w:proofErr w:type="spellStart"/>
      <w:r>
        <w:rPr>
          <w:rFonts w:ascii="Verdana" w:hAnsi="Verdana"/>
          <w:i/>
          <w:sz w:val="18"/>
          <w:szCs w:val="18"/>
        </w:rPr>
        <w:t>rbg-eng</w:t>
      </w:r>
      <w:proofErr w:type="spellEnd"/>
      <w:r>
        <w:rPr>
          <w:rFonts w:ascii="Verdana" w:hAnsi="Verdana"/>
          <w:i/>
          <w:sz w:val="18"/>
          <w:szCs w:val="18"/>
        </w:rPr>
        <w:t>)</w:t>
      </w:r>
    </w:p>
    <w:p w:rsidR="000D0216" w:rsidP="000D0216" w:rsidRDefault="000D0216">
      <w:pPr>
        <w:spacing w:line="240" w:lineRule="atLeast"/>
        <w:rPr>
          <w:rFonts w:ascii="Verdana" w:hAnsi="Verdana"/>
          <w:iCs/>
          <w:sz w:val="18"/>
          <w:szCs w:val="18"/>
        </w:rPr>
      </w:pPr>
      <w:r>
        <w:rPr>
          <w:rFonts w:ascii="Verdana" w:hAnsi="Verdana"/>
          <w:iCs/>
          <w:sz w:val="18"/>
          <w:szCs w:val="18"/>
        </w:rPr>
        <w:t>Deze post bevat onderuitputting op diverse onderdelen van de begroting van SZW. De grootste betreft onderuitputting op het budget van de sectorplannen voor 2015 (7 mln.).</w:t>
      </w:r>
    </w:p>
    <w:p w:rsidR="000D0216" w:rsidP="000D0216" w:rsidRDefault="000D0216">
      <w:pPr>
        <w:spacing w:line="240" w:lineRule="exact"/>
        <w:rPr>
          <w:rFonts w:ascii="Verdana" w:hAnsi="Verdana"/>
          <w:sz w:val="18"/>
          <w:szCs w:val="18"/>
        </w:rPr>
      </w:pPr>
    </w:p>
    <w:p w:rsidR="000D0216" w:rsidP="000D0216" w:rsidRDefault="000D0216">
      <w:pPr>
        <w:spacing w:line="240" w:lineRule="exact"/>
        <w:rPr>
          <w:rFonts w:ascii="Verdana" w:hAnsi="Verdana"/>
          <w:i/>
          <w:sz w:val="18"/>
          <w:szCs w:val="18"/>
        </w:rPr>
      </w:pPr>
      <w:r>
        <w:rPr>
          <w:rFonts w:ascii="Verdana" w:hAnsi="Verdana"/>
          <w:i/>
          <w:sz w:val="18"/>
          <w:szCs w:val="18"/>
        </w:rPr>
        <w:t xml:space="preserve">Uitvoering motie </w:t>
      </w:r>
      <w:proofErr w:type="spellStart"/>
      <w:r>
        <w:rPr>
          <w:rFonts w:ascii="Verdana" w:hAnsi="Verdana"/>
          <w:i/>
          <w:sz w:val="18"/>
          <w:szCs w:val="18"/>
        </w:rPr>
        <w:t>Kerstens</w:t>
      </w:r>
      <w:proofErr w:type="spellEnd"/>
      <w:r>
        <w:rPr>
          <w:rFonts w:ascii="Verdana" w:hAnsi="Verdana"/>
          <w:i/>
          <w:sz w:val="18"/>
          <w:szCs w:val="18"/>
        </w:rPr>
        <w:t xml:space="preserve"> (herstructurering sociale werkplaatsen)</w:t>
      </w:r>
    </w:p>
    <w:p w:rsidR="000D0216" w:rsidP="000D0216" w:rsidRDefault="000D0216">
      <w:pPr>
        <w:spacing w:line="240" w:lineRule="exact"/>
        <w:rPr>
          <w:rFonts w:ascii="Verdana" w:hAnsi="Verdana"/>
          <w:sz w:val="18"/>
          <w:szCs w:val="18"/>
        </w:rPr>
      </w:pPr>
      <w:r>
        <w:rPr>
          <w:rFonts w:ascii="Verdana" w:hAnsi="Verdana"/>
          <w:sz w:val="18"/>
          <w:szCs w:val="18"/>
        </w:rPr>
        <w:t xml:space="preserve">Dit betreft een overboeking naar het Gemeentefonds ten behoeve van een decentralisatie-uitkering in verband met de door de Tweede Kamer aangenomen motie </w:t>
      </w:r>
      <w:proofErr w:type="spellStart"/>
      <w:r>
        <w:rPr>
          <w:rFonts w:ascii="Verdana" w:hAnsi="Verdana"/>
          <w:sz w:val="18"/>
          <w:szCs w:val="18"/>
        </w:rPr>
        <w:t>Kerstens</w:t>
      </w:r>
      <w:proofErr w:type="spellEnd"/>
      <w:r>
        <w:rPr>
          <w:rFonts w:ascii="Verdana" w:hAnsi="Verdana"/>
          <w:sz w:val="18"/>
          <w:szCs w:val="18"/>
        </w:rPr>
        <w:t xml:space="preserve"> voor de herstructurering van de sociale werkvoorziening via een landelijk sectorplan. </w:t>
      </w:r>
    </w:p>
    <w:p w:rsidR="000D0216" w:rsidP="000D0216" w:rsidRDefault="000D0216">
      <w:pPr>
        <w:spacing w:line="240" w:lineRule="exact"/>
        <w:rPr>
          <w:rFonts w:ascii="Verdana" w:hAnsi="Verdana"/>
          <w:i/>
          <w:sz w:val="18"/>
          <w:szCs w:val="18"/>
        </w:rPr>
      </w:pPr>
    </w:p>
    <w:p w:rsidR="000D0216" w:rsidP="000D0216" w:rsidRDefault="000D0216">
      <w:pPr>
        <w:spacing w:line="240" w:lineRule="exact"/>
        <w:rPr>
          <w:rFonts w:ascii="Verdana" w:hAnsi="Verdana"/>
          <w:i/>
          <w:sz w:val="18"/>
          <w:szCs w:val="18"/>
        </w:rPr>
      </w:pPr>
      <w:r>
        <w:rPr>
          <w:rFonts w:ascii="Verdana" w:hAnsi="Verdana"/>
          <w:i/>
          <w:sz w:val="18"/>
          <w:szCs w:val="18"/>
        </w:rPr>
        <w:t>Nadere afrekening bijstand</w:t>
      </w:r>
    </w:p>
    <w:p w:rsidR="000D0216" w:rsidP="000D0216" w:rsidRDefault="000D0216">
      <w:pPr>
        <w:spacing w:line="240" w:lineRule="exact"/>
        <w:rPr>
          <w:rFonts w:ascii="Verdana" w:hAnsi="Verdana"/>
          <w:i/>
          <w:sz w:val="18"/>
          <w:szCs w:val="18"/>
        </w:rPr>
      </w:pPr>
      <w:r>
        <w:rPr>
          <w:rFonts w:ascii="Verdana" w:hAnsi="Verdana"/>
          <w:sz w:val="18"/>
          <w:szCs w:val="18"/>
        </w:rPr>
        <w:t>De restituties komen vooral voort uit de terugontvangsten in verband met vaststellingen van rijksbijdragen over</w:t>
      </w:r>
      <w:r>
        <w:rPr>
          <w:rFonts w:ascii="Calibri" w:hAnsi="Calibri" w:cs="Calibri"/>
          <w:color w:val="000000"/>
        </w:rPr>
        <w:t xml:space="preserve"> </w:t>
      </w:r>
      <w:r>
        <w:rPr>
          <w:rFonts w:ascii="Verdana" w:hAnsi="Verdana"/>
          <w:sz w:val="18"/>
          <w:szCs w:val="18"/>
        </w:rPr>
        <w:t xml:space="preserve">oudere verantwoordingsjaren voor de Wet Participatiebudget, de Toeslagenwet en boedelverdeling </w:t>
      </w:r>
      <w:proofErr w:type="spellStart"/>
      <w:r>
        <w:rPr>
          <w:rFonts w:ascii="Verdana" w:hAnsi="Verdana"/>
          <w:sz w:val="18"/>
          <w:szCs w:val="18"/>
        </w:rPr>
        <w:t>SVB-Nederlandse</w:t>
      </w:r>
      <w:proofErr w:type="spellEnd"/>
      <w:r>
        <w:rPr>
          <w:rFonts w:ascii="Verdana" w:hAnsi="Verdana"/>
          <w:sz w:val="18"/>
          <w:szCs w:val="18"/>
        </w:rPr>
        <w:t xml:space="preserve"> Antillen.</w:t>
      </w:r>
      <w:r>
        <w:rPr>
          <w:rFonts w:ascii="Calibri" w:hAnsi="Calibri" w:cs="Calibri"/>
          <w:color w:val="000000"/>
        </w:rPr>
        <w:t xml:space="preserve"> </w:t>
      </w:r>
      <w:r>
        <w:rPr>
          <w:rFonts w:ascii="Verdana" w:hAnsi="Verdana"/>
          <w:sz w:val="18"/>
          <w:szCs w:val="18"/>
          <w:highlight w:val="yellow"/>
        </w:rPr>
        <w:t xml:space="preserve"> </w:t>
      </w:r>
    </w:p>
    <w:p w:rsidR="000D0216" w:rsidP="000D0216" w:rsidRDefault="000D0216">
      <w:pPr>
        <w:spacing w:line="240" w:lineRule="exact"/>
        <w:rPr>
          <w:rFonts w:ascii="Verdana" w:hAnsi="Verdana"/>
          <w:i/>
          <w:sz w:val="18"/>
          <w:szCs w:val="18"/>
        </w:rPr>
      </w:pPr>
    </w:p>
    <w:p w:rsidR="000D0216" w:rsidP="000D0216" w:rsidRDefault="000D0216">
      <w:pPr>
        <w:spacing w:line="240" w:lineRule="exact"/>
        <w:rPr>
          <w:rFonts w:ascii="Verdana" w:hAnsi="Verdana"/>
          <w:i/>
          <w:sz w:val="18"/>
          <w:szCs w:val="18"/>
        </w:rPr>
      </w:pPr>
      <w:r>
        <w:rPr>
          <w:rFonts w:ascii="Verdana" w:hAnsi="Verdana"/>
          <w:i/>
          <w:sz w:val="18"/>
          <w:szCs w:val="18"/>
        </w:rPr>
        <w:t xml:space="preserve">Nadere afrekening </w:t>
      </w:r>
      <w:proofErr w:type="spellStart"/>
      <w:r>
        <w:rPr>
          <w:rFonts w:ascii="Verdana" w:hAnsi="Verdana"/>
          <w:i/>
          <w:sz w:val="18"/>
          <w:szCs w:val="18"/>
        </w:rPr>
        <w:t>wajong</w:t>
      </w:r>
      <w:proofErr w:type="spellEnd"/>
    </w:p>
    <w:p w:rsidR="000D0216" w:rsidP="000D0216" w:rsidRDefault="000D0216">
      <w:pPr>
        <w:rPr>
          <w:rFonts w:ascii="Verdana" w:hAnsi="Verdana"/>
          <w:sz w:val="14"/>
          <w:szCs w:val="14"/>
        </w:rPr>
      </w:pPr>
      <w:r>
        <w:rPr>
          <w:rFonts w:ascii="Verdana" w:hAnsi="Verdana"/>
          <w:sz w:val="18"/>
          <w:szCs w:val="18"/>
        </w:rPr>
        <w:t xml:space="preserve">De restituties hebben betrekking op verrekeningen in verband met betaalde rijksvergoedingen </w:t>
      </w:r>
      <w:proofErr w:type="spellStart"/>
      <w:r>
        <w:rPr>
          <w:rFonts w:ascii="Verdana" w:hAnsi="Verdana"/>
          <w:sz w:val="18"/>
          <w:szCs w:val="18"/>
        </w:rPr>
        <w:t>Wajong</w:t>
      </w:r>
      <w:proofErr w:type="spellEnd"/>
      <w:r>
        <w:rPr>
          <w:rFonts w:ascii="Verdana" w:hAnsi="Verdana"/>
          <w:sz w:val="18"/>
          <w:szCs w:val="18"/>
        </w:rPr>
        <w:t xml:space="preserve"> en Re-integratie </w:t>
      </w:r>
      <w:proofErr w:type="spellStart"/>
      <w:r>
        <w:rPr>
          <w:rFonts w:ascii="Verdana" w:hAnsi="Verdana"/>
          <w:sz w:val="18"/>
          <w:szCs w:val="18"/>
        </w:rPr>
        <w:t>Wajong</w:t>
      </w:r>
      <w:proofErr w:type="spellEnd"/>
      <w:r>
        <w:rPr>
          <w:rFonts w:ascii="Verdana" w:hAnsi="Verdana"/>
          <w:sz w:val="18"/>
          <w:szCs w:val="18"/>
        </w:rPr>
        <w:t xml:space="preserve"> in 2014.</w:t>
      </w:r>
      <w:r>
        <w:rPr>
          <w:rFonts w:ascii="Calibri" w:hAnsi="Calibri" w:cs="Calibri"/>
          <w:color w:val="000000"/>
        </w:rPr>
        <w:t xml:space="preserve"> </w:t>
      </w:r>
      <w:r>
        <w:rPr>
          <w:rFonts w:ascii="Verdana" w:hAnsi="Verdana"/>
          <w:sz w:val="14"/>
          <w:szCs w:val="14"/>
        </w:rPr>
        <w:t> </w:t>
      </w:r>
    </w:p>
    <w:p w:rsidRPr="00533D5C" w:rsidR="00AF43DD" w:rsidP="00533D5C" w:rsidRDefault="00AF43DD">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DD019D" w:rsidP="00533D5C" w:rsidRDefault="00212804">
      <w:pPr>
        <w:spacing w:line="240" w:lineRule="exact"/>
        <w:rPr>
          <w:rFonts w:ascii="Verdana" w:hAnsi="Verdana" w:cs="Verdana"/>
          <w:b/>
          <w:bCs/>
          <w:sz w:val="18"/>
          <w:szCs w:val="18"/>
        </w:rPr>
      </w:pPr>
      <w:r w:rsidRPr="00CF4484">
        <w:rPr>
          <w:rFonts w:ascii="Verdana" w:hAnsi="Verdana" w:cs="Verdana"/>
          <w:b/>
          <w:bCs/>
          <w:sz w:val="18"/>
          <w:szCs w:val="18"/>
        </w:rPr>
        <w:lastRenderedPageBreak/>
        <w:t>Soc</w:t>
      </w:r>
      <w:r w:rsidRPr="00CF4484" w:rsidR="009862F9">
        <w:rPr>
          <w:rFonts w:ascii="Verdana" w:hAnsi="Verdana" w:cs="Verdana"/>
          <w:b/>
          <w:bCs/>
          <w:sz w:val="18"/>
          <w:szCs w:val="18"/>
        </w:rPr>
        <w:t>iale Zekerheid</w:t>
      </w:r>
    </w:p>
    <w:tbl>
      <w:tblPr>
        <w:tblW w:w="0" w:type="auto"/>
        <w:tblCellMar>
          <w:top w:w="15" w:type="dxa"/>
          <w:left w:w="15" w:type="dxa"/>
          <w:bottom w:w="15" w:type="dxa"/>
          <w:right w:w="15" w:type="dxa"/>
        </w:tblCellMar>
        <w:tblLook w:val="04A0"/>
      </w:tblPr>
      <w:tblGrid>
        <w:gridCol w:w="8208"/>
        <w:gridCol w:w="8"/>
        <w:gridCol w:w="886"/>
      </w:tblGrid>
      <w:tr w:rsidR="00BE7E54" w:rsidTr="00BE7E54">
        <w:tc>
          <w:tcPr>
            <w:tcW w:w="8208" w:type="dxa"/>
            <w:tcBorders>
              <w:left w:val="nil"/>
              <w:right w:val="nil"/>
            </w:tcBorders>
            <w:hideMark/>
          </w:tcPr>
          <w:p w:rsidR="00BE7E54" w:rsidP="006D23DC" w:rsidRDefault="00BE7E54">
            <w:pPr>
              <w:rPr>
                <w:rFonts w:ascii="Verdana" w:hAnsi="Verdana"/>
                <w:sz w:val="18"/>
                <w:szCs w:val="18"/>
              </w:rPr>
            </w:pPr>
            <w:r>
              <w:rPr>
                <w:rFonts w:ascii="Verdana" w:hAnsi="Verdana"/>
                <w:sz w:val="18"/>
                <w:szCs w:val="18"/>
              </w:rPr>
              <w:t> </w:t>
            </w:r>
          </w:p>
        </w:tc>
        <w:tc>
          <w:tcPr>
            <w:tcW w:w="894" w:type="dxa"/>
            <w:gridSpan w:val="2"/>
            <w:tcBorders>
              <w:left w:val="nil"/>
              <w:right w:val="nil"/>
            </w:tcBorders>
            <w:hideMark/>
          </w:tcPr>
          <w:p w:rsidR="00BE7E54" w:rsidP="006D23DC" w:rsidRDefault="00BE7E54">
            <w:pPr>
              <w:rPr>
                <w:rFonts w:ascii="Verdana" w:hAnsi="Verdana"/>
                <w:sz w:val="18"/>
                <w:szCs w:val="18"/>
              </w:rPr>
            </w:pPr>
            <w:r>
              <w:rPr>
                <w:rFonts w:ascii="Verdana" w:hAnsi="Verdana"/>
                <w:sz w:val="18"/>
                <w:szCs w:val="18"/>
              </w:rPr>
              <w:t> </w:t>
            </w:r>
          </w:p>
        </w:tc>
      </w:tr>
      <w:tr w:rsidR="00BE7E54" w:rsidTr="006D23DC">
        <w:tc>
          <w:tcPr>
            <w:tcW w:w="0" w:type="auto"/>
            <w:gridSpan w:val="3"/>
            <w:tcBorders>
              <w:left w:val="nil"/>
              <w:right w:val="nil"/>
            </w:tcBorders>
            <w:hideMark/>
          </w:tcPr>
          <w:p w:rsidR="00BE7E54" w:rsidP="006D23DC" w:rsidRDefault="00BE7E54">
            <w:pPr>
              <w:rPr>
                <w:rFonts w:ascii="Verdana" w:hAnsi="Verdana"/>
                <w:sz w:val="18"/>
                <w:szCs w:val="18"/>
              </w:rPr>
            </w:pPr>
            <w:r>
              <w:rPr>
                <w:rFonts w:ascii="Verdana" w:hAnsi="Verdana"/>
                <w:sz w:val="18"/>
                <w:szCs w:val="18"/>
              </w:rPr>
              <w:t>SOCIALE ZEKERHEID: UITGAVEN</w:t>
            </w:r>
          </w:p>
        </w:tc>
      </w:tr>
      <w:tr w:rsidR="00BE7E54" w:rsidTr="006D23DC">
        <w:tc>
          <w:tcPr>
            <w:tcW w:w="0" w:type="auto"/>
            <w:tcBorders>
              <w:top w:val="single" w:color="000000" w:sz="6" w:space="0"/>
              <w:left w:val="nil"/>
              <w:bottom w:val="single" w:color="000000" w:sz="6" w:space="0"/>
              <w:right w:val="nil"/>
            </w:tcBorders>
            <w:hideMark/>
          </w:tcPr>
          <w:p w:rsidR="00BE7E54" w:rsidP="006D23DC" w:rsidRDefault="00BE7E54">
            <w:pPr>
              <w:jc w:val="right"/>
              <w:rPr>
                <w:rFonts w:ascii="Verdana" w:hAnsi="Verdana"/>
                <w:sz w:val="18"/>
                <w:szCs w:val="18"/>
              </w:rPr>
            </w:pPr>
          </w:p>
        </w:tc>
        <w:tc>
          <w:tcPr>
            <w:tcW w:w="0" w:type="auto"/>
            <w:gridSpan w:val="2"/>
            <w:tcBorders>
              <w:top w:val="single" w:color="000000" w:sz="6" w:space="0"/>
              <w:left w:val="nil"/>
              <w:bottom w:val="single" w:color="000000" w:sz="6" w:space="0"/>
              <w:right w:val="nil"/>
            </w:tcBorders>
            <w:hideMark/>
          </w:tcPr>
          <w:p w:rsidR="00BE7E54" w:rsidP="006D23DC" w:rsidRDefault="00BE7E54">
            <w:pPr>
              <w:jc w:val="right"/>
              <w:rPr>
                <w:rFonts w:ascii="Verdana" w:hAnsi="Verdana"/>
                <w:sz w:val="18"/>
                <w:szCs w:val="18"/>
              </w:rPr>
            </w:pPr>
            <w:r>
              <w:rPr>
                <w:rFonts w:ascii="Verdana" w:hAnsi="Verdana"/>
                <w:sz w:val="18"/>
                <w:szCs w:val="18"/>
              </w:rPr>
              <w:t>2015</w:t>
            </w:r>
          </w:p>
        </w:tc>
      </w:tr>
      <w:tr w:rsidR="00BE7E54" w:rsidTr="006D23DC">
        <w:tc>
          <w:tcPr>
            <w:tcW w:w="0" w:type="auto"/>
            <w:tcBorders>
              <w:left w:val="nil"/>
              <w:right w:val="nil"/>
            </w:tcBorders>
            <w:hideMark/>
          </w:tcPr>
          <w:p w:rsidR="00BE7E54" w:rsidP="006D23DC" w:rsidRDefault="00BE7E54">
            <w:pPr>
              <w:rPr>
                <w:rFonts w:ascii="Verdana" w:hAnsi="Verdana"/>
                <w:sz w:val="18"/>
                <w:szCs w:val="18"/>
              </w:rPr>
            </w:pPr>
            <w:r>
              <w:rPr>
                <w:rFonts w:ascii="Verdana" w:hAnsi="Verdana"/>
                <w:sz w:val="18"/>
                <w:szCs w:val="18"/>
              </w:rPr>
              <w:t>Stand Miljoenennota 2016</w:t>
            </w:r>
          </w:p>
        </w:tc>
        <w:tc>
          <w:tcPr>
            <w:tcW w:w="0" w:type="auto"/>
            <w:gridSpan w:val="2"/>
            <w:tcBorders>
              <w:top w:val="single" w:color="000000" w:sz="6" w:space="0"/>
              <w:left w:val="nil"/>
              <w:right w:val="nil"/>
            </w:tcBorders>
            <w:hideMark/>
          </w:tcPr>
          <w:p w:rsidR="00BE7E54" w:rsidP="006D23DC" w:rsidRDefault="00BE7E54">
            <w:pPr>
              <w:jc w:val="right"/>
              <w:rPr>
                <w:rFonts w:ascii="Verdana" w:hAnsi="Verdana"/>
                <w:sz w:val="18"/>
                <w:szCs w:val="18"/>
              </w:rPr>
            </w:pPr>
            <w:r>
              <w:rPr>
                <w:rFonts w:ascii="Verdana" w:hAnsi="Verdana"/>
                <w:sz w:val="18"/>
                <w:szCs w:val="18"/>
              </w:rPr>
              <w:t>77.041,9</w:t>
            </w:r>
          </w:p>
        </w:tc>
      </w:tr>
      <w:tr w:rsidR="00BE7E54" w:rsidTr="006D23DC">
        <w:tc>
          <w:tcPr>
            <w:tcW w:w="0" w:type="auto"/>
            <w:tcBorders>
              <w:left w:val="nil"/>
              <w:right w:val="nil"/>
            </w:tcBorders>
            <w:hideMark/>
          </w:tcPr>
          <w:p w:rsidR="00BE7E54" w:rsidP="006D23DC" w:rsidRDefault="00BE7E54">
            <w:pPr>
              <w:rPr>
                <w:rFonts w:ascii="Verdana" w:hAnsi="Verdana"/>
                <w:sz w:val="18"/>
                <w:szCs w:val="18"/>
              </w:rPr>
            </w:pPr>
            <w:r>
              <w:rPr>
                <w:rFonts w:ascii="Verdana" w:hAnsi="Verdana"/>
                <w:sz w:val="18"/>
                <w:szCs w:val="18"/>
              </w:rPr>
              <w:t>Mee- en tegenvallers</w:t>
            </w:r>
          </w:p>
        </w:tc>
        <w:tc>
          <w:tcPr>
            <w:tcW w:w="0" w:type="auto"/>
            <w:gridSpan w:val="2"/>
            <w:hideMark/>
          </w:tcPr>
          <w:p w:rsidR="00BE7E54" w:rsidP="006D23DC" w:rsidRDefault="00BE7E54">
            <w:pPr>
              <w:rPr>
                <w:sz w:val="20"/>
                <w:szCs w:val="20"/>
              </w:rPr>
            </w:pPr>
          </w:p>
        </w:tc>
      </w:tr>
      <w:tr w:rsidR="00BE7E54" w:rsidTr="006D23DC">
        <w:tc>
          <w:tcPr>
            <w:tcW w:w="0" w:type="auto"/>
            <w:tcBorders>
              <w:left w:val="nil"/>
              <w:right w:val="nil"/>
            </w:tcBorders>
            <w:tcMar>
              <w:top w:w="15" w:type="dxa"/>
              <w:left w:w="180" w:type="dxa"/>
              <w:bottom w:w="15" w:type="dxa"/>
              <w:right w:w="15" w:type="dxa"/>
            </w:tcMar>
            <w:vAlign w:val="both"/>
            <w:hideMark/>
          </w:tcPr>
          <w:p w:rsidR="00BE7E54" w:rsidP="006D23DC" w:rsidRDefault="00BE7E54">
            <w:pPr>
              <w:ind w:firstLine="180" w:firstLineChars="100"/>
              <w:rPr>
                <w:rFonts w:ascii="Verdana" w:hAnsi="Verdana"/>
                <w:sz w:val="18"/>
                <w:szCs w:val="18"/>
              </w:rPr>
            </w:pPr>
            <w:r>
              <w:rPr>
                <w:rFonts w:ascii="Verdana" w:hAnsi="Verdana"/>
                <w:sz w:val="18"/>
                <w:szCs w:val="18"/>
              </w:rPr>
              <w:t>Sociale zekerheid</w:t>
            </w:r>
          </w:p>
        </w:tc>
        <w:tc>
          <w:tcPr>
            <w:tcW w:w="0" w:type="auto"/>
            <w:gridSpan w:val="2"/>
            <w:hideMark/>
          </w:tcPr>
          <w:p w:rsidR="00BE7E54" w:rsidP="006D23DC" w:rsidRDefault="00BE7E54">
            <w:pPr>
              <w:rPr>
                <w:sz w:val="20"/>
                <w:szCs w:val="20"/>
              </w:rPr>
            </w:pPr>
          </w:p>
        </w:tc>
      </w:tr>
      <w:tr w:rsidR="00BE7E54" w:rsidTr="006D23DC">
        <w:tc>
          <w:tcPr>
            <w:tcW w:w="0" w:type="auto"/>
            <w:tcBorders>
              <w:left w:val="nil"/>
              <w:right w:val="nil"/>
            </w:tcBorders>
            <w:tcMar>
              <w:top w:w="15" w:type="dxa"/>
              <w:left w:w="360" w:type="dxa"/>
              <w:bottom w:w="15" w:type="dxa"/>
              <w:right w:w="15" w:type="dxa"/>
            </w:tcMar>
            <w:vAlign w:val="both"/>
            <w:hideMark/>
          </w:tcPr>
          <w:p w:rsidR="00BE7E54" w:rsidP="006D23DC" w:rsidRDefault="00BE7E54">
            <w:pPr>
              <w:ind w:firstLine="360" w:firstLineChars="200"/>
              <w:rPr>
                <w:rFonts w:ascii="Verdana" w:hAnsi="Verdana"/>
                <w:sz w:val="18"/>
                <w:szCs w:val="18"/>
              </w:rPr>
            </w:pPr>
            <w:r>
              <w:rPr>
                <w:rFonts w:ascii="Verdana" w:hAnsi="Verdana"/>
                <w:sz w:val="18"/>
                <w:szCs w:val="18"/>
              </w:rPr>
              <w:t>Kinderopvangtoeslag</w:t>
            </w:r>
          </w:p>
        </w:tc>
        <w:tc>
          <w:tcPr>
            <w:tcW w:w="0" w:type="auto"/>
            <w:gridSpan w:val="2"/>
            <w:tcBorders>
              <w:left w:val="nil"/>
              <w:right w:val="nil"/>
            </w:tcBorders>
            <w:hideMark/>
          </w:tcPr>
          <w:p w:rsidR="00BE7E54" w:rsidP="006D23DC" w:rsidRDefault="00BE7E54">
            <w:pPr>
              <w:jc w:val="right"/>
              <w:rPr>
                <w:rFonts w:ascii="Verdana" w:hAnsi="Verdana"/>
                <w:sz w:val="18"/>
                <w:szCs w:val="18"/>
              </w:rPr>
            </w:pPr>
            <w:r>
              <w:rPr>
                <w:rFonts w:ascii="Verdana" w:hAnsi="Verdana"/>
                <w:sz w:val="18"/>
                <w:szCs w:val="18"/>
              </w:rPr>
              <w:t>-45,0</w:t>
            </w:r>
          </w:p>
        </w:tc>
      </w:tr>
      <w:tr w:rsidR="00BE7E54" w:rsidTr="006D23DC">
        <w:tc>
          <w:tcPr>
            <w:tcW w:w="0" w:type="auto"/>
            <w:tcBorders>
              <w:left w:val="nil"/>
              <w:right w:val="nil"/>
            </w:tcBorders>
            <w:tcMar>
              <w:top w:w="15" w:type="dxa"/>
              <w:left w:w="360" w:type="dxa"/>
              <w:bottom w:w="15" w:type="dxa"/>
              <w:right w:w="15" w:type="dxa"/>
            </w:tcMar>
            <w:vAlign w:val="both"/>
            <w:hideMark/>
          </w:tcPr>
          <w:p w:rsidR="00BE7E54" w:rsidP="006D23DC" w:rsidRDefault="00BE7E54">
            <w:pPr>
              <w:ind w:firstLine="360" w:firstLineChars="200"/>
              <w:rPr>
                <w:rFonts w:ascii="Verdana" w:hAnsi="Verdana"/>
                <w:sz w:val="18"/>
                <w:szCs w:val="18"/>
              </w:rPr>
            </w:pPr>
            <w:proofErr w:type="spellStart"/>
            <w:r>
              <w:rPr>
                <w:rFonts w:ascii="Verdana" w:hAnsi="Verdana"/>
                <w:sz w:val="18"/>
                <w:szCs w:val="18"/>
              </w:rPr>
              <w:t>Wazo</w:t>
            </w:r>
            <w:proofErr w:type="spellEnd"/>
          </w:p>
        </w:tc>
        <w:tc>
          <w:tcPr>
            <w:tcW w:w="0" w:type="auto"/>
            <w:gridSpan w:val="2"/>
            <w:tcBorders>
              <w:left w:val="nil"/>
              <w:right w:val="nil"/>
            </w:tcBorders>
            <w:hideMark/>
          </w:tcPr>
          <w:p w:rsidR="00BE7E54" w:rsidP="006D23DC" w:rsidRDefault="00BE7E54">
            <w:pPr>
              <w:jc w:val="right"/>
              <w:rPr>
                <w:rFonts w:ascii="Verdana" w:hAnsi="Verdana"/>
                <w:sz w:val="18"/>
                <w:szCs w:val="18"/>
              </w:rPr>
            </w:pPr>
            <w:r>
              <w:rPr>
                <w:rFonts w:ascii="Verdana" w:hAnsi="Verdana"/>
                <w:sz w:val="18"/>
                <w:szCs w:val="18"/>
              </w:rPr>
              <w:t>-27,0</w:t>
            </w:r>
          </w:p>
        </w:tc>
      </w:tr>
      <w:tr w:rsidR="00BE7E54" w:rsidTr="006D23DC">
        <w:tc>
          <w:tcPr>
            <w:tcW w:w="0" w:type="auto"/>
            <w:tcBorders>
              <w:left w:val="nil"/>
              <w:right w:val="nil"/>
            </w:tcBorders>
            <w:tcMar>
              <w:top w:w="15" w:type="dxa"/>
              <w:left w:w="360" w:type="dxa"/>
              <w:bottom w:w="15" w:type="dxa"/>
              <w:right w:w="15" w:type="dxa"/>
            </w:tcMar>
            <w:vAlign w:val="both"/>
            <w:hideMark/>
          </w:tcPr>
          <w:p w:rsidR="00BE7E54" w:rsidP="006D23DC" w:rsidRDefault="00BE7E54">
            <w:pPr>
              <w:ind w:firstLine="360" w:firstLineChars="200"/>
              <w:rPr>
                <w:rFonts w:ascii="Verdana" w:hAnsi="Verdana"/>
                <w:sz w:val="18"/>
                <w:szCs w:val="18"/>
              </w:rPr>
            </w:pPr>
            <w:proofErr w:type="spellStart"/>
            <w:r>
              <w:rPr>
                <w:rFonts w:ascii="Verdana" w:hAnsi="Verdana"/>
                <w:sz w:val="18"/>
                <w:szCs w:val="18"/>
              </w:rPr>
              <w:t>Ww</w:t>
            </w:r>
            <w:proofErr w:type="spellEnd"/>
          </w:p>
        </w:tc>
        <w:tc>
          <w:tcPr>
            <w:tcW w:w="0" w:type="auto"/>
            <w:gridSpan w:val="2"/>
            <w:tcBorders>
              <w:left w:val="nil"/>
              <w:right w:val="nil"/>
            </w:tcBorders>
            <w:hideMark/>
          </w:tcPr>
          <w:p w:rsidR="00BE7E54" w:rsidP="006D23DC" w:rsidRDefault="00BE7E54">
            <w:pPr>
              <w:jc w:val="right"/>
              <w:rPr>
                <w:rFonts w:ascii="Verdana" w:hAnsi="Verdana"/>
                <w:sz w:val="18"/>
                <w:szCs w:val="18"/>
              </w:rPr>
            </w:pPr>
            <w:r>
              <w:rPr>
                <w:rFonts w:ascii="Verdana" w:hAnsi="Verdana"/>
                <w:sz w:val="18"/>
                <w:szCs w:val="18"/>
              </w:rPr>
              <w:t>-215,3</w:t>
            </w:r>
          </w:p>
        </w:tc>
      </w:tr>
      <w:tr w:rsidR="00BE7E54" w:rsidTr="006D23DC">
        <w:tc>
          <w:tcPr>
            <w:tcW w:w="0" w:type="auto"/>
            <w:tcBorders>
              <w:left w:val="nil"/>
              <w:right w:val="nil"/>
            </w:tcBorders>
            <w:tcMar>
              <w:top w:w="15" w:type="dxa"/>
              <w:left w:w="360" w:type="dxa"/>
              <w:bottom w:w="15" w:type="dxa"/>
              <w:right w:w="15" w:type="dxa"/>
            </w:tcMar>
            <w:vAlign w:val="both"/>
            <w:hideMark/>
          </w:tcPr>
          <w:p w:rsidR="00BE7E54" w:rsidP="006D23DC" w:rsidRDefault="00BE7E54">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BE7E54" w:rsidP="006D23DC" w:rsidRDefault="00BE7E54">
            <w:pPr>
              <w:jc w:val="right"/>
              <w:rPr>
                <w:rFonts w:ascii="Verdana" w:hAnsi="Verdana"/>
                <w:sz w:val="18"/>
                <w:szCs w:val="18"/>
              </w:rPr>
            </w:pPr>
            <w:r>
              <w:rPr>
                <w:rFonts w:ascii="Verdana" w:hAnsi="Verdana"/>
                <w:sz w:val="18"/>
                <w:szCs w:val="18"/>
              </w:rPr>
              <w:t>-9,5</w:t>
            </w:r>
          </w:p>
        </w:tc>
      </w:tr>
      <w:tr w:rsidR="00BE7E54" w:rsidTr="006D23DC">
        <w:tc>
          <w:tcPr>
            <w:tcW w:w="0" w:type="auto"/>
            <w:tcBorders>
              <w:left w:val="nil"/>
              <w:right w:val="nil"/>
            </w:tcBorders>
            <w:hideMark/>
          </w:tcPr>
          <w:p w:rsidR="00BE7E54" w:rsidP="006D23DC" w:rsidRDefault="00BE7E54">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BE7E54" w:rsidP="006D23DC" w:rsidRDefault="00BE7E54">
            <w:pPr>
              <w:jc w:val="right"/>
              <w:rPr>
                <w:rFonts w:ascii="Verdana" w:hAnsi="Verdana"/>
                <w:sz w:val="18"/>
                <w:szCs w:val="18"/>
              </w:rPr>
            </w:pPr>
            <w:r>
              <w:rPr>
                <w:rFonts w:ascii="Verdana" w:hAnsi="Verdana"/>
                <w:sz w:val="18"/>
                <w:szCs w:val="18"/>
              </w:rPr>
              <w:t>-296,8</w:t>
            </w:r>
          </w:p>
        </w:tc>
      </w:tr>
      <w:tr w:rsidR="00BE7E54" w:rsidTr="006D23DC">
        <w:tc>
          <w:tcPr>
            <w:tcW w:w="0" w:type="auto"/>
            <w:tcBorders>
              <w:left w:val="nil"/>
              <w:right w:val="nil"/>
            </w:tcBorders>
            <w:hideMark/>
          </w:tcPr>
          <w:p w:rsidR="00BE7E54" w:rsidP="006D23DC" w:rsidRDefault="00BE7E54">
            <w:pPr>
              <w:rPr>
                <w:rFonts w:ascii="Verdana" w:hAnsi="Verdana"/>
                <w:sz w:val="18"/>
                <w:szCs w:val="18"/>
              </w:rPr>
            </w:pPr>
            <w:r>
              <w:rPr>
                <w:rFonts w:ascii="Verdana" w:hAnsi="Verdana"/>
                <w:sz w:val="18"/>
                <w:szCs w:val="18"/>
              </w:rPr>
              <w:t>Beleidsmatige mutaties</w:t>
            </w:r>
          </w:p>
        </w:tc>
        <w:tc>
          <w:tcPr>
            <w:tcW w:w="0" w:type="auto"/>
            <w:gridSpan w:val="2"/>
            <w:hideMark/>
          </w:tcPr>
          <w:p w:rsidR="00BE7E54" w:rsidP="006D23DC" w:rsidRDefault="00BE7E54">
            <w:pPr>
              <w:rPr>
                <w:sz w:val="20"/>
                <w:szCs w:val="20"/>
              </w:rPr>
            </w:pPr>
          </w:p>
        </w:tc>
      </w:tr>
      <w:tr w:rsidR="00BE7E54" w:rsidTr="006D23DC">
        <w:tc>
          <w:tcPr>
            <w:tcW w:w="0" w:type="auto"/>
            <w:tcBorders>
              <w:left w:val="nil"/>
              <w:right w:val="nil"/>
            </w:tcBorders>
            <w:tcMar>
              <w:top w:w="15" w:type="dxa"/>
              <w:left w:w="180" w:type="dxa"/>
              <w:bottom w:w="15" w:type="dxa"/>
              <w:right w:w="15" w:type="dxa"/>
            </w:tcMar>
            <w:vAlign w:val="both"/>
            <w:hideMark/>
          </w:tcPr>
          <w:p w:rsidR="00BE7E54" w:rsidP="006D23DC" w:rsidRDefault="00BE7E54">
            <w:pPr>
              <w:ind w:firstLine="180" w:firstLineChars="100"/>
              <w:rPr>
                <w:rFonts w:ascii="Verdana" w:hAnsi="Verdana"/>
                <w:sz w:val="18"/>
                <w:szCs w:val="18"/>
              </w:rPr>
            </w:pPr>
            <w:r>
              <w:rPr>
                <w:rFonts w:ascii="Verdana" w:hAnsi="Verdana"/>
                <w:sz w:val="18"/>
                <w:szCs w:val="18"/>
              </w:rPr>
              <w:t>Sociale zekerheid</w:t>
            </w:r>
          </w:p>
        </w:tc>
        <w:tc>
          <w:tcPr>
            <w:tcW w:w="0" w:type="auto"/>
            <w:gridSpan w:val="2"/>
            <w:hideMark/>
          </w:tcPr>
          <w:p w:rsidR="00BE7E54" w:rsidP="006D23DC" w:rsidRDefault="00BE7E54">
            <w:pPr>
              <w:rPr>
                <w:sz w:val="20"/>
                <w:szCs w:val="20"/>
              </w:rPr>
            </w:pPr>
          </w:p>
        </w:tc>
      </w:tr>
      <w:tr w:rsidR="00BE7E54" w:rsidTr="006D23DC">
        <w:tc>
          <w:tcPr>
            <w:tcW w:w="0" w:type="auto"/>
            <w:tcBorders>
              <w:left w:val="nil"/>
              <w:right w:val="nil"/>
            </w:tcBorders>
            <w:tcMar>
              <w:top w:w="15" w:type="dxa"/>
              <w:left w:w="360" w:type="dxa"/>
              <w:bottom w:w="15" w:type="dxa"/>
              <w:right w:w="15" w:type="dxa"/>
            </w:tcMar>
            <w:vAlign w:val="both"/>
            <w:hideMark/>
          </w:tcPr>
          <w:p w:rsidR="00BE7E54" w:rsidP="006D23DC" w:rsidRDefault="00BE7E54">
            <w:pPr>
              <w:ind w:firstLine="360" w:firstLineChars="200"/>
              <w:rPr>
                <w:rFonts w:ascii="Verdana" w:hAnsi="Verdana"/>
                <w:sz w:val="18"/>
                <w:szCs w:val="18"/>
              </w:rPr>
            </w:pPr>
            <w:r>
              <w:rPr>
                <w:rFonts w:ascii="Verdana" w:hAnsi="Verdana"/>
                <w:sz w:val="18"/>
                <w:szCs w:val="18"/>
              </w:rPr>
              <w:t>Invullen in=uit taakstelling</w:t>
            </w:r>
          </w:p>
        </w:tc>
        <w:tc>
          <w:tcPr>
            <w:tcW w:w="0" w:type="auto"/>
            <w:gridSpan w:val="2"/>
            <w:tcBorders>
              <w:left w:val="nil"/>
              <w:right w:val="nil"/>
            </w:tcBorders>
            <w:hideMark/>
          </w:tcPr>
          <w:p w:rsidR="00BE7E54" w:rsidP="006D23DC" w:rsidRDefault="00BE7E54">
            <w:pPr>
              <w:jc w:val="right"/>
              <w:rPr>
                <w:rFonts w:ascii="Verdana" w:hAnsi="Verdana"/>
                <w:sz w:val="18"/>
                <w:szCs w:val="18"/>
              </w:rPr>
            </w:pPr>
            <w:r>
              <w:rPr>
                <w:rFonts w:ascii="Verdana" w:hAnsi="Verdana"/>
                <w:sz w:val="18"/>
                <w:szCs w:val="18"/>
              </w:rPr>
              <w:t>48,5</w:t>
            </w:r>
          </w:p>
        </w:tc>
      </w:tr>
      <w:tr w:rsidR="00BE7E54" w:rsidTr="006D23DC">
        <w:tc>
          <w:tcPr>
            <w:tcW w:w="0" w:type="auto"/>
            <w:tcBorders>
              <w:left w:val="nil"/>
              <w:right w:val="nil"/>
            </w:tcBorders>
            <w:tcMar>
              <w:top w:w="15" w:type="dxa"/>
              <w:left w:w="360" w:type="dxa"/>
              <w:bottom w:w="15" w:type="dxa"/>
              <w:right w:w="15" w:type="dxa"/>
            </w:tcMar>
            <w:vAlign w:val="both"/>
            <w:hideMark/>
          </w:tcPr>
          <w:p w:rsidR="00BE7E54" w:rsidP="006D23DC" w:rsidRDefault="00BE7E54">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BE7E54" w:rsidP="006D23DC" w:rsidRDefault="00BE7E54">
            <w:pPr>
              <w:jc w:val="right"/>
              <w:rPr>
                <w:rFonts w:ascii="Verdana" w:hAnsi="Verdana"/>
                <w:sz w:val="18"/>
                <w:szCs w:val="18"/>
              </w:rPr>
            </w:pPr>
            <w:r>
              <w:rPr>
                <w:rFonts w:ascii="Verdana" w:hAnsi="Verdana"/>
                <w:sz w:val="18"/>
                <w:szCs w:val="18"/>
              </w:rPr>
              <w:t>-6,6</w:t>
            </w:r>
          </w:p>
        </w:tc>
      </w:tr>
      <w:tr w:rsidR="00BE7E54" w:rsidTr="006D23DC">
        <w:tc>
          <w:tcPr>
            <w:tcW w:w="0" w:type="auto"/>
            <w:tcBorders>
              <w:left w:val="nil"/>
              <w:right w:val="nil"/>
            </w:tcBorders>
            <w:hideMark/>
          </w:tcPr>
          <w:p w:rsidR="00BE7E54" w:rsidP="006D23DC" w:rsidRDefault="00BE7E54">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BE7E54" w:rsidP="006D23DC" w:rsidRDefault="00BE7E54">
            <w:pPr>
              <w:jc w:val="right"/>
              <w:rPr>
                <w:rFonts w:ascii="Verdana" w:hAnsi="Verdana"/>
                <w:sz w:val="18"/>
                <w:szCs w:val="18"/>
              </w:rPr>
            </w:pPr>
            <w:r>
              <w:rPr>
                <w:rFonts w:ascii="Verdana" w:hAnsi="Verdana"/>
                <w:sz w:val="18"/>
                <w:szCs w:val="18"/>
              </w:rPr>
              <w:t>41,9</w:t>
            </w:r>
          </w:p>
        </w:tc>
      </w:tr>
      <w:tr w:rsidR="00BE7E54" w:rsidTr="006D23DC">
        <w:tc>
          <w:tcPr>
            <w:tcW w:w="0" w:type="auto"/>
            <w:tcBorders>
              <w:left w:val="nil"/>
              <w:right w:val="nil"/>
            </w:tcBorders>
            <w:hideMark/>
          </w:tcPr>
          <w:p w:rsidR="00BE7E54" w:rsidP="006D23DC" w:rsidRDefault="00BE7E54">
            <w:pPr>
              <w:rPr>
                <w:rFonts w:ascii="Verdana" w:hAnsi="Verdana"/>
                <w:sz w:val="18"/>
                <w:szCs w:val="18"/>
              </w:rPr>
            </w:pPr>
            <w:r>
              <w:rPr>
                <w:rFonts w:ascii="Verdana" w:hAnsi="Verdana"/>
                <w:sz w:val="18"/>
                <w:szCs w:val="18"/>
              </w:rPr>
              <w:t>Technische mutaties</w:t>
            </w:r>
          </w:p>
        </w:tc>
        <w:tc>
          <w:tcPr>
            <w:tcW w:w="0" w:type="auto"/>
            <w:gridSpan w:val="2"/>
            <w:hideMark/>
          </w:tcPr>
          <w:p w:rsidR="00BE7E54" w:rsidP="006D23DC" w:rsidRDefault="00BE7E54">
            <w:pPr>
              <w:rPr>
                <w:sz w:val="20"/>
                <w:szCs w:val="20"/>
              </w:rPr>
            </w:pPr>
          </w:p>
        </w:tc>
      </w:tr>
      <w:tr w:rsidR="00BE7E54" w:rsidTr="006D23DC">
        <w:tc>
          <w:tcPr>
            <w:tcW w:w="0" w:type="auto"/>
            <w:tcBorders>
              <w:left w:val="nil"/>
              <w:right w:val="nil"/>
            </w:tcBorders>
            <w:tcMar>
              <w:top w:w="15" w:type="dxa"/>
              <w:left w:w="180" w:type="dxa"/>
              <w:bottom w:w="15" w:type="dxa"/>
              <w:right w:w="15" w:type="dxa"/>
            </w:tcMar>
            <w:vAlign w:val="both"/>
            <w:hideMark/>
          </w:tcPr>
          <w:p w:rsidR="00BE7E54" w:rsidP="006D23DC" w:rsidRDefault="00BE7E54">
            <w:pPr>
              <w:ind w:firstLine="180" w:firstLineChars="100"/>
              <w:rPr>
                <w:rFonts w:ascii="Verdana" w:hAnsi="Verdana"/>
                <w:sz w:val="18"/>
                <w:szCs w:val="18"/>
              </w:rPr>
            </w:pPr>
            <w:r>
              <w:rPr>
                <w:rFonts w:ascii="Verdana" w:hAnsi="Verdana"/>
                <w:sz w:val="18"/>
                <w:szCs w:val="18"/>
              </w:rPr>
              <w:t>Sociale zekerheid</w:t>
            </w:r>
          </w:p>
        </w:tc>
        <w:tc>
          <w:tcPr>
            <w:tcW w:w="0" w:type="auto"/>
            <w:gridSpan w:val="2"/>
            <w:hideMark/>
          </w:tcPr>
          <w:p w:rsidR="00BE7E54" w:rsidP="006D23DC" w:rsidRDefault="00BE7E54">
            <w:pPr>
              <w:rPr>
                <w:sz w:val="20"/>
                <w:szCs w:val="20"/>
              </w:rPr>
            </w:pPr>
          </w:p>
        </w:tc>
      </w:tr>
      <w:tr w:rsidR="00BE7E54" w:rsidTr="006D23DC">
        <w:tc>
          <w:tcPr>
            <w:tcW w:w="0" w:type="auto"/>
            <w:tcBorders>
              <w:left w:val="nil"/>
              <w:right w:val="nil"/>
            </w:tcBorders>
            <w:tcMar>
              <w:top w:w="15" w:type="dxa"/>
              <w:left w:w="360" w:type="dxa"/>
              <w:bottom w:w="15" w:type="dxa"/>
              <w:right w:w="15" w:type="dxa"/>
            </w:tcMar>
            <w:vAlign w:val="both"/>
            <w:hideMark/>
          </w:tcPr>
          <w:p w:rsidR="00BE7E54" w:rsidP="006D23DC" w:rsidRDefault="00BE7E54">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BE7E54" w:rsidP="006D23DC" w:rsidRDefault="00BE7E54">
            <w:pPr>
              <w:jc w:val="right"/>
              <w:rPr>
                <w:rFonts w:ascii="Verdana" w:hAnsi="Verdana"/>
                <w:sz w:val="18"/>
                <w:szCs w:val="18"/>
              </w:rPr>
            </w:pPr>
            <w:r>
              <w:rPr>
                <w:rFonts w:ascii="Verdana" w:hAnsi="Verdana"/>
                <w:sz w:val="18"/>
                <w:szCs w:val="18"/>
              </w:rPr>
              <w:t>3,5</w:t>
            </w:r>
          </w:p>
        </w:tc>
      </w:tr>
      <w:tr w:rsidR="00BE7E54" w:rsidTr="006D23DC">
        <w:tc>
          <w:tcPr>
            <w:tcW w:w="0" w:type="auto"/>
            <w:tcBorders>
              <w:left w:val="nil"/>
              <w:right w:val="nil"/>
            </w:tcBorders>
            <w:hideMark/>
          </w:tcPr>
          <w:p w:rsidR="00BE7E54" w:rsidP="006D23DC" w:rsidRDefault="00BE7E54">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BE7E54" w:rsidP="006D23DC" w:rsidRDefault="00BE7E54">
            <w:pPr>
              <w:jc w:val="right"/>
              <w:rPr>
                <w:rFonts w:ascii="Verdana" w:hAnsi="Verdana"/>
                <w:sz w:val="18"/>
                <w:szCs w:val="18"/>
              </w:rPr>
            </w:pPr>
            <w:r>
              <w:rPr>
                <w:rFonts w:ascii="Verdana" w:hAnsi="Verdana"/>
                <w:sz w:val="18"/>
                <w:szCs w:val="18"/>
              </w:rPr>
              <w:t>3,5</w:t>
            </w:r>
          </w:p>
        </w:tc>
      </w:tr>
      <w:tr w:rsidR="00BE7E54" w:rsidTr="006D23DC">
        <w:tc>
          <w:tcPr>
            <w:tcW w:w="0" w:type="auto"/>
            <w:tcBorders>
              <w:left w:val="nil"/>
              <w:right w:val="nil"/>
            </w:tcBorders>
            <w:hideMark/>
          </w:tcPr>
          <w:p w:rsidR="00BE7E54" w:rsidP="006D23DC" w:rsidRDefault="00BE7E54">
            <w:pPr>
              <w:rPr>
                <w:rFonts w:ascii="Verdana" w:hAnsi="Verdana"/>
                <w:sz w:val="18"/>
                <w:szCs w:val="18"/>
              </w:rPr>
            </w:pPr>
            <w:r>
              <w:rPr>
                <w:rFonts w:ascii="Verdana" w:hAnsi="Verdana"/>
                <w:sz w:val="18"/>
                <w:szCs w:val="18"/>
              </w:rPr>
              <w:t> </w:t>
            </w:r>
          </w:p>
        </w:tc>
        <w:tc>
          <w:tcPr>
            <w:tcW w:w="0" w:type="auto"/>
            <w:gridSpan w:val="2"/>
            <w:hideMark/>
          </w:tcPr>
          <w:p w:rsidR="00BE7E54" w:rsidP="006D23DC" w:rsidRDefault="00BE7E54">
            <w:pPr>
              <w:rPr>
                <w:sz w:val="20"/>
                <w:szCs w:val="20"/>
              </w:rPr>
            </w:pPr>
          </w:p>
        </w:tc>
      </w:tr>
      <w:tr w:rsidR="00BE7E54" w:rsidTr="006D23DC">
        <w:tc>
          <w:tcPr>
            <w:tcW w:w="0" w:type="auto"/>
            <w:tcBorders>
              <w:left w:val="nil"/>
              <w:right w:val="nil"/>
            </w:tcBorders>
            <w:hideMark/>
          </w:tcPr>
          <w:p w:rsidR="00BE7E54" w:rsidP="006D23DC" w:rsidRDefault="00BE7E54">
            <w:pPr>
              <w:rPr>
                <w:rFonts w:ascii="Verdana" w:hAnsi="Verdana"/>
                <w:sz w:val="18"/>
                <w:szCs w:val="18"/>
              </w:rPr>
            </w:pPr>
            <w:r>
              <w:rPr>
                <w:rFonts w:ascii="Verdana" w:hAnsi="Verdana"/>
                <w:sz w:val="18"/>
                <w:szCs w:val="18"/>
              </w:rPr>
              <w:t>Totaal mutaties sinds Miljoenennota 2016</w:t>
            </w:r>
          </w:p>
        </w:tc>
        <w:tc>
          <w:tcPr>
            <w:tcW w:w="0" w:type="auto"/>
            <w:gridSpan w:val="2"/>
            <w:tcBorders>
              <w:left w:val="nil"/>
              <w:right w:val="nil"/>
            </w:tcBorders>
            <w:hideMark/>
          </w:tcPr>
          <w:p w:rsidR="00BE7E54" w:rsidP="006D23DC" w:rsidRDefault="00BE7E54">
            <w:pPr>
              <w:jc w:val="right"/>
              <w:rPr>
                <w:rFonts w:ascii="Verdana" w:hAnsi="Verdana"/>
                <w:sz w:val="18"/>
                <w:szCs w:val="18"/>
              </w:rPr>
            </w:pPr>
            <w:r>
              <w:rPr>
                <w:rFonts w:ascii="Verdana" w:hAnsi="Verdana"/>
                <w:sz w:val="18"/>
                <w:szCs w:val="18"/>
              </w:rPr>
              <w:t>-251,4</w:t>
            </w:r>
          </w:p>
        </w:tc>
      </w:tr>
      <w:tr w:rsidR="00BE7E54" w:rsidTr="006D23DC">
        <w:tc>
          <w:tcPr>
            <w:tcW w:w="0" w:type="auto"/>
            <w:tcBorders>
              <w:left w:val="nil"/>
              <w:right w:val="nil"/>
            </w:tcBorders>
            <w:hideMark/>
          </w:tcPr>
          <w:p w:rsidR="00BE7E54" w:rsidP="006D23DC" w:rsidRDefault="00BE7E54">
            <w:pPr>
              <w:rPr>
                <w:rFonts w:ascii="Verdana" w:hAnsi="Verdana"/>
                <w:sz w:val="18"/>
                <w:szCs w:val="18"/>
              </w:rPr>
            </w:pPr>
            <w:r>
              <w:rPr>
                <w:rFonts w:ascii="Verdana" w:hAnsi="Verdana"/>
                <w:sz w:val="18"/>
                <w:szCs w:val="18"/>
              </w:rPr>
              <w:t>Stand Najaarsnota 2015</w:t>
            </w:r>
          </w:p>
        </w:tc>
        <w:tc>
          <w:tcPr>
            <w:tcW w:w="0" w:type="auto"/>
            <w:gridSpan w:val="2"/>
            <w:tcBorders>
              <w:top w:val="single" w:color="000000" w:sz="6" w:space="0"/>
              <w:left w:val="nil"/>
              <w:right w:val="nil"/>
            </w:tcBorders>
            <w:hideMark/>
          </w:tcPr>
          <w:p w:rsidR="00BE7E54" w:rsidP="006D23DC" w:rsidRDefault="00BE7E54">
            <w:pPr>
              <w:jc w:val="right"/>
              <w:rPr>
                <w:rFonts w:ascii="Verdana" w:hAnsi="Verdana"/>
                <w:sz w:val="18"/>
                <w:szCs w:val="18"/>
              </w:rPr>
            </w:pPr>
            <w:r>
              <w:rPr>
                <w:rFonts w:ascii="Verdana" w:hAnsi="Verdana"/>
                <w:sz w:val="18"/>
                <w:szCs w:val="18"/>
              </w:rPr>
              <w:t>76.790,5</w:t>
            </w:r>
          </w:p>
        </w:tc>
      </w:tr>
      <w:tr w:rsidR="00BE7E54" w:rsidTr="00BE7E54">
        <w:tc>
          <w:tcPr>
            <w:tcW w:w="8216" w:type="dxa"/>
            <w:gridSpan w:val="2"/>
            <w:tcBorders>
              <w:left w:val="nil"/>
              <w:right w:val="nil"/>
            </w:tcBorders>
            <w:hideMark/>
          </w:tcPr>
          <w:p w:rsidR="00BE7E54" w:rsidP="006D23DC" w:rsidRDefault="00BE7E54">
            <w:pPr>
              <w:rPr>
                <w:rFonts w:ascii="Verdana" w:hAnsi="Verdana"/>
                <w:sz w:val="18"/>
                <w:szCs w:val="18"/>
              </w:rPr>
            </w:pPr>
            <w:r>
              <w:rPr>
                <w:rFonts w:ascii="Verdana" w:hAnsi="Verdana"/>
                <w:sz w:val="18"/>
                <w:szCs w:val="18"/>
              </w:rPr>
              <w:t> </w:t>
            </w:r>
          </w:p>
        </w:tc>
        <w:tc>
          <w:tcPr>
            <w:tcW w:w="886" w:type="dxa"/>
            <w:tcBorders>
              <w:left w:val="nil"/>
              <w:right w:val="nil"/>
            </w:tcBorders>
            <w:hideMark/>
          </w:tcPr>
          <w:p w:rsidR="00BE7E54" w:rsidP="006D23DC" w:rsidRDefault="00BE7E54">
            <w:pPr>
              <w:rPr>
                <w:rFonts w:ascii="Verdana" w:hAnsi="Verdana"/>
                <w:sz w:val="18"/>
                <w:szCs w:val="18"/>
              </w:rPr>
            </w:pPr>
            <w:r>
              <w:rPr>
                <w:rFonts w:ascii="Verdana" w:hAnsi="Verdana"/>
                <w:sz w:val="18"/>
                <w:szCs w:val="18"/>
              </w:rPr>
              <w:t> </w:t>
            </w:r>
          </w:p>
        </w:tc>
      </w:tr>
      <w:tr w:rsidR="00BE7E54" w:rsidTr="006D23DC">
        <w:tc>
          <w:tcPr>
            <w:tcW w:w="0" w:type="auto"/>
            <w:gridSpan w:val="3"/>
            <w:tcBorders>
              <w:left w:val="nil"/>
              <w:right w:val="nil"/>
            </w:tcBorders>
            <w:hideMark/>
          </w:tcPr>
          <w:p w:rsidR="00BE7E54" w:rsidP="006D23DC" w:rsidRDefault="00BE7E54">
            <w:pPr>
              <w:rPr>
                <w:rFonts w:ascii="Verdana" w:hAnsi="Verdana"/>
                <w:sz w:val="18"/>
                <w:szCs w:val="18"/>
              </w:rPr>
            </w:pPr>
            <w:r>
              <w:rPr>
                <w:rFonts w:ascii="Verdana" w:hAnsi="Verdana"/>
                <w:sz w:val="18"/>
                <w:szCs w:val="18"/>
              </w:rPr>
              <w:t>SOCIALE ZEKERHEID: NIET-BELASTINGONTVANGSTEN</w:t>
            </w:r>
          </w:p>
        </w:tc>
      </w:tr>
      <w:tr w:rsidR="00BE7E54" w:rsidTr="006D23DC">
        <w:tc>
          <w:tcPr>
            <w:tcW w:w="0" w:type="auto"/>
            <w:gridSpan w:val="2"/>
            <w:tcBorders>
              <w:top w:val="single" w:color="000000" w:sz="6" w:space="0"/>
              <w:left w:val="nil"/>
              <w:bottom w:val="single" w:color="000000" w:sz="6" w:space="0"/>
              <w:right w:val="nil"/>
            </w:tcBorders>
            <w:hideMark/>
          </w:tcPr>
          <w:p w:rsidR="00BE7E54" w:rsidP="006D23DC" w:rsidRDefault="00BE7E54">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BE7E54" w:rsidP="006D23DC" w:rsidRDefault="00BE7E54">
            <w:pPr>
              <w:jc w:val="right"/>
              <w:rPr>
                <w:rFonts w:ascii="Verdana" w:hAnsi="Verdana"/>
                <w:sz w:val="18"/>
                <w:szCs w:val="18"/>
              </w:rPr>
            </w:pPr>
            <w:r>
              <w:rPr>
                <w:rFonts w:ascii="Verdana" w:hAnsi="Verdana"/>
                <w:sz w:val="18"/>
                <w:szCs w:val="18"/>
              </w:rPr>
              <w:t>2015</w:t>
            </w:r>
          </w:p>
        </w:tc>
      </w:tr>
      <w:tr w:rsidR="00BE7E54" w:rsidTr="006D23DC">
        <w:tc>
          <w:tcPr>
            <w:tcW w:w="0" w:type="auto"/>
            <w:gridSpan w:val="2"/>
            <w:tcBorders>
              <w:left w:val="nil"/>
              <w:right w:val="nil"/>
            </w:tcBorders>
            <w:hideMark/>
          </w:tcPr>
          <w:p w:rsidR="00BE7E54" w:rsidP="006D23DC" w:rsidRDefault="00BE7E54">
            <w:pPr>
              <w:rPr>
                <w:rFonts w:ascii="Verdana" w:hAnsi="Verdana"/>
                <w:sz w:val="18"/>
                <w:szCs w:val="18"/>
              </w:rPr>
            </w:pPr>
            <w:r>
              <w:rPr>
                <w:rFonts w:ascii="Verdana" w:hAnsi="Verdana"/>
                <w:sz w:val="18"/>
                <w:szCs w:val="18"/>
              </w:rPr>
              <w:t>Stand Miljoenennota 2016</w:t>
            </w:r>
          </w:p>
        </w:tc>
        <w:tc>
          <w:tcPr>
            <w:tcW w:w="0" w:type="auto"/>
            <w:tcBorders>
              <w:top w:val="single" w:color="000000" w:sz="6" w:space="0"/>
              <w:left w:val="nil"/>
              <w:right w:val="nil"/>
            </w:tcBorders>
            <w:hideMark/>
          </w:tcPr>
          <w:p w:rsidR="00BE7E54" w:rsidP="006D23DC" w:rsidRDefault="00BE7E54">
            <w:pPr>
              <w:jc w:val="right"/>
              <w:rPr>
                <w:rFonts w:ascii="Verdana" w:hAnsi="Verdana"/>
                <w:sz w:val="18"/>
                <w:szCs w:val="18"/>
              </w:rPr>
            </w:pPr>
            <w:r>
              <w:rPr>
                <w:rFonts w:ascii="Verdana" w:hAnsi="Verdana"/>
                <w:sz w:val="18"/>
                <w:szCs w:val="18"/>
              </w:rPr>
              <w:t>1.136,5</w:t>
            </w:r>
          </w:p>
        </w:tc>
      </w:tr>
      <w:tr w:rsidR="00BE7E54" w:rsidTr="006D23DC">
        <w:tc>
          <w:tcPr>
            <w:tcW w:w="0" w:type="auto"/>
            <w:gridSpan w:val="2"/>
            <w:tcBorders>
              <w:left w:val="nil"/>
              <w:right w:val="nil"/>
            </w:tcBorders>
            <w:hideMark/>
          </w:tcPr>
          <w:p w:rsidR="00BE7E54" w:rsidP="006D23DC" w:rsidRDefault="00BE7E54">
            <w:pPr>
              <w:rPr>
                <w:rFonts w:ascii="Verdana" w:hAnsi="Verdana"/>
                <w:sz w:val="18"/>
                <w:szCs w:val="18"/>
              </w:rPr>
            </w:pPr>
            <w:r>
              <w:rPr>
                <w:rFonts w:ascii="Verdana" w:hAnsi="Verdana"/>
                <w:sz w:val="18"/>
                <w:szCs w:val="18"/>
              </w:rPr>
              <w:t>Mee- en tegenvallers</w:t>
            </w:r>
          </w:p>
        </w:tc>
        <w:tc>
          <w:tcPr>
            <w:tcW w:w="0" w:type="auto"/>
            <w:hideMark/>
          </w:tcPr>
          <w:p w:rsidR="00BE7E54" w:rsidP="006D23DC" w:rsidRDefault="00BE7E54">
            <w:pPr>
              <w:rPr>
                <w:sz w:val="20"/>
                <w:szCs w:val="20"/>
              </w:rPr>
            </w:pPr>
          </w:p>
        </w:tc>
      </w:tr>
      <w:tr w:rsidR="00BE7E54" w:rsidTr="006D23DC">
        <w:tc>
          <w:tcPr>
            <w:tcW w:w="0" w:type="auto"/>
            <w:gridSpan w:val="2"/>
            <w:tcBorders>
              <w:left w:val="nil"/>
              <w:right w:val="nil"/>
            </w:tcBorders>
            <w:tcMar>
              <w:top w:w="15" w:type="dxa"/>
              <w:left w:w="180" w:type="dxa"/>
              <w:bottom w:w="15" w:type="dxa"/>
              <w:right w:w="15" w:type="dxa"/>
            </w:tcMar>
            <w:vAlign w:val="both"/>
            <w:hideMark/>
          </w:tcPr>
          <w:p w:rsidR="00BE7E54" w:rsidP="006D23DC" w:rsidRDefault="00BE7E54">
            <w:pPr>
              <w:ind w:firstLine="180" w:firstLineChars="100"/>
              <w:rPr>
                <w:rFonts w:ascii="Verdana" w:hAnsi="Verdana"/>
                <w:sz w:val="18"/>
                <w:szCs w:val="18"/>
              </w:rPr>
            </w:pPr>
            <w:r>
              <w:rPr>
                <w:rFonts w:ascii="Verdana" w:hAnsi="Verdana"/>
                <w:sz w:val="18"/>
                <w:szCs w:val="18"/>
              </w:rPr>
              <w:t>Sociale zekerheid</w:t>
            </w:r>
          </w:p>
        </w:tc>
        <w:tc>
          <w:tcPr>
            <w:tcW w:w="0" w:type="auto"/>
            <w:hideMark/>
          </w:tcPr>
          <w:p w:rsidR="00BE7E54" w:rsidP="006D23DC" w:rsidRDefault="00BE7E54">
            <w:pPr>
              <w:rPr>
                <w:sz w:val="20"/>
                <w:szCs w:val="20"/>
              </w:rPr>
            </w:pPr>
          </w:p>
        </w:tc>
      </w:tr>
      <w:tr w:rsidR="00BE7E54" w:rsidTr="006D23DC">
        <w:tc>
          <w:tcPr>
            <w:tcW w:w="0" w:type="auto"/>
            <w:gridSpan w:val="2"/>
            <w:tcBorders>
              <w:left w:val="nil"/>
              <w:right w:val="nil"/>
            </w:tcBorders>
            <w:tcMar>
              <w:top w:w="15" w:type="dxa"/>
              <w:left w:w="360" w:type="dxa"/>
              <w:bottom w:w="15" w:type="dxa"/>
              <w:right w:w="15" w:type="dxa"/>
            </w:tcMar>
            <w:vAlign w:val="both"/>
            <w:hideMark/>
          </w:tcPr>
          <w:p w:rsidR="00BE7E54" w:rsidP="006D23DC" w:rsidRDefault="00BE7E54">
            <w:pPr>
              <w:ind w:firstLine="360" w:firstLineChars="200"/>
              <w:rPr>
                <w:rFonts w:ascii="Verdana" w:hAnsi="Verdana"/>
                <w:sz w:val="18"/>
                <w:szCs w:val="18"/>
              </w:rPr>
            </w:pPr>
            <w:r>
              <w:rPr>
                <w:rFonts w:ascii="Verdana" w:hAnsi="Verdana"/>
                <w:sz w:val="18"/>
                <w:szCs w:val="18"/>
              </w:rPr>
              <w:t xml:space="preserve">Nadere afrekening </w:t>
            </w:r>
            <w:proofErr w:type="spellStart"/>
            <w:r>
              <w:rPr>
                <w:rFonts w:ascii="Verdana" w:hAnsi="Verdana"/>
                <w:sz w:val="18"/>
                <w:szCs w:val="18"/>
              </w:rPr>
              <w:t>wajong</w:t>
            </w:r>
            <w:proofErr w:type="spellEnd"/>
          </w:p>
        </w:tc>
        <w:tc>
          <w:tcPr>
            <w:tcW w:w="0" w:type="auto"/>
            <w:tcBorders>
              <w:left w:val="nil"/>
              <w:right w:val="nil"/>
            </w:tcBorders>
            <w:hideMark/>
          </w:tcPr>
          <w:p w:rsidR="00BE7E54" w:rsidP="006D23DC" w:rsidRDefault="00BE7E54">
            <w:pPr>
              <w:jc w:val="right"/>
              <w:rPr>
                <w:rFonts w:ascii="Verdana" w:hAnsi="Verdana"/>
                <w:sz w:val="18"/>
                <w:szCs w:val="18"/>
              </w:rPr>
            </w:pPr>
            <w:r>
              <w:rPr>
                <w:rFonts w:ascii="Verdana" w:hAnsi="Verdana"/>
                <w:sz w:val="18"/>
                <w:szCs w:val="18"/>
              </w:rPr>
              <w:t>34,1</w:t>
            </w:r>
          </w:p>
        </w:tc>
      </w:tr>
      <w:tr w:rsidR="00BE7E54" w:rsidTr="006D23DC">
        <w:tc>
          <w:tcPr>
            <w:tcW w:w="0" w:type="auto"/>
            <w:gridSpan w:val="2"/>
            <w:tcBorders>
              <w:left w:val="nil"/>
              <w:right w:val="nil"/>
            </w:tcBorders>
            <w:tcMar>
              <w:top w:w="15" w:type="dxa"/>
              <w:left w:w="360" w:type="dxa"/>
              <w:bottom w:w="15" w:type="dxa"/>
              <w:right w:w="15" w:type="dxa"/>
            </w:tcMar>
            <w:vAlign w:val="both"/>
            <w:hideMark/>
          </w:tcPr>
          <w:p w:rsidR="00BE7E54" w:rsidP="006D23DC" w:rsidRDefault="00BE7E54">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BE7E54" w:rsidP="006D23DC" w:rsidRDefault="00BE7E54">
            <w:pPr>
              <w:jc w:val="right"/>
              <w:rPr>
                <w:rFonts w:ascii="Verdana" w:hAnsi="Verdana"/>
                <w:sz w:val="18"/>
                <w:szCs w:val="18"/>
              </w:rPr>
            </w:pPr>
            <w:r>
              <w:rPr>
                <w:rFonts w:ascii="Verdana" w:hAnsi="Verdana"/>
                <w:sz w:val="18"/>
                <w:szCs w:val="18"/>
              </w:rPr>
              <w:t>35,0</w:t>
            </w:r>
          </w:p>
        </w:tc>
      </w:tr>
      <w:tr w:rsidR="00BE7E54" w:rsidTr="006D23DC">
        <w:tc>
          <w:tcPr>
            <w:tcW w:w="0" w:type="auto"/>
            <w:gridSpan w:val="2"/>
            <w:tcBorders>
              <w:left w:val="nil"/>
              <w:right w:val="nil"/>
            </w:tcBorders>
            <w:hideMark/>
          </w:tcPr>
          <w:p w:rsidR="00BE7E54" w:rsidP="006D23DC" w:rsidRDefault="00BE7E54">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BE7E54" w:rsidP="006D23DC" w:rsidRDefault="00BE7E54">
            <w:pPr>
              <w:jc w:val="right"/>
              <w:rPr>
                <w:rFonts w:ascii="Verdana" w:hAnsi="Verdana"/>
                <w:sz w:val="18"/>
                <w:szCs w:val="18"/>
              </w:rPr>
            </w:pPr>
            <w:r>
              <w:rPr>
                <w:rFonts w:ascii="Verdana" w:hAnsi="Verdana"/>
                <w:sz w:val="18"/>
                <w:szCs w:val="18"/>
              </w:rPr>
              <w:t>69,1</w:t>
            </w:r>
          </w:p>
        </w:tc>
      </w:tr>
      <w:tr w:rsidR="00BE7E54" w:rsidTr="006D23DC">
        <w:tc>
          <w:tcPr>
            <w:tcW w:w="0" w:type="auto"/>
            <w:gridSpan w:val="2"/>
            <w:tcBorders>
              <w:left w:val="nil"/>
              <w:right w:val="nil"/>
            </w:tcBorders>
            <w:hideMark/>
          </w:tcPr>
          <w:p w:rsidR="00BE7E54" w:rsidP="006D23DC" w:rsidRDefault="00BE7E54">
            <w:pPr>
              <w:rPr>
                <w:rFonts w:ascii="Verdana" w:hAnsi="Verdana"/>
                <w:sz w:val="18"/>
                <w:szCs w:val="18"/>
              </w:rPr>
            </w:pPr>
            <w:r>
              <w:rPr>
                <w:rFonts w:ascii="Verdana" w:hAnsi="Verdana"/>
                <w:sz w:val="18"/>
                <w:szCs w:val="18"/>
              </w:rPr>
              <w:t>Beleidsmatige mutaties</w:t>
            </w:r>
          </w:p>
        </w:tc>
        <w:tc>
          <w:tcPr>
            <w:tcW w:w="0" w:type="auto"/>
            <w:hideMark/>
          </w:tcPr>
          <w:p w:rsidR="00BE7E54" w:rsidP="006D23DC" w:rsidRDefault="00BE7E54">
            <w:pPr>
              <w:rPr>
                <w:sz w:val="20"/>
                <w:szCs w:val="20"/>
              </w:rPr>
            </w:pPr>
          </w:p>
        </w:tc>
      </w:tr>
      <w:tr w:rsidR="00BE7E54" w:rsidTr="006D23DC">
        <w:tc>
          <w:tcPr>
            <w:tcW w:w="0" w:type="auto"/>
            <w:gridSpan w:val="2"/>
            <w:tcBorders>
              <w:left w:val="nil"/>
              <w:right w:val="nil"/>
            </w:tcBorders>
            <w:tcMar>
              <w:top w:w="15" w:type="dxa"/>
              <w:left w:w="180" w:type="dxa"/>
              <w:bottom w:w="15" w:type="dxa"/>
              <w:right w:w="15" w:type="dxa"/>
            </w:tcMar>
            <w:vAlign w:val="both"/>
            <w:hideMark/>
          </w:tcPr>
          <w:p w:rsidR="00BE7E54" w:rsidP="006D23DC" w:rsidRDefault="00BE7E54">
            <w:pPr>
              <w:ind w:firstLine="180" w:firstLineChars="100"/>
              <w:rPr>
                <w:rFonts w:ascii="Verdana" w:hAnsi="Verdana"/>
                <w:sz w:val="18"/>
                <w:szCs w:val="18"/>
              </w:rPr>
            </w:pPr>
            <w:r>
              <w:rPr>
                <w:rFonts w:ascii="Verdana" w:hAnsi="Verdana"/>
                <w:sz w:val="18"/>
                <w:szCs w:val="18"/>
              </w:rPr>
              <w:t>Sociale zekerheid</w:t>
            </w:r>
          </w:p>
        </w:tc>
        <w:tc>
          <w:tcPr>
            <w:tcW w:w="0" w:type="auto"/>
            <w:hideMark/>
          </w:tcPr>
          <w:p w:rsidR="00BE7E54" w:rsidP="006D23DC" w:rsidRDefault="00BE7E54">
            <w:pPr>
              <w:rPr>
                <w:sz w:val="20"/>
                <w:szCs w:val="20"/>
              </w:rPr>
            </w:pPr>
          </w:p>
        </w:tc>
      </w:tr>
      <w:tr w:rsidR="00BE7E54" w:rsidTr="006D23DC">
        <w:tc>
          <w:tcPr>
            <w:tcW w:w="0" w:type="auto"/>
            <w:gridSpan w:val="2"/>
            <w:tcBorders>
              <w:left w:val="nil"/>
              <w:right w:val="nil"/>
            </w:tcBorders>
            <w:tcMar>
              <w:top w:w="15" w:type="dxa"/>
              <w:left w:w="360" w:type="dxa"/>
              <w:bottom w:w="15" w:type="dxa"/>
              <w:right w:w="15" w:type="dxa"/>
            </w:tcMar>
            <w:vAlign w:val="both"/>
            <w:hideMark/>
          </w:tcPr>
          <w:p w:rsidR="00BE7E54" w:rsidP="006D23DC" w:rsidRDefault="00BE7E54">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BE7E54" w:rsidP="006D23DC" w:rsidRDefault="00BE7E54">
            <w:pPr>
              <w:jc w:val="right"/>
              <w:rPr>
                <w:rFonts w:ascii="Verdana" w:hAnsi="Verdana"/>
                <w:sz w:val="18"/>
                <w:szCs w:val="18"/>
              </w:rPr>
            </w:pPr>
            <w:r>
              <w:rPr>
                <w:rFonts w:ascii="Verdana" w:hAnsi="Verdana"/>
                <w:sz w:val="18"/>
                <w:szCs w:val="18"/>
              </w:rPr>
              <w:t>-1,4</w:t>
            </w:r>
          </w:p>
        </w:tc>
      </w:tr>
      <w:tr w:rsidR="00BE7E54" w:rsidTr="006D23DC">
        <w:tc>
          <w:tcPr>
            <w:tcW w:w="0" w:type="auto"/>
            <w:gridSpan w:val="2"/>
            <w:tcBorders>
              <w:left w:val="nil"/>
              <w:right w:val="nil"/>
            </w:tcBorders>
            <w:hideMark/>
          </w:tcPr>
          <w:p w:rsidR="00BE7E54" w:rsidP="006D23DC" w:rsidRDefault="00BE7E54">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BE7E54" w:rsidP="006D23DC" w:rsidRDefault="00BE7E54">
            <w:pPr>
              <w:jc w:val="right"/>
              <w:rPr>
                <w:rFonts w:ascii="Verdana" w:hAnsi="Verdana"/>
                <w:sz w:val="18"/>
                <w:szCs w:val="18"/>
              </w:rPr>
            </w:pPr>
            <w:r>
              <w:rPr>
                <w:rFonts w:ascii="Verdana" w:hAnsi="Verdana"/>
                <w:sz w:val="18"/>
                <w:szCs w:val="18"/>
              </w:rPr>
              <w:t>-1,4</w:t>
            </w:r>
          </w:p>
        </w:tc>
      </w:tr>
      <w:tr w:rsidR="00BE7E54" w:rsidTr="006D23DC">
        <w:tc>
          <w:tcPr>
            <w:tcW w:w="0" w:type="auto"/>
            <w:gridSpan w:val="2"/>
            <w:tcBorders>
              <w:left w:val="nil"/>
              <w:right w:val="nil"/>
            </w:tcBorders>
            <w:hideMark/>
          </w:tcPr>
          <w:p w:rsidR="00BE7E54" w:rsidP="006D23DC" w:rsidRDefault="00BE7E54">
            <w:pPr>
              <w:rPr>
                <w:rFonts w:ascii="Verdana" w:hAnsi="Verdana"/>
                <w:sz w:val="18"/>
                <w:szCs w:val="18"/>
              </w:rPr>
            </w:pPr>
            <w:r>
              <w:rPr>
                <w:rFonts w:ascii="Verdana" w:hAnsi="Verdana"/>
                <w:sz w:val="18"/>
                <w:szCs w:val="18"/>
              </w:rPr>
              <w:t> </w:t>
            </w:r>
          </w:p>
        </w:tc>
        <w:tc>
          <w:tcPr>
            <w:tcW w:w="0" w:type="auto"/>
            <w:hideMark/>
          </w:tcPr>
          <w:p w:rsidR="00BE7E54" w:rsidP="006D23DC" w:rsidRDefault="00BE7E54">
            <w:pPr>
              <w:rPr>
                <w:sz w:val="20"/>
                <w:szCs w:val="20"/>
              </w:rPr>
            </w:pPr>
          </w:p>
        </w:tc>
      </w:tr>
      <w:tr w:rsidR="00BE7E54" w:rsidTr="006D23DC">
        <w:tc>
          <w:tcPr>
            <w:tcW w:w="0" w:type="auto"/>
            <w:gridSpan w:val="2"/>
            <w:tcBorders>
              <w:left w:val="nil"/>
              <w:right w:val="nil"/>
            </w:tcBorders>
            <w:hideMark/>
          </w:tcPr>
          <w:p w:rsidR="00BE7E54" w:rsidP="006D23DC" w:rsidRDefault="00BE7E54">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BE7E54" w:rsidP="006D23DC" w:rsidRDefault="00BE7E54">
            <w:pPr>
              <w:jc w:val="right"/>
              <w:rPr>
                <w:rFonts w:ascii="Verdana" w:hAnsi="Verdana"/>
                <w:sz w:val="18"/>
                <w:szCs w:val="18"/>
              </w:rPr>
            </w:pPr>
            <w:r>
              <w:rPr>
                <w:rFonts w:ascii="Verdana" w:hAnsi="Verdana"/>
                <w:sz w:val="18"/>
                <w:szCs w:val="18"/>
              </w:rPr>
              <w:t>67,7</w:t>
            </w:r>
          </w:p>
        </w:tc>
      </w:tr>
      <w:tr w:rsidR="00BE7E54" w:rsidTr="006D23DC">
        <w:tc>
          <w:tcPr>
            <w:tcW w:w="0" w:type="auto"/>
            <w:gridSpan w:val="2"/>
            <w:tcBorders>
              <w:left w:val="nil"/>
              <w:right w:val="nil"/>
            </w:tcBorders>
            <w:hideMark/>
          </w:tcPr>
          <w:p w:rsidR="00BE7E54" w:rsidP="006D23DC" w:rsidRDefault="00BE7E54">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BE7E54" w:rsidP="006D23DC" w:rsidRDefault="00BE7E54">
            <w:pPr>
              <w:jc w:val="right"/>
              <w:rPr>
                <w:rFonts w:ascii="Verdana" w:hAnsi="Verdana"/>
                <w:sz w:val="18"/>
                <w:szCs w:val="18"/>
              </w:rPr>
            </w:pPr>
            <w:r>
              <w:rPr>
                <w:rFonts w:ascii="Verdana" w:hAnsi="Verdana"/>
                <w:sz w:val="18"/>
                <w:szCs w:val="18"/>
              </w:rPr>
              <w:t>1.204,1</w:t>
            </w:r>
          </w:p>
        </w:tc>
      </w:tr>
    </w:tbl>
    <w:p w:rsidR="00BE7E54" w:rsidRDefault="00BE7E54">
      <w:pPr>
        <w:rPr>
          <w:rFonts w:ascii="Verdana" w:hAnsi="Verdana" w:cs="Verdana"/>
          <w:b/>
          <w:bCs/>
          <w:sz w:val="18"/>
          <w:szCs w:val="18"/>
        </w:rPr>
      </w:pPr>
    </w:p>
    <w:p w:rsidR="00CF4484" w:rsidRDefault="00CF4484">
      <w:pPr>
        <w:rPr>
          <w:rFonts w:ascii="Verdana" w:hAnsi="Verdana" w:cs="Verdana"/>
          <w:b/>
          <w:bCs/>
          <w:sz w:val="18"/>
          <w:szCs w:val="18"/>
        </w:rPr>
      </w:pPr>
    </w:p>
    <w:p w:rsidR="00CF4484" w:rsidP="00CF4484" w:rsidRDefault="00CF4484">
      <w:pPr>
        <w:spacing w:line="240" w:lineRule="exact"/>
        <w:rPr>
          <w:rFonts w:ascii="Verdana" w:hAnsi="Verdana"/>
          <w:i/>
          <w:sz w:val="18"/>
          <w:szCs w:val="18"/>
        </w:rPr>
      </w:pPr>
      <w:r>
        <w:rPr>
          <w:rFonts w:ascii="Verdana" w:hAnsi="Verdana"/>
          <w:i/>
          <w:sz w:val="18"/>
          <w:szCs w:val="18"/>
        </w:rPr>
        <w:t>Kinderopvangtoeslag</w:t>
      </w:r>
    </w:p>
    <w:p w:rsidR="00CF4484" w:rsidP="00CF4484" w:rsidRDefault="00CF4484">
      <w:pPr>
        <w:spacing w:line="240" w:lineRule="exact"/>
        <w:rPr>
          <w:rFonts w:ascii="Verdana" w:hAnsi="Verdana"/>
          <w:sz w:val="18"/>
          <w:szCs w:val="18"/>
        </w:rPr>
      </w:pPr>
      <w:r>
        <w:rPr>
          <w:rFonts w:ascii="Verdana" w:hAnsi="Verdana"/>
          <w:sz w:val="18"/>
          <w:szCs w:val="18"/>
        </w:rPr>
        <w:t xml:space="preserve">Op basis van recente realisatiecijfers van de Belastingdienst is de raming van de uitgaven aan de kinderopvang naar beneden bijgesteld. Dit is het saldo van meer kinderen in de opvang en een lager gemiddeld aantal uren opvang per kind, waarbij het laatste effect groter is. </w:t>
      </w:r>
    </w:p>
    <w:p w:rsidR="00CF4484" w:rsidP="00CF4484" w:rsidRDefault="00CF4484">
      <w:pPr>
        <w:spacing w:line="240" w:lineRule="exact"/>
        <w:rPr>
          <w:rFonts w:ascii="Verdana" w:hAnsi="Verdana"/>
          <w:i/>
          <w:sz w:val="18"/>
          <w:szCs w:val="18"/>
        </w:rPr>
      </w:pPr>
    </w:p>
    <w:p w:rsidR="00CF4484" w:rsidP="00CF4484" w:rsidRDefault="00CF4484">
      <w:pPr>
        <w:spacing w:line="240" w:lineRule="exact"/>
        <w:rPr>
          <w:rFonts w:ascii="Verdana" w:hAnsi="Verdana"/>
          <w:i/>
          <w:sz w:val="18"/>
          <w:szCs w:val="18"/>
        </w:rPr>
      </w:pPr>
      <w:proofErr w:type="spellStart"/>
      <w:r>
        <w:rPr>
          <w:rFonts w:ascii="Verdana" w:hAnsi="Verdana"/>
          <w:i/>
          <w:sz w:val="18"/>
          <w:szCs w:val="18"/>
        </w:rPr>
        <w:t>Wazo</w:t>
      </w:r>
      <w:proofErr w:type="spellEnd"/>
    </w:p>
    <w:p w:rsidR="00CF4484" w:rsidP="00CF4484" w:rsidRDefault="00CF4484">
      <w:pPr>
        <w:spacing w:line="240" w:lineRule="exact"/>
        <w:rPr>
          <w:rFonts w:ascii="Verdana" w:hAnsi="Verdana"/>
          <w:sz w:val="18"/>
          <w:szCs w:val="18"/>
        </w:rPr>
      </w:pPr>
      <w:r>
        <w:rPr>
          <w:rFonts w:ascii="Verdana" w:hAnsi="Verdana"/>
          <w:sz w:val="18"/>
          <w:szCs w:val="18"/>
        </w:rPr>
        <w:t xml:space="preserve">Een meevaller bij de </w:t>
      </w:r>
      <w:proofErr w:type="spellStart"/>
      <w:r>
        <w:rPr>
          <w:rFonts w:ascii="Verdana" w:hAnsi="Verdana"/>
          <w:sz w:val="18"/>
          <w:szCs w:val="18"/>
        </w:rPr>
        <w:t>Wazo</w:t>
      </w:r>
      <w:proofErr w:type="spellEnd"/>
      <w:r>
        <w:rPr>
          <w:rFonts w:ascii="Verdana" w:hAnsi="Verdana"/>
          <w:sz w:val="18"/>
          <w:szCs w:val="18"/>
        </w:rPr>
        <w:t xml:space="preserve"> komt door een lager aantal uitkeringen als gevolg van een dalend aantal geboorten. </w:t>
      </w:r>
    </w:p>
    <w:p w:rsidR="00CF4484" w:rsidP="00CF4484" w:rsidRDefault="00CF4484">
      <w:pPr>
        <w:spacing w:line="240" w:lineRule="exact"/>
        <w:rPr>
          <w:rFonts w:ascii="Verdana" w:hAnsi="Verdana"/>
          <w:i/>
          <w:sz w:val="18"/>
          <w:szCs w:val="18"/>
        </w:rPr>
      </w:pPr>
    </w:p>
    <w:p w:rsidR="00CF4484" w:rsidP="00CF4484" w:rsidRDefault="00CF4484">
      <w:pPr>
        <w:spacing w:line="240" w:lineRule="exact"/>
        <w:rPr>
          <w:rFonts w:ascii="Verdana" w:hAnsi="Verdana"/>
          <w:i/>
          <w:sz w:val="18"/>
          <w:szCs w:val="18"/>
        </w:rPr>
      </w:pPr>
      <w:proofErr w:type="spellStart"/>
      <w:r>
        <w:rPr>
          <w:rFonts w:ascii="Verdana" w:hAnsi="Verdana"/>
          <w:i/>
          <w:sz w:val="18"/>
          <w:szCs w:val="18"/>
        </w:rPr>
        <w:t>Ww</w:t>
      </w:r>
      <w:proofErr w:type="spellEnd"/>
    </w:p>
    <w:p w:rsidR="00CF4484" w:rsidP="00CF4484" w:rsidRDefault="00CF4484">
      <w:pPr>
        <w:rPr>
          <w:rFonts w:ascii="Verdana" w:hAnsi="Verdana"/>
          <w:sz w:val="18"/>
          <w:szCs w:val="18"/>
        </w:rPr>
      </w:pPr>
      <w:r>
        <w:rPr>
          <w:rFonts w:ascii="Verdana" w:hAnsi="Verdana"/>
          <w:sz w:val="18"/>
          <w:szCs w:val="18"/>
        </w:rPr>
        <w:t xml:space="preserve">Op basis van uitvoeringsinformatie van het UWV worden de uitgaven aan de WW naar beneden bijgesteld. Deze meevaller is het saldo van verschillende posten. De gemiddelde jaaruitkering komt lager uit dan verwacht omdat het aantal uitkeringen in sectoren met een hoge gemiddelde uitkering lager uitkomst dan geraamd. Daarnaast is het aantal uitkeringsjaren neerwaarts </w:t>
      </w:r>
      <w:r>
        <w:rPr>
          <w:rFonts w:ascii="Verdana" w:hAnsi="Verdana"/>
          <w:sz w:val="18"/>
          <w:szCs w:val="18"/>
        </w:rPr>
        <w:lastRenderedPageBreak/>
        <w:t>bijgesteld en komen de overige lasten WW lager uit, onder meer door sterkere daling van de faillissementsuitkeringen.</w:t>
      </w:r>
    </w:p>
    <w:p w:rsidR="00CF4484" w:rsidP="00CF4484" w:rsidRDefault="00CF4484">
      <w:pPr>
        <w:spacing w:line="240" w:lineRule="exact"/>
        <w:rPr>
          <w:rFonts w:ascii="Verdana" w:hAnsi="Verdana"/>
          <w:sz w:val="18"/>
          <w:szCs w:val="18"/>
        </w:rPr>
      </w:pPr>
    </w:p>
    <w:p w:rsidR="00CF4484" w:rsidP="00CF4484" w:rsidRDefault="00CF4484">
      <w:pPr>
        <w:spacing w:line="240" w:lineRule="exact"/>
        <w:rPr>
          <w:rFonts w:ascii="Verdana" w:hAnsi="Verdana"/>
          <w:i/>
          <w:sz w:val="18"/>
          <w:szCs w:val="18"/>
        </w:rPr>
      </w:pPr>
      <w:r>
        <w:rPr>
          <w:rFonts w:ascii="Verdana" w:hAnsi="Verdana"/>
          <w:i/>
          <w:sz w:val="18"/>
          <w:szCs w:val="18"/>
        </w:rPr>
        <w:t xml:space="preserve">Nadere afrekening </w:t>
      </w:r>
      <w:proofErr w:type="spellStart"/>
      <w:r>
        <w:rPr>
          <w:rFonts w:ascii="Verdana" w:hAnsi="Verdana"/>
          <w:i/>
          <w:sz w:val="18"/>
          <w:szCs w:val="18"/>
        </w:rPr>
        <w:t>Wajong</w:t>
      </w:r>
      <w:proofErr w:type="spellEnd"/>
    </w:p>
    <w:p w:rsidR="00CF4484" w:rsidP="00CF4484" w:rsidRDefault="00CF4484">
      <w:pPr>
        <w:rPr>
          <w:rFonts w:ascii="Verdana" w:hAnsi="Verdana" w:cs="Calibri"/>
          <w:color w:val="000000"/>
          <w:sz w:val="18"/>
          <w:szCs w:val="18"/>
        </w:rPr>
      </w:pPr>
      <w:r>
        <w:rPr>
          <w:rFonts w:ascii="Verdana" w:hAnsi="Verdana"/>
          <w:sz w:val="18"/>
          <w:szCs w:val="18"/>
        </w:rPr>
        <w:t xml:space="preserve">De restituties hebben betrekking op verrekeningen inzake betaalde rijksvergoedingen </w:t>
      </w:r>
      <w:proofErr w:type="spellStart"/>
      <w:r>
        <w:rPr>
          <w:rFonts w:ascii="Verdana" w:hAnsi="Verdana"/>
          <w:sz w:val="18"/>
          <w:szCs w:val="18"/>
        </w:rPr>
        <w:t>Wajong</w:t>
      </w:r>
      <w:proofErr w:type="spellEnd"/>
      <w:r>
        <w:rPr>
          <w:rFonts w:ascii="Verdana" w:hAnsi="Verdana"/>
          <w:sz w:val="18"/>
          <w:szCs w:val="18"/>
        </w:rPr>
        <w:t xml:space="preserve"> en Re-integratie </w:t>
      </w:r>
      <w:proofErr w:type="spellStart"/>
      <w:r>
        <w:rPr>
          <w:rFonts w:ascii="Verdana" w:hAnsi="Verdana"/>
          <w:sz w:val="18"/>
          <w:szCs w:val="18"/>
        </w:rPr>
        <w:t>Wajong</w:t>
      </w:r>
      <w:proofErr w:type="spellEnd"/>
      <w:r>
        <w:rPr>
          <w:rFonts w:ascii="Verdana" w:hAnsi="Verdana"/>
          <w:sz w:val="18"/>
          <w:szCs w:val="18"/>
        </w:rPr>
        <w:t xml:space="preserve"> in 2014.</w:t>
      </w:r>
      <w:r>
        <w:rPr>
          <w:rFonts w:ascii="Verdana" w:hAnsi="Verdana" w:cs="Calibri"/>
          <w:color w:val="000000"/>
          <w:sz w:val="18"/>
          <w:szCs w:val="18"/>
        </w:rPr>
        <w:t xml:space="preserve"> </w:t>
      </w:r>
    </w:p>
    <w:p w:rsidR="00CF4484" w:rsidP="00CF4484" w:rsidRDefault="00CF4484">
      <w:pPr>
        <w:rPr>
          <w:rFonts w:ascii="Verdana" w:hAnsi="Verdana" w:cs="Calibri"/>
          <w:color w:val="000000"/>
          <w:sz w:val="18"/>
          <w:szCs w:val="18"/>
        </w:rPr>
      </w:pPr>
    </w:p>
    <w:p w:rsidR="00CF4484" w:rsidP="00CF4484" w:rsidRDefault="00CF4484">
      <w:pPr>
        <w:rPr>
          <w:rFonts w:ascii="Verdana" w:hAnsi="Verdana" w:cs="Calibri"/>
          <w:i/>
          <w:color w:val="000000"/>
          <w:sz w:val="18"/>
          <w:szCs w:val="18"/>
        </w:rPr>
      </w:pPr>
      <w:r>
        <w:rPr>
          <w:rFonts w:ascii="Verdana" w:hAnsi="Verdana" w:cs="Calibri"/>
          <w:i/>
          <w:color w:val="000000"/>
          <w:sz w:val="18"/>
          <w:szCs w:val="18"/>
        </w:rPr>
        <w:t>Diversen (niet-belastingontvangsten - SZA)</w:t>
      </w:r>
    </w:p>
    <w:p w:rsidR="00CF4484" w:rsidP="00CF4484" w:rsidRDefault="00CF4484">
      <w:pPr>
        <w:rPr>
          <w:rFonts w:ascii="Verdana" w:hAnsi="Verdana" w:cs="Calibri"/>
          <w:color w:val="000000"/>
          <w:sz w:val="18"/>
          <w:szCs w:val="18"/>
        </w:rPr>
      </w:pPr>
      <w:r>
        <w:rPr>
          <w:rFonts w:ascii="Verdana" w:hAnsi="Verdana" w:cs="Calibri"/>
          <w:color w:val="000000"/>
          <w:sz w:val="18"/>
          <w:szCs w:val="18"/>
        </w:rPr>
        <w:t>Deze post bevat voornamelijk terugvorderingen bij de kinderopvangtoeslag (zie VT H15).</w:t>
      </w:r>
    </w:p>
    <w:p w:rsidR="00FD7153" w:rsidRDefault="00FD7153">
      <w:pPr>
        <w:rPr>
          <w:rFonts w:ascii="Verdana" w:hAnsi="Verdana" w:cs="Verdana"/>
          <w:b/>
          <w:bCs/>
          <w:sz w:val="18"/>
          <w:szCs w:val="18"/>
        </w:rPr>
      </w:pPr>
      <w:r>
        <w:rPr>
          <w:rFonts w:ascii="Verdana" w:hAnsi="Verdana" w:cs="Verdana"/>
          <w:b/>
          <w:bCs/>
          <w:sz w:val="18"/>
          <w:szCs w:val="18"/>
        </w:rPr>
        <w:br w:type="page"/>
      </w:r>
    </w:p>
    <w:p w:rsidRPr="00533D5C" w:rsidR="00A36B02" w:rsidP="00533D5C" w:rsidRDefault="00C05141">
      <w:pPr>
        <w:spacing w:line="240" w:lineRule="exact"/>
        <w:rPr>
          <w:rFonts w:ascii="Verdana" w:hAnsi="Verdana" w:cs="Verdana"/>
          <w:b/>
          <w:bCs/>
          <w:sz w:val="18"/>
          <w:szCs w:val="18"/>
        </w:rPr>
      </w:pPr>
      <w:r w:rsidRPr="00760DD8">
        <w:rPr>
          <w:rFonts w:ascii="Verdana" w:hAnsi="Verdana" w:cs="Verdana"/>
          <w:b/>
          <w:bCs/>
          <w:sz w:val="18"/>
          <w:szCs w:val="18"/>
        </w:rPr>
        <w:lastRenderedPageBreak/>
        <w:t>Volksgezondheid, Welzijn en Sport</w:t>
      </w:r>
      <w:r w:rsidRPr="00533D5C" w:rsidR="00F176EB">
        <w:rPr>
          <w:rFonts w:ascii="Verdana" w:hAnsi="Verdana" w:cs="Verdana"/>
          <w:b/>
          <w:bCs/>
          <w:sz w:val="18"/>
          <w:szCs w:val="18"/>
        </w:rPr>
        <w:t xml:space="preserve"> </w:t>
      </w:r>
    </w:p>
    <w:tbl>
      <w:tblPr>
        <w:tblW w:w="0" w:type="auto"/>
        <w:tblCellMar>
          <w:top w:w="15" w:type="dxa"/>
          <w:left w:w="15" w:type="dxa"/>
          <w:bottom w:w="15" w:type="dxa"/>
          <w:right w:w="15" w:type="dxa"/>
        </w:tblCellMar>
        <w:tblLook w:val="04A0"/>
      </w:tblPr>
      <w:tblGrid>
        <w:gridCol w:w="7923"/>
        <w:gridCol w:w="34"/>
        <w:gridCol w:w="1145"/>
      </w:tblGrid>
      <w:tr w:rsidR="00596FC9" w:rsidTr="000D3459">
        <w:tc>
          <w:tcPr>
            <w:tcW w:w="7985" w:type="dxa"/>
            <w:tcBorders>
              <w:left w:val="nil"/>
              <w:right w:val="nil"/>
            </w:tcBorders>
            <w:hideMark/>
          </w:tcPr>
          <w:p w:rsidR="00596FC9" w:rsidP="006D23DC" w:rsidRDefault="00596FC9">
            <w:pPr>
              <w:rPr>
                <w:rFonts w:ascii="Verdana" w:hAnsi="Verdana"/>
                <w:sz w:val="18"/>
                <w:szCs w:val="18"/>
              </w:rPr>
            </w:pPr>
          </w:p>
        </w:tc>
        <w:tc>
          <w:tcPr>
            <w:tcW w:w="1117" w:type="dxa"/>
            <w:gridSpan w:val="2"/>
            <w:tcBorders>
              <w:left w:val="nil"/>
              <w:right w:val="nil"/>
            </w:tcBorders>
            <w:hideMark/>
          </w:tcPr>
          <w:p w:rsidR="00596FC9" w:rsidP="006D23DC" w:rsidRDefault="00596FC9">
            <w:pPr>
              <w:rPr>
                <w:rFonts w:ascii="Verdana" w:hAnsi="Verdana"/>
                <w:sz w:val="18"/>
                <w:szCs w:val="18"/>
              </w:rPr>
            </w:pPr>
            <w:r>
              <w:rPr>
                <w:rFonts w:ascii="Verdana" w:hAnsi="Verdana"/>
                <w:sz w:val="18"/>
                <w:szCs w:val="18"/>
              </w:rPr>
              <w:t> </w:t>
            </w:r>
          </w:p>
        </w:tc>
      </w:tr>
      <w:tr w:rsidR="00596FC9" w:rsidTr="000D3459">
        <w:tc>
          <w:tcPr>
            <w:tcW w:w="7985" w:type="dxa"/>
            <w:tcBorders>
              <w:left w:val="nil"/>
              <w:right w:val="nil"/>
            </w:tcBorders>
            <w:hideMark/>
          </w:tcPr>
          <w:p w:rsidR="00596FC9" w:rsidP="006D23DC" w:rsidRDefault="00596FC9">
            <w:pPr>
              <w:rPr>
                <w:rFonts w:ascii="Verdana" w:hAnsi="Verdana"/>
                <w:sz w:val="18"/>
                <w:szCs w:val="18"/>
              </w:rPr>
            </w:pPr>
            <w:r>
              <w:rPr>
                <w:rFonts w:ascii="Verdana" w:hAnsi="Verdana"/>
                <w:sz w:val="18"/>
                <w:szCs w:val="18"/>
              </w:rPr>
              <w:t>XVI VOLKSGEZONDHEID, WELZIJN EN SPORT: UITGAVEN</w:t>
            </w:r>
          </w:p>
        </w:tc>
        <w:tc>
          <w:tcPr>
            <w:tcW w:w="0" w:type="auto"/>
            <w:gridSpan w:val="2"/>
            <w:hideMark/>
          </w:tcPr>
          <w:p w:rsidR="00596FC9" w:rsidP="006D23DC" w:rsidRDefault="00596FC9">
            <w:pPr>
              <w:rPr>
                <w:sz w:val="20"/>
                <w:szCs w:val="20"/>
              </w:rPr>
            </w:pPr>
          </w:p>
        </w:tc>
      </w:tr>
      <w:tr w:rsidR="00596FC9" w:rsidTr="000D3459">
        <w:tc>
          <w:tcPr>
            <w:tcW w:w="7985" w:type="dxa"/>
            <w:tcBorders>
              <w:top w:val="single" w:color="000000" w:sz="6" w:space="0"/>
              <w:left w:val="nil"/>
              <w:bottom w:val="single" w:color="000000" w:sz="6" w:space="0"/>
              <w:right w:val="nil"/>
            </w:tcBorders>
            <w:hideMark/>
          </w:tcPr>
          <w:p w:rsidR="00596FC9" w:rsidP="006D23DC" w:rsidRDefault="00596FC9">
            <w:pPr>
              <w:jc w:val="right"/>
              <w:rPr>
                <w:rFonts w:ascii="Verdana" w:hAnsi="Verdana"/>
                <w:sz w:val="18"/>
                <w:szCs w:val="18"/>
              </w:rPr>
            </w:pPr>
          </w:p>
        </w:tc>
        <w:tc>
          <w:tcPr>
            <w:tcW w:w="0" w:type="auto"/>
            <w:gridSpan w:val="2"/>
            <w:tcBorders>
              <w:top w:val="single" w:color="000000" w:sz="6" w:space="0"/>
              <w:left w:val="nil"/>
              <w:bottom w:val="single" w:color="000000" w:sz="6" w:space="0"/>
              <w:right w:val="nil"/>
            </w:tcBorders>
            <w:hideMark/>
          </w:tcPr>
          <w:p w:rsidR="00596FC9" w:rsidP="006D23DC" w:rsidRDefault="00596FC9">
            <w:pPr>
              <w:jc w:val="right"/>
              <w:rPr>
                <w:rFonts w:ascii="Verdana" w:hAnsi="Verdana"/>
                <w:sz w:val="18"/>
                <w:szCs w:val="18"/>
              </w:rPr>
            </w:pPr>
            <w:r>
              <w:rPr>
                <w:rFonts w:ascii="Verdana" w:hAnsi="Verdana"/>
                <w:sz w:val="18"/>
                <w:szCs w:val="18"/>
              </w:rPr>
              <w:t>2015</w:t>
            </w:r>
          </w:p>
        </w:tc>
      </w:tr>
      <w:tr w:rsidR="00C208C2" w:rsidTr="000D3459">
        <w:tc>
          <w:tcPr>
            <w:tcW w:w="7985" w:type="dxa"/>
            <w:tcBorders>
              <w:left w:val="nil"/>
              <w:right w:val="nil"/>
            </w:tcBorders>
            <w:hideMark/>
          </w:tcPr>
          <w:p w:rsidR="00C208C2" w:rsidRDefault="00C208C2">
            <w:pPr>
              <w:rPr>
                <w:rFonts w:ascii="Verdana" w:hAnsi="Verdana"/>
                <w:color w:val="000000"/>
                <w:sz w:val="18"/>
                <w:szCs w:val="18"/>
              </w:rPr>
            </w:pPr>
            <w:r>
              <w:rPr>
                <w:rFonts w:ascii="Verdana" w:hAnsi="Verdana"/>
                <w:color w:val="000000"/>
                <w:sz w:val="18"/>
                <w:szCs w:val="18"/>
              </w:rPr>
              <w:t>Stand Miljoenennota 2016 (excl. IS)</w:t>
            </w:r>
          </w:p>
        </w:tc>
        <w:tc>
          <w:tcPr>
            <w:tcW w:w="0" w:type="auto"/>
            <w:gridSpan w:val="2"/>
            <w:tcBorders>
              <w:top w:val="single" w:color="000000" w:sz="6" w:space="0"/>
              <w:left w:val="nil"/>
              <w:right w:val="nil"/>
            </w:tcBorders>
            <w:hideMark/>
          </w:tcPr>
          <w:p w:rsidR="00C208C2" w:rsidP="006D23DC" w:rsidRDefault="00C208C2">
            <w:pPr>
              <w:jc w:val="right"/>
              <w:rPr>
                <w:rFonts w:ascii="Verdana" w:hAnsi="Verdana"/>
                <w:sz w:val="18"/>
                <w:szCs w:val="18"/>
              </w:rPr>
            </w:pPr>
            <w:r>
              <w:rPr>
                <w:rFonts w:ascii="Verdana" w:hAnsi="Verdana"/>
                <w:sz w:val="18"/>
                <w:szCs w:val="18"/>
              </w:rPr>
              <w:t>14.700,0</w:t>
            </w:r>
          </w:p>
        </w:tc>
      </w:tr>
      <w:tr w:rsidR="00C208C2" w:rsidTr="000D3459">
        <w:tc>
          <w:tcPr>
            <w:tcW w:w="7985" w:type="dxa"/>
            <w:tcBorders>
              <w:left w:val="nil"/>
              <w:right w:val="nil"/>
            </w:tcBorders>
            <w:hideMark/>
          </w:tcPr>
          <w:p w:rsidR="00C208C2" w:rsidRDefault="00C208C2">
            <w:pPr>
              <w:rPr>
                <w:rFonts w:ascii="Verdana" w:hAnsi="Verdana"/>
                <w:color w:val="000000"/>
                <w:sz w:val="18"/>
                <w:szCs w:val="18"/>
              </w:rPr>
            </w:pPr>
            <w:r>
              <w:rPr>
                <w:rFonts w:ascii="Verdana" w:hAnsi="Verdana"/>
                <w:color w:val="000000"/>
                <w:sz w:val="18"/>
                <w:szCs w:val="18"/>
              </w:rPr>
              <w:t>Beleidsmatige mutaties</w:t>
            </w:r>
          </w:p>
        </w:tc>
        <w:tc>
          <w:tcPr>
            <w:tcW w:w="0" w:type="auto"/>
            <w:gridSpan w:val="2"/>
            <w:hideMark/>
          </w:tcPr>
          <w:p w:rsidR="00C208C2" w:rsidP="006D23DC" w:rsidRDefault="00C208C2">
            <w:pPr>
              <w:rPr>
                <w:sz w:val="20"/>
                <w:szCs w:val="20"/>
              </w:rPr>
            </w:pPr>
          </w:p>
        </w:tc>
      </w:tr>
      <w:tr w:rsidR="00C208C2" w:rsidTr="000D3459">
        <w:tc>
          <w:tcPr>
            <w:tcW w:w="7985" w:type="dxa"/>
            <w:tcBorders>
              <w:left w:val="nil"/>
              <w:right w:val="nil"/>
            </w:tcBorders>
            <w:tcMar>
              <w:top w:w="15" w:type="dxa"/>
              <w:left w:w="180" w:type="dxa"/>
              <w:bottom w:w="15" w:type="dxa"/>
              <w:right w:w="15" w:type="dxa"/>
            </w:tcMar>
            <w:hideMark/>
          </w:tcPr>
          <w:p w:rsidR="00C208C2" w:rsidRDefault="00C208C2">
            <w:pPr>
              <w:ind w:firstLine="180" w:firstLineChars="100"/>
              <w:rPr>
                <w:rFonts w:ascii="Verdana" w:hAnsi="Verdana"/>
                <w:color w:val="000000"/>
                <w:sz w:val="18"/>
                <w:szCs w:val="18"/>
              </w:rPr>
            </w:pPr>
            <w:r>
              <w:rPr>
                <w:rFonts w:ascii="Verdana" w:hAnsi="Verdana"/>
                <w:color w:val="000000"/>
                <w:sz w:val="18"/>
                <w:szCs w:val="18"/>
              </w:rPr>
              <w:t>Rijksbegroting in enge zin</w:t>
            </w:r>
          </w:p>
        </w:tc>
        <w:tc>
          <w:tcPr>
            <w:tcW w:w="0" w:type="auto"/>
            <w:gridSpan w:val="2"/>
            <w:hideMark/>
          </w:tcPr>
          <w:p w:rsidR="00C208C2" w:rsidP="006D23DC" w:rsidRDefault="00C208C2">
            <w:pPr>
              <w:rPr>
                <w:sz w:val="20"/>
                <w:szCs w:val="20"/>
              </w:rPr>
            </w:pPr>
          </w:p>
        </w:tc>
      </w:tr>
      <w:tr w:rsidR="00C208C2" w:rsidTr="000D3459">
        <w:tc>
          <w:tcPr>
            <w:tcW w:w="7985" w:type="dxa"/>
            <w:tcBorders>
              <w:left w:val="nil"/>
              <w:right w:val="nil"/>
            </w:tcBorders>
            <w:tcMar>
              <w:top w:w="15" w:type="dxa"/>
              <w:left w:w="360" w:type="dxa"/>
              <w:bottom w:w="15" w:type="dxa"/>
              <w:right w:w="15" w:type="dxa"/>
            </w:tcMar>
            <w:hideMark/>
          </w:tcPr>
          <w:p w:rsidR="00C208C2" w:rsidRDefault="00C208C2">
            <w:pPr>
              <w:ind w:firstLine="360" w:firstLineChars="200"/>
              <w:rPr>
                <w:rFonts w:ascii="Verdana" w:hAnsi="Verdana"/>
                <w:color w:val="000000"/>
                <w:sz w:val="18"/>
                <w:szCs w:val="18"/>
              </w:rPr>
            </w:pPr>
            <w:proofErr w:type="spellStart"/>
            <w:r>
              <w:rPr>
                <w:rFonts w:ascii="Verdana" w:hAnsi="Verdana"/>
                <w:color w:val="000000"/>
                <w:sz w:val="18"/>
                <w:szCs w:val="18"/>
              </w:rPr>
              <w:t>Backpay</w:t>
            </w:r>
            <w:proofErr w:type="spellEnd"/>
          </w:p>
        </w:tc>
        <w:tc>
          <w:tcPr>
            <w:tcW w:w="0" w:type="auto"/>
            <w:gridSpan w:val="2"/>
            <w:tcBorders>
              <w:left w:val="nil"/>
              <w:right w:val="nil"/>
            </w:tcBorders>
            <w:hideMark/>
          </w:tcPr>
          <w:p w:rsidR="00C208C2" w:rsidP="006D23DC" w:rsidRDefault="00C208C2">
            <w:pPr>
              <w:jc w:val="right"/>
              <w:rPr>
                <w:rFonts w:ascii="Verdana" w:hAnsi="Verdana"/>
                <w:sz w:val="18"/>
                <w:szCs w:val="18"/>
              </w:rPr>
            </w:pPr>
            <w:r>
              <w:rPr>
                <w:rFonts w:ascii="Verdana" w:hAnsi="Verdana"/>
                <w:sz w:val="18"/>
                <w:szCs w:val="18"/>
              </w:rPr>
              <w:t>20,0</w:t>
            </w:r>
          </w:p>
        </w:tc>
      </w:tr>
      <w:tr w:rsidR="00C208C2" w:rsidTr="000D3459">
        <w:tc>
          <w:tcPr>
            <w:tcW w:w="7985" w:type="dxa"/>
            <w:tcBorders>
              <w:left w:val="nil"/>
              <w:right w:val="nil"/>
            </w:tcBorders>
            <w:tcMar>
              <w:top w:w="15" w:type="dxa"/>
              <w:left w:w="360" w:type="dxa"/>
              <w:bottom w:w="15" w:type="dxa"/>
              <w:right w:w="15" w:type="dxa"/>
            </w:tcMar>
            <w:hideMark/>
          </w:tcPr>
          <w:p w:rsidR="00C208C2" w:rsidRDefault="00C208C2">
            <w:pPr>
              <w:ind w:firstLine="360" w:firstLineChars="200"/>
              <w:rPr>
                <w:rFonts w:ascii="Verdana" w:hAnsi="Verdana"/>
                <w:color w:val="000000"/>
                <w:sz w:val="18"/>
                <w:szCs w:val="18"/>
              </w:rPr>
            </w:pPr>
            <w:r>
              <w:rPr>
                <w:rFonts w:ascii="Verdana" w:hAnsi="Verdana"/>
                <w:color w:val="000000"/>
                <w:sz w:val="18"/>
                <w:szCs w:val="18"/>
              </w:rPr>
              <w:t>Subsidie transitie jeugd</w:t>
            </w:r>
          </w:p>
        </w:tc>
        <w:tc>
          <w:tcPr>
            <w:tcW w:w="0" w:type="auto"/>
            <w:gridSpan w:val="2"/>
            <w:tcBorders>
              <w:left w:val="nil"/>
              <w:right w:val="nil"/>
            </w:tcBorders>
            <w:hideMark/>
          </w:tcPr>
          <w:p w:rsidR="00C208C2" w:rsidP="006D23DC" w:rsidRDefault="00C208C2">
            <w:pPr>
              <w:jc w:val="right"/>
              <w:rPr>
                <w:rFonts w:ascii="Verdana" w:hAnsi="Verdana"/>
                <w:sz w:val="18"/>
                <w:szCs w:val="18"/>
              </w:rPr>
            </w:pPr>
            <w:r>
              <w:rPr>
                <w:rFonts w:ascii="Verdana" w:hAnsi="Verdana"/>
                <w:sz w:val="18"/>
                <w:szCs w:val="18"/>
              </w:rPr>
              <w:t>-73,0</w:t>
            </w:r>
          </w:p>
        </w:tc>
      </w:tr>
      <w:tr w:rsidR="00C208C2" w:rsidTr="000D3459">
        <w:tc>
          <w:tcPr>
            <w:tcW w:w="7985" w:type="dxa"/>
            <w:tcBorders>
              <w:left w:val="nil"/>
              <w:right w:val="nil"/>
            </w:tcBorders>
            <w:tcMar>
              <w:top w:w="15" w:type="dxa"/>
              <w:left w:w="360" w:type="dxa"/>
              <w:bottom w:w="15" w:type="dxa"/>
              <w:right w:w="15" w:type="dxa"/>
            </w:tcMar>
            <w:hideMark/>
          </w:tcPr>
          <w:p w:rsidR="00C208C2" w:rsidRDefault="00C208C2">
            <w:pPr>
              <w:ind w:firstLine="360" w:firstLineChars="200"/>
              <w:rPr>
                <w:rFonts w:ascii="Verdana" w:hAnsi="Verdana"/>
                <w:color w:val="000000"/>
                <w:sz w:val="18"/>
                <w:szCs w:val="18"/>
              </w:rPr>
            </w:pPr>
            <w:r>
              <w:rPr>
                <w:rFonts w:ascii="Verdana" w:hAnsi="Verdana"/>
                <w:color w:val="000000"/>
                <w:sz w:val="18"/>
                <w:szCs w:val="18"/>
              </w:rPr>
              <w:t>Taakstellende onderuitputting</w:t>
            </w:r>
          </w:p>
        </w:tc>
        <w:tc>
          <w:tcPr>
            <w:tcW w:w="0" w:type="auto"/>
            <w:gridSpan w:val="2"/>
            <w:tcBorders>
              <w:left w:val="nil"/>
              <w:right w:val="nil"/>
            </w:tcBorders>
            <w:hideMark/>
          </w:tcPr>
          <w:p w:rsidR="00C208C2" w:rsidP="006D23DC" w:rsidRDefault="00C208C2">
            <w:pPr>
              <w:jc w:val="right"/>
              <w:rPr>
                <w:rFonts w:ascii="Verdana" w:hAnsi="Verdana"/>
                <w:sz w:val="18"/>
                <w:szCs w:val="18"/>
              </w:rPr>
            </w:pPr>
            <w:r>
              <w:rPr>
                <w:rFonts w:ascii="Verdana" w:hAnsi="Verdana"/>
                <w:sz w:val="18"/>
                <w:szCs w:val="18"/>
              </w:rPr>
              <w:t>48,0</w:t>
            </w:r>
          </w:p>
        </w:tc>
      </w:tr>
      <w:tr w:rsidR="00C208C2" w:rsidTr="000D3459">
        <w:tc>
          <w:tcPr>
            <w:tcW w:w="7985" w:type="dxa"/>
            <w:tcBorders>
              <w:left w:val="nil"/>
              <w:right w:val="nil"/>
            </w:tcBorders>
            <w:tcMar>
              <w:top w:w="15" w:type="dxa"/>
              <w:left w:w="360" w:type="dxa"/>
              <w:bottom w:w="15" w:type="dxa"/>
              <w:right w:w="15" w:type="dxa"/>
            </w:tcMar>
            <w:hideMark/>
          </w:tcPr>
          <w:p w:rsidR="00C208C2" w:rsidRDefault="00C208C2">
            <w:pPr>
              <w:ind w:firstLine="360" w:firstLineChars="200"/>
              <w:rPr>
                <w:rFonts w:ascii="Verdana" w:hAnsi="Verdana"/>
                <w:color w:val="000000"/>
                <w:sz w:val="18"/>
                <w:szCs w:val="18"/>
              </w:rPr>
            </w:pPr>
            <w:r>
              <w:rPr>
                <w:rFonts w:ascii="Verdana" w:hAnsi="Verdana"/>
                <w:color w:val="000000"/>
                <w:sz w:val="18"/>
                <w:szCs w:val="18"/>
              </w:rPr>
              <w:t>Diversen</w:t>
            </w:r>
          </w:p>
        </w:tc>
        <w:tc>
          <w:tcPr>
            <w:tcW w:w="0" w:type="auto"/>
            <w:gridSpan w:val="2"/>
            <w:tcBorders>
              <w:left w:val="nil"/>
              <w:right w:val="nil"/>
            </w:tcBorders>
            <w:hideMark/>
          </w:tcPr>
          <w:p w:rsidR="00C208C2" w:rsidP="006D23DC" w:rsidRDefault="00C208C2">
            <w:pPr>
              <w:jc w:val="right"/>
              <w:rPr>
                <w:rFonts w:ascii="Verdana" w:hAnsi="Verdana"/>
                <w:sz w:val="18"/>
                <w:szCs w:val="18"/>
              </w:rPr>
            </w:pPr>
            <w:r>
              <w:rPr>
                <w:rFonts w:ascii="Verdana" w:hAnsi="Verdana"/>
                <w:sz w:val="18"/>
                <w:szCs w:val="18"/>
              </w:rPr>
              <w:t>-49,8</w:t>
            </w:r>
          </w:p>
        </w:tc>
      </w:tr>
      <w:tr w:rsidR="00C208C2" w:rsidTr="000D3459">
        <w:tc>
          <w:tcPr>
            <w:tcW w:w="7985" w:type="dxa"/>
            <w:tcBorders>
              <w:left w:val="nil"/>
              <w:right w:val="nil"/>
            </w:tcBorders>
            <w:tcMar>
              <w:top w:w="15" w:type="dxa"/>
              <w:left w:w="180" w:type="dxa"/>
              <w:bottom w:w="15" w:type="dxa"/>
              <w:right w:w="15" w:type="dxa"/>
            </w:tcMar>
            <w:hideMark/>
          </w:tcPr>
          <w:p w:rsidR="00C208C2" w:rsidRDefault="00C208C2">
            <w:pPr>
              <w:ind w:firstLine="180" w:firstLineChars="100"/>
              <w:rPr>
                <w:rFonts w:ascii="Verdana" w:hAnsi="Verdana"/>
                <w:color w:val="000000"/>
                <w:sz w:val="18"/>
                <w:szCs w:val="18"/>
              </w:rPr>
            </w:pPr>
            <w:r>
              <w:rPr>
                <w:rFonts w:ascii="Verdana" w:hAnsi="Verdana"/>
                <w:color w:val="000000"/>
                <w:sz w:val="18"/>
                <w:szCs w:val="18"/>
              </w:rPr>
              <w:t>Zorg</w:t>
            </w:r>
          </w:p>
        </w:tc>
        <w:tc>
          <w:tcPr>
            <w:tcW w:w="0" w:type="auto"/>
            <w:gridSpan w:val="2"/>
            <w:hideMark/>
          </w:tcPr>
          <w:p w:rsidR="00C208C2" w:rsidP="006D23DC" w:rsidRDefault="00C208C2">
            <w:pPr>
              <w:rPr>
                <w:sz w:val="20"/>
                <w:szCs w:val="20"/>
              </w:rPr>
            </w:pPr>
          </w:p>
        </w:tc>
      </w:tr>
      <w:tr w:rsidR="00C208C2" w:rsidTr="000D3459">
        <w:tc>
          <w:tcPr>
            <w:tcW w:w="7985" w:type="dxa"/>
            <w:tcBorders>
              <w:left w:val="nil"/>
              <w:right w:val="nil"/>
            </w:tcBorders>
            <w:tcMar>
              <w:top w:w="15" w:type="dxa"/>
              <w:left w:w="360" w:type="dxa"/>
              <w:bottom w:w="15" w:type="dxa"/>
              <w:right w:w="15" w:type="dxa"/>
            </w:tcMar>
            <w:hideMark/>
          </w:tcPr>
          <w:p w:rsidR="00C208C2" w:rsidRDefault="00C208C2">
            <w:pPr>
              <w:ind w:firstLine="360" w:firstLineChars="200"/>
              <w:rPr>
                <w:rFonts w:ascii="Verdana" w:hAnsi="Verdana"/>
                <w:color w:val="000000"/>
                <w:sz w:val="18"/>
                <w:szCs w:val="18"/>
              </w:rPr>
            </w:pPr>
            <w:r>
              <w:rPr>
                <w:rFonts w:ascii="Verdana" w:hAnsi="Verdana"/>
                <w:color w:val="000000"/>
                <w:sz w:val="18"/>
                <w:szCs w:val="18"/>
              </w:rPr>
              <w:t>Diversen</w:t>
            </w:r>
          </w:p>
        </w:tc>
        <w:tc>
          <w:tcPr>
            <w:tcW w:w="0" w:type="auto"/>
            <w:gridSpan w:val="2"/>
            <w:tcBorders>
              <w:left w:val="nil"/>
              <w:right w:val="nil"/>
            </w:tcBorders>
            <w:hideMark/>
          </w:tcPr>
          <w:p w:rsidR="00C208C2" w:rsidP="006D23DC" w:rsidRDefault="00C208C2">
            <w:pPr>
              <w:jc w:val="right"/>
              <w:rPr>
                <w:rFonts w:ascii="Verdana" w:hAnsi="Verdana"/>
                <w:sz w:val="18"/>
                <w:szCs w:val="18"/>
              </w:rPr>
            </w:pPr>
            <w:r>
              <w:rPr>
                <w:rFonts w:ascii="Verdana" w:hAnsi="Verdana"/>
                <w:sz w:val="18"/>
                <w:szCs w:val="18"/>
              </w:rPr>
              <w:t>-18,5</w:t>
            </w:r>
          </w:p>
        </w:tc>
      </w:tr>
      <w:tr w:rsidR="00C208C2" w:rsidTr="000D3459">
        <w:tc>
          <w:tcPr>
            <w:tcW w:w="7985" w:type="dxa"/>
            <w:tcBorders>
              <w:left w:val="nil"/>
              <w:right w:val="nil"/>
            </w:tcBorders>
            <w:hideMark/>
          </w:tcPr>
          <w:p w:rsidR="00C208C2" w:rsidRDefault="00C208C2">
            <w:pPr>
              <w:rPr>
                <w:rFonts w:ascii="Verdana" w:hAnsi="Verdana"/>
                <w:color w:val="000000"/>
                <w:sz w:val="18"/>
                <w:szCs w:val="18"/>
              </w:rPr>
            </w:pPr>
          </w:p>
        </w:tc>
        <w:tc>
          <w:tcPr>
            <w:tcW w:w="0" w:type="auto"/>
            <w:gridSpan w:val="2"/>
            <w:tcBorders>
              <w:top w:val="single" w:color="000000" w:sz="6" w:space="0"/>
              <w:left w:val="nil"/>
              <w:right w:val="nil"/>
            </w:tcBorders>
            <w:hideMark/>
          </w:tcPr>
          <w:p w:rsidR="00C208C2" w:rsidP="006D23DC" w:rsidRDefault="00C208C2">
            <w:pPr>
              <w:jc w:val="right"/>
              <w:rPr>
                <w:rFonts w:ascii="Verdana" w:hAnsi="Verdana"/>
                <w:sz w:val="18"/>
                <w:szCs w:val="18"/>
              </w:rPr>
            </w:pPr>
            <w:r>
              <w:rPr>
                <w:rFonts w:ascii="Verdana" w:hAnsi="Verdana"/>
                <w:sz w:val="18"/>
                <w:szCs w:val="18"/>
              </w:rPr>
              <w:t>-73,3</w:t>
            </w:r>
          </w:p>
        </w:tc>
      </w:tr>
      <w:tr w:rsidR="00C208C2" w:rsidTr="000D3459">
        <w:tc>
          <w:tcPr>
            <w:tcW w:w="7985" w:type="dxa"/>
            <w:tcBorders>
              <w:left w:val="nil"/>
              <w:right w:val="nil"/>
            </w:tcBorders>
            <w:hideMark/>
          </w:tcPr>
          <w:p w:rsidR="00C208C2" w:rsidRDefault="00C208C2">
            <w:pPr>
              <w:rPr>
                <w:rFonts w:ascii="Verdana" w:hAnsi="Verdana"/>
                <w:color w:val="000000"/>
                <w:sz w:val="18"/>
                <w:szCs w:val="18"/>
              </w:rPr>
            </w:pPr>
            <w:r>
              <w:rPr>
                <w:rFonts w:ascii="Verdana" w:hAnsi="Verdana"/>
                <w:color w:val="000000"/>
                <w:sz w:val="18"/>
                <w:szCs w:val="18"/>
              </w:rPr>
              <w:t>Technische mutaties</w:t>
            </w:r>
          </w:p>
        </w:tc>
        <w:tc>
          <w:tcPr>
            <w:tcW w:w="0" w:type="auto"/>
            <w:gridSpan w:val="2"/>
            <w:hideMark/>
          </w:tcPr>
          <w:p w:rsidR="00C208C2" w:rsidP="006D23DC" w:rsidRDefault="00C208C2">
            <w:pPr>
              <w:rPr>
                <w:sz w:val="20"/>
                <w:szCs w:val="20"/>
              </w:rPr>
            </w:pPr>
          </w:p>
        </w:tc>
      </w:tr>
      <w:tr w:rsidR="00C208C2" w:rsidTr="000D3459">
        <w:tc>
          <w:tcPr>
            <w:tcW w:w="7985" w:type="dxa"/>
            <w:tcBorders>
              <w:left w:val="nil"/>
              <w:right w:val="nil"/>
            </w:tcBorders>
            <w:tcMar>
              <w:top w:w="15" w:type="dxa"/>
              <w:left w:w="180" w:type="dxa"/>
              <w:bottom w:w="15" w:type="dxa"/>
              <w:right w:w="15" w:type="dxa"/>
            </w:tcMar>
            <w:hideMark/>
          </w:tcPr>
          <w:p w:rsidR="00C208C2" w:rsidRDefault="00C208C2">
            <w:pPr>
              <w:ind w:firstLine="180" w:firstLineChars="100"/>
              <w:rPr>
                <w:rFonts w:ascii="Verdana" w:hAnsi="Verdana"/>
                <w:color w:val="000000"/>
                <w:sz w:val="18"/>
                <w:szCs w:val="18"/>
              </w:rPr>
            </w:pPr>
            <w:r>
              <w:rPr>
                <w:rFonts w:ascii="Verdana" w:hAnsi="Verdana"/>
                <w:color w:val="000000"/>
                <w:sz w:val="18"/>
                <w:szCs w:val="18"/>
              </w:rPr>
              <w:t>Rijksbegroting in enge zin</w:t>
            </w:r>
          </w:p>
        </w:tc>
        <w:tc>
          <w:tcPr>
            <w:tcW w:w="0" w:type="auto"/>
            <w:gridSpan w:val="2"/>
            <w:hideMark/>
          </w:tcPr>
          <w:p w:rsidR="00C208C2" w:rsidP="006D23DC" w:rsidRDefault="00C208C2">
            <w:pPr>
              <w:rPr>
                <w:sz w:val="20"/>
                <w:szCs w:val="20"/>
              </w:rPr>
            </w:pPr>
          </w:p>
        </w:tc>
      </w:tr>
      <w:tr w:rsidR="00C208C2" w:rsidTr="000D3459">
        <w:tc>
          <w:tcPr>
            <w:tcW w:w="7985" w:type="dxa"/>
            <w:tcBorders>
              <w:left w:val="nil"/>
              <w:right w:val="nil"/>
            </w:tcBorders>
            <w:tcMar>
              <w:top w:w="15" w:type="dxa"/>
              <w:left w:w="360" w:type="dxa"/>
              <w:bottom w:w="15" w:type="dxa"/>
              <w:right w:w="15" w:type="dxa"/>
            </w:tcMar>
            <w:hideMark/>
          </w:tcPr>
          <w:p w:rsidR="00C208C2" w:rsidRDefault="00C208C2">
            <w:pPr>
              <w:ind w:firstLine="360" w:firstLineChars="200"/>
              <w:rPr>
                <w:rFonts w:ascii="Verdana" w:hAnsi="Verdana"/>
                <w:color w:val="000000"/>
                <w:sz w:val="18"/>
                <w:szCs w:val="18"/>
              </w:rPr>
            </w:pPr>
            <w:r>
              <w:rPr>
                <w:rFonts w:ascii="Verdana" w:hAnsi="Verdana"/>
                <w:color w:val="000000"/>
                <w:sz w:val="18"/>
                <w:szCs w:val="18"/>
              </w:rPr>
              <w:t>Diversen</w:t>
            </w:r>
          </w:p>
        </w:tc>
        <w:tc>
          <w:tcPr>
            <w:tcW w:w="0" w:type="auto"/>
            <w:gridSpan w:val="2"/>
            <w:tcBorders>
              <w:left w:val="nil"/>
              <w:right w:val="nil"/>
            </w:tcBorders>
            <w:hideMark/>
          </w:tcPr>
          <w:p w:rsidR="00C208C2" w:rsidP="006D23DC" w:rsidRDefault="00C208C2">
            <w:pPr>
              <w:jc w:val="right"/>
              <w:rPr>
                <w:rFonts w:ascii="Verdana" w:hAnsi="Verdana"/>
                <w:sz w:val="18"/>
                <w:szCs w:val="18"/>
              </w:rPr>
            </w:pPr>
            <w:r>
              <w:rPr>
                <w:rFonts w:ascii="Verdana" w:hAnsi="Verdana"/>
                <w:sz w:val="18"/>
                <w:szCs w:val="18"/>
              </w:rPr>
              <w:t>8,6</w:t>
            </w:r>
          </w:p>
        </w:tc>
      </w:tr>
      <w:tr w:rsidR="00C208C2" w:rsidTr="000D3459">
        <w:tc>
          <w:tcPr>
            <w:tcW w:w="7985" w:type="dxa"/>
            <w:tcBorders>
              <w:left w:val="nil"/>
              <w:right w:val="nil"/>
            </w:tcBorders>
            <w:tcMar>
              <w:top w:w="15" w:type="dxa"/>
              <w:left w:w="180" w:type="dxa"/>
              <w:bottom w:w="15" w:type="dxa"/>
              <w:right w:w="15" w:type="dxa"/>
            </w:tcMar>
            <w:hideMark/>
          </w:tcPr>
          <w:p w:rsidR="00C208C2" w:rsidRDefault="00C208C2">
            <w:pPr>
              <w:ind w:firstLine="180" w:firstLineChars="100"/>
              <w:rPr>
                <w:rFonts w:ascii="Verdana" w:hAnsi="Verdana"/>
                <w:color w:val="000000"/>
                <w:sz w:val="18"/>
                <w:szCs w:val="18"/>
              </w:rPr>
            </w:pPr>
            <w:r>
              <w:rPr>
                <w:rFonts w:ascii="Verdana" w:hAnsi="Verdana"/>
                <w:color w:val="000000"/>
                <w:sz w:val="18"/>
                <w:szCs w:val="18"/>
              </w:rPr>
              <w:t>Zorg</w:t>
            </w:r>
          </w:p>
        </w:tc>
        <w:tc>
          <w:tcPr>
            <w:tcW w:w="0" w:type="auto"/>
            <w:gridSpan w:val="2"/>
            <w:hideMark/>
          </w:tcPr>
          <w:p w:rsidR="00C208C2" w:rsidP="006D23DC" w:rsidRDefault="00C208C2">
            <w:pPr>
              <w:rPr>
                <w:sz w:val="20"/>
                <w:szCs w:val="20"/>
              </w:rPr>
            </w:pPr>
          </w:p>
        </w:tc>
      </w:tr>
      <w:tr w:rsidR="00C208C2" w:rsidTr="000D3459">
        <w:tc>
          <w:tcPr>
            <w:tcW w:w="7985" w:type="dxa"/>
            <w:tcBorders>
              <w:left w:val="nil"/>
              <w:right w:val="nil"/>
            </w:tcBorders>
            <w:tcMar>
              <w:top w:w="15" w:type="dxa"/>
              <w:left w:w="360" w:type="dxa"/>
              <w:bottom w:w="15" w:type="dxa"/>
              <w:right w:w="15" w:type="dxa"/>
            </w:tcMar>
            <w:hideMark/>
          </w:tcPr>
          <w:p w:rsidR="00C208C2" w:rsidRDefault="00C208C2">
            <w:pPr>
              <w:ind w:firstLine="360" w:firstLineChars="200"/>
              <w:rPr>
                <w:rFonts w:ascii="Verdana" w:hAnsi="Verdana"/>
                <w:color w:val="000000"/>
                <w:sz w:val="18"/>
                <w:szCs w:val="18"/>
              </w:rPr>
            </w:pPr>
            <w:r>
              <w:rPr>
                <w:rFonts w:ascii="Verdana" w:hAnsi="Verdana"/>
                <w:color w:val="000000"/>
                <w:sz w:val="18"/>
                <w:szCs w:val="18"/>
              </w:rPr>
              <w:t xml:space="preserve">Schadeloosstelling </w:t>
            </w:r>
            <w:proofErr w:type="spellStart"/>
            <w:r>
              <w:rPr>
                <w:rFonts w:ascii="Verdana" w:hAnsi="Verdana"/>
                <w:color w:val="000000"/>
                <w:sz w:val="18"/>
                <w:szCs w:val="18"/>
              </w:rPr>
              <w:t>erasmus</w:t>
            </w:r>
            <w:proofErr w:type="spellEnd"/>
            <w:r>
              <w:rPr>
                <w:rFonts w:ascii="Verdana" w:hAnsi="Verdana"/>
                <w:color w:val="000000"/>
                <w:sz w:val="18"/>
                <w:szCs w:val="18"/>
              </w:rPr>
              <w:t xml:space="preserve"> </w:t>
            </w:r>
            <w:proofErr w:type="spellStart"/>
            <w:r>
              <w:rPr>
                <w:rFonts w:ascii="Verdana" w:hAnsi="Verdana"/>
                <w:color w:val="000000"/>
                <w:sz w:val="18"/>
                <w:szCs w:val="18"/>
              </w:rPr>
              <w:t>mc</w:t>
            </w:r>
            <w:proofErr w:type="spellEnd"/>
          </w:p>
        </w:tc>
        <w:tc>
          <w:tcPr>
            <w:tcW w:w="0" w:type="auto"/>
            <w:gridSpan w:val="2"/>
            <w:tcBorders>
              <w:left w:val="nil"/>
              <w:right w:val="nil"/>
            </w:tcBorders>
            <w:hideMark/>
          </w:tcPr>
          <w:p w:rsidRPr="00C208C2" w:rsidR="00C208C2" w:rsidP="006D23DC" w:rsidRDefault="00C208C2">
            <w:pPr>
              <w:jc w:val="right"/>
              <w:rPr>
                <w:rFonts w:ascii="Verdana" w:hAnsi="Verdana"/>
                <w:sz w:val="18"/>
                <w:szCs w:val="18"/>
              </w:rPr>
            </w:pPr>
            <w:r w:rsidRPr="00C208C2">
              <w:rPr>
                <w:rFonts w:ascii="Verdana" w:hAnsi="Verdana"/>
                <w:sz w:val="18"/>
                <w:szCs w:val="18"/>
              </w:rPr>
              <w:t>85,0</w:t>
            </w:r>
          </w:p>
        </w:tc>
      </w:tr>
      <w:tr w:rsidR="00C208C2" w:rsidTr="000D3459">
        <w:tc>
          <w:tcPr>
            <w:tcW w:w="7985" w:type="dxa"/>
            <w:tcBorders>
              <w:left w:val="nil"/>
              <w:right w:val="nil"/>
            </w:tcBorders>
            <w:tcMar>
              <w:top w:w="15" w:type="dxa"/>
              <w:left w:w="180" w:type="dxa"/>
              <w:bottom w:w="15" w:type="dxa"/>
              <w:right w:w="15" w:type="dxa"/>
            </w:tcMar>
            <w:hideMark/>
          </w:tcPr>
          <w:p w:rsidR="00C208C2" w:rsidRDefault="00C208C2">
            <w:pPr>
              <w:ind w:firstLine="360" w:firstLineChars="200"/>
              <w:rPr>
                <w:rFonts w:ascii="Verdana" w:hAnsi="Verdana"/>
                <w:color w:val="000000"/>
                <w:sz w:val="18"/>
                <w:szCs w:val="18"/>
              </w:rPr>
            </w:pPr>
            <w:r>
              <w:rPr>
                <w:rFonts w:ascii="Verdana" w:hAnsi="Verdana"/>
                <w:color w:val="000000"/>
                <w:sz w:val="18"/>
                <w:szCs w:val="18"/>
              </w:rPr>
              <w:t>Diversen</w:t>
            </w:r>
          </w:p>
        </w:tc>
        <w:tc>
          <w:tcPr>
            <w:tcW w:w="0" w:type="auto"/>
            <w:gridSpan w:val="2"/>
            <w:hideMark/>
          </w:tcPr>
          <w:p w:rsidRPr="00C208C2" w:rsidR="00C208C2" w:rsidP="00C208C2" w:rsidRDefault="00C208C2">
            <w:pPr>
              <w:jc w:val="right"/>
              <w:rPr>
                <w:rFonts w:ascii="Verdana" w:hAnsi="Verdana"/>
                <w:sz w:val="18"/>
                <w:szCs w:val="18"/>
              </w:rPr>
            </w:pPr>
            <w:r w:rsidRPr="00C208C2">
              <w:rPr>
                <w:rFonts w:ascii="Verdana" w:hAnsi="Verdana"/>
                <w:sz w:val="18"/>
                <w:szCs w:val="18"/>
              </w:rPr>
              <w:t>2,1</w:t>
            </w:r>
          </w:p>
        </w:tc>
      </w:tr>
      <w:tr w:rsidR="00C208C2" w:rsidTr="000D3459">
        <w:trPr>
          <w:trHeight w:val="349"/>
        </w:trPr>
        <w:tc>
          <w:tcPr>
            <w:tcW w:w="7985" w:type="dxa"/>
            <w:tcBorders>
              <w:left w:val="nil"/>
              <w:right w:val="nil"/>
            </w:tcBorders>
            <w:tcMar>
              <w:top w:w="15" w:type="dxa"/>
              <w:left w:w="360" w:type="dxa"/>
              <w:bottom w:w="15" w:type="dxa"/>
              <w:right w:w="15" w:type="dxa"/>
            </w:tcMar>
            <w:hideMark/>
          </w:tcPr>
          <w:p w:rsidR="00C208C2" w:rsidRDefault="00C208C2">
            <w:pPr>
              <w:ind w:firstLine="180" w:firstLineChars="100"/>
              <w:rPr>
                <w:rFonts w:ascii="Verdana" w:hAnsi="Verdana"/>
                <w:color w:val="000000"/>
                <w:sz w:val="18"/>
                <w:szCs w:val="18"/>
              </w:rPr>
            </w:pPr>
            <w:r>
              <w:rPr>
                <w:rFonts w:ascii="Verdana" w:hAnsi="Verdana"/>
                <w:color w:val="000000"/>
                <w:sz w:val="18"/>
                <w:szCs w:val="18"/>
              </w:rPr>
              <w:t xml:space="preserve">Niet tot een </w:t>
            </w:r>
            <w:proofErr w:type="spellStart"/>
            <w:r>
              <w:rPr>
                <w:rFonts w:ascii="Verdana" w:hAnsi="Verdana"/>
                <w:color w:val="000000"/>
                <w:sz w:val="18"/>
                <w:szCs w:val="18"/>
              </w:rPr>
              <w:t>ijklijn</w:t>
            </w:r>
            <w:proofErr w:type="spellEnd"/>
            <w:r>
              <w:rPr>
                <w:rFonts w:ascii="Verdana" w:hAnsi="Verdana"/>
                <w:color w:val="000000"/>
                <w:sz w:val="18"/>
                <w:szCs w:val="18"/>
              </w:rPr>
              <w:t xml:space="preserve"> behorend</w:t>
            </w:r>
          </w:p>
        </w:tc>
        <w:tc>
          <w:tcPr>
            <w:tcW w:w="0" w:type="auto"/>
            <w:gridSpan w:val="2"/>
            <w:tcBorders>
              <w:left w:val="nil"/>
              <w:right w:val="nil"/>
            </w:tcBorders>
            <w:hideMark/>
          </w:tcPr>
          <w:p w:rsidRPr="00C208C2" w:rsidR="00C208C2" w:rsidP="000D3459" w:rsidRDefault="00C208C2">
            <w:pPr>
              <w:jc w:val="center"/>
              <w:rPr>
                <w:rFonts w:ascii="Verdana" w:hAnsi="Verdana"/>
                <w:sz w:val="18"/>
                <w:szCs w:val="18"/>
              </w:rPr>
            </w:pPr>
          </w:p>
        </w:tc>
      </w:tr>
      <w:tr w:rsidR="00C208C2" w:rsidTr="000D3459">
        <w:tc>
          <w:tcPr>
            <w:tcW w:w="7985" w:type="dxa"/>
            <w:tcBorders>
              <w:left w:val="nil"/>
              <w:right w:val="nil"/>
            </w:tcBorders>
            <w:hideMark/>
          </w:tcPr>
          <w:p w:rsidR="00C208C2" w:rsidRDefault="00C208C2">
            <w:pPr>
              <w:ind w:firstLine="360" w:firstLineChars="200"/>
              <w:rPr>
                <w:rFonts w:ascii="Verdana" w:hAnsi="Verdana"/>
                <w:color w:val="000000"/>
                <w:sz w:val="18"/>
                <w:szCs w:val="18"/>
              </w:rPr>
            </w:pPr>
            <w:r>
              <w:rPr>
                <w:rFonts w:ascii="Verdana" w:hAnsi="Verdana"/>
                <w:color w:val="000000"/>
                <w:sz w:val="18"/>
                <w:szCs w:val="18"/>
              </w:rPr>
              <w:t>Diversen</w:t>
            </w:r>
          </w:p>
        </w:tc>
        <w:tc>
          <w:tcPr>
            <w:tcW w:w="0" w:type="auto"/>
            <w:gridSpan w:val="2"/>
            <w:tcBorders>
              <w:left w:val="nil"/>
              <w:bottom w:val="single" w:color="000000" w:sz="6" w:space="0"/>
              <w:right w:val="nil"/>
            </w:tcBorders>
            <w:hideMark/>
          </w:tcPr>
          <w:p w:rsidRPr="00C208C2" w:rsidR="00C208C2" w:rsidP="006D23DC" w:rsidRDefault="000D3459">
            <w:pPr>
              <w:jc w:val="right"/>
              <w:rPr>
                <w:rFonts w:ascii="Verdana" w:hAnsi="Verdana"/>
                <w:sz w:val="18"/>
                <w:szCs w:val="18"/>
              </w:rPr>
            </w:pPr>
            <w:r>
              <w:rPr>
                <w:rFonts w:ascii="Verdana" w:hAnsi="Verdana"/>
                <w:sz w:val="18"/>
                <w:szCs w:val="18"/>
              </w:rPr>
              <w:t>0,4</w:t>
            </w:r>
          </w:p>
        </w:tc>
      </w:tr>
      <w:tr w:rsidR="00C208C2" w:rsidTr="000D3459">
        <w:tc>
          <w:tcPr>
            <w:tcW w:w="7985" w:type="dxa"/>
            <w:tcBorders>
              <w:left w:val="nil"/>
              <w:right w:val="nil"/>
            </w:tcBorders>
            <w:hideMark/>
          </w:tcPr>
          <w:p w:rsidR="00C208C2" w:rsidRDefault="00C208C2">
            <w:pPr>
              <w:rPr>
                <w:rFonts w:ascii="Verdana" w:hAnsi="Verdana"/>
                <w:color w:val="000000"/>
                <w:sz w:val="18"/>
                <w:szCs w:val="18"/>
              </w:rPr>
            </w:pPr>
          </w:p>
        </w:tc>
        <w:tc>
          <w:tcPr>
            <w:tcW w:w="0" w:type="auto"/>
            <w:gridSpan w:val="2"/>
            <w:tcBorders>
              <w:top w:val="single" w:color="000000" w:sz="6" w:space="0"/>
              <w:left w:val="nil"/>
              <w:right w:val="nil"/>
            </w:tcBorders>
            <w:hideMark/>
          </w:tcPr>
          <w:p w:rsidR="00C208C2" w:rsidP="00C208C2" w:rsidRDefault="00C208C2">
            <w:pPr>
              <w:jc w:val="right"/>
              <w:rPr>
                <w:rFonts w:ascii="Verdana" w:hAnsi="Verdana"/>
                <w:sz w:val="18"/>
                <w:szCs w:val="18"/>
              </w:rPr>
            </w:pPr>
          </w:p>
        </w:tc>
      </w:tr>
      <w:tr w:rsidRPr="000D3459" w:rsidR="00C208C2" w:rsidTr="000D3459">
        <w:tc>
          <w:tcPr>
            <w:tcW w:w="7985" w:type="dxa"/>
            <w:tcBorders>
              <w:left w:val="nil"/>
              <w:right w:val="nil"/>
            </w:tcBorders>
            <w:hideMark/>
          </w:tcPr>
          <w:p w:rsidR="00C208C2" w:rsidRDefault="00C208C2">
            <w:pPr>
              <w:rPr>
                <w:rFonts w:ascii="Verdana" w:hAnsi="Verdana"/>
                <w:color w:val="000000"/>
                <w:sz w:val="18"/>
                <w:szCs w:val="18"/>
              </w:rPr>
            </w:pPr>
          </w:p>
          <w:p w:rsidR="000D3459" w:rsidRDefault="000D3459">
            <w:pPr>
              <w:rPr>
                <w:rFonts w:ascii="Verdana" w:hAnsi="Verdana"/>
                <w:color w:val="000000"/>
                <w:sz w:val="18"/>
                <w:szCs w:val="18"/>
              </w:rPr>
            </w:pPr>
          </w:p>
          <w:p w:rsidR="00C208C2" w:rsidRDefault="00C208C2">
            <w:pPr>
              <w:rPr>
                <w:rFonts w:ascii="Verdana" w:hAnsi="Verdana"/>
                <w:color w:val="000000"/>
                <w:sz w:val="18"/>
                <w:szCs w:val="18"/>
              </w:rPr>
            </w:pPr>
            <w:r>
              <w:rPr>
                <w:rFonts w:ascii="Verdana" w:hAnsi="Verdana"/>
                <w:color w:val="000000"/>
                <w:sz w:val="18"/>
                <w:szCs w:val="18"/>
              </w:rPr>
              <w:t>Totaal mutaties sinds Miljoenennota 2016</w:t>
            </w:r>
          </w:p>
        </w:tc>
        <w:tc>
          <w:tcPr>
            <w:tcW w:w="0" w:type="auto"/>
            <w:gridSpan w:val="2"/>
            <w:hideMark/>
          </w:tcPr>
          <w:p w:rsidRPr="000D3459" w:rsidR="00C208C2" w:rsidP="00C208C2" w:rsidRDefault="00C208C2">
            <w:pPr>
              <w:tabs>
                <w:tab w:val="left" w:pos="735"/>
              </w:tabs>
              <w:rPr>
                <w:rFonts w:ascii="Verdana" w:hAnsi="Verdana"/>
                <w:sz w:val="18"/>
                <w:szCs w:val="18"/>
              </w:rPr>
            </w:pPr>
            <w:r w:rsidRPr="000D3459">
              <w:rPr>
                <w:rFonts w:ascii="Verdana" w:hAnsi="Verdana"/>
                <w:sz w:val="18"/>
                <w:szCs w:val="18"/>
              </w:rPr>
              <w:tab/>
            </w:r>
            <w:r w:rsidRPr="000D3459" w:rsidR="000D3459">
              <w:rPr>
                <w:rFonts w:ascii="Verdana" w:hAnsi="Verdana"/>
                <w:sz w:val="18"/>
                <w:szCs w:val="18"/>
              </w:rPr>
              <w:t>96,1</w:t>
            </w:r>
          </w:p>
          <w:p w:rsidRPr="000D3459" w:rsidR="000D3459" w:rsidP="000D3459" w:rsidRDefault="000D3459">
            <w:pPr>
              <w:tabs>
                <w:tab w:val="left" w:pos="735"/>
              </w:tabs>
              <w:jc w:val="right"/>
              <w:rPr>
                <w:rFonts w:ascii="Verdana" w:hAnsi="Verdana"/>
                <w:sz w:val="18"/>
                <w:szCs w:val="18"/>
              </w:rPr>
            </w:pPr>
          </w:p>
          <w:p w:rsidRPr="000D3459" w:rsidR="00C208C2" w:rsidP="000D3459" w:rsidRDefault="000D3459">
            <w:pPr>
              <w:tabs>
                <w:tab w:val="left" w:pos="735"/>
              </w:tabs>
              <w:jc w:val="right"/>
              <w:rPr>
                <w:rFonts w:ascii="Verdana" w:hAnsi="Verdana"/>
                <w:sz w:val="18"/>
                <w:szCs w:val="18"/>
              </w:rPr>
            </w:pPr>
            <w:r w:rsidRPr="000D3459">
              <w:rPr>
                <w:rFonts w:ascii="Verdana" w:hAnsi="Verdana"/>
                <w:sz w:val="18"/>
                <w:szCs w:val="18"/>
              </w:rPr>
              <w:t>22</w:t>
            </w:r>
            <w:r w:rsidRPr="000D3459" w:rsidR="00C208C2">
              <w:rPr>
                <w:rFonts w:ascii="Verdana" w:hAnsi="Verdana"/>
                <w:sz w:val="18"/>
                <w:szCs w:val="18"/>
              </w:rPr>
              <w:t>,</w:t>
            </w:r>
            <w:r w:rsidRPr="000D3459">
              <w:rPr>
                <w:rFonts w:ascii="Verdana" w:hAnsi="Verdana"/>
                <w:sz w:val="18"/>
                <w:szCs w:val="18"/>
              </w:rPr>
              <w:t>9</w:t>
            </w:r>
          </w:p>
        </w:tc>
      </w:tr>
      <w:tr w:rsidR="00C208C2" w:rsidTr="000D3459">
        <w:tc>
          <w:tcPr>
            <w:tcW w:w="7985" w:type="dxa"/>
            <w:tcBorders>
              <w:left w:val="nil"/>
              <w:right w:val="nil"/>
            </w:tcBorders>
            <w:hideMark/>
          </w:tcPr>
          <w:p w:rsidR="00C208C2" w:rsidP="00A34B8E" w:rsidRDefault="00C208C2">
            <w:pPr>
              <w:rPr>
                <w:rFonts w:ascii="Verdana" w:hAnsi="Verdana"/>
                <w:sz w:val="18"/>
                <w:szCs w:val="18"/>
              </w:rPr>
            </w:pPr>
          </w:p>
          <w:p w:rsidR="00C208C2" w:rsidP="00A34B8E" w:rsidRDefault="00C208C2">
            <w:pPr>
              <w:rPr>
                <w:rFonts w:ascii="Verdana" w:hAnsi="Verdana"/>
                <w:sz w:val="18"/>
                <w:szCs w:val="18"/>
              </w:rPr>
            </w:pPr>
            <w:r>
              <w:rPr>
                <w:rFonts w:ascii="Verdana" w:hAnsi="Verdana"/>
                <w:sz w:val="18"/>
                <w:szCs w:val="18"/>
              </w:rPr>
              <w:t>Stand Najaarsnota 2015 (subtotaal)</w:t>
            </w:r>
          </w:p>
        </w:tc>
        <w:tc>
          <w:tcPr>
            <w:tcW w:w="0" w:type="auto"/>
            <w:gridSpan w:val="2"/>
            <w:tcBorders>
              <w:left w:val="nil"/>
              <w:right w:val="nil"/>
            </w:tcBorders>
            <w:hideMark/>
          </w:tcPr>
          <w:p w:rsidR="00C208C2" w:rsidP="00C208C2" w:rsidRDefault="00C208C2">
            <w:pPr>
              <w:jc w:val="right"/>
              <w:rPr>
                <w:rFonts w:ascii="Verdana" w:hAnsi="Verdana"/>
                <w:color w:val="000000"/>
                <w:sz w:val="18"/>
                <w:szCs w:val="18"/>
              </w:rPr>
            </w:pPr>
          </w:p>
          <w:p w:rsidR="00C208C2" w:rsidP="00C208C2" w:rsidRDefault="00C208C2">
            <w:pPr>
              <w:jc w:val="right"/>
              <w:rPr>
                <w:rFonts w:ascii="Verdana" w:hAnsi="Verdana"/>
                <w:color w:val="000000"/>
                <w:sz w:val="18"/>
                <w:szCs w:val="18"/>
              </w:rPr>
            </w:pPr>
            <w:r>
              <w:rPr>
                <w:rFonts w:ascii="Verdana" w:hAnsi="Verdana"/>
                <w:color w:val="000000"/>
                <w:sz w:val="18"/>
                <w:szCs w:val="18"/>
              </w:rPr>
              <w:t>14.722,9</w:t>
            </w:r>
          </w:p>
          <w:p w:rsidR="00C208C2" w:rsidP="00A34B8E" w:rsidRDefault="00C208C2">
            <w:pPr>
              <w:jc w:val="right"/>
              <w:rPr>
                <w:rFonts w:ascii="Verdana" w:hAnsi="Verdana"/>
                <w:sz w:val="18"/>
                <w:szCs w:val="18"/>
              </w:rPr>
            </w:pPr>
          </w:p>
        </w:tc>
      </w:tr>
      <w:tr w:rsidR="00C208C2" w:rsidTr="000D3459">
        <w:tc>
          <w:tcPr>
            <w:tcW w:w="7985" w:type="dxa"/>
            <w:tcBorders>
              <w:left w:val="nil"/>
              <w:right w:val="nil"/>
            </w:tcBorders>
            <w:hideMark/>
          </w:tcPr>
          <w:p w:rsidR="00C208C2" w:rsidP="00A34B8E" w:rsidRDefault="00C208C2">
            <w:pPr>
              <w:rPr>
                <w:rFonts w:ascii="Verdana" w:hAnsi="Verdana"/>
                <w:sz w:val="18"/>
                <w:szCs w:val="18"/>
              </w:rPr>
            </w:pPr>
            <w:r>
              <w:rPr>
                <w:rFonts w:ascii="Verdana" w:hAnsi="Verdana"/>
                <w:sz w:val="18"/>
                <w:szCs w:val="18"/>
              </w:rPr>
              <w:t>Totaal Internationale samenwerking</w:t>
            </w:r>
          </w:p>
        </w:tc>
        <w:tc>
          <w:tcPr>
            <w:tcW w:w="0" w:type="auto"/>
            <w:gridSpan w:val="2"/>
            <w:tcBorders>
              <w:left w:val="nil"/>
              <w:bottom w:val="single" w:color="000000" w:sz="6" w:space="0"/>
              <w:right w:val="nil"/>
            </w:tcBorders>
            <w:hideMark/>
          </w:tcPr>
          <w:p w:rsidR="00C208C2" w:rsidP="00C208C2" w:rsidRDefault="00C208C2">
            <w:pPr>
              <w:jc w:val="right"/>
              <w:rPr>
                <w:rFonts w:ascii="Verdana" w:hAnsi="Verdana"/>
                <w:color w:val="000000"/>
                <w:sz w:val="18"/>
                <w:szCs w:val="18"/>
              </w:rPr>
            </w:pPr>
            <w:r>
              <w:rPr>
                <w:rFonts w:ascii="Verdana" w:hAnsi="Verdana"/>
                <w:color w:val="000000"/>
                <w:sz w:val="18"/>
                <w:szCs w:val="18"/>
              </w:rPr>
              <w:t>5,3</w:t>
            </w:r>
          </w:p>
          <w:p w:rsidR="00C208C2" w:rsidP="00A34B8E" w:rsidRDefault="00C208C2">
            <w:pPr>
              <w:jc w:val="right"/>
              <w:rPr>
                <w:rFonts w:ascii="Verdana" w:hAnsi="Verdana"/>
                <w:sz w:val="18"/>
                <w:szCs w:val="18"/>
              </w:rPr>
            </w:pPr>
          </w:p>
        </w:tc>
      </w:tr>
      <w:tr w:rsidR="00C208C2" w:rsidTr="000D3459">
        <w:tc>
          <w:tcPr>
            <w:tcW w:w="7985" w:type="dxa"/>
            <w:tcBorders>
              <w:left w:val="nil"/>
              <w:right w:val="nil"/>
            </w:tcBorders>
            <w:hideMark/>
          </w:tcPr>
          <w:p w:rsidR="00C208C2" w:rsidP="00A34B8E" w:rsidRDefault="00C208C2">
            <w:pPr>
              <w:rPr>
                <w:rFonts w:ascii="Verdana" w:hAnsi="Verdana"/>
                <w:sz w:val="18"/>
                <w:szCs w:val="18"/>
              </w:rPr>
            </w:pPr>
            <w:r>
              <w:rPr>
                <w:rFonts w:ascii="Verdana" w:hAnsi="Verdana"/>
                <w:sz w:val="18"/>
                <w:szCs w:val="18"/>
              </w:rPr>
              <w:t>Stand Najaarsnota 2015</w:t>
            </w:r>
          </w:p>
        </w:tc>
        <w:tc>
          <w:tcPr>
            <w:tcW w:w="0" w:type="auto"/>
            <w:gridSpan w:val="2"/>
            <w:tcBorders>
              <w:top w:val="single" w:color="000000" w:sz="6" w:space="0"/>
              <w:left w:val="nil"/>
              <w:right w:val="nil"/>
            </w:tcBorders>
            <w:hideMark/>
          </w:tcPr>
          <w:p w:rsidR="00C208C2" w:rsidP="00C208C2" w:rsidRDefault="00C208C2">
            <w:pPr>
              <w:jc w:val="right"/>
              <w:rPr>
                <w:rFonts w:ascii="Verdana" w:hAnsi="Verdana"/>
                <w:color w:val="000000"/>
                <w:sz w:val="18"/>
                <w:szCs w:val="18"/>
              </w:rPr>
            </w:pPr>
            <w:r>
              <w:rPr>
                <w:rFonts w:ascii="Verdana" w:hAnsi="Verdana"/>
                <w:color w:val="000000"/>
                <w:sz w:val="18"/>
                <w:szCs w:val="18"/>
              </w:rPr>
              <w:t>14.728,2</w:t>
            </w:r>
          </w:p>
          <w:p w:rsidR="00C208C2" w:rsidP="00A34B8E" w:rsidRDefault="00C208C2">
            <w:pPr>
              <w:jc w:val="right"/>
              <w:rPr>
                <w:rFonts w:ascii="Verdana" w:hAnsi="Verdana"/>
                <w:sz w:val="18"/>
                <w:szCs w:val="18"/>
              </w:rPr>
            </w:pPr>
          </w:p>
        </w:tc>
      </w:tr>
      <w:tr w:rsidR="00C208C2" w:rsidTr="000D3459">
        <w:tc>
          <w:tcPr>
            <w:tcW w:w="7985" w:type="dxa"/>
            <w:tcBorders>
              <w:left w:val="nil"/>
              <w:right w:val="nil"/>
            </w:tcBorders>
            <w:hideMark/>
          </w:tcPr>
          <w:p w:rsidR="00C208C2" w:rsidRDefault="00C208C2">
            <w:pPr>
              <w:rPr>
                <w:rFonts w:ascii="Verdana" w:hAnsi="Verdana"/>
                <w:color w:val="000000"/>
                <w:sz w:val="18"/>
                <w:szCs w:val="18"/>
              </w:rPr>
            </w:pPr>
          </w:p>
        </w:tc>
        <w:tc>
          <w:tcPr>
            <w:tcW w:w="0" w:type="auto"/>
            <w:gridSpan w:val="2"/>
            <w:tcBorders>
              <w:left w:val="nil"/>
              <w:right w:val="nil"/>
            </w:tcBorders>
            <w:hideMark/>
          </w:tcPr>
          <w:p w:rsidR="00C208C2" w:rsidP="006D23DC" w:rsidRDefault="00C208C2">
            <w:pPr>
              <w:jc w:val="right"/>
              <w:rPr>
                <w:rFonts w:ascii="Verdana" w:hAnsi="Verdana"/>
                <w:sz w:val="18"/>
                <w:szCs w:val="18"/>
              </w:rPr>
            </w:pPr>
          </w:p>
        </w:tc>
      </w:tr>
      <w:tr w:rsidR="00596FC9" w:rsidTr="000D3459">
        <w:tc>
          <w:tcPr>
            <w:tcW w:w="8019" w:type="dxa"/>
            <w:gridSpan w:val="2"/>
            <w:tcBorders>
              <w:left w:val="nil"/>
              <w:right w:val="nil"/>
            </w:tcBorders>
            <w:hideMark/>
          </w:tcPr>
          <w:p w:rsidR="00596FC9" w:rsidP="006D23DC" w:rsidRDefault="00596FC9">
            <w:pPr>
              <w:rPr>
                <w:rFonts w:ascii="Verdana" w:hAnsi="Verdana"/>
                <w:sz w:val="18"/>
                <w:szCs w:val="18"/>
              </w:rPr>
            </w:pPr>
            <w:r>
              <w:rPr>
                <w:rFonts w:ascii="Verdana" w:hAnsi="Verdana"/>
                <w:sz w:val="18"/>
                <w:szCs w:val="18"/>
              </w:rPr>
              <w:t> </w:t>
            </w:r>
          </w:p>
        </w:tc>
        <w:tc>
          <w:tcPr>
            <w:tcW w:w="1083" w:type="dxa"/>
            <w:tcBorders>
              <w:left w:val="nil"/>
              <w:right w:val="nil"/>
            </w:tcBorders>
            <w:hideMark/>
          </w:tcPr>
          <w:p w:rsidR="00596FC9" w:rsidP="006D23DC" w:rsidRDefault="00596FC9">
            <w:pPr>
              <w:rPr>
                <w:rFonts w:ascii="Verdana" w:hAnsi="Verdana"/>
                <w:sz w:val="18"/>
                <w:szCs w:val="18"/>
              </w:rPr>
            </w:pPr>
            <w:r>
              <w:rPr>
                <w:rFonts w:ascii="Verdana" w:hAnsi="Verdana"/>
                <w:sz w:val="18"/>
                <w:szCs w:val="18"/>
              </w:rPr>
              <w:t> </w:t>
            </w:r>
          </w:p>
        </w:tc>
      </w:tr>
      <w:tr w:rsidR="00596FC9" w:rsidTr="000D3459">
        <w:tc>
          <w:tcPr>
            <w:tcW w:w="8019" w:type="dxa"/>
            <w:gridSpan w:val="2"/>
            <w:tcBorders>
              <w:left w:val="nil"/>
              <w:right w:val="nil"/>
            </w:tcBorders>
            <w:hideMark/>
          </w:tcPr>
          <w:p w:rsidR="00596FC9" w:rsidP="006D23DC" w:rsidRDefault="00596FC9">
            <w:pPr>
              <w:rPr>
                <w:rFonts w:ascii="Verdana" w:hAnsi="Verdana"/>
                <w:sz w:val="18"/>
                <w:szCs w:val="18"/>
              </w:rPr>
            </w:pPr>
            <w:r>
              <w:rPr>
                <w:rFonts w:ascii="Verdana" w:hAnsi="Verdana"/>
                <w:sz w:val="18"/>
                <w:szCs w:val="18"/>
              </w:rPr>
              <w:t>XVI VOLKSGEZONDHEID, WELZIJN EN SPORT: NIET-BELASTINGONTVANGSTEN</w:t>
            </w:r>
          </w:p>
        </w:tc>
        <w:tc>
          <w:tcPr>
            <w:tcW w:w="0" w:type="auto"/>
            <w:hideMark/>
          </w:tcPr>
          <w:p w:rsidR="00596FC9" w:rsidP="006D23DC" w:rsidRDefault="00596FC9">
            <w:pPr>
              <w:rPr>
                <w:sz w:val="20"/>
                <w:szCs w:val="20"/>
              </w:rPr>
            </w:pPr>
          </w:p>
        </w:tc>
      </w:tr>
      <w:tr w:rsidR="00596FC9" w:rsidTr="000D3459">
        <w:tc>
          <w:tcPr>
            <w:tcW w:w="8019" w:type="dxa"/>
            <w:gridSpan w:val="2"/>
            <w:tcBorders>
              <w:top w:val="single" w:color="000000" w:sz="6" w:space="0"/>
              <w:left w:val="nil"/>
              <w:bottom w:val="single" w:color="000000" w:sz="6" w:space="0"/>
              <w:right w:val="nil"/>
            </w:tcBorders>
            <w:hideMark/>
          </w:tcPr>
          <w:p w:rsidR="00596FC9" w:rsidP="006D23DC" w:rsidRDefault="00596FC9">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596FC9" w:rsidP="006D23DC" w:rsidRDefault="00596FC9">
            <w:pPr>
              <w:jc w:val="right"/>
              <w:rPr>
                <w:rFonts w:ascii="Verdana" w:hAnsi="Verdana"/>
                <w:sz w:val="18"/>
                <w:szCs w:val="18"/>
              </w:rPr>
            </w:pPr>
            <w:r>
              <w:rPr>
                <w:rFonts w:ascii="Verdana" w:hAnsi="Verdana"/>
                <w:sz w:val="18"/>
                <w:szCs w:val="18"/>
              </w:rPr>
              <w:t>2015</w:t>
            </w:r>
          </w:p>
        </w:tc>
      </w:tr>
      <w:tr w:rsidR="00596FC9" w:rsidTr="000D3459">
        <w:tc>
          <w:tcPr>
            <w:tcW w:w="8019" w:type="dxa"/>
            <w:gridSpan w:val="2"/>
            <w:tcBorders>
              <w:left w:val="nil"/>
              <w:right w:val="nil"/>
            </w:tcBorders>
            <w:hideMark/>
          </w:tcPr>
          <w:p w:rsidR="00596FC9" w:rsidP="006D23DC" w:rsidRDefault="00596FC9">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596FC9" w:rsidP="006D23DC" w:rsidRDefault="00596FC9">
            <w:pPr>
              <w:jc w:val="right"/>
              <w:rPr>
                <w:rFonts w:ascii="Verdana" w:hAnsi="Verdana"/>
                <w:sz w:val="18"/>
                <w:szCs w:val="18"/>
              </w:rPr>
            </w:pPr>
            <w:r>
              <w:rPr>
                <w:rFonts w:ascii="Verdana" w:hAnsi="Verdana"/>
                <w:sz w:val="18"/>
                <w:szCs w:val="18"/>
              </w:rPr>
              <w:t>113,0</w:t>
            </w:r>
          </w:p>
        </w:tc>
      </w:tr>
      <w:tr w:rsidR="00596FC9" w:rsidTr="000D3459">
        <w:tc>
          <w:tcPr>
            <w:tcW w:w="8019" w:type="dxa"/>
            <w:gridSpan w:val="2"/>
            <w:tcBorders>
              <w:left w:val="nil"/>
              <w:right w:val="nil"/>
            </w:tcBorders>
            <w:hideMark/>
          </w:tcPr>
          <w:p w:rsidR="00596FC9" w:rsidP="006D23DC" w:rsidRDefault="00596FC9">
            <w:pPr>
              <w:rPr>
                <w:rFonts w:ascii="Verdana" w:hAnsi="Verdana"/>
                <w:sz w:val="18"/>
                <w:szCs w:val="18"/>
              </w:rPr>
            </w:pPr>
            <w:r>
              <w:rPr>
                <w:rFonts w:ascii="Verdana" w:hAnsi="Verdana"/>
                <w:sz w:val="18"/>
                <w:szCs w:val="18"/>
              </w:rPr>
              <w:t>Beleidsmatige mutaties</w:t>
            </w:r>
          </w:p>
        </w:tc>
        <w:tc>
          <w:tcPr>
            <w:tcW w:w="0" w:type="auto"/>
            <w:hideMark/>
          </w:tcPr>
          <w:p w:rsidR="00596FC9" w:rsidP="006D23DC" w:rsidRDefault="00596FC9">
            <w:pPr>
              <w:rPr>
                <w:sz w:val="20"/>
                <w:szCs w:val="20"/>
              </w:rPr>
            </w:pPr>
          </w:p>
        </w:tc>
      </w:tr>
      <w:tr w:rsidR="00596FC9" w:rsidTr="000D3459">
        <w:tc>
          <w:tcPr>
            <w:tcW w:w="8019" w:type="dxa"/>
            <w:gridSpan w:val="2"/>
            <w:tcBorders>
              <w:left w:val="nil"/>
              <w:right w:val="nil"/>
            </w:tcBorders>
            <w:tcMar>
              <w:top w:w="15" w:type="dxa"/>
              <w:left w:w="180" w:type="dxa"/>
              <w:bottom w:w="15" w:type="dxa"/>
              <w:right w:w="15" w:type="dxa"/>
            </w:tcMar>
            <w:vAlign w:val="both"/>
            <w:hideMark/>
          </w:tcPr>
          <w:p w:rsidR="00596FC9" w:rsidP="006D23DC" w:rsidRDefault="00596FC9">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596FC9" w:rsidP="006D23DC" w:rsidRDefault="00596FC9">
            <w:pPr>
              <w:rPr>
                <w:sz w:val="20"/>
                <w:szCs w:val="20"/>
              </w:rPr>
            </w:pPr>
          </w:p>
        </w:tc>
      </w:tr>
      <w:tr w:rsidR="00596FC9" w:rsidTr="000D3459">
        <w:tc>
          <w:tcPr>
            <w:tcW w:w="8019" w:type="dxa"/>
            <w:gridSpan w:val="2"/>
            <w:tcBorders>
              <w:left w:val="nil"/>
              <w:right w:val="nil"/>
            </w:tcBorders>
            <w:tcMar>
              <w:top w:w="15" w:type="dxa"/>
              <w:left w:w="360" w:type="dxa"/>
              <w:bottom w:w="15" w:type="dxa"/>
              <w:right w:w="15" w:type="dxa"/>
            </w:tcMar>
            <w:vAlign w:val="both"/>
            <w:hideMark/>
          </w:tcPr>
          <w:p w:rsidR="00596FC9" w:rsidP="006D23DC" w:rsidRDefault="00596FC9">
            <w:pPr>
              <w:ind w:firstLine="360" w:firstLineChars="200"/>
              <w:rPr>
                <w:rFonts w:ascii="Verdana" w:hAnsi="Verdana"/>
                <w:sz w:val="18"/>
                <w:szCs w:val="18"/>
              </w:rPr>
            </w:pPr>
            <w:r>
              <w:rPr>
                <w:rFonts w:ascii="Verdana" w:hAnsi="Verdana"/>
                <w:sz w:val="18"/>
                <w:szCs w:val="18"/>
              </w:rPr>
              <w:t>Ontvangsten wanbetalers</w:t>
            </w:r>
          </w:p>
        </w:tc>
        <w:tc>
          <w:tcPr>
            <w:tcW w:w="0" w:type="auto"/>
            <w:tcBorders>
              <w:left w:val="nil"/>
              <w:right w:val="nil"/>
            </w:tcBorders>
            <w:hideMark/>
          </w:tcPr>
          <w:p w:rsidR="00596FC9" w:rsidP="006D23DC" w:rsidRDefault="00596FC9">
            <w:pPr>
              <w:jc w:val="right"/>
              <w:rPr>
                <w:rFonts w:ascii="Verdana" w:hAnsi="Verdana"/>
                <w:sz w:val="18"/>
                <w:szCs w:val="18"/>
              </w:rPr>
            </w:pPr>
            <w:r>
              <w:rPr>
                <w:rFonts w:ascii="Verdana" w:hAnsi="Verdana"/>
                <w:sz w:val="18"/>
                <w:szCs w:val="18"/>
              </w:rPr>
              <w:t>22,9</w:t>
            </w:r>
          </w:p>
        </w:tc>
      </w:tr>
      <w:tr w:rsidR="00596FC9" w:rsidTr="000D3459">
        <w:tc>
          <w:tcPr>
            <w:tcW w:w="8019" w:type="dxa"/>
            <w:gridSpan w:val="2"/>
            <w:tcBorders>
              <w:left w:val="nil"/>
              <w:right w:val="nil"/>
            </w:tcBorders>
            <w:tcMar>
              <w:top w:w="15" w:type="dxa"/>
              <w:left w:w="360" w:type="dxa"/>
              <w:bottom w:w="15" w:type="dxa"/>
              <w:right w:w="15" w:type="dxa"/>
            </w:tcMar>
            <w:vAlign w:val="both"/>
            <w:hideMark/>
          </w:tcPr>
          <w:p w:rsidR="00596FC9" w:rsidP="006D23DC" w:rsidRDefault="00596FC9">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596FC9" w:rsidP="006D23DC" w:rsidRDefault="00596FC9">
            <w:pPr>
              <w:jc w:val="right"/>
              <w:rPr>
                <w:rFonts w:ascii="Verdana" w:hAnsi="Verdana"/>
                <w:sz w:val="18"/>
                <w:szCs w:val="18"/>
              </w:rPr>
            </w:pPr>
            <w:r>
              <w:rPr>
                <w:rFonts w:ascii="Verdana" w:hAnsi="Verdana"/>
                <w:sz w:val="18"/>
                <w:szCs w:val="18"/>
              </w:rPr>
              <w:t>32,5</w:t>
            </w:r>
          </w:p>
        </w:tc>
      </w:tr>
      <w:tr w:rsidR="00596FC9" w:rsidTr="000D3459">
        <w:tc>
          <w:tcPr>
            <w:tcW w:w="8019" w:type="dxa"/>
            <w:gridSpan w:val="2"/>
            <w:tcBorders>
              <w:left w:val="nil"/>
              <w:right w:val="nil"/>
            </w:tcBorders>
            <w:hideMark/>
          </w:tcPr>
          <w:p w:rsidR="00596FC9" w:rsidP="006D23DC" w:rsidRDefault="00596FC9">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596FC9" w:rsidP="006D23DC" w:rsidRDefault="00596FC9">
            <w:pPr>
              <w:jc w:val="right"/>
              <w:rPr>
                <w:rFonts w:ascii="Verdana" w:hAnsi="Verdana"/>
                <w:sz w:val="18"/>
                <w:szCs w:val="18"/>
              </w:rPr>
            </w:pPr>
            <w:r>
              <w:rPr>
                <w:rFonts w:ascii="Verdana" w:hAnsi="Verdana"/>
                <w:sz w:val="18"/>
                <w:szCs w:val="18"/>
              </w:rPr>
              <w:t>55,4</w:t>
            </w:r>
          </w:p>
        </w:tc>
      </w:tr>
      <w:tr w:rsidR="00596FC9" w:rsidTr="000D3459">
        <w:tc>
          <w:tcPr>
            <w:tcW w:w="8019" w:type="dxa"/>
            <w:gridSpan w:val="2"/>
            <w:tcBorders>
              <w:left w:val="nil"/>
              <w:right w:val="nil"/>
            </w:tcBorders>
            <w:hideMark/>
          </w:tcPr>
          <w:p w:rsidR="00596FC9" w:rsidP="006D23DC" w:rsidRDefault="00596FC9">
            <w:pPr>
              <w:rPr>
                <w:rFonts w:ascii="Verdana" w:hAnsi="Verdana"/>
                <w:sz w:val="18"/>
                <w:szCs w:val="18"/>
              </w:rPr>
            </w:pPr>
            <w:r>
              <w:rPr>
                <w:rFonts w:ascii="Verdana" w:hAnsi="Verdana"/>
                <w:sz w:val="18"/>
                <w:szCs w:val="18"/>
              </w:rPr>
              <w:t>Technische mutaties</w:t>
            </w:r>
          </w:p>
        </w:tc>
        <w:tc>
          <w:tcPr>
            <w:tcW w:w="0" w:type="auto"/>
            <w:hideMark/>
          </w:tcPr>
          <w:p w:rsidR="00596FC9" w:rsidP="006D23DC" w:rsidRDefault="00596FC9">
            <w:pPr>
              <w:rPr>
                <w:sz w:val="20"/>
                <w:szCs w:val="20"/>
              </w:rPr>
            </w:pPr>
          </w:p>
        </w:tc>
      </w:tr>
      <w:tr w:rsidR="00596FC9" w:rsidTr="000D3459">
        <w:tc>
          <w:tcPr>
            <w:tcW w:w="8019" w:type="dxa"/>
            <w:gridSpan w:val="2"/>
            <w:tcBorders>
              <w:left w:val="nil"/>
              <w:right w:val="nil"/>
            </w:tcBorders>
            <w:tcMar>
              <w:top w:w="15" w:type="dxa"/>
              <w:left w:w="180" w:type="dxa"/>
              <w:bottom w:w="15" w:type="dxa"/>
              <w:right w:w="15" w:type="dxa"/>
            </w:tcMar>
            <w:vAlign w:val="both"/>
            <w:hideMark/>
          </w:tcPr>
          <w:p w:rsidR="00596FC9" w:rsidP="006D23DC" w:rsidRDefault="00596FC9">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596FC9" w:rsidP="006D23DC" w:rsidRDefault="00596FC9">
            <w:pPr>
              <w:rPr>
                <w:sz w:val="20"/>
                <w:szCs w:val="20"/>
              </w:rPr>
            </w:pPr>
          </w:p>
        </w:tc>
      </w:tr>
      <w:tr w:rsidR="00596FC9" w:rsidTr="000D3459">
        <w:tc>
          <w:tcPr>
            <w:tcW w:w="8019" w:type="dxa"/>
            <w:gridSpan w:val="2"/>
            <w:tcBorders>
              <w:left w:val="nil"/>
              <w:right w:val="nil"/>
            </w:tcBorders>
            <w:tcMar>
              <w:top w:w="15" w:type="dxa"/>
              <w:left w:w="360" w:type="dxa"/>
              <w:bottom w:w="15" w:type="dxa"/>
              <w:right w:w="15" w:type="dxa"/>
            </w:tcMar>
            <w:vAlign w:val="both"/>
            <w:hideMark/>
          </w:tcPr>
          <w:p w:rsidR="00596FC9" w:rsidP="006D23DC" w:rsidRDefault="00596FC9">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596FC9" w:rsidP="006D23DC" w:rsidRDefault="00596FC9">
            <w:pPr>
              <w:jc w:val="right"/>
              <w:rPr>
                <w:rFonts w:ascii="Verdana" w:hAnsi="Verdana"/>
                <w:sz w:val="18"/>
                <w:szCs w:val="18"/>
              </w:rPr>
            </w:pPr>
            <w:r>
              <w:rPr>
                <w:rFonts w:ascii="Verdana" w:hAnsi="Verdana"/>
                <w:sz w:val="18"/>
                <w:szCs w:val="18"/>
              </w:rPr>
              <w:t>5,1</w:t>
            </w:r>
          </w:p>
        </w:tc>
      </w:tr>
      <w:tr w:rsidR="00596FC9" w:rsidTr="000D3459">
        <w:tc>
          <w:tcPr>
            <w:tcW w:w="8019" w:type="dxa"/>
            <w:gridSpan w:val="2"/>
            <w:tcBorders>
              <w:left w:val="nil"/>
              <w:right w:val="nil"/>
            </w:tcBorders>
            <w:hideMark/>
          </w:tcPr>
          <w:p w:rsidR="00596FC9" w:rsidP="006D23DC" w:rsidRDefault="00596FC9">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596FC9" w:rsidP="006D23DC" w:rsidRDefault="00596FC9">
            <w:pPr>
              <w:jc w:val="right"/>
              <w:rPr>
                <w:rFonts w:ascii="Verdana" w:hAnsi="Verdana"/>
                <w:sz w:val="18"/>
                <w:szCs w:val="18"/>
              </w:rPr>
            </w:pPr>
            <w:r>
              <w:rPr>
                <w:rFonts w:ascii="Verdana" w:hAnsi="Verdana"/>
                <w:sz w:val="18"/>
                <w:szCs w:val="18"/>
              </w:rPr>
              <w:t>5,1</w:t>
            </w:r>
          </w:p>
        </w:tc>
      </w:tr>
      <w:tr w:rsidR="00596FC9" w:rsidTr="000D3459">
        <w:tc>
          <w:tcPr>
            <w:tcW w:w="8019" w:type="dxa"/>
            <w:gridSpan w:val="2"/>
            <w:tcBorders>
              <w:left w:val="nil"/>
              <w:right w:val="nil"/>
            </w:tcBorders>
            <w:hideMark/>
          </w:tcPr>
          <w:p w:rsidR="00596FC9" w:rsidP="006D23DC" w:rsidRDefault="00596FC9">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596FC9" w:rsidP="006D23DC" w:rsidRDefault="00596FC9">
            <w:pPr>
              <w:jc w:val="right"/>
              <w:rPr>
                <w:rFonts w:ascii="Verdana" w:hAnsi="Verdana"/>
                <w:sz w:val="18"/>
                <w:szCs w:val="18"/>
              </w:rPr>
            </w:pPr>
            <w:r>
              <w:rPr>
                <w:rFonts w:ascii="Verdana" w:hAnsi="Verdana"/>
                <w:sz w:val="18"/>
                <w:szCs w:val="18"/>
              </w:rPr>
              <w:t>60,5</w:t>
            </w:r>
          </w:p>
        </w:tc>
      </w:tr>
      <w:tr w:rsidR="00596FC9" w:rsidTr="000D3459">
        <w:tc>
          <w:tcPr>
            <w:tcW w:w="8019" w:type="dxa"/>
            <w:gridSpan w:val="2"/>
            <w:tcBorders>
              <w:left w:val="nil"/>
              <w:right w:val="nil"/>
            </w:tcBorders>
            <w:hideMark/>
          </w:tcPr>
          <w:p w:rsidR="00596FC9" w:rsidP="006D23DC" w:rsidRDefault="00596FC9">
            <w:pPr>
              <w:rPr>
                <w:rFonts w:ascii="Verdana" w:hAnsi="Verdana"/>
                <w:sz w:val="18"/>
                <w:szCs w:val="18"/>
              </w:rPr>
            </w:pPr>
            <w:r>
              <w:rPr>
                <w:rFonts w:ascii="Verdana" w:hAnsi="Verdana"/>
                <w:sz w:val="18"/>
                <w:szCs w:val="18"/>
              </w:rPr>
              <w:t> </w:t>
            </w:r>
          </w:p>
        </w:tc>
        <w:tc>
          <w:tcPr>
            <w:tcW w:w="0" w:type="auto"/>
            <w:hideMark/>
          </w:tcPr>
          <w:p w:rsidR="00596FC9" w:rsidP="006D23DC" w:rsidRDefault="00596FC9">
            <w:pPr>
              <w:rPr>
                <w:sz w:val="20"/>
                <w:szCs w:val="20"/>
              </w:rPr>
            </w:pPr>
          </w:p>
        </w:tc>
      </w:tr>
      <w:tr w:rsidR="00596FC9" w:rsidTr="000D3459">
        <w:tc>
          <w:tcPr>
            <w:tcW w:w="8019" w:type="dxa"/>
            <w:gridSpan w:val="2"/>
            <w:tcBorders>
              <w:left w:val="nil"/>
              <w:right w:val="nil"/>
            </w:tcBorders>
            <w:hideMark/>
          </w:tcPr>
          <w:p w:rsidR="00596FC9" w:rsidP="006D23DC" w:rsidRDefault="00596FC9">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596FC9" w:rsidP="006D23DC" w:rsidRDefault="00596FC9">
            <w:pPr>
              <w:jc w:val="right"/>
              <w:rPr>
                <w:rFonts w:ascii="Verdana" w:hAnsi="Verdana"/>
                <w:sz w:val="18"/>
                <w:szCs w:val="18"/>
              </w:rPr>
            </w:pPr>
            <w:r>
              <w:rPr>
                <w:rFonts w:ascii="Verdana" w:hAnsi="Verdana"/>
                <w:sz w:val="18"/>
                <w:szCs w:val="18"/>
              </w:rPr>
              <w:t>173,4</w:t>
            </w:r>
          </w:p>
        </w:tc>
      </w:tr>
      <w:tr w:rsidR="00596FC9" w:rsidTr="000D3459">
        <w:tc>
          <w:tcPr>
            <w:tcW w:w="8019" w:type="dxa"/>
            <w:gridSpan w:val="2"/>
            <w:tcBorders>
              <w:left w:val="nil"/>
              <w:right w:val="nil"/>
            </w:tcBorders>
            <w:hideMark/>
          </w:tcPr>
          <w:p w:rsidR="00596FC9" w:rsidP="006D23DC" w:rsidRDefault="00596FC9">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596FC9" w:rsidP="006D23DC" w:rsidRDefault="00596FC9">
            <w:pPr>
              <w:jc w:val="right"/>
              <w:rPr>
                <w:rFonts w:ascii="Verdana" w:hAnsi="Verdana"/>
                <w:sz w:val="18"/>
                <w:szCs w:val="18"/>
              </w:rPr>
            </w:pPr>
            <w:r>
              <w:rPr>
                <w:rFonts w:ascii="Verdana" w:hAnsi="Verdana"/>
                <w:sz w:val="18"/>
                <w:szCs w:val="18"/>
              </w:rPr>
              <w:t>0,0</w:t>
            </w:r>
          </w:p>
        </w:tc>
      </w:tr>
      <w:tr w:rsidR="00596FC9" w:rsidTr="000D3459">
        <w:tc>
          <w:tcPr>
            <w:tcW w:w="8019" w:type="dxa"/>
            <w:gridSpan w:val="2"/>
            <w:tcBorders>
              <w:left w:val="nil"/>
              <w:right w:val="nil"/>
            </w:tcBorders>
            <w:hideMark/>
          </w:tcPr>
          <w:p w:rsidR="00596FC9" w:rsidP="006D23DC" w:rsidRDefault="00596FC9">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596FC9" w:rsidP="006D23DC" w:rsidRDefault="00596FC9">
            <w:pPr>
              <w:jc w:val="right"/>
              <w:rPr>
                <w:rFonts w:ascii="Verdana" w:hAnsi="Verdana"/>
                <w:sz w:val="18"/>
                <w:szCs w:val="18"/>
              </w:rPr>
            </w:pPr>
            <w:r>
              <w:rPr>
                <w:rFonts w:ascii="Verdana" w:hAnsi="Verdana"/>
                <w:sz w:val="18"/>
                <w:szCs w:val="18"/>
              </w:rPr>
              <w:t>173,4</w:t>
            </w:r>
          </w:p>
        </w:tc>
      </w:tr>
    </w:tbl>
    <w:p w:rsidR="00596FC9" w:rsidP="00533D5C" w:rsidRDefault="00596FC9">
      <w:pPr>
        <w:spacing w:line="240" w:lineRule="exact"/>
        <w:rPr>
          <w:rFonts w:ascii="Verdana" w:hAnsi="Verdana" w:cs="Verdana"/>
          <w:b/>
          <w:bCs/>
          <w:sz w:val="18"/>
          <w:szCs w:val="18"/>
        </w:rPr>
      </w:pPr>
    </w:p>
    <w:p w:rsidR="00F57033" w:rsidP="00533D5C" w:rsidRDefault="00F57033">
      <w:pPr>
        <w:spacing w:line="240" w:lineRule="exact"/>
        <w:rPr>
          <w:rFonts w:ascii="Verdana" w:hAnsi="Verdana" w:cs="Verdana"/>
          <w:b/>
          <w:bCs/>
          <w:sz w:val="18"/>
          <w:szCs w:val="18"/>
        </w:rPr>
      </w:pPr>
    </w:p>
    <w:p w:rsidRPr="00A66E02" w:rsidR="009422E0" w:rsidP="00A66E02" w:rsidRDefault="009422E0">
      <w:pPr>
        <w:spacing w:line="240" w:lineRule="exact"/>
        <w:rPr>
          <w:rFonts w:ascii="Verdana" w:hAnsi="Verdana"/>
          <w:sz w:val="18"/>
          <w:szCs w:val="14"/>
        </w:rPr>
      </w:pPr>
      <w:proofErr w:type="spellStart"/>
      <w:r w:rsidRPr="00A66E02">
        <w:rPr>
          <w:rFonts w:ascii="Verdana" w:hAnsi="Verdana"/>
          <w:i/>
          <w:sz w:val="18"/>
          <w:szCs w:val="14"/>
        </w:rPr>
        <w:t>Backpay</w:t>
      </w:r>
      <w:proofErr w:type="spellEnd"/>
      <w:r w:rsidRPr="00A66E02">
        <w:rPr>
          <w:rFonts w:ascii="Verdana" w:hAnsi="Verdana"/>
          <w:i/>
          <w:sz w:val="18"/>
          <w:szCs w:val="14"/>
        </w:rPr>
        <w:br/>
      </w:r>
      <w:r w:rsidRPr="00A66E02">
        <w:rPr>
          <w:rFonts w:ascii="Verdana" w:hAnsi="Verdana"/>
          <w:sz w:val="18"/>
          <w:szCs w:val="14"/>
        </w:rPr>
        <w:t>Dit zijn de kosten voor de financiële regeling die is getroffen voor de “</w:t>
      </w:r>
      <w:proofErr w:type="spellStart"/>
      <w:r w:rsidRPr="00A66E02">
        <w:rPr>
          <w:rFonts w:ascii="Verdana" w:hAnsi="Verdana"/>
          <w:sz w:val="18"/>
          <w:szCs w:val="14"/>
        </w:rPr>
        <w:t>backpay</w:t>
      </w:r>
      <w:proofErr w:type="spellEnd"/>
      <w:r w:rsidRPr="00A66E02">
        <w:rPr>
          <w:rFonts w:ascii="Verdana" w:hAnsi="Verdana"/>
          <w:sz w:val="18"/>
          <w:szCs w:val="14"/>
        </w:rPr>
        <w:t xml:space="preserve">”. Dit betreft de genoegdoening voor de niet uitbetaalde salarissen aan ambtenaren en militairen die in dienst </w:t>
      </w:r>
      <w:r w:rsidRPr="00A66E02">
        <w:rPr>
          <w:rFonts w:ascii="Verdana" w:hAnsi="Verdana"/>
          <w:sz w:val="18"/>
          <w:szCs w:val="14"/>
        </w:rPr>
        <w:lastRenderedPageBreak/>
        <w:t xml:space="preserve">waren van het </w:t>
      </w:r>
      <w:proofErr w:type="spellStart"/>
      <w:r w:rsidRPr="00A66E02">
        <w:rPr>
          <w:rFonts w:ascii="Verdana" w:hAnsi="Verdana"/>
          <w:sz w:val="18"/>
          <w:szCs w:val="14"/>
        </w:rPr>
        <w:t>Nederlands-Indisch</w:t>
      </w:r>
      <w:proofErr w:type="spellEnd"/>
      <w:r w:rsidRPr="00A66E02">
        <w:rPr>
          <w:rFonts w:ascii="Verdana" w:hAnsi="Verdana"/>
          <w:sz w:val="18"/>
          <w:szCs w:val="14"/>
        </w:rPr>
        <w:t xml:space="preserve"> Gouvernement gedurende de Japanse bezetting en nu zelf nog in leven zijn.</w:t>
      </w:r>
    </w:p>
    <w:p w:rsidRPr="00A66E02" w:rsidR="009422E0" w:rsidP="00A66E02" w:rsidRDefault="009422E0">
      <w:pPr>
        <w:spacing w:line="240" w:lineRule="exact"/>
        <w:rPr>
          <w:rFonts w:ascii="Verdana" w:hAnsi="Verdana"/>
          <w:sz w:val="18"/>
          <w:szCs w:val="14"/>
        </w:rPr>
      </w:pPr>
    </w:p>
    <w:p w:rsidRPr="00A66E02" w:rsidR="009422E0" w:rsidP="00A66E02" w:rsidRDefault="009422E0">
      <w:pPr>
        <w:spacing w:line="240" w:lineRule="exact"/>
        <w:rPr>
          <w:rFonts w:ascii="Verdana" w:hAnsi="Verdana"/>
          <w:i/>
          <w:sz w:val="18"/>
          <w:szCs w:val="14"/>
        </w:rPr>
      </w:pPr>
      <w:r w:rsidRPr="00A66E02">
        <w:rPr>
          <w:rFonts w:ascii="Verdana" w:hAnsi="Verdana"/>
          <w:i/>
          <w:sz w:val="18"/>
          <w:szCs w:val="14"/>
        </w:rPr>
        <w:t xml:space="preserve">Subsidie transitie jeugd </w:t>
      </w:r>
    </w:p>
    <w:p w:rsidRPr="00A66E02" w:rsidR="009422E0" w:rsidP="00A66E02" w:rsidRDefault="009422E0">
      <w:pPr>
        <w:spacing w:line="240" w:lineRule="exact"/>
        <w:rPr>
          <w:rFonts w:ascii="Verdana" w:hAnsi="Verdana"/>
          <w:sz w:val="18"/>
          <w:szCs w:val="14"/>
        </w:rPr>
      </w:pPr>
      <w:r w:rsidRPr="00A66E02">
        <w:rPr>
          <w:rFonts w:ascii="Verdana" w:hAnsi="Verdana"/>
          <w:sz w:val="18"/>
          <w:szCs w:val="14"/>
        </w:rPr>
        <w:t>In de jeugdzorg zijn subsidies op grond van de subsidieregeling bijzondere transitiekosten Jeugd lager uitgevallen dan geraamd. Er zijn minder instellingen dan verwacht in de financiële problemen gekomen. In 2015 hebben instellingen ingeteerd op hun eigen vermogen, daarnaast is het overgangsrecht voor cliënten in 2016 niet meer toepassing.  Dit leidt tot de verwachting dat vanaf 2016 meer instellingen in de problemen kunnen komen en er zodoende een groter beroep op de subsidieregeling gedaan zal worden. Daarom worden de niet-bestede middelen in 2015 via een kasschuif doorgeschoven naar 2016.</w:t>
      </w:r>
    </w:p>
    <w:p w:rsidRPr="00A66E02" w:rsidR="009422E0" w:rsidP="00A66E02" w:rsidRDefault="009422E0">
      <w:pPr>
        <w:spacing w:line="240" w:lineRule="exact"/>
        <w:rPr>
          <w:rFonts w:ascii="Verdana" w:hAnsi="Verdana"/>
          <w:sz w:val="18"/>
          <w:szCs w:val="14"/>
        </w:rPr>
      </w:pPr>
    </w:p>
    <w:p w:rsidRPr="00A66E02" w:rsidR="009422E0" w:rsidP="00A66E02" w:rsidRDefault="009422E0">
      <w:pPr>
        <w:spacing w:line="240" w:lineRule="exact"/>
        <w:rPr>
          <w:rFonts w:ascii="Verdana" w:hAnsi="Verdana"/>
          <w:i/>
          <w:sz w:val="18"/>
          <w:szCs w:val="14"/>
        </w:rPr>
      </w:pPr>
      <w:r w:rsidRPr="00A66E02">
        <w:rPr>
          <w:rFonts w:ascii="Verdana" w:hAnsi="Verdana"/>
          <w:i/>
          <w:sz w:val="18"/>
          <w:szCs w:val="14"/>
        </w:rPr>
        <w:t xml:space="preserve">Taakstellende onderuitputting </w:t>
      </w:r>
    </w:p>
    <w:p w:rsidRPr="00A66E02" w:rsidR="009422E0" w:rsidP="00A66E02" w:rsidRDefault="009422E0">
      <w:pPr>
        <w:spacing w:line="240" w:lineRule="exact"/>
        <w:rPr>
          <w:rFonts w:ascii="Verdana" w:hAnsi="Verdana"/>
          <w:sz w:val="18"/>
          <w:szCs w:val="14"/>
        </w:rPr>
      </w:pPr>
      <w:r w:rsidRPr="00A66E02">
        <w:rPr>
          <w:rFonts w:ascii="Verdana" w:hAnsi="Verdana"/>
          <w:sz w:val="18"/>
          <w:szCs w:val="14"/>
        </w:rPr>
        <w:t>Dit betreft de oningevulde taakstelling op de begroting van VWS. Deze wordt ingevuld met de bij de 2e suppletoire begrotingswet gepresenteerde onderuitputting.</w:t>
      </w:r>
    </w:p>
    <w:p w:rsidRPr="00A66E02" w:rsidR="009422E0" w:rsidP="00A66E02" w:rsidRDefault="009422E0">
      <w:pPr>
        <w:spacing w:line="240" w:lineRule="exact"/>
        <w:rPr>
          <w:rFonts w:ascii="Verdana" w:hAnsi="Verdana"/>
          <w:sz w:val="18"/>
          <w:szCs w:val="14"/>
        </w:rPr>
      </w:pPr>
    </w:p>
    <w:p w:rsidRPr="00A66E02" w:rsidR="009422E0" w:rsidP="00A66E02" w:rsidRDefault="009422E0">
      <w:pPr>
        <w:spacing w:line="240" w:lineRule="exact"/>
        <w:rPr>
          <w:rFonts w:ascii="Verdana" w:hAnsi="Verdana"/>
          <w:i/>
          <w:sz w:val="18"/>
          <w:szCs w:val="14"/>
        </w:rPr>
      </w:pPr>
      <w:r w:rsidRPr="00A66E02">
        <w:rPr>
          <w:rFonts w:ascii="Verdana" w:hAnsi="Verdana"/>
          <w:i/>
          <w:sz w:val="18"/>
          <w:szCs w:val="14"/>
        </w:rPr>
        <w:t xml:space="preserve">Diversen (beleidsmatige </w:t>
      </w:r>
      <w:proofErr w:type="spellStart"/>
      <w:r w:rsidRPr="00A66E02">
        <w:rPr>
          <w:rFonts w:ascii="Verdana" w:hAnsi="Verdana"/>
          <w:i/>
          <w:sz w:val="18"/>
          <w:szCs w:val="14"/>
        </w:rPr>
        <w:t>rbg-eng</w:t>
      </w:r>
      <w:proofErr w:type="spellEnd"/>
      <w:r w:rsidRPr="00A66E02">
        <w:rPr>
          <w:rFonts w:ascii="Verdana" w:hAnsi="Verdana"/>
          <w:i/>
          <w:sz w:val="18"/>
          <w:szCs w:val="14"/>
        </w:rPr>
        <w:t xml:space="preserve">) </w:t>
      </w:r>
    </w:p>
    <w:p w:rsidRPr="00A66E02" w:rsidR="009422E0" w:rsidP="00A66E02" w:rsidRDefault="009422E0">
      <w:pPr>
        <w:spacing w:line="240" w:lineRule="exact"/>
        <w:rPr>
          <w:rFonts w:ascii="Verdana" w:hAnsi="Verdana"/>
          <w:sz w:val="18"/>
          <w:szCs w:val="14"/>
        </w:rPr>
      </w:pPr>
      <w:r w:rsidRPr="00A66E02">
        <w:rPr>
          <w:rFonts w:ascii="Verdana" w:hAnsi="Verdana"/>
          <w:sz w:val="18"/>
          <w:szCs w:val="14"/>
        </w:rPr>
        <w:t xml:space="preserve">Het betreft het saldo van een aantal mutaties waaronder lagere uitgaven aan regelingen op het gebied van toegankelijkheid en kwaliteit langdurige zorg (-9,9 mln.), lagere uitgaven aan regelingen op gebied van jeugd (-7,0 mln.), lagere uitgaven bij uitkeringen en pensioenen ingevolge WOII (-6,0 mln.) en lagere uitvoeringskosten bij regelingen voor wanbetalers, </w:t>
      </w:r>
      <w:proofErr w:type="spellStart"/>
      <w:r w:rsidRPr="00A66E02">
        <w:rPr>
          <w:rFonts w:ascii="Verdana" w:hAnsi="Verdana"/>
          <w:sz w:val="18"/>
          <w:szCs w:val="14"/>
        </w:rPr>
        <w:t>onverzekerden</w:t>
      </w:r>
      <w:proofErr w:type="spellEnd"/>
      <w:r w:rsidRPr="00A66E02">
        <w:rPr>
          <w:rFonts w:ascii="Verdana" w:hAnsi="Verdana"/>
          <w:sz w:val="18"/>
          <w:szCs w:val="14"/>
        </w:rPr>
        <w:t xml:space="preserve"> en onverzekerbare vreemdelingen (-5,5 mln.). </w:t>
      </w:r>
    </w:p>
    <w:p w:rsidRPr="00A66E02" w:rsidR="009422E0" w:rsidP="00A66E02" w:rsidRDefault="009422E0">
      <w:pPr>
        <w:spacing w:line="240" w:lineRule="exact"/>
        <w:rPr>
          <w:rFonts w:ascii="Verdana" w:hAnsi="Verdana"/>
          <w:sz w:val="18"/>
          <w:szCs w:val="14"/>
        </w:rPr>
      </w:pPr>
    </w:p>
    <w:p w:rsidRPr="00A66E02" w:rsidR="009422E0" w:rsidP="00A66E02" w:rsidRDefault="009422E0">
      <w:pPr>
        <w:spacing w:line="240" w:lineRule="exact"/>
        <w:rPr>
          <w:rFonts w:ascii="Verdana" w:hAnsi="Verdana"/>
          <w:i/>
          <w:sz w:val="18"/>
          <w:szCs w:val="14"/>
        </w:rPr>
      </w:pPr>
      <w:r w:rsidRPr="00A66E02">
        <w:rPr>
          <w:rFonts w:ascii="Verdana" w:hAnsi="Verdana"/>
          <w:i/>
          <w:sz w:val="18"/>
          <w:szCs w:val="14"/>
        </w:rPr>
        <w:t xml:space="preserve">Diversen (beleidsmatig zorg) </w:t>
      </w:r>
    </w:p>
    <w:p w:rsidRPr="00A66E02" w:rsidR="009422E0" w:rsidP="00A66E02" w:rsidRDefault="009422E0">
      <w:pPr>
        <w:spacing w:line="240" w:lineRule="exact"/>
        <w:rPr>
          <w:rFonts w:ascii="Verdana" w:hAnsi="Verdana"/>
          <w:sz w:val="18"/>
          <w:szCs w:val="14"/>
        </w:rPr>
      </w:pPr>
      <w:r w:rsidRPr="00A66E02">
        <w:rPr>
          <w:rFonts w:ascii="Verdana" w:hAnsi="Verdana"/>
          <w:sz w:val="18"/>
          <w:szCs w:val="14"/>
        </w:rPr>
        <w:t xml:space="preserve">Het betreft het saldo van een aantal mutaties waaronder onderuitputting bij de transitieregeling medisch-specialistische zorg (-9,0 mln.) en lagere uitgaven in het kader van de Wet tegemoetkoming chronisch zieken en gehandicapten (-7,5 mln.). </w:t>
      </w:r>
    </w:p>
    <w:p w:rsidRPr="00A66E02" w:rsidR="009422E0" w:rsidP="00A66E02" w:rsidRDefault="009422E0">
      <w:pPr>
        <w:spacing w:line="240" w:lineRule="exact"/>
        <w:rPr>
          <w:rFonts w:ascii="Verdana" w:hAnsi="Verdana"/>
          <w:sz w:val="18"/>
          <w:szCs w:val="14"/>
        </w:rPr>
      </w:pPr>
    </w:p>
    <w:p w:rsidRPr="00A66E02" w:rsidR="009422E0" w:rsidP="00A66E02" w:rsidRDefault="009422E0">
      <w:pPr>
        <w:spacing w:line="240" w:lineRule="exact"/>
        <w:rPr>
          <w:rFonts w:ascii="Verdana" w:hAnsi="Verdana"/>
          <w:i/>
          <w:sz w:val="18"/>
          <w:szCs w:val="14"/>
        </w:rPr>
      </w:pPr>
      <w:r w:rsidRPr="00A66E02">
        <w:rPr>
          <w:rFonts w:ascii="Verdana" w:hAnsi="Verdana"/>
          <w:i/>
          <w:sz w:val="18"/>
          <w:szCs w:val="14"/>
        </w:rPr>
        <w:t xml:space="preserve">Schadeloosstelling Erasmus MC </w:t>
      </w:r>
    </w:p>
    <w:p w:rsidRPr="00A66E02" w:rsidR="009422E0" w:rsidP="00A66E02" w:rsidRDefault="009422E0">
      <w:pPr>
        <w:spacing w:line="240" w:lineRule="exact"/>
        <w:rPr>
          <w:rFonts w:ascii="Verdana" w:hAnsi="Verdana"/>
          <w:sz w:val="18"/>
          <w:szCs w:val="14"/>
        </w:rPr>
      </w:pPr>
      <w:r w:rsidRPr="00A66E02">
        <w:rPr>
          <w:rFonts w:ascii="Verdana" w:hAnsi="Verdana"/>
          <w:sz w:val="18"/>
          <w:szCs w:val="14"/>
        </w:rPr>
        <w:t xml:space="preserve">In een bindend advies is de schadevergoeding die VWS aan Erasmus MC moet betalen vanwege het niet nakomen van twee toezeggingen uit 2009 vastgesteld op 235,9 mln. (per ultimo 2014). VWS betaalt in 2015 en 2016 een bedrag van 85 mln. en het restant in 2017. De middelen zijn naar Hoofdstuk XVI overgeboekt, maar blijven behoren tot het BKZ (begrotingsgefinancierde </w:t>
      </w:r>
      <w:proofErr w:type="spellStart"/>
      <w:r w:rsidRPr="00A66E02">
        <w:rPr>
          <w:rFonts w:ascii="Verdana" w:hAnsi="Verdana"/>
          <w:sz w:val="18"/>
          <w:szCs w:val="14"/>
        </w:rPr>
        <w:t>BKZ-uitgaven</w:t>
      </w:r>
      <w:proofErr w:type="spellEnd"/>
      <w:r w:rsidRPr="00A66E02">
        <w:rPr>
          <w:rFonts w:ascii="Verdana" w:hAnsi="Verdana"/>
          <w:sz w:val="18"/>
          <w:szCs w:val="14"/>
        </w:rPr>
        <w:t>).</w:t>
      </w:r>
    </w:p>
    <w:p w:rsidRPr="00A66E02" w:rsidR="009422E0" w:rsidP="00A66E02" w:rsidRDefault="009422E0">
      <w:pPr>
        <w:spacing w:line="240" w:lineRule="exact"/>
        <w:rPr>
          <w:rFonts w:ascii="Verdana" w:hAnsi="Verdana"/>
          <w:sz w:val="18"/>
          <w:szCs w:val="14"/>
        </w:rPr>
      </w:pPr>
    </w:p>
    <w:p w:rsidRPr="00A66E02" w:rsidR="009422E0" w:rsidP="00A66E02" w:rsidRDefault="009422E0">
      <w:pPr>
        <w:spacing w:line="240" w:lineRule="exact"/>
        <w:rPr>
          <w:rFonts w:ascii="Verdana" w:hAnsi="Verdana"/>
          <w:i/>
          <w:sz w:val="18"/>
          <w:szCs w:val="14"/>
        </w:rPr>
      </w:pPr>
      <w:r w:rsidRPr="00A66E02">
        <w:rPr>
          <w:rFonts w:ascii="Verdana" w:hAnsi="Verdana"/>
          <w:i/>
          <w:sz w:val="18"/>
          <w:szCs w:val="14"/>
        </w:rPr>
        <w:t xml:space="preserve">Diversen (technisch niet tot een </w:t>
      </w:r>
      <w:proofErr w:type="spellStart"/>
      <w:r w:rsidRPr="00A66E02">
        <w:rPr>
          <w:rFonts w:ascii="Verdana" w:hAnsi="Verdana"/>
          <w:i/>
          <w:sz w:val="18"/>
          <w:szCs w:val="14"/>
        </w:rPr>
        <w:t>ijklijn</w:t>
      </w:r>
      <w:proofErr w:type="spellEnd"/>
      <w:r w:rsidRPr="00A66E02">
        <w:rPr>
          <w:rFonts w:ascii="Verdana" w:hAnsi="Verdana"/>
          <w:i/>
          <w:sz w:val="18"/>
          <w:szCs w:val="14"/>
        </w:rPr>
        <w:t xml:space="preserve"> behorend)  </w:t>
      </w:r>
    </w:p>
    <w:p w:rsidRPr="00A66E02" w:rsidR="009422E0" w:rsidP="00A66E02" w:rsidRDefault="009422E0">
      <w:pPr>
        <w:spacing w:line="240" w:lineRule="exact"/>
        <w:rPr>
          <w:rFonts w:ascii="Verdana" w:hAnsi="Verdana"/>
          <w:sz w:val="18"/>
          <w:szCs w:val="14"/>
        </w:rPr>
      </w:pPr>
      <w:r w:rsidRPr="00A66E02">
        <w:rPr>
          <w:rFonts w:ascii="Verdana" w:hAnsi="Verdana"/>
          <w:sz w:val="18"/>
          <w:szCs w:val="14"/>
        </w:rPr>
        <w:t xml:space="preserve">Het betreft het saldo van de afrekening rijksbijdrage abortusklinieken over 2013/2014 (1,2 mln.) en de bijdrage in uitvoeringskosten van Tegemoetkoming Specifieke Zorgkosten (-0,9 mln.). </w:t>
      </w:r>
    </w:p>
    <w:p w:rsidRPr="00A66E02" w:rsidR="009422E0" w:rsidP="00A66E02" w:rsidRDefault="009422E0">
      <w:pPr>
        <w:spacing w:line="240" w:lineRule="exact"/>
        <w:rPr>
          <w:rFonts w:ascii="Verdana" w:hAnsi="Verdana"/>
          <w:sz w:val="18"/>
          <w:szCs w:val="14"/>
        </w:rPr>
      </w:pPr>
    </w:p>
    <w:p w:rsidRPr="00A66E02" w:rsidR="009422E0" w:rsidP="00A66E02" w:rsidRDefault="009422E0">
      <w:pPr>
        <w:spacing w:line="240" w:lineRule="exact"/>
        <w:rPr>
          <w:rFonts w:ascii="Verdana" w:hAnsi="Verdana"/>
          <w:i/>
          <w:sz w:val="18"/>
          <w:szCs w:val="14"/>
        </w:rPr>
      </w:pPr>
      <w:r w:rsidRPr="00A66E02">
        <w:rPr>
          <w:rFonts w:ascii="Verdana" w:hAnsi="Verdana"/>
          <w:i/>
          <w:sz w:val="18"/>
          <w:szCs w:val="14"/>
        </w:rPr>
        <w:t xml:space="preserve">Ontvangsten wanbetalers </w:t>
      </w:r>
    </w:p>
    <w:p w:rsidRPr="00A66E02" w:rsidR="009422E0" w:rsidP="00A66E02" w:rsidRDefault="009422E0">
      <w:pPr>
        <w:spacing w:line="240" w:lineRule="exact"/>
        <w:rPr>
          <w:rFonts w:ascii="Verdana" w:hAnsi="Verdana"/>
          <w:sz w:val="18"/>
          <w:szCs w:val="14"/>
        </w:rPr>
      </w:pPr>
      <w:r w:rsidRPr="00A66E02">
        <w:rPr>
          <w:rFonts w:ascii="Verdana" w:hAnsi="Verdana"/>
          <w:sz w:val="18"/>
          <w:szCs w:val="14"/>
        </w:rPr>
        <w:t xml:space="preserve">De ontvangsten in het kader van de </w:t>
      </w:r>
      <w:proofErr w:type="spellStart"/>
      <w:r w:rsidRPr="00A66E02">
        <w:rPr>
          <w:rFonts w:ascii="Verdana" w:hAnsi="Verdana"/>
          <w:sz w:val="18"/>
          <w:szCs w:val="14"/>
        </w:rPr>
        <w:t>wanbetalersregeling</w:t>
      </w:r>
      <w:proofErr w:type="spellEnd"/>
      <w:r w:rsidRPr="00A66E02">
        <w:rPr>
          <w:rFonts w:ascii="Verdana" w:hAnsi="Verdana"/>
          <w:sz w:val="18"/>
          <w:szCs w:val="14"/>
        </w:rPr>
        <w:t xml:space="preserve"> vallen hoger uit door een hoger dan verwacht </w:t>
      </w:r>
      <w:proofErr w:type="spellStart"/>
      <w:r w:rsidRPr="00A66E02">
        <w:rPr>
          <w:rFonts w:ascii="Verdana" w:hAnsi="Verdana"/>
          <w:sz w:val="18"/>
          <w:szCs w:val="14"/>
        </w:rPr>
        <w:t>inningspercentage</w:t>
      </w:r>
      <w:proofErr w:type="spellEnd"/>
      <w:r w:rsidRPr="00A66E02">
        <w:rPr>
          <w:rFonts w:ascii="Verdana" w:hAnsi="Verdana"/>
          <w:sz w:val="18"/>
          <w:szCs w:val="14"/>
        </w:rPr>
        <w:t xml:space="preserve">. </w:t>
      </w:r>
    </w:p>
    <w:p w:rsidRPr="00A66E02" w:rsidR="009422E0" w:rsidP="00A66E02" w:rsidRDefault="009422E0">
      <w:pPr>
        <w:spacing w:line="240" w:lineRule="exact"/>
        <w:rPr>
          <w:rFonts w:ascii="Verdana" w:hAnsi="Verdana"/>
          <w:sz w:val="18"/>
          <w:szCs w:val="14"/>
        </w:rPr>
      </w:pPr>
    </w:p>
    <w:p w:rsidRPr="00A66E02" w:rsidR="009422E0" w:rsidP="00A66E02" w:rsidRDefault="009422E0">
      <w:pPr>
        <w:spacing w:line="240" w:lineRule="exact"/>
        <w:rPr>
          <w:rFonts w:ascii="Verdana" w:hAnsi="Verdana"/>
          <w:i/>
          <w:sz w:val="18"/>
          <w:szCs w:val="14"/>
        </w:rPr>
      </w:pPr>
      <w:r w:rsidRPr="00A66E02">
        <w:rPr>
          <w:rFonts w:ascii="Verdana" w:hAnsi="Verdana"/>
          <w:i/>
          <w:sz w:val="18"/>
          <w:szCs w:val="14"/>
        </w:rPr>
        <w:t xml:space="preserve">Diversen (beleidsmatig </w:t>
      </w:r>
      <w:proofErr w:type="spellStart"/>
      <w:r w:rsidRPr="00A66E02">
        <w:rPr>
          <w:rFonts w:ascii="Verdana" w:hAnsi="Verdana"/>
          <w:i/>
          <w:sz w:val="18"/>
          <w:szCs w:val="14"/>
        </w:rPr>
        <w:t>rbg-eng</w:t>
      </w:r>
      <w:proofErr w:type="spellEnd"/>
      <w:r w:rsidRPr="00A66E02">
        <w:rPr>
          <w:rFonts w:ascii="Verdana" w:hAnsi="Verdana"/>
          <w:i/>
          <w:sz w:val="18"/>
          <w:szCs w:val="14"/>
        </w:rPr>
        <w:t xml:space="preserve">) </w:t>
      </w:r>
    </w:p>
    <w:p w:rsidRPr="00A66E02" w:rsidR="009422E0" w:rsidP="00A66E02" w:rsidRDefault="009422E0">
      <w:pPr>
        <w:spacing w:line="240" w:lineRule="exact"/>
        <w:rPr>
          <w:rFonts w:ascii="Verdana" w:hAnsi="Verdana"/>
          <w:sz w:val="18"/>
          <w:szCs w:val="14"/>
        </w:rPr>
      </w:pPr>
      <w:r w:rsidRPr="00A66E02">
        <w:rPr>
          <w:rFonts w:ascii="Verdana" w:hAnsi="Verdana"/>
          <w:sz w:val="18"/>
          <w:szCs w:val="14"/>
        </w:rPr>
        <w:t xml:space="preserve">Het betreft het saldo van een aantal mutaties waaronder de terugvordering van de overlooppost van </w:t>
      </w:r>
      <w:proofErr w:type="spellStart"/>
      <w:r w:rsidRPr="00A66E02">
        <w:rPr>
          <w:rFonts w:ascii="Verdana" w:hAnsi="Verdana"/>
          <w:sz w:val="18"/>
          <w:szCs w:val="14"/>
        </w:rPr>
        <w:t>ZonMw</w:t>
      </w:r>
      <w:proofErr w:type="spellEnd"/>
      <w:r w:rsidRPr="00A66E02">
        <w:rPr>
          <w:rFonts w:ascii="Verdana" w:hAnsi="Verdana"/>
          <w:sz w:val="18"/>
          <w:szCs w:val="14"/>
        </w:rPr>
        <w:t xml:space="preserve"> (13,5 mln.), terugontvangst van te veel ontvangen voorschotten CIBG (6,8 mln.), taakstellende ontvangstenmeevaller (-5,4 mln.) en hogere ontvangsten die samenhangen met lagere uitvoeringskosten bij regelingen voor wanbetalers, </w:t>
      </w:r>
      <w:proofErr w:type="spellStart"/>
      <w:r w:rsidRPr="00A66E02">
        <w:rPr>
          <w:rFonts w:ascii="Verdana" w:hAnsi="Verdana"/>
          <w:sz w:val="18"/>
          <w:szCs w:val="14"/>
        </w:rPr>
        <w:t>onverzekerden</w:t>
      </w:r>
      <w:proofErr w:type="spellEnd"/>
      <w:r w:rsidRPr="00A66E02">
        <w:rPr>
          <w:rFonts w:ascii="Verdana" w:hAnsi="Verdana"/>
          <w:sz w:val="18"/>
          <w:szCs w:val="14"/>
        </w:rPr>
        <w:t xml:space="preserve"> en onverzekerbare vreemdelingen (5,2 mln.). </w:t>
      </w:r>
    </w:p>
    <w:p w:rsidRPr="00A66E02" w:rsidR="009422E0" w:rsidRDefault="009422E0">
      <w:pPr>
        <w:rPr>
          <w:rFonts w:ascii="Verdana" w:hAnsi="Verdana"/>
          <w:sz w:val="18"/>
          <w:szCs w:val="14"/>
        </w:rPr>
      </w:pPr>
      <w:r w:rsidRPr="00A66E02">
        <w:rPr>
          <w:rFonts w:ascii="Verdana" w:hAnsi="Verdana"/>
          <w:sz w:val="18"/>
          <w:szCs w:val="14"/>
        </w:rPr>
        <w:br w:type="page"/>
      </w:r>
    </w:p>
    <w:p w:rsidRPr="00533D5C" w:rsidR="00DD019D" w:rsidP="00533D5C" w:rsidRDefault="00212804">
      <w:pPr>
        <w:spacing w:line="240" w:lineRule="exact"/>
        <w:rPr>
          <w:rFonts w:ascii="Verdana" w:hAnsi="Verdana" w:cs="Verdana"/>
          <w:b/>
          <w:bCs/>
          <w:sz w:val="18"/>
          <w:szCs w:val="18"/>
        </w:rPr>
      </w:pPr>
      <w:r w:rsidRPr="003A303A">
        <w:rPr>
          <w:rFonts w:ascii="Verdana" w:hAnsi="Verdana" w:cs="Verdana"/>
          <w:b/>
          <w:bCs/>
          <w:sz w:val="18"/>
          <w:szCs w:val="18"/>
        </w:rPr>
        <w:lastRenderedPageBreak/>
        <w:t>Budgettair Kader Zorg</w:t>
      </w:r>
    </w:p>
    <w:p w:rsidR="00610B7E" w:rsidRDefault="00610B7E">
      <w:pPr>
        <w:rPr>
          <w:rFonts w:ascii="Verdana" w:hAnsi="Verdana" w:cs="Verdana"/>
          <w:b/>
          <w:bCs/>
          <w:sz w:val="18"/>
          <w:szCs w:val="18"/>
        </w:rPr>
      </w:pPr>
    </w:p>
    <w:tbl>
      <w:tblPr>
        <w:tblW w:w="5000" w:type="pct"/>
        <w:tblCellMar>
          <w:top w:w="15" w:type="dxa"/>
          <w:left w:w="15" w:type="dxa"/>
          <w:bottom w:w="15" w:type="dxa"/>
          <w:right w:w="15" w:type="dxa"/>
        </w:tblCellMar>
        <w:tblLook w:val="04A0"/>
      </w:tblPr>
      <w:tblGrid>
        <w:gridCol w:w="7447"/>
        <w:gridCol w:w="1655"/>
      </w:tblGrid>
      <w:tr w:rsidR="00D23801" w:rsidTr="00D23801">
        <w:tc>
          <w:tcPr>
            <w:tcW w:w="5000" w:type="pct"/>
            <w:gridSpan w:val="2"/>
            <w:tcBorders>
              <w:left w:val="nil"/>
              <w:right w:val="nil"/>
            </w:tcBorders>
            <w:hideMark/>
          </w:tcPr>
          <w:p w:rsidR="00D23801" w:rsidP="00A34B8E" w:rsidRDefault="00D23801">
            <w:pPr>
              <w:rPr>
                <w:rFonts w:ascii="Verdana" w:hAnsi="Verdana"/>
                <w:sz w:val="18"/>
                <w:szCs w:val="18"/>
              </w:rPr>
            </w:pPr>
            <w:r>
              <w:rPr>
                <w:rFonts w:ascii="Verdana" w:hAnsi="Verdana"/>
                <w:sz w:val="18"/>
                <w:szCs w:val="18"/>
              </w:rPr>
              <w:t>ZORG: UITGAVEN</w:t>
            </w:r>
          </w:p>
        </w:tc>
      </w:tr>
      <w:tr w:rsidR="00D23801" w:rsidTr="00D23801">
        <w:tc>
          <w:tcPr>
            <w:tcW w:w="4091" w:type="pct"/>
            <w:tcBorders>
              <w:top w:val="single" w:color="000000" w:sz="6" w:space="0"/>
              <w:left w:val="nil"/>
              <w:bottom w:val="single" w:color="000000" w:sz="6" w:space="0"/>
              <w:right w:val="nil"/>
            </w:tcBorders>
            <w:hideMark/>
          </w:tcPr>
          <w:p w:rsidR="00D23801" w:rsidP="00A34B8E" w:rsidRDefault="00D23801">
            <w:pPr>
              <w:jc w:val="right"/>
              <w:rPr>
                <w:rFonts w:ascii="Verdana" w:hAnsi="Verdana"/>
                <w:sz w:val="18"/>
                <w:szCs w:val="18"/>
              </w:rPr>
            </w:pPr>
          </w:p>
        </w:tc>
        <w:tc>
          <w:tcPr>
            <w:tcW w:w="909" w:type="pct"/>
            <w:tcBorders>
              <w:top w:val="single" w:color="000000" w:sz="6" w:space="0"/>
              <w:left w:val="nil"/>
              <w:bottom w:val="single" w:color="000000" w:sz="6" w:space="0"/>
              <w:right w:val="nil"/>
            </w:tcBorders>
            <w:hideMark/>
          </w:tcPr>
          <w:p w:rsidR="00D23801" w:rsidP="00A34B8E" w:rsidRDefault="00D23801">
            <w:pPr>
              <w:jc w:val="right"/>
              <w:rPr>
                <w:rFonts w:ascii="Verdana" w:hAnsi="Verdana"/>
                <w:sz w:val="18"/>
                <w:szCs w:val="18"/>
              </w:rPr>
            </w:pPr>
            <w:r>
              <w:rPr>
                <w:rFonts w:ascii="Verdana" w:hAnsi="Verdana"/>
                <w:sz w:val="18"/>
                <w:szCs w:val="18"/>
              </w:rPr>
              <w:t>2015</w:t>
            </w:r>
          </w:p>
        </w:tc>
      </w:tr>
      <w:tr w:rsidR="00D23801" w:rsidTr="00D23801">
        <w:tc>
          <w:tcPr>
            <w:tcW w:w="4091" w:type="pct"/>
            <w:tcBorders>
              <w:left w:val="nil"/>
              <w:right w:val="nil"/>
            </w:tcBorders>
            <w:hideMark/>
          </w:tcPr>
          <w:p w:rsidR="00D23801" w:rsidP="00A34B8E" w:rsidRDefault="00D23801">
            <w:pPr>
              <w:rPr>
                <w:rFonts w:ascii="Verdana" w:hAnsi="Verdana"/>
                <w:sz w:val="18"/>
                <w:szCs w:val="18"/>
              </w:rPr>
            </w:pPr>
            <w:r>
              <w:rPr>
                <w:rFonts w:ascii="Verdana" w:hAnsi="Verdana"/>
                <w:sz w:val="18"/>
                <w:szCs w:val="18"/>
              </w:rPr>
              <w:t>Stand Miljoenennota 2016</w:t>
            </w:r>
          </w:p>
        </w:tc>
        <w:tc>
          <w:tcPr>
            <w:tcW w:w="909" w:type="pct"/>
            <w:tcBorders>
              <w:top w:val="single" w:color="000000" w:sz="6" w:space="0"/>
              <w:left w:val="nil"/>
              <w:right w:val="nil"/>
            </w:tcBorders>
            <w:hideMark/>
          </w:tcPr>
          <w:p w:rsidR="00D23801" w:rsidP="00A34B8E" w:rsidRDefault="00D23801">
            <w:pPr>
              <w:jc w:val="right"/>
              <w:rPr>
                <w:rFonts w:ascii="Verdana" w:hAnsi="Verdana"/>
                <w:sz w:val="18"/>
                <w:szCs w:val="18"/>
              </w:rPr>
            </w:pPr>
            <w:r>
              <w:rPr>
                <w:rFonts w:ascii="Verdana" w:hAnsi="Verdana"/>
                <w:sz w:val="18"/>
                <w:szCs w:val="18"/>
              </w:rPr>
              <w:t>70.612,1</w:t>
            </w:r>
          </w:p>
        </w:tc>
      </w:tr>
      <w:tr w:rsidR="00D23801" w:rsidTr="00D23801">
        <w:tc>
          <w:tcPr>
            <w:tcW w:w="4091" w:type="pct"/>
            <w:tcBorders>
              <w:left w:val="nil"/>
              <w:right w:val="nil"/>
            </w:tcBorders>
            <w:hideMark/>
          </w:tcPr>
          <w:p w:rsidR="00D23801" w:rsidP="00A34B8E" w:rsidRDefault="00D23801">
            <w:pPr>
              <w:rPr>
                <w:rFonts w:ascii="Verdana" w:hAnsi="Verdana"/>
                <w:sz w:val="18"/>
                <w:szCs w:val="18"/>
              </w:rPr>
            </w:pPr>
            <w:r>
              <w:rPr>
                <w:rFonts w:ascii="Verdana" w:hAnsi="Verdana"/>
                <w:sz w:val="18"/>
                <w:szCs w:val="18"/>
              </w:rPr>
              <w:t>Mee- en tegenvallers</w:t>
            </w:r>
          </w:p>
        </w:tc>
        <w:tc>
          <w:tcPr>
            <w:tcW w:w="909" w:type="pct"/>
            <w:hideMark/>
          </w:tcPr>
          <w:p w:rsidR="00D23801" w:rsidP="00A34B8E" w:rsidRDefault="00D23801">
            <w:pPr>
              <w:rPr>
                <w:sz w:val="20"/>
                <w:szCs w:val="20"/>
              </w:rPr>
            </w:pPr>
          </w:p>
        </w:tc>
      </w:tr>
      <w:tr w:rsidR="00D23801" w:rsidTr="00D23801">
        <w:tc>
          <w:tcPr>
            <w:tcW w:w="4091" w:type="pct"/>
            <w:tcBorders>
              <w:left w:val="nil"/>
              <w:right w:val="nil"/>
            </w:tcBorders>
            <w:tcMar>
              <w:top w:w="15" w:type="dxa"/>
              <w:left w:w="206" w:type="dxa"/>
              <w:bottom w:w="15" w:type="dxa"/>
              <w:right w:w="15" w:type="dxa"/>
            </w:tcMar>
            <w:vAlign w:val="both"/>
            <w:hideMark/>
          </w:tcPr>
          <w:p w:rsidR="00D23801" w:rsidP="00A34B8E" w:rsidRDefault="00D23801">
            <w:pPr>
              <w:ind w:firstLine="180" w:firstLineChars="100"/>
              <w:rPr>
                <w:rFonts w:ascii="Verdana" w:hAnsi="Verdana"/>
                <w:sz w:val="18"/>
                <w:szCs w:val="18"/>
              </w:rPr>
            </w:pPr>
            <w:r>
              <w:rPr>
                <w:rFonts w:ascii="Verdana" w:hAnsi="Verdana"/>
                <w:sz w:val="18"/>
                <w:szCs w:val="18"/>
              </w:rPr>
              <w:t>Zorg</w:t>
            </w:r>
          </w:p>
        </w:tc>
        <w:tc>
          <w:tcPr>
            <w:tcW w:w="909" w:type="pct"/>
            <w:hideMark/>
          </w:tcPr>
          <w:p w:rsidR="00D23801" w:rsidP="00A34B8E" w:rsidRDefault="00D23801">
            <w:pPr>
              <w:rPr>
                <w:sz w:val="20"/>
                <w:szCs w:val="20"/>
              </w:rPr>
            </w:pPr>
          </w:p>
        </w:tc>
      </w:tr>
      <w:tr w:rsidR="00D23801" w:rsidTr="00D23801">
        <w:tc>
          <w:tcPr>
            <w:tcW w:w="4091" w:type="pct"/>
            <w:tcBorders>
              <w:left w:val="nil"/>
              <w:right w:val="nil"/>
            </w:tcBorders>
            <w:tcMar>
              <w:top w:w="15" w:type="dxa"/>
              <w:left w:w="411" w:type="dxa"/>
              <w:bottom w:w="15" w:type="dxa"/>
              <w:right w:w="15" w:type="dxa"/>
            </w:tcMar>
            <w:vAlign w:val="both"/>
            <w:hideMark/>
          </w:tcPr>
          <w:p w:rsidR="00D23801" w:rsidP="00A34B8E" w:rsidRDefault="00D23801">
            <w:pPr>
              <w:ind w:firstLine="360" w:firstLineChars="200"/>
              <w:rPr>
                <w:rFonts w:ascii="Verdana" w:hAnsi="Verdana"/>
                <w:sz w:val="18"/>
                <w:szCs w:val="18"/>
              </w:rPr>
            </w:pPr>
            <w:r>
              <w:rPr>
                <w:rFonts w:ascii="Verdana" w:hAnsi="Verdana"/>
                <w:sz w:val="18"/>
                <w:szCs w:val="18"/>
              </w:rPr>
              <w:t>Actualisering zorguitgaven</w:t>
            </w:r>
          </w:p>
        </w:tc>
        <w:tc>
          <w:tcPr>
            <w:tcW w:w="909" w:type="pct"/>
            <w:tcBorders>
              <w:left w:val="nil"/>
              <w:right w:val="nil"/>
            </w:tcBorders>
            <w:hideMark/>
          </w:tcPr>
          <w:p w:rsidR="00D23801" w:rsidP="00A34B8E" w:rsidRDefault="00D23801">
            <w:pPr>
              <w:jc w:val="right"/>
              <w:rPr>
                <w:rFonts w:ascii="Verdana" w:hAnsi="Verdana"/>
                <w:sz w:val="18"/>
                <w:szCs w:val="18"/>
              </w:rPr>
            </w:pPr>
            <w:r>
              <w:rPr>
                <w:rFonts w:ascii="Verdana" w:hAnsi="Verdana"/>
                <w:sz w:val="18"/>
                <w:szCs w:val="18"/>
              </w:rPr>
              <w:t>-335,0</w:t>
            </w:r>
          </w:p>
        </w:tc>
      </w:tr>
      <w:tr w:rsidR="00D23801" w:rsidTr="00D23801">
        <w:tc>
          <w:tcPr>
            <w:tcW w:w="4091" w:type="pct"/>
            <w:tcBorders>
              <w:left w:val="nil"/>
              <w:right w:val="nil"/>
            </w:tcBorders>
            <w:hideMark/>
          </w:tcPr>
          <w:p w:rsidR="00D23801" w:rsidP="00A34B8E" w:rsidRDefault="00D23801">
            <w:pPr>
              <w:rPr>
                <w:rFonts w:ascii="Verdana" w:hAnsi="Verdana"/>
                <w:sz w:val="18"/>
                <w:szCs w:val="18"/>
              </w:rPr>
            </w:pPr>
            <w:r>
              <w:rPr>
                <w:rFonts w:ascii="Verdana" w:hAnsi="Verdana"/>
                <w:sz w:val="18"/>
                <w:szCs w:val="18"/>
              </w:rPr>
              <w:t> </w:t>
            </w:r>
          </w:p>
        </w:tc>
        <w:tc>
          <w:tcPr>
            <w:tcW w:w="909" w:type="pct"/>
            <w:tcBorders>
              <w:top w:val="single" w:color="000000" w:sz="6" w:space="0"/>
              <w:left w:val="nil"/>
              <w:right w:val="nil"/>
            </w:tcBorders>
            <w:hideMark/>
          </w:tcPr>
          <w:p w:rsidR="00D23801" w:rsidP="00A34B8E" w:rsidRDefault="00D23801">
            <w:pPr>
              <w:jc w:val="right"/>
              <w:rPr>
                <w:rFonts w:ascii="Verdana" w:hAnsi="Verdana"/>
                <w:sz w:val="18"/>
                <w:szCs w:val="18"/>
              </w:rPr>
            </w:pPr>
            <w:r>
              <w:rPr>
                <w:rFonts w:ascii="Verdana" w:hAnsi="Verdana"/>
                <w:sz w:val="18"/>
                <w:szCs w:val="18"/>
              </w:rPr>
              <w:t>-335,0</w:t>
            </w:r>
          </w:p>
        </w:tc>
      </w:tr>
      <w:tr w:rsidR="00D23801" w:rsidTr="00D23801">
        <w:tc>
          <w:tcPr>
            <w:tcW w:w="4091" w:type="pct"/>
            <w:tcBorders>
              <w:left w:val="nil"/>
              <w:right w:val="nil"/>
            </w:tcBorders>
            <w:hideMark/>
          </w:tcPr>
          <w:p w:rsidR="00D23801" w:rsidP="00A34B8E" w:rsidRDefault="00D23801">
            <w:pPr>
              <w:rPr>
                <w:rFonts w:ascii="Verdana" w:hAnsi="Verdana"/>
                <w:sz w:val="18"/>
                <w:szCs w:val="18"/>
              </w:rPr>
            </w:pPr>
            <w:r>
              <w:rPr>
                <w:rFonts w:ascii="Verdana" w:hAnsi="Verdana"/>
                <w:sz w:val="18"/>
                <w:szCs w:val="18"/>
              </w:rPr>
              <w:t>Beleidsmatige mutaties</w:t>
            </w:r>
          </w:p>
        </w:tc>
        <w:tc>
          <w:tcPr>
            <w:tcW w:w="909" w:type="pct"/>
            <w:hideMark/>
          </w:tcPr>
          <w:p w:rsidR="00D23801" w:rsidP="00A34B8E" w:rsidRDefault="00D23801">
            <w:pPr>
              <w:rPr>
                <w:sz w:val="20"/>
                <w:szCs w:val="20"/>
              </w:rPr>
            </w:pPr>
          </w:p>
        </w:tc>
      </w:tr>
      <w:tr w:rsidR="00D23801" w:rsidTr="00D23801">
        <w:tc>
          <w:tcPr>
            <w:tcW w:w="4091" w:type="pct"/>
            <w:tcBorders>
              <w:left w:val="nil"/>
              <w:right w:val="nil"/>
            </w:tcBorders>
            <w:tcMar>
              <w:top w:w="15" w:type="dxa"/>
              <w:left w:w="206" w:type="dxa"/>
              <w:bottom w:w="15" w:type="dxa"/>
              <w:right w:w="15" w:type="dxa"/>
            </w:tcMar>
            <w:vAlign w:val="both"/>
            <w:hideMark/>
          </w:tcPr>
          <w:p w:rsidR="00D23801" w:rsidP="00A34B8E" w:rsidRDefault="00D23801">
            <w:pPr>
              <w:ind w:firstLine="180" w:firstLineChars="100"/>
              <w:rPr>
                <w:rFonts w:ascii="Verdana" w:hAnsi="Verdana"/>
                <w:sz w:val="18"/>
                <w:szCs w:val="18"/>
              </w:rPr>
            </w:pPr>
            <w:r>
              <w:rPr>
                <w:rFonts w:ascii="Verdana" w:hAnsi="Verdana"/>
                <w:sz w:val="18"/>
                <w:szCs w:val="18"/>
              </w:rPr>
              <w:t>Zorg</w:t>
            </w:r>
          </w:p>
        </w:tc>
        <w:tc>
          <w:tcPr>
            <w:tcW w:w="909" w:type="pct"/>
            <w:hideMark/>
          </w:tcPr>
          <w:p w:rsidR="00D23801" w:rsidP="00A34B8E" w:rsidRDefault="00D23801">
            <w:pPr>
              <w:rPr>
                <w:sz w:val="20"/>
                <w:szCs w:val="20"/>
              </w:rPr>
            </w:pPr>
          </w:p>
        </w:tc>
      </w:tr>
      <w:tr w:rsidR="00D23801" w:rsidTr="00D23801">
        <w:tc>
          <w:tcPr>
            <w:tcW w:w="4091" w:type="pct"/>
            <w:tcBorders>
              <w:left w:val="nil"/>
              <w:right w:val="nil"/>
            </w:tcBorders>
            <w:tcMar>
              <w:top w:w="15" w:type="dxa"/>
              <w:left w:w="411" w:type="dxa"/>
              <w:bottom w:w="15" w:type="dxa"/>
              <w:right w:w="15" w:type="dxa"/>
            </w:tcMar>
            <w:vAlign w:val="both"/>
            <w:hideMark/>
          </w:tcPr>
          <w:p w:rsidR="00D23801" w:rsidP="00A34B8E" w:rsidRDefault="00D23801">
            <w:pPr>
              <w:ind w:firstLine="360" w:firstLineChars="200"/>
              <w:rPr>
                <w:rFonts w:ascii="Verdana" w:hAnsi="Verdana"/>
                <w:sz w:val="18"/>
                <w:szCs w:val="18"/>
              </w:rPr>
            </w:pPr>
            <w:r>
              <w:rPr>
                <w:rFonts w:ascii="Verdana" w:hAnsi="Verdana"/>
                <w:sz w:val="18"/>
                <w:szCs w:val="18"/>
              </w:rPr>
              <w:t xml:space="preserve">Schadeloosstelling </w:t>
            </w:r>
            <w:proofErr w:type="spellStart"/>
            <w:r>
              <w:rPr>
                <w:rFonts w:ascii="Verdana" w:hAnsi="Verdana"/>
                <w:sz w:val="18"/>
                <w:szCs w:val="18"/>
              </w:rPr>
              <w:t>erasmus</w:t>
            </w:r>
            <w:proofErr w:type="spellEnd"/>
            <w:r>
              <w:rPr>
                <w:rFonts w:ascii="Verdana" w:hAnsi="Verdana"/>
                <w:sz w:val="18"/>
                <w:szCs w:val="18"/>
              </w:rPr>
              <w:t xml:space="preserve"> </w:t>
            </w:r>
            <w:proofErr w:type="spellStart"/>
            <w:r>
              <w:rPr>
                <w:rFonts w:ascii="Verdana" w:hAnsi="Verdana"/>
                <w:sz w:val="18"/>
                <w:szCs w:val="18"/>
              </w:rPr>
              <w:t>mc</w:t>
            </w:r>
            <w:proofErr w:type="spellEnd"/>
          </w:p>
        </w:tc>
        <w:tc>
          <w:tcPr>
            <w:tcW w:w="909" w:type="pct"/>
            <w:tcBorders>
              <w:left w:val="nil"/>
              <w:right w:val="nil"/>
            </w:tcBorders>
            <w:hideMark/>
          </w:tcPr>
          <w:p w:rsidR="00D23801" w:rsidP="00A34B8E" w:rsidRDefault="00D23801">
            <w:pPr>
              <w:jc w:val="right"/>
              <w:rPr>
                <w:rFonts w:ascii="Verdana" w:hAnsi="Verdana"/>
                <w:sz w:val="18"/>
                <w:szCs w:val="18"/>
              </w:rPr>
            </w:pPr>
            <w:r>
              <w:rPr>
                <w:rFonts w:ascii="Verdana" w:hAnsi="Verdana"/>
                <w:sz w:val="18"/>
                <w:szCs w:val="18"/>
              </w:rPr>
              <w:t>81,0</w:t>
            </w:r>
          </w:p>
        </w:tc>
      </w:tr>
      <w:tr w:rsidR="00D23801" w:rsidTr="00D23801">
        <w:tc>
          <w:tcPr>
            <w:tcW w:w="4091" w:type="pct"/>
            <w:tcBorders>
              <w:left w:val="nil"/>
              <w:right w:val="nil"/>
            </w:tcBorders>
            <w:tcMar>
              <w:top w:w="15" w:type="dxa"/>
              <w:left w:w="411" w:type="dxa"/>
              <w:bottom w:w="15" w:type="dxa"/>
              <w:right w:w="15" w:type="dxa"/>
            </w:tcMar>
            <w:vAlign w:val="both"/>
            <w:hideMark/>
          </w:tcPr>
          <w:p w:rsidR="00D23801" w:rsidP="00A34B8E" w:rsidRDefault="00D23801">
            <w:pPr>
              <w:ind w:firstLine="360" w:firstLineChars="200"/>
              <w:rPr>
                <w:rFonts w:ascii="Verdana" w:hAnsi="Verdana"/>
                <w:sz w:val="18"/>
                <w:szCs w:val="18"/>
              </w:rPr>
            </w:pPr>
            <w:r>
              <w:rPr>
                <w:rFonts w:ascii="Verdana" w:hAnsi="Verdana"/>
                <w:sz w:val="18"/>
                <w:szCs w:val="18"/>
              </w:rPr>
              <w:t>Diversen</w:t>
            </w:r>
          </w:p>
        </w:tc>
        <w:tc>
          <w:tcPr>
            <w:tcW w:w="909" w:type="pct"/>
            <w:tcBorders>
              <w:left w:val="nil"/>
              <w:right w:val="nil"/>
            </w:tcBorders>
            <w:hideMark/>
          </w:tcPr>
          <w:p w:rsidR="00D23801" w:rsidP="00A34B8E" w:rsidRDefault="00D23801">
            <w:pPr>
              <w:jc w:val="right"/>
              <w:rPr>
                <w:rFonts w:ascii="Verdana" w:hAnsi="Verdana"/>
                <w:sz w:val="18"/>
                <w:szCs w:val="18"/>
              </w:rPr>
            </w:pPr>
            <w:r>
              <w:rPr>
                <w:rFonts w:ascii="Verdana" w:hAnsi="Verdana"/>
                <w:sz w:val="18"/>
                <w:szCs w:val="18"/>
              </w:rPr>
              <w:t>-8,6</w:t>
            </w:r>
          </w:p>
        </w:tc>
      </w:tr>
      <w:tr w:rsidR="00D23801" w:rsidTr="00D23801">
        <w:tc>
          <w:tcPr>
            <w:tcW w:w="4091" w:type="pct"/>
            <w:tcBorders>
              <w:left w:val="nil"/>
              <w:right w:val="nil"/>
            </w:tcBorders>
            <w:hideMark/>
          </w:tcPr>
          <w:p w:rsidR="00D23801" w:rsidP="00A34B8E" w:rsidRDefault="00D23801">
            <w:pPr>
              <w:rPr>
                <w:rFonts w:ascii="Verdana" w:hAnsi="Verdana"/>
                <w:sz w:val="18"/>
                <w:szCs w:val="18"/>
              </w:rPr>
            </w:pPr>
            <w:r>
              <w:rPr>
                <w:rFonts w:ascii="Verdana" w:hAnsi="Verdana"/>
                <w:sz w:val="18"/>
                <w:szCs w:val="18"/>
              </w:rPr>
              <w:t> </w:t>
            </w:r>
          </w:p>
        </w:tc>
        <w:tc>
          <w:tcPr>
            <w:tcW w:w="909" w:type="pct"/>
            <w:tcBorders>
              <w:top w:val="single" w:color="000000" w:sz="6" w:space="0"/>
              <w:left w:val="nil"/>
              <w:right w:val="nil"/>
            </w:tcBorders>
            <w:hideMark/>
          </w:tcPr>
          <w:p w:rsidR="00D23801" w:rsidP="00A34B8E" w:rsidRDefault="00D23801">
            <w:pPr>
              <w:jc w:val="right"/>
              <w:rPr>
                <w:rFonts w:ascii="Verdana" w:hAnsi="Verdana"/>
                <w:sz w:val="18"/>
                <w:szCs w:val="18"/>
              </w:rPr>
            </w:pPr>
            <w:r>
              <w:rPr>
                <w:rFonts w:ascii="Verdana" w:hAnsi="Verdana"/>
                <w:sz w:val="18"/>
                <w:szCs w:val="18"/>
              </w:rPr>
              <w:t>72,4</w:t>
            </w:r>
          </w:p>
        </w:tc>
      </w:tr>
      <w:tr w:rsidR="00D23801" w:rsidTr="00D23801">
        <w:tc>
          <w:tcPr>
            <w:tcW w:w="4091" w:type="pct"/>
            <w:tcBorders>
              <w:left w:val="nil"/>
              <w:right w:val="nil"/>
            </w:tcBorders>
            <w:hideMark/>
          </w:tcPr>
          <w:p w:rsidR="00D23801" w:rsidP="00A34B8E" w:rsidRDefault="00D23801">
            <w:pPr>
              <w:rPr>
                <w:rFonts w:ascii="Verdana" w:hAnsi="Verdana"/>
                <w:sz w:val="18"/>
                <w:szCs w:val="18"/>
              </w:rPr>
            </w:pPr>
            <w:r>
              <w:rPr>
                <w:rFonts w:ascii="Verdana" w:hAnsi="Verdana"/>
                <w:sz w:val="18"/>
                <w:szCs w:val="18"/>
              </w:rPr>
              <w:t>Technische mutaties</w:t>
            </w:r>
          </w:p>
        </w:tc>
        <w:tc>
          <w:tcPr>
            <w:tcW w:w="909" w:type="pct"/>
            <w:hideMark/>
          </w:tcPr>
          <w:p w:rsidR="00D23801" w:rsidP="00A34B8E" w:rsidRDefault="00D23801">
            <w:pPr>
              <w:rPr>
                <w:sz w:val="20"/>
                <w:szCs w:val="20"/>
              </w:rPr>
            </w:pPr>
          </w:p>
        </w:tc>
      </w:tr>
      <w:tr w:rsidR="00D23801" w:rsidTr="00D23801">
        <w:tc>
          <w:tcPr>
            <w:tcW w:w="4091" w:type="pct"/>
            <w:tcBorders>
              <w:left w:val="nil"/>
              <w:right w:val="nil"/>
            </w:tcBorders>
            <w:tcMar>
              <w:top w:w="15" w:type="dxa"/>
              <w:left w:w="206" w:type="dxa"/>
              <w:bottom w:w="15" w:type="dxa"/>
              <w:right w:w="15" w:type="dxa"/>
            </w:tcMar>
            <w:vAlign w:val="both"/>
            <w:hideMark/>
          </w:tcPr>
          <w:p w:rsidR="00D23801" w:rsidP="00A34B8E" w:rsidRDefault="00D23801">
            <w:pPr>
              <w:ind w:firstLine="180" w:firstLineChars="100"/>
              <w:rPr>
                <w:rFonts w:ascii="Verdana" w:hAnsi="Verdana"/>
                <w:sz w:val="18"/>
                <w:szCs w:val="18"/>
              </w:rPr>
            </w:pPr>
            <w:r>
              <w:rPr>
                <w:rFonts w:ascii="Verdana" w:hAnsi="Verdana"/>
                <w:sz w:val="18"/>
                <w:szCs w:val="18"/>
              </w:rPr>
              <w:t>Zorg</w:t>
            </w:r>
          </w:p>
        </w:tc>
        <w:tc>
          <w:tcPr>
            <w:tcW w:w="909" w:type="pct"/>
            <w:hideMark/>
          </w:tcPr>
          <w:p w:rsidR="00D23801" w:rsidP="00A34B8E" w:rsidRDefault="00D23801">
            <w:pPr>
              <w:rPr>
                <w:sz w:val="20"/>
                <w:szCs w:val="20"/>
              </w:rPr>
            </w:pPr>
          </w:p>
        </w:tc>
      </w:tr>
      <w:tr w:rsidR="00D23801" w:rsidTr="00D23801">
        <w:tc>
          <w:tcPr>
            <w:tcW w:w="4091" w:type="pct"/>
            <w:tcBorders>
              <w:left w:val="nil"/>
              <w:right w:val="nil"/>
            </w:tcBorders>
            <w:tcMar>
              <w:top w:w="15" w:type="dxa"/>
              <w:left w:w="411" w:type="dxa"/>
              <w:bottom w:w="15" w:type="dxa"/>
              <w:right w:w="15" w:type="dxa"/>
            </w:tcMar>
            <w:vAlign w:val="both"/>
            <w:hideMark/>
          </w:tcPr>
          <w:p w:rsidR="00D23801" w:rsidP="00A34B8E" w:rsidRDefault="00D23801">
            <w:pPr>
              <w:ind w:firstLine="360" w:firstLineChars="200"/>
              <w:rPr>
                <w:rFonts w:ascii="Verdana" w:hAnsi="Verdana"/>
                <w:sz w:val="18"/>
                <w:szCs w:val="18"/>
              </w:rPr>
            </w:pPr>
            <w:r>
              <w:rPr>
                <w:rFonts w:ascii="Verdana" w:hAnsi="Verdana"/>
                <w:sz w:val="18"/>
                <w:szCs w:val="18"/>
              </w:rPr>
              <w:t>Diversen</w:t>
            </w:r>
          </w:p>
        </w:tc>
        <w:tc>
          <w:tcPr>
            <w:tcW w:w="909" w:type="pct"/>
            <w:tcBorders>
              <w:left w:val="nil"/>
              <w:right w:val="nil"/>
            </w:tcBorders>
            <w:hideMark/>
          </w:tcPr>
          <w:p w:rsidR="00D23801" w:rsidP="00A34B8E" w:rsidRDefault="00D23801">
            <w:pPr>
              <w:jc w:val="right"/>
              <w:rPr>
                <w:rFonts w:ascii="Verdana" w:hAnsi="Verdana"/>
                <w:sz w:val="18"/>
                <w:szCs w:val="18"/>
              </w:rPr>
            </w:pPr>
            <w:r>
              <w:rPr>
                <w:rFonts w:ascii="Verdana" w:hAnsi="Verdana"/>
                <w:sz w:val="18"/>
                <w:szCs w:val="18"/>
              </w:rPr>
              <w:t>2,4</w:t>
            </w:r>
          </w:p>
        </w:tc>
      </w:tr>
      <w:tr w:rsidR="00D23801" w:rsidTr="00D23801">
        <w:tc>
          <w:tcPr>
            <w:tcW w:w="4091" w:type="pct"/>
            <w:tcBorders>
              <w:left w:val="nil"/>
              <w:right w:val="nil"/>
            </w:tcBorders>
            <w:hideMark/>
          </w:tcPr>
          <w:p w:rsidR="00D23801" w:rsidP="00A34B8E" w:rsidRDefault="00D23801">
            <w:pPr>
              <w:rPr>
                <w:rFonts w:ascii="Verdana" w:hAnsi="Verdana"/>
                <w:sz w:val="18"/>
                <w:szCs w:val="18"/>
              </w:rPr>
            </w:pPr>
            <w:r>
              <w:rPr>
                <w:rFonts w:ascii="Verdana" w:hAnsi="Verdana"/>
                <w:sz w:val="18"/>
                <w:szCs w:val="18"/>
              </w:rPr>
              <w:t> </w:t>
            </w:r>
          </w:p>
        </w:tc>
        <w:tc>
          <w:tcPr>
            <w:tcW w:w="909" w:type="pct"/>
            <w:tcBorders>
              <w:top w:val="single" w:color="000000" w:sz="6" w:space="0"/>
              <w:left w:val="nil"/>
              <w:right w:val="nil"/>
            </w:tcBorders>
            <w:hideMark/>
          </w:tcPr>
          <w:p w:rsidR="00D23801" w:rsidP="00A34B8E" w:rsidRDefault="00D23801">
            <w:pPr>
              <w:jc w:val="right"/>
              <w:rPr>
                <w:rFonts w:ascii="Verdana" w:hAnsi="Verdana"/>
                <w:sz w:val="18"/>
                <w:szCs w:val="18"/>
              </w:rPr>
            </w:pPr>
            <w:r>
              <w:rPr>
                <w:rFonts w:ascii="Verdana" w:hAnsi="Verdana"/>
                <w:sz w:val="18"/>
                <w:szCs w:val="18"/>
              </w:rPr>
              <w:t>2,4</w:t>
            </w:r>
          </w:p>
        </w:tc>
      </w:tr>
      <w:tr w:rsidR="00D23801" w:rsidTr="00D23801">
        <w:tc>
          <w:tcPr>
            <w:tcW w:w="4091" w:type="pct"/>
            <w:tcBorders>
              <w:left w:val="nil"/>
              <w:right w:val="nil"/>
            </w:tcBorders>
            <w:hideMark/>
          </w:tcPr>
          <w:p w:rsidR="00D23801" w:rsidP="00A34B8E" w:rsidRDefault="00D23801">
            <w:pPr>
              <w:rPr>
                <w:rFonts w:ascii="Verdana" w:hAnsi="Verdana"/>
                <w:sz w:val="18"/>
                <w:szCs w:val="18"/>
              </w:rPr>
            </w:pPr>
            <w:r>
              <w:rPr>
                <w:rFonts w:ascii="Verdana" w:hAnsi="Verdana"/>
                <w:sz w:val="18"/>
                <w:szCs w:val="18"/>
              </w:rPr>
              <w:t> </w:t>
            </w:r>
          </w:p>
        </w:tc>
        <w:tc>
          <w:tcPr>
            <w:tcW w:w="909" w:type="pct"/>
            <w:hideMark/>
          </w:tcPr>
          <w:p w:rsidR="00D23801" w:rsidP="00A34B8E" w:rsidRDefault="00D23801">
            <w:pPr>
              <w:rPr>
                <w:sz w:val="20"/>
                <w:szCs w:val="20"/>
              </w:rPr>
            </w:pPr>
          </w:p>
        </w:tc>
      </w:tr>
      <w:tr w:rsidR="00D23801" w:rsidTr="00D23801">
        <w:tc>
          <w:tcPr>
            <w:tcW w:w="4091" w:type="pct"/>
            <w:tcBorders>
              <w:left w:val="nil"/>
              <w:right w:val="nil"/>
            </w:tcBorders>
            <w:hideMark/>
          </w:tcPr>
          <w:p w:rsidR="00D23801" w:rsidP="00A34B8E" w:rsidRDefault="00D23801">
            <w:pPr>
              <w:rPr>
                <w:rFonts w:ascii="Verdana" w:hAnsi="Verdana"/>
                <w:sz w:val="18"/>
                <w:szCs w:val="18"/>
              </w:rPr>
            </w:pPr>
            <w:r>
              <w:rPr>
                <w:rFonts w:ascii="Verdana" w:hAnsi="Verdana"/>
                <w:sz w:val="18"/>
                <w:szCs w:val="18"/>
              </w:rPr>
              <w:t>Totaal mutaties sinds Miljoenennota 2016</w:t>
            </w:r>
          </w:p>
        </w:tc>
        <w:tc>
          <w:tcPr>
            <w:tcW w:w="909" w:type="pct"/>
            <w:tcBorders>
              <w:left w:val="nil"/>
              <w:right w:val="nil"/>
            </w:tcBorders>
            <w:hideMark/>
          </w:tcPr>
          <w:p w:rsidR="00D23801" w:rsidP="00A34B8E" w:rsidRDefault="00D23801">
            <w:pPr>
              <w:jc w:val="right"/>
              <w:rPr>
                <w:rFonts w:ascii="Verdana" w:hAnsi="Verdana"/>
                <w:sz w:val="18"/>
                <w:szCs w:val="18"/>
              </w:rPr>
            </w:pPr>
            <w:r>
              <w:rPr>
                <w:rFonts w:ascii="Verdana" w:hAnsi="Verdana"/>
                <w:sz w:val="18"/>
                <w:szCs w:val="18"/>
              </w:rPr>
              <w:t>-260,2</w:t>
            </w:r>
          </w:p>
        </w:tc>
      </w:tr>
      <w:tr w:rsidR="00D23801" w:rsidTr="00D23801">
        <w:tc>
          <w:tcPr>
            <w:tcW w:w="4091" w:type="pct"/>
            <w:tcBorders>
              <w:left w:val="nil"/>
              <w:right w:val="nil"/>
            </w:tcBorders>
            <w:hideMark/>
          </w:tcPr>
          <w:p w:rsidR="00D23801" w:rsidP="00A34B8E" w:rsidRDefault="00D23801">
            <w:pPr>
              <w:rPr>
                <w:rFonts w:ascii="Verdana" w:hAnsi="Verdana"/>
                <w:sz w:val="18"/>
                <w:szCs w:val="18"/>
              </w:rPr>
            </w:pPr>
            <w:r>
              <w:rPr>
                <w:rFonts w:ascii="Verdana" w:hAnsi="Verdana"/>
                <w:sz w:val="18"/>
                <w:szCs w:val="18"/>
              </w:rPr>
              <w:t>Stand Najaarsnota 2015</w:t>
            </w:r>
          </w:p>
        </w:tc>
        <w:tc>
          <w:tcPr>
            <w:tcW w:w="909" w:type="pct"/>
            <w:tcBorders>
              <w:top w:val="single" w:color="000000" w:sz="6" w:space="0"/>
              <w:left w:val="nil"/>
              <w:right w:val="nil"/>
            </w:tcBorders>
            <w:hideMark/>
          </w:tcPr>
          <w:p w:rsidR="00D23801" w:rsidP="00A34B8E" w:rsidRDefault="00D23801">
            <w:pPr>
              <w:jc w:val="right"/>
              <w:rPr>
                <w:rFonts w:ascii="Verdana" w:hAnsi="Verdana"/>
                <w:sz w:val="18"/>
                <w:szCs w:val="18"/>
              </w:rPr>
            </w:pPr>
            <w:r>
              <w:rPr>
                <w:rFonts w:ascii="Verdana" w:hAnsi="Verdana"/>
                <w:sz w:val="18"/>
                <w:szCs w:val="18"/>
              </w:rPr>
              <w:t>70.351,9</w:t>
            </w:r>
          </w:p>
        </w:tc>
      </w:tr>
    </w:tbl>
    <w:p w:rsidR="00D23801" w:rsidP="00D23801" w:rsidRDefault="00D23801">
      <w:pPr>
        <w:rPr>
          <w:rFonts w:ascii="Verdana" w:hAnsi="Verdana"/>
          <w:vanish/>
          <w:sz w:val="14"/>
          <w:szCs w:val="14"/>
        </w:rPr>
      </w:pPr>
    </w:p>
    <w:tbl>
      <w:tblPr>
        <w:tblW w:w="5000" w:type="pct"/>
        <w:tblCellMar>
          <w:top w:w="15" w:type="dxa"/>
          <w:left w:w="15" w:type="dxa"/>
          <w:bottom w:w="15" w:type="dxa"/>
          <w:right w:w="15" w:type="dxa"/>
        </w:tblCellMar>
        <w:tblLook w:val="04A0"/>
      </w:tblPr>
      <w:tblGrid>
        <w:gridCol w:w="8215"/>
        <w:gridCol w:w="887"/>
      </w:tblGrid>
      <w:tr w:rsidR="00D23801" w:rsidTr="00D23801">
        <w:tc>
          <w:tcPr>
            <w:tcW w:w="4513" w:type="pct"/>
            <w:tcBorders>
              <w:left w:val="nil"/>
              <w:right w:val="nil"/>
            </w:tcBorders>
            <w:hideMark/>
          </w:tcPr>
          <w:p w:rsidR="00D23801" w:rsidP="00A34B8E" w:rsidRDefault="00D23801">
            <w:pPr>
              <w:rPr>
                <w:rFonts w:ascii="Verdana" w:hAnsi="Verdana"/>
                <w:sz w:val="18"/>
                <w:szCs w:val="18"/>
              </w:rPr>
            </w:pPr>
            <w:r>
              <w:rPr>
                <w:rFonts w:ascii="Verdana" w:hAnsi="Verdana"/>
                <w:sz w:val="18"/>
                <w:szCs w:val="18"/>
              </w:rPr>
              <w:t> </w:t>
            </w:r>
          </w:p>
        </w:tc>
        <w:tc>
          <w:tcPr>
            <w:tcW w:w="487" w:type="pct"/>
            <w:tcBorders>
              <w:left w:val="nil"/>
              <w:right w:val="nil"/>
            </w:tcBorders>
            <w:hideMark/>
          </w:tcPr>
          <w:p w:rsidR="00D23801" w:rsidP="00A34B8E" w:rsidRDefault="00D23801">
            <w:pPr>
              <w:rPr>
                <w:rFonts w:ascii="Verdana" w:hAnsi="Verdana"/>
                <w:sz w:val="18"/>
                <w:szCs w:val="18"/>
              </w:rPr>
            </w:pPr>
            <w:r>
              <w:rPr>
                <w:rFonts w:ascii="Verdana" w:hAnsi="Verdana"/>
                <w:sz w:val="18"/>
                <w:szCs w:val="18"/>
              </w:rPr>
              <w:t> </w:t>
            </w:r>
          </w:p>
        </w:tc>
      </w:tr>
      <w:tr w:rsidR="00D23801" w:rsidTr="00D23801">
        <w:tc>
          <w:tcPr>
            <w:tcW w:w="5000" w:type="pct"/>
            <w:gridSpan w:val="2"/>
            <w:tcBorders>
              <w:left w:val="nil"/>
              <w:right w:val="nil"/>
            </w:tcBorders>
            <w:hideMark/>
          </w:tcPr>
          <w:p w:rsidR="00D23801" w:rsidP="00A34B8E" w:rsidRDefault="00D23801">
            <w:pPr>
              <w:rPr>
                <w:rFonts w:ascii="Verdana" w:hAnsi="Verdana"/>
                <w:sz w:val="18"/>
                <w:szCs w:val="18"/>
              </w:rPr>
            </w:pPr>
            <w:r>
              <w:rPr>
                <w:rFonts w:ascii="Verdana" w:hAnsi="Verdana"/>
                <w:sz w:val="18"/>
                <w:szCs w:val="18"/>
              </w:rPr>
              <w:t>ZORG: NIET-BELASTINGONTVANGSTEN</w:t>
            </w:r>
          </w:p>
        </w:tc>
      </w:tr>
      <w:tr w:rsidR="00D23801" w:rsidTr="00D23801">
        <w:tc>
          <w:tcPr>
            <w:tcW w:w="4513" w:type="pct"/>
            <w:tcBorders>
              <w:top w:val="single" w:color="000000" w:sz="6" w:space="0"/>
              <w:left w:val="nil"/>
              <w:bottom w:val="single" w:color="000000" w:sz="6" w:space="0"/>
              <w:right w:val="nil"/>
            </w:tcBorders>
            <w:hideMark/>
          </w:tcPr>
          <w:p w:rsidR="00D23801" w:rsidP="00A34B8E" w:rsidRDefault="00D23801">
            <w:pPr>
              <w:jc w:val="right"/>
              <w:rPr>
                <w:rFonts w:ascii="Verdana" w:hAnsi="Verdana"/>
                <w:sz w:val="18"/>
                <w:szCs w:val="18"/>
              </w:rPr>
            </w:pPr>
          </w:p>
        </w:tc>
        <w:tc>
          <w:tcPr>
            <w:tcW w:w="487" w:type="pct"/>
            <w:tcBorders>
              <w:top w:val="single" w:color="000000" w:sz="6" w:space="0"/>
              <w:left w:val="nil"/>
              <w:bottom w:val="single" w:color="000000" w:sz="6" w:space="0"/>
              <w:right w:val="nil"/>
            </w:tcBorders>
            <w:hideMark/>
          </w:tcPr>
          <w:p w:rsidR="00D23801" w:rsidP="00A34B8E" w:rsidRDefault="00D23801">
            <w:pPr>
              <w:jc w:val="right"/>
              <w:rPr>
                <w:rFonts w:ascii="Verdana" w:hAnsi="Verdana"/>
                <w:sz w:val="18"/>
                <w:szCs w:val="18"/>
              </w:rPr>
            </w:pPr>
            <w:r>
              <w:rPr>
                <w:rFonts w:ascii="Verdana" w:hAnsi="Verdana"/>
                <w:sz w:val="18"/>
                <w:szCs w:val="18"/>
              </w:rPr>
              <w:t>2015</w:t>
            </w:r>
          </w:p>
        </w:tc>
      </w:tr>
      <w:tr w:rsidR="00D23801" w:rsidTr="00D23801">
        <w:tc>
          <w:tcPr>
            <w:tcW w:w="4513" w:type="pct"/>
            <w:tcBorders>
              <w:left w:val="nil"/>
              <w:right w:val="nil"/>
            </w:tcBorders>
            <w:hideMark/>
          </w:tcPr>
          <w:p w:rsidR="00D23801" w:rsidP="00A34B8E" w:rsidRDefault="00D23801">
            <w:pPr>
              <w:rPr>
                <w:rFonts w:ascii="Verdana" w:hAnsi="Verdana"/>
                <w:sz w:val="18"/>
                <w:szCs w:val="18"/>
              </w:rPr>
            </w:pPr>
            <w:r>
              <w:rPr>
                <w:rFonts w:ascii="Verdana" w:hAnsi="Verdana"/>
                <w:sz w:val="18"/>
                <w:szCs w:val="18"/>
              </w:rPr>
              <w:t>Stand Miljoenennota 2016</w:t>
            </w:r>
          </w:p>
        </w:tc>
        <w:tc>
          <w:tcPr>
            <w:tcW w:w="487" w:type="pct"/>
            <w:tcBorders>
              <w:top w:val="single" w:color="000000" w:sz="6" w:space="0"/>
              <w:left w:val="nil"/>
              <w:right w:val="nil"/>
            </w:tcBorders>
            <w:hideMark/>
          </w:tcPr>
          <w:p w:rsidR="00D23801" w:rsidP="00A34B8E" w:rsidRDefault="00D23801">
            <w:pPr>
              <w:jc w:val="right"/>
              <w:rPr>
                <w:rFonts w:ascii="Verdana" w:hAnsi="Verdana"/>
                <w:sz w:val="18"/>
                <w:szCs w:val="18"/>
              </w:rPr>
            </w:pPr>
            <w:r>
              <w:rPr>
                <w:rFonts w:ascii="Verdana" w:hAnsi="Verdana"/>
                <w:sz w:val="18"/>
                <w:szCs w:val="18"/>
              </w:rPr>
              <w:t>5.109,0</w:t>
            </w:r>
          </w:p>
        </w:tc>
      </w:tr>
      <w:tr w:rsidR="00D23801" w:rsidTr="00D23801">
        <w:tc>
          <w:tcPr>
            <w:tcW w:w="4513" w:type="pct"/>
            <w:tcBorders>
              <w:left w:val="nil"/>
              <w:right w:val="nil"/>
            </w:tcBorders>
            <w:hideMark/>
          </w:tcPr>
          <w:p w:rsidR="00D23801" w:rsidP="00A34B8E" w:rsidRDefault="00D23801">
            <w:pPr>
              <w:rPr>
                <w:rFonts w:ascii="Verdana" w:hAnsi="Verdana"/>
                <w:sz w:val="18"/>
                <w:szCs w:val="18"/>
              </w:rPr>
            </w:pPr>
            <w:r>
              <w:rPr>
                <w:rFonts w:ascii="Verdana" w:hAnsi="Verdana"/>
                <w:sz w:val="18"/>
                <w:szCs w:val="18"/>
              </w:rPr>
              <w:t> </w:t>
            </w:r>
          </w:p>
        </w:tc>
        <w:tc>
          <w:tcPr>
            <w:tcW w:w="487" w:type="pct"/>
            <w:hideMark/>
          </w:tcPr>
          <w:p w:rsidR="00D23801" w:rsidP="00A34B8E" w:rsidRDefault="00D23801">
            <w:pPr>
              <w:rPr>
                <w:sz w:val="20"/>
                <w:szCs w:val="20"/>
              </w:rPr>
            </w:pPr>
          </w:p>
        </w:tc>
      </w:tr>
      <w:tr w:rsidR="00D23801" w:rsidTr="00D23801">
        <w:tc>
          <w:tcPr>
            <w:tcW w:w="4513" w:type="pct"/>
            <w:tcBorders>
              <w:left w:val="nil"/>
              <w:right w:val="nil"/>
            </w:tcBorders>
            <w:hideMark/>
          </w:tcPr>
          <w:p w:rsidR="00D23801" w:rsidP="00A34B8E" w:rsidRDefault="00D23801">
            <w:pPr>
              <w:rPr>
                <w:rFonts w:ascii="Verdana" w:hAnsi="Verdana"/>
                <w:sz w:val="18"/>
                <w:szCs w:val="18"/>
              </w:rPr>
            </w:pPr>
            <w:r>
              <w:rPr>
                <w:rFonts w:ascii="Verdana" w:hAnsi="Verdana"/>
                <w:sz w:val="18"/>
                <w:szCs w:val="18"/>
              </w:rPr>
              <w:t>Totaal mutaties sinds Miljoenennota 2016</w:t>
            </w:r>
          </w:p>
        </w:tc>
        <w:tc>
          <w:tcPr>
            <w:tcW w:w="487" w:type="pct"/>
            <w:tcBorders>
              <w:left w:val="nil"/>
              <w:right w:val="nil"/>
            </w:tcBorders>
            <w:hideMark/>
          </w:tcPr>
          <w:p w:rsidR="00D23801" w:rsidP="00A34B8E" w:rsidRDefault="00D23801">
            <w:pPr>
              <w:jc w:val="right"/>
              <w:rPr>
                <w:rFonts w:ascii="Verdana" w:hAnsi="Verdana"/>
                <w:sz w:val="18"/>
                <w:szCs w:val="18"/>
              </w:rPr>
            </w:pPr>
            <w:r>
              <w:rPr>
                <w:rFonts w:ascii="Verdana" w:hAnsi="Verdana"/>
                <w:sz w:val="18"/>
                <w:szCs w:val="18"/>
              </w:rPr>
              <w:t>0,0</w:t>
            </w:r>
          </w:p>
        </w:tc>
      </w:tr>
      <w:tr w:rsidR="00D23801" w:rsidTr="00D23801">
        <w:tc>
          <w:tcPr>
            <w:tcW w:w="4513" w:type="pct"/>
            <w:tcBorders>
              <w:left w:val="nil"/>
              <w:right w:val="nil"/>
            </w:tcBorders>
            <w:hideMark/>
          </w:tcPr>
          <w:p w:rsidR="00D23801" w:rsidP="00A34B8E" w:rsidRDefault="00D23801">
            <w:pPr>
              <w:rPr>
                <w:rFonts w:ascii="Verdana" w:hAnsi="Verdana"/>
                <w:sz w:val="18"/>
                <w:szCs w:val="18"/>
              </w:rPr>
            </w:pPr>
            <w:r>
              <w:rPr>
                <w:rFonts w:ascii="Verdana" w:hAnsi="Verdana"/>
                <w:sz w:val="18"/>
                <w:szCs w:val="18"/>
              </w:rPr>
              <w:t>Stand Najaarsnota 2015</w:t>
            </w:r>
          </w:p>
        </w:tc>
        <w:tc>
          <w:tcPr>
            <w:tcW w:w="487" w:type="pct"/>
            <w:tcBorders>
              <w:top w:val="single" w:color="000000" w:sz="6" w:space="0"/>
              <w:left w:val="nil"/>
              <w:right w:val="nil"/>
            </w:tcBorders>
            <w:hideMark/>
          </w:tcPr>
          <w:p w:rsidR="00D23801" w:rsidP="00A34B8E" w:rsidRDefault="00D23801">
            <w:pPr>
              <w:jc w:val="right"/>
              <w:rPr>
                <w:rFonts w:ascii="Verdana" w:hAnsi="Verdana"/>
                <w:sz w:val="18"/>
                <w:szCs w:val="18"/>
              </w:rPr>
            </w:pPr>
            <w:r>
              <w:rPr>
                <w:rFonts w:ascii="Verdana" w:hAnsi="Verdana"/>
                <w:sz w:val="18"/>
                <w:szCs w:val="18"/>
              </w:rPr>
              <w:t>5.109,0</w:t>
            </w:r>
          </w:p>
        </w:tc>
      </w:tr>
    </w:tbl>
    <w:p w:rsidR="0033147C" w:rsidP="0033147C" w:rsidRDefault="0033147C">
      <w:pPr>
        <w:rPr>
          <w:rFonts w:ascii="Verdana" w:hAnsi="Verdana"/>
          <w:i/>
          <w:sz w:val="18"/>
          <w:szCs w:val="14"/>
        </w:rPr>
      </w:pPr>
    </w:p>
    <w:p w:rsidR="00455D8D" w:rsidP="0033147C" w:rsidRDefault="00455D8D">
      <w:pPr>
        <w:rPr>
          <w:rFonts w:ascii="Verdana" w:hAnsi="Verdana"/>
          <w:i/>
          <w:sz w:val="18"/>
          <w:szCs w:val="14"/>
        </w:rPr>
      </w:pPr>
    </w:p>
    <w:p w:rsidRPr="00265E41" w:rsidR="0033147C" w:rsidP="0033147C" w:rsidRDefault="0033147C">
      <w:pPr>
        <w:rPr>
          <w:rFonts w:ascii="Verdana" w:hAnsi="Verdana"/>
          <w:i/>
          <w:sz w:val="18"/>
          <w:szCs w:val="14"/>
        </w:rPr>
      </w:pPr>
      <w:r w:rsidRPr="00265E41">
        <w:rPr>
          <w:rFonts w:ascii="Verdana" w:hAnsi="Verdana"/>
          <w:i/>
          <w:sz w:val="18"/>
          <w:szCs w:val="14"/>
        </w:rPr>
        <w:t xml:space="preserve">Actualisering zorguitgaven </w:t>
      </w:r>
    </w:p>
    <w:p w:rsidRPr="00265E41" w:rsidR="0033147C" w:rsidP="0033147C" w:rsidRDefault="0033147C">
      <w:pPr>
        <w:spacing w:line="240" w:lineRule="atLeast"/>
        <w:rPr>
          <w:rFonts w:ascii="Verdana" w:hAnsi="Verdana"/>
          <w:sz w:val="18"/>
          <w:szCs w:val="18"/>
        </w:rPr>
      </w:pPr>
      <w:r w:rsidRPr="00265E41">
        <w:rPr>
          <w:rFonts w:ascii="Verdana" w:hAnsi="Verdana"/>
          <w:sz w:val="18"/>
          <w:szCs w:val="18"/>
        </w:rPr>
        <w:t>Op basis van voorlopige gegevens over het eerste half jaar van 2015 van het Zorginstituut Nederland (</w:t>
      </w:r>
      <w:proofErr w:type="spellStart"/>
      <w:r w:rsidRPr="00265E41">
        <w:rPr>
          <w:rFonts w:ascii="Verdana" w:hAnsi="Verdana"/>
          <w:sz w:val="18"/>
          <w:szCs w:val="18"/>
        </w:rPr>
        <w:t>ZiNL</w:t>
      </w:r>
      <w:proofErr w:type="spellEnd"/>
      <w:r w:rsidRPr="00265E41">
        <w:rPr>
          <w:rFonts w:ascii="Verdana" w:hAnsi="Verdana"/>
          <w:sz w:val="18"/>
          <w:szCs w:val="18"/>
        </w:rPr>
        <w:t xml:space="preserve">) zijn de ramingen van de zorguitgaven 2015 geactualiseerd. Binnen de </w:t>
      </w:r>
      <w:proofErr w:type="spellStart"/>
      <w:r w:rsidRPr="00265E41">
        <w:rPr>
          <w:rFonts w:ascii="Verdana" w:hAnsi="Verdana"/>
          <w:sz w:val="18"/>
          <w:szCs w:val="18"/>
        </w:rPr>
        <w:t>Zvw</w:t>
      </w:r>
      <w:proofErr w:type="spellEnd"/>
      <w:r w:rsidRPr="00265E41">
        <w:rPr>
          <w:rFonts w:ascii="Verdana" w:hAnsi="Verdana"/>
          <w:sz w:val="18"/>
          <w:szCs w:val="18"/>
        </w:rPr>
        <w:t xml:space="preserve"> tekent zich een </w:t>
      </w:r>
      <w:proofErr w:type="spellStart"/>
      <w:r w:rsidRPr="00265E41">
        <w:rPr>
          <w:rFonts w:ascii="Verdana" w:hAnsi="Verdana"/>
          <w:sz w:val="18"/>
          <w:szCs w:val="18"/>
        </w:rPr>
        <w:t>onderschrijding</w:t>
      </w:r>
      <w:proofErr w:type="spellEnd"/>
      <w:r w:rsidRPr="00265E41">
        <w:rPr>
          <w:rFonts w:ascii="Verdana" w:hAnsi="Verdana"/>
          <w:sz w:val="18"/>
          <w:szCs w:val="18"/>
        </w:rPr>
        <w:t xml:space="preserve"> af van circa € 0,3 miljard. Deze geraamde </w:t>
      </w:r>
      <w:proofErr w:type="spellStart"/>
      <w:r w:rsidRPr="00265E41">
        <w:rPr>
          <w:rFonts w:ascii="Verdana" w:hAnsi="Verdana"/>
          <w:sz w:val="18"/>
          <w:szCs w:val="18"/>
        </w:rPr>
        <w:t>onderschrijding</w:t>
      </w:r>
      <w:proofErr w:type="spellEnd"/>
      <w:r w:rsidRPr="00265E41">
        <w:rPr>
          <w:rFonts w:ascii="Verdana" w:hAnsi="Verdana"/>
          <w:sz w:val="18"/>
          <w:szCs w:val="18"/>
        </w:rPr>
        <w:t xml:space="preserve"> kan nog wijzigen op grond van de realisatiecijfers over geheel 2015. Daarover wordt in het jaarverslag 2015 nader gerapporteerd.</w:t>
      </w:r>
    </w:p>
    <w:p w:rsidRPr="00265E41" w:rsidR="0033147C" w:rsidP="0033147C" w:rsidRDefault="0033147C">
      <w:pPr>
        <w:rPr>
          <w:rFonts w:ascii="Verdana" w:hAnsi="Verdana"/>
          <w:i/>
          <w:sz w:val="18"/>
          <w:szCs w:val="14"/>
        </w:rPr>
      </w:pPr>
    </w:p>
    <w:p w:rsidRPr="00265E41" w:rsidR="0033147C" w:rsidP="0033147C" w:rsidRDefault="0033147C">
      <w:pPr>
        <w:rPr>
          <w:rFonts w:ascii="Verdana" w:hAnsi="Verdana"/>
          <w:i/>
          <w:sz w:val="18"/>
          <w:szCs w:val="14"/>
        </w:rPr>
      </w:pPr>
      <w:r w:rsidRPr="00265E41">
        <w:rPr>
          <w:rFonts w:ascii="Verdana" w:hAnsi="Verdana"/>
          <w:i/>
          <w:sz w:val="18"/>
          <w:szCs w:val="14"/>
        </w:rPr>
        <w:t xml:space="preserve">Diversen (beleidsmatig zorg) </w:t>
      </w:r>
    </w:p>
    <w:p w:rsidRPr="00265E41" w:rsidR="0033147C" w:rsidP="0033147C" w:rsidRDefault="0033147C">
      <w:pPr>
        <w:rPr>
          <w:rFonts w:ascii="Verdana" w:hAnsi="Verdana"/>
          <w:sz w:val="18"/>
          <w:szCs w:val="14"/>
        </w:rPr>
      </w:pPr>
      <w:r w:rsidRPr="00265E41">
        <w:rPr>
          <w:rFonts w:ascii="Verdana" w:hAnsi="Verdana"/>
          <w:sz w:val="18"/>
          <w:szCs w:val="14"/>
        </w:rPr>
        <w:t xml:space="preserve">Dit betreft het saldo van diverse mutaties waaronder ruimte bij de transitieregeling medische specialisten (-9,0 mln.) en de </w:t>
      </w:r>
      <w:proofErr w:type="spellStart"/>
      <w:r w:rsidRPr="00265E41">
        <w:rPr>
          <w:rFonts w:ascii="Verdana" w:hAnsi="Verdana"/>
          <w:sz w:val="18"/>
          <w:szCs w:val="14"/>
        </w:rPr>
        <w:t>Wtcg</w:t>
      </w:r>
      <w:proofErr w:type="spellEnd"/>
      <w:r w:rsidRPr="00265E41">
        <w:rPr>
          <w:rFonts w:ascii="Verdana" w:hAnsi="Verdana"/>
          <w:sz w:val="18"/>
          <w:szCs w:val="14"/>
        </w:rPr>
        <w:t xml:space="preserve"> (-7,5 mln.) en meerkosten voor de </w:t>
      </w:r>
      <w:proofErr w:type="spellStart"/>
      <w:r w:rsidRPr="00265E41">
        <w:rPr>
          <w:rFonts w:ascii="Verdana" w:hAnsi="Verdana"/>
          <w:sz w:val="18"/>
          <w:szCs w:val="14"/>
        </w:rPr>
        <w:t>PGB-trekkingsrechten</w:t>
      </w:r>
      <w:proofErr w:type="spellEnd"/>
      <w:r w:rsidRPr="00265E41">
        <w:rPr>
          <w:rFonts w:ascii="Verdana" w:hAnsi="Verdana"/>
          <w:sz w:val="18"/>
          <w:szCs w:val="14"/>
        </w:rPr>
        <w:t xml:space="preserve"> (7,7 </w:t>
      </w:r>
      <w:proofErr w:type="spellStart"/>
      <w:r w:rsidRPr="00265E41">
        <w:rPr>
          <w:rFonts w:ascii="Verdana" w:hAnsi="Verdana"/>
          <w:sz w:val="18"/>
          <w:szCs w:val="14"/>
        </w:rPr>
        <w:t>mln</w:t>
      </w:r>
      <w:proofErr w:type="spellEnd"/>
      <w:r w:rsidRPr="00265E41">
        <w:rPr>
          <w:rFonts w:ascii="Verdana" w:hAnsi="Verdana"/>
          <w:sz w:val="18"/>
          <w:szCs w:val="14"/>
        </w:rPr>
        <w:t xml:space="preserve">). </w:t>
      </w:r>
    </w:p>
    <w:p w:rsidRPr="00265E41" w:rsidR="0033147C" w:rsidP="0033147C" w:rsidRDefault="0033147C">
      <w:pPr>
        <w:rPr>
          <w:rFonts w:ascii="Verdana" w:hAnsi="Verdana"/>
          <w:i/>
          <w:sz w:val="18"/>
          <w:szCs w:val="14"/>
        </w:rPr>
      </w:pPr>
    </w:p>
    <w:p w:rsidRPr="00265E41" w:rsidR="0033147C" w:rsidP="0033147C" w:rsidRDefault="0033147C">
      <w:pPr>
        <w:rPr>
          <w:rFonts w:ascii="Verdana" w:hAnsi="Verdana"/>
          <w:i/>
          <w:sz w:val="18"/>
          <w:szCs w:val="14"/>
        </w:rPr>
      </w:pPr>
      <w:r w:rsidRPr="00265E41">
        <w:rPr>
          <w:rFonts w:ascii="Verdana" w:hAnsi="Verdana"/>
          <w:i/>
          <w:sz w:val="18"/>
          <w:szCs w:val="14"/>
        </w:rPr>
        <w:t xml:space="preserve">Schadeloosstelling Erasmus MC </w:t>
      </w:r>
    </w:p>
    <w:p w:rsidRPr="00265E41" w:rsidR="0033147C" w:rsidP="0033147C" w:rsidRDefault="0033147C">
      <w:pPr>
        <w:spacing w:line="240" w:lineRule="atLeast"/>
        <w:ind w:right="567"/>
        <w:rPr>
          <w:rFonts w:ascii="Verdana" w:hAnsi="Verdana"/>
          <w:iCs/>
          <w:sz w:val="18"/>
          <w:szCs w:val="18"/>
        </w:rPr>
      </w:pPr>
      <w:r w:rsidRPr="00265E41">
        <w:rPr>
          <w:rFonts w:ascii="Verdana" w:hAnsi="Verdana"/>
          <w:iCs/>
          <w:sz w:val="18"/>
          <w:szCs w:val="18"/>
        </w:rPr>
        <w:t xml:space="preserve">In een bindend advies is de schadevergoeding die VWS aan Erasmus MC moet betalen vanwege het niet nakomen van twee toezeggingen uit 2009 vastgesteld op 235,9 mln. (per ultimo 2014). VWS betaalt in 2015 en 2016 een bedrag van 85 mln. en het restant in 2017. </w:t>
      </w:r>
      <w:r w:rsidRPr="00265E41">
        <w:rPr>
          <w:rFonts w:ascii="Verdana" w:hAnsi="Verdana"/>
          <w:sz w:val="18"/>
          <w:szCs w:val="18"/>
        </w:rPr>
        <w:t xml:space="preserve">Voor de betaling in 2015 wordt via een kasschuif 81 </w:t>
      </w:r>
      <w:r w:rsidR="00A66E02">
        <w:rPr>
          <w:rFonts w:ascii="Verdana" w:hAnsi="Verdana"/>
          <w:sz w:val="18"/>
          <w:szCs w:val="18"/>
        </w:rPr>
        <w:t>mln.</w:t>
      </w:r>
      <w:r w:rsidRPr="00265E41">
        <w:rPr>
          <w:rFonts w:ascii="Verdana" w:hAnsi="Verdana"/>
          <w:sz w:val="18"/>
          <w:szCs w:val="18"/>
        </w:rPr>
        <w:t xml:space="preserve"> toegevoegd aan de 4 </w:t>
      </w:r>
      <w:r w:rsidR="00A66E02">
        <w:rPr>
          <w:rFonts w:ascii="Verdana" w:hAnsi="Verdana"/>
          <w:sz w:val="18"/>
          <w:szCs w:val="18"/>
        </w:rPr>
        <w:t>mln.</w:t>
      </w:r>
      <w:r w:rsidRPr="00265E41">
        <w:rPr>
          <w:rFonts w:ascii="Verdana" w:hAnsi="Verdana"/>
          <w:sz w:val="18"/>
          <w:szCs w:val="18"/>
        </w:rPr>
        <w:t xml:space="preserve"> die voor 2015 </w:t>
      </w:r>
      <w:r w:rsidR="00A66E02">
        <w:rPr>
          <w:rFonts w:ascii="Verdana" w:hAnsi="Verdana"/>
          <w:sz w:val="18"/>
          <w:szCs w:val="18"/>
        </w:rPr>
        <w:t>was</w:t>
      </w:r>
      <w:r w:rsidRPr="00265E41">
        <w:rPr>
          <w:rFonts w:ascii="Verdana" w:hAnsi="Verdana"/>
          <w:sz w:val="18"/>
          <w:szCs w:val="18"/>
        </w:rPr>
        <w:t xml:space="preserve"> gereserveerd. </w:t>
      </w:r>
      <w:r w:rsidRPr="00265E41">
        <w:rPr>
          <w:rFonts w:ascii="Verdana" w:hAnsi="Verdana"/>
          <w:iCs/>
          <w:sz w:val="18"/>
          <w:szCs w:val="18"/>
        </w:rPr>
        <w:t xml:space="preserve"> </w:t>
      </w:r>
    </w:p>
    <w:p w:rsidR="0033147C" w:rsidP="0033147C" w:rsidRDefault="0033147C">
      <w:pPr>
        <w:rPr>
          <w:rFonts w:ascii="Verdana" w:hAnsi="Verdana"/>
          <w:i/>
          <w:sz w:val="18"/>
          <w:szCs w:val="14"/>
          <w:highlight w:val="yellow"/>
        </w:rPr>
      </w:pPr>
    </w:p>
    <w:p w:rsidR="0033147C" w:rsidP="0033147C" w:rsidRDefault="0033147C">
      <w:pPr>
        <w:rPr>
          <w:rFonts w:ascii="Verdana" w:hAnsi="Verdana"/>
          <w:i/>
          <w:sz w:val="18"/>
          <w:szCs w:val="14"/>
        </w:rPr>
      </w:pPr>
      <w:r>
        <w:rPr>
          <w:rFonts w:ascii="Verdana" w:hAnsi="Verdana"/>
          <w:i/>
          <w:sz w:val="18"/>
          <w:szCs w:val="14"/>
        </w:rPr>
        <w:t>Diversen (technisch zorg)</w:t>
      </w:r>
    </w:p>
    <w:p w:rsidR="0033147C" w:rsidP="0033147C" w:rsidRDefault="0033147C">
      <w:pPr>
        <w:rPr>
          <w:rFonts w:ascii="Verdana" w:hAnsi="Verdana"/>
          <w:sz w:val="14"/>
          <w:szCs w:val="14"/>
        </w:rPr>
      </w:pPr>
      <w:r>
        <w:rPr>
          <w:rFonts w:ascii="Verdana" w:hAnsi="Verdana"/>
          <w:sz w:val="18"/>
          <w:szCs w:val="14"/>
        </w:rPr>
        <w:t xml:space="preserve">Dit betreft het saldo van een aantal </w:t>
      </w:r>
      <w:proofErr w:type="spellStart"/>
      <w:r>
        <w:rPr>
          <w:rFonts w:ascii="Verdana" w:hAnsi="Verdana"/>
          <w:sz w:val="18"/>
          <w:szCs w:val="14"/>
        </w:rPr>
        <w:t>ijklijnmutaties</w:t>
      </w:r>
      <w:proofErr w:type="spellEnd"/>
      <w:r>
        <w:rPr>
          <w:rFonts w:ascii="Verdana" w:hAnsi="Verdana"/>
          <w:sz w:val="18"/>
          <w:szCs w:val="14"/>
        </w:rPr>
        <w:t>.</w:t>
      </w:r>
      <w:r>
        <w:rPr>
          <w:rFonts w:ascii="Verdana" w:hAnsi="Verdana"/>
          <w:sz w:val="14"/>
          <w:szCs w:val="14"/>
        </w:rPr>
        <w:t xml:space="preserve"> </w:t>
      </w:r>
    </w:p>
    <w:p w:rsidR="000E759E" w:rsidRDefault="000E759E">
      <w:pPr>
        <w:rPr>
          <w:rFonts w:ascii="Verdana" w:hAnsi="Verdana" w:cs="Verdana"/>
          <w:b/>
          <w:bCs/>
          <w:sz w:val="18"/>
          <w:szCs w:val="18"/>
        </w:rPr>
      </w:pPr>
    </w:p>
    <w:p w:rsidR="0033147C" w:rsidP="000E759E" w:rsidRDefault="0033147C">
      <w:pPr>
        <w:rPr>
          <w:rFonts w:ascii="Verdana" w:hAnsi="Verdana"/>
          <w:i/>
          <w:sz w:val="18"/>
          <w:szCs w:val="14"/>
        </w:rPr>
      </w:pPr>
    </w:p>
    <w:p w:rsidR="000E759E" w:rsidP="000E759E" w:rsidRDefault="000E759E">
      <w:pPr>
        <w:rPr>
          <w:rFonts w:ascii="Verdana" w:hAnsi="Verdana"/>
          <w:sz w:val="14"/>
          <w:szCs w:val="14"/>
        </w:rPr>
      </w:pPr>
      <w:r>
        <w:rPr>
          <w:rFonts w:ascii="Verdana" w:hAnsi="Verdana"/>
          <w:sz w:val="14"/>
          <w:szCs w:val="14"/>
        </w:rPr>
        <w:t xml:space="preserve"> </w:t>
      </w:r>
    </w:p>
    <w:p w:rsidR="00FD7153" w:rsidRDefault="00FD7153">
      <w:pPr>
        <w:rPr>
          <w:rFonts w:ascii="Verdana" w:hAnsi="Verdana" w:cs="Verdana"/>
          <w:b/>
          <w:bCs/>
          <w:sz w:val="18"/>
          <w:szCs w:val="18"/>
        </w:rPr>
      </w:pPr>
      <w:r>
        <w:rPr>
          <w:rFonts w:ascii="Verdana" w:hAnsi="Verdana" w:cs="Verdana"/>
          <w:b/>
          <w:bCs/>
          <w:sz w:val="18"/>
          <w:szCs w:val="18"/>
        </w:rPr>
        <w:br w:type="page"/>
      </w:r>
    </w:p>
    <w:p w:rsidRPr="00533D5C" w:rsidR="00833C05" w:rsidP="00533D5C" w:rsidRDefault="00833C05">
      <w:pPr>
        <w:spacing w:line="240" w:lineRule="exact"/>
        <w:rPr>
          <w:rFonts w:ascii="Verdana" w:hAnsi="Verdana" w:cs="Verdana"/>
          <w:b/>
          <w:bCs/>
          <w:sz w:val="18"/>
          <w:szCs w:val="18"/>
        </w:rPr>
      </w:pPr>
      <w:r w:rsidRPr="00533D5C">
        <w:rPr>
          <w:rFonts w:ascii="Verdana" w:hAnsi="Verdana" w:cs="Verdana"/>
          <w:b/>
          <w:bCs/>
          <w:sz w:val="18"/>
          <w:szCs w:val="18"/>
        </w:rPr>
        <w:lastRenderedPageBreak/>
        <w:t>Bui</w:t>
      </w:r>
      <w:r w:rsidRPr="00533D5C" w:rsidR="0057192F">
        <w:rPr>
          <w:rFonts w:ascii="Verdana" w:hAnsi="Verdana" w:cs="Verdana"/>
          <w:b/>
          <w:bCs/>
          <w:sz w:val="18"/>
          <w:szCs w:val="18"/>
        </w:rPr>
        <w:t>tenlandse Handel &amp; Ontwikkelingssamenwerking</w:t>
      </w:r>
    </w:p>
    <w:tbl>
      <w:tblPr>
        <w:tblW w:w="0" w:type="auto"/>
        <w:tblCellMar>
          <w:top w:w="15" w:type="dxa"/>
          <w:left w:w="15" w:type="dxa"/>
          <w:bottom w:w="15" w:type="dxa"/>
          <w:right w:w="15" w:type="dxa"/>
        </w:tblCellMar>
        <w:tblLook w:val="04A0"/>
      </w:tblPr>
      <w:tblGrid>
        <w:gridCol w:w="8242"/>
        <w:gridCol w:w="42"/>
        <w:gridCol w:w="818"/>
      </w:tblGrid>
      <w:tr w:rsidR="007264A4" w:rsidTr="007264A4">
        <w:tc>
          <w:tcPr>
            <w:tcW w:w="8224" w:type="dxa"/>
            <w:tcBorders>
              <w:left w:val="nil"/>
              <w:right w:val="nil"/>
            </w:tcBorders>
            <w:hideMark/>
          </w:tcPr>
          <w:p w:rsidR="007264A4" w:rsidP="006D23DC" w:rsidRDefault="007264A4">
            <w:pPr>
              <w:rPr>
                <w:rFonts w:ascii="Verdana" w:hAnsi="Verdana"/>
                <w:sz w:val="18"/>
                <w:szCs w:val="18"/>
              </w:rPr>
            </w:pPr>
          </w:p>
        </w:tc>
        <w:tc>
          <w:tcPr>
            <w:tcW w:w="878" w:type="dxa"/>
            <w:gridSpan w:val="2"/>
            <w:tcBorders>
              <w:left w:val="nil"/>
              <w:right w:val="nil"/>
            </w:tcBorders>
            <w:hideMark/>
          </w:tcPr>
          <w:p w:rsidR="007264A4" w:rsidP="006D23DC" w:rsidRDefault="007264A4">
            <w:pPr>
              <w:rPr>
                <w:rFonts w:ascii="Verdana" w:hAnsi="Verdana"/>
                <w:sz w:val="18"/>
                <w:szCs w:val="18"/>
              </w:rPr>
            </w:pPr>
            <w:r>
              <w:rPr>
                <w:rFonts w:ascii="Verdana" w:hAnsi="Verdana"/>
                <w:sz w:val="18"/>
                <w:szCs w:val="18"/>
              </w:rPr>
              <w:t> </w:t>
            </w:r>
          </w:p>
        </w:tc>
      </w:tr>
      <w:tr w:rsidR="007264A4" w:rsidTr="006D23DC">
        <w:tc>
          <w:tcPr>
            <w:tcW w:w="0" w:type="auto"/>
            <w:tcBorders>
              <w:left w:val="nil"/>
              <w:right w:val="nil"/>
            </w:tcBorders>
            <w:hideMark/>
          </w:tcPr>
          <w:p w:rsidR="007264A4" w:rsidP="006D23DC" w:rsidRDefault="007264A4">
            <w:pPr>
              <w:rPr>
                <w:rFonts w:ascii="Verdana" w:hAnsi="Verdana"/>
                <w:sz w:val="18"/>
                <w:szCs w:val="18"/>
              </w:rPr>
            </w:pPr>
            <w:r>
              <w:rPr>
                <w:rFonts w:ascii="Verdana" w:hAnsi="Verdana"/>
                <w:sz w:val="18"/>
                <w:szCs w:val="18"/>
              </w:rPr>
              <w:t>XVII BUITENLANDSE HANDEL &amp; ONTWIKKELINGSSAMENWERKING: UITGAVEN</w:t>
            </w:r>
          </w:p>
        </w:tc>
        <w:tc>
          <w:tcPr>
            <w:tcW w:w="0" w:type="auto"/>
            <w:gridSpan w:val="2"/>
            <w:hideMark/>
          </w:tcPr>
          <w:p w:rsidR="007264A4" w:rsidP="006D23DC" w:rsidRDefault="007264A4">
            <w:pPr>
              <w:rPr>
                <w:sz w:val="20"/>
                <w:szCs w:val="20"/>
              </w:rPr>
            </w:pPr>
          </w:p>
        </w:tc>
      </w:tr>
      <w:tr w:rsidR="007264A4" w:rsidTr="006D23DC">
        <w:tc>
          <w:tcPr>
            <w:tcW w:w="0" w:type="auto"/>
            <w:tcBorders>
              <w:top w:val="single" w:color="000000" w:sz="6" w:space="0"/>
              <w:left w:val="nil"/>
              <w:bottom w:val="single" w:color="000000" w:sz="6" w:space="0"/>
              <w:right w:val="nil"/>
            </w:tcBorders>
            <w:hideMark/>
          </w:tcPr>
          <w:p w:rsidR="007264A4" w:rsidP="006D23DC" w:rsidRDefault="007264A4">
            <w:pPr>
              <w:jc w:val="right"/>
              <w:rPr>
                <w:rFonts w:ascii="Verdana" w:hAnsi="Verdana"/>
                <w:sz w:val="18"/>
                <w:szCs w:val="18"/>
              </w:rPr>
            </w:pPr>
          </w:p>
        </w:tc>
        <w:tc>
          <w:tcPr>
            <w:tcW w:w="0" w:type="auto"/>
            <w:gridSpan w:val="2"/>
            <w:tcBorders>
              <w:top w:val="single" w:color="000000" w:sz="6" w:space="0"/>
              <w:left w:val="nil"/>
              <w:bottom w:val="single" w:color="000000" w:sz="6" w:space="0"/>
              <w:right w:val="nil"/>
            </w:tcBorders>
            <w:hideMark/>
          </w:tcPr>
          <w:p w:rsidR="007264A4" w:rsidP="006D23DC" w:rsidRDefault="007264A4">
            <w:pPr>
              <w:jc w:val="right"/>
              <w:rPr>
                <w:rFonts w:ascii="Verdana" w:hAnsi="Verdana"/>
                <w:sz w:val="18"/>
                <w:szCs w:val="18"/>
              </w:rPr>
            </w:pPr>
            <w:r>
              <w:rPr>
                <w:rFonts w:ascii="Verdana" w:hAnsi="Verdana"/>
                <w:sz w:val="18"/>
                <w:szCs w:val="18"/>
              </w:rPr>
              <w:t>2015</w:t>
            </w:r>
          </w:p>
        </w:tc>
      </w:tr>
      <w:tr w:rsidR="007264A4" w:rsidTr="006D23DC">
        <w:tc>
          <w:tcPr>
            <w:tcW w:w="0" w:type="auto"/>
            <w:tcBorders>
              <w:left w:val="nil"/>
              <w:right w:val="nil"/>
            </w:tcBorders>
            <w:hideMark/>
          </w:tcPr>
          <w:p w:rsidR="007264A4" w:rsidP="006D23DC" w:rsidRDefault="007264A4">
            <w:pPr>
              <w:rPr>
                <w:rFonts w:ascii="Verdana" w:hAnsi="Verdana"/>
                <w:sz w:val="18"/>
                <w:szCs w:val="18"/>
              </w:rPr>
            </w:pPr>
            <w:r>
              <w:rPr>
                <w:rFonts w:ascii="Verdana" w:hAnsi="Verdana"/>
                <w:sz w:val="18"/>
                <w:szCs w:val="18"/>
              </w:rPr>
              <w:t>Stand Miljoenennota 2016 (excl. IS)</w:t>
            </w:r>
          </w:p>
        </w:tc>
        <w:tc>
          <w:tcPr>
            <w:tcW w:w="0" w:type="auto"/>
            <w:gridSpan w:val="2"/>
            <w:tcBorders>
              <w:top w:val="single" w:color="000000" w:sz="6" w:space="0"/>
              <w:left w:val="nil"/>
              <w:right w:val="nil"/>
            </w:tcBorders>
            <w:hideMark/>
          </w:tcPr>
          <w:p w:rsidR="007264A4" w:rsidP="006D23DC" w:rsidRDefault="007264A4">
            <w:pPr>
              <w:jc w:val="right"/>
              <w:rPr>
                <w:rFonts w:ascii="Verdana" w:hAnsi="Verdana"/>
                <w:sz w:val="18"/>
                <w:szCs w:val="18"/>
              </w:rPr>
            </w:pPr>
            <w:r>
              <w:rPr>
                <w:rFonts w:ascii="Verdana" w:hAnsi="Verdana"/>
                <w:sz w:val="18"/>
                <w:szCs w:val="18"/>
              </w:rPr>
              <w:t>0,0</w:t>
            </w:r>
          </w:p>
        </w:tc>
      </w:tr>
      <w:tr w:rsidR="007264A4" w:rsidTr="006D23DC">
        <w:tc>
          <w:tcPr>
            <w:tcW w:w="0" w:type="auto"/>
            <w:tcBorders>
              <w:left w:val="nil"/>
              <w:right w:val="nil"/>
            </w:tcBorders>
            <w:hideMark/>
          </w:tcPr>
          <w:p w:rsidR="007264A4" w:rsidP="006D23DC" w:rsidRDefault="007264A4">
            <w:pPr>
              <w:rPr>
                <w:rFonts w:ascii="Verdana" w:hAnsi="Verdana"/>
                <w:sz w:val="18"/>
                <w:szCs w:val="18"/>
              </w:rPr>
            </w:pPr>
            <w:r>
              <w:rPr>
                <w:rFonts w:ascii="Verdana" w:hAnsi="Verdana"/>
                <w:sz w:val="18"/>
                <w:szCs w:val="18"/>
              </w:rPr>
              <w:t>Totaal mutaties sinds Miljoenennota 2016</w:t>
            </w:r>
          </w:p>
        </w:tc>
        <w:tc>
          <w:tcPr>
            <w:tcW w:w="0" w:type="auto"/>
            <w:gridSpan w:val="2"/>
            <w:tcBorders>
              <w:left w:val="nil"/>
              <w:right w:val="nil"/>
            </w:tcBorders>
            <w:hideMark/>
          </w:tcPr>
          <w:p w:rsidR="007264A4" w:rsidP="006D23DC" w:rsidRDefault="007264A4">
            <w:pPr>
              <w:jc w:val="right"/>
              <w:rPr>
                <w:rFonts w:ascii="Verdana" w:hAnsi="Verdana"/>
                <w:sz w:val="18"/>
                <w:szCs w:val="18"/>
              </w:rPr>
            </w:pPr>
            <w:r>
              <w:rPr>
                <w:rFonts w:ascii="Verdana" w:hAnsi="Verdana"/>
                <w:sz w:val="18"/>
                <w:szCs w:val="18"/>
              </w:rPr>
              <w:t>0,0</w:t>
            </w:r>
          </w:p>
        </w:tc>
      </w:tr>
      <w:tr w:rsidR="007264A4" w:rsidTr="006D23DC">
        <w:tc>
          <w:tcPr>
            <w:tcW w:w="0" w:type="auto"/>
            <w:tcBorders>
              <w:left w:val="nil"/>
              <w:right w:val="nil"/>
            </w:tcBorders>
            <w:hideMark/>
          </w:tcPr>
          <w:p w:rsidR="007264A4" w:rsidP="006D23DC" w:rsidRDefault="007264A4">
            <w:pPr>
              <w:rPr>
                <w:rFonts w:ascii="Verdana" w:hAnsi="Verdana"/>
                <w:sz w:val="18"/>
                <w:szCs w:val="18"/>
              </w:rPr>
            </w:pPr>
            <w:r>
              <w:rPr>
                <w:rFonts w:ascii="Verdana" w:hAnsi="Verdana"/>
                <w:sz w:val="18"/>
                <w:szCs w:val="18"/>
              </w:rPr>
              <w:t> </w:t>
            </w:r>
          </w:p>
        </w:tc>
        <w:tc>
          <w:tcPr>
            <w:tcW w:w="0" w:type="auto"/>
            <w:gridSpan w:val="2"/>
            <w:hideMark/>
          </w:tcPr>
          <w:p w:rsidR="007264A4" w:rsidP="006D23DC" w:rsidRDefault="007264A4">
            <w:pPr>
              <w:rPr>
                <w:sz w:val="20"/>
                <w:szCs w:val="20"/>
              </w:rPr>
            </w:pPr>
          </w:p>
        </w:tc>
      </w:tr>
      <w:tr w:rsidR="007264A4" w:rsidTr="006D23DC">
        <w:tc>
          <w:tcPr>
            <w:tcW w:w="0" w:type="auto"/>
            <w:tcBorders>
              <w:left w:val="nil"/>
              <w:right w:val="nil"/>
            </w:tcBorders>
            <w:hideMark/>
          </w:tcPr>
          <w:p w:rsidR="007264A4" w:rsidP="006D23DC" w:rsidRDefault="007264A4">
            <w:pPr>
              <w:rPr>
                <w:rFonts w:ascii="Verdana" w:hAnsi="Verdana"/>
                <w:sz w:val="18"/>
                <w:szCs w:val="18"/>
              </w:rPr>
            </w:pPr>
            <w:r>
              <w:rPr>
                <w:rFonts w:ascii="Verdana" w:hAnsi="Verdana"/>
                <w:sz w:val="18"/>
                <w:szCs w:val="18"/>
              </w:rPr>
              <w:t>Stand Najaarsnota 2015 (subtotaal)</w:t>
            </w:r>
          </w:p>
        </w:tc>
        <w:tc>
          <w:tcPr>
            <w:tcW w:w="0" w:type="auto"/>
            <w:gridSpan w:val="2"/>
            <w:tcBorders>
              <w:top w:val="single" w:color="000000" w:sz="6" w:space="0"/>
              <w:left w:val="nil"/>
              <w:right w:val="nil"/>
            </w:tcBorders>
            <w:hideMark/>
          </w:tcPr>
          <w:p w:rsidR="007264A4" w:rsidP="006D23DC" w:rsidRDefault="007264A4">
            <w:pPr>
              <w:jc w:val="right"/>
              <w:rPr>
                <w:rFonts w:ascii="Verdana" w:hAnsi="Verdana"/>
                <w:sz w:val="18"/>
                <w:szCs w:val="18"/>
              </w:rPr>
            </w:pPr>
            <w:r>
              <w:rPr>
                <w:rFonts w:ascii="Verdana" w:hAnsi="Verdana"/>
                <w:sz w:val="18"/>
                <w:szCs w:val="18"/>
              </w:rPr>
              <w:t>0,0</w:t>
            </w:r>
          </w:p>
        </w:tc>
      </w:tr>
      <w:tr w:rsidR="007264A4" w:rsidTr="006D23DC">
        <w:tc>
          <w:tcPr>
            <w:tcW w:w="0" w:type="auto"/>
            <w:tcBorders>
              <w:left w:val="nil"/>
              <w:right w:val="nil"/>
            </w:tcBorders>
            <w:hideMark/>
          </w:tcPr>
          <w:p w:rsidR="007264A4" w:rsidP="006D23DC" w:rsidRDefault="007264A4">
            <w:pPr>
              <w:rPr>
                <w:rFonts w:ascii="Verdana" w:hAnsi="Verdana"/>
                <w:sz w:val="18"/>
                <w:szCs w:val="18"/>
              </w:rPr>
            </w:pPr>
            <w:r>
              <w:rPr>
                <w:rFonts w:ascii="Verdana" w:hAnsi="Verdana"/>
                <w:sz w:val="18"/>
                <w:szCs w:val="18"/>
              </w:rPr>
              <w:t>Totaal Internationale samenwerking</w:t>
            </w:r>
          </w:p>
        </w:tc>
        <w:tc>
          <w:tcPr>
            <w:tcW w:w="0" w:type="auto"/>
            <w:gridSpan w:val="2"/>
            <w:tcBorders>
              <w:left w:val="nil"/>
              <w:right w:val="nil"/>
            </w:tcBorders>
            <w:hideMark/>
          </w:tcPr>
          <w:p w:rsidR="007264A4" w:rsidP="006D23DC" w:rsidRDefault="007264A4">
            <w:pPr>
              <w:jc w:val="right"/>
              <w:rPr>
                <w:rFonts w:ascii="Verdana" w:hAnsi="Verdana"/>
                <w:sz w:val="18"/>
                <w:szCs w:val="18"/>
              </w:rPr>
            </w:pPr>
            <w:r>
              <w:rPr>
                <w:rFonts w:ascii="Verdana" w:hAnsi="Verdana"/>
                <w:sz w:val="18"/>
                <w:szCs w:val="18"/>
              </w:rPr>
              <w:t>2.783,3</w:t>
            </w:r>
          </w:p>
        </w:tc>
      </w:tr>
      <w:tr w:rsidR="007264A4" w:rsidTr="006D23DC">
        <w:tc>
          <w:tcPr>
            <w:tcW w:w="0" w:type="auto"/>
            <w:tcBorders>
              <w:left w:val="nil"/>
              <w:right w:val="nil"/>
            </w:tcBorders>
            <w:hideMark/>
          </w:tcPr>
          <w:p w:rsidR="007264A4" w:rsidP="006D23DC" w:rsidRDefault="007264A4">
            <w:pPr>
              <w:rPr>
                <w:rFonts w:ascii="Verdana" w:hAnsi="Verdana"/>
                <w:sz w:val="18"/>
                <w:szCs w:val="18"/>
              </w:rPr>
            </w:pPr>
            <w:r>
              <w:rPr>
                <w:rFonts w:ascii="Verdana" w:hAnsi="Verdana"/>
                <w:sz w:val="18"/>
                <w:szCs w:val="18"/>
              </w:rPr>
              <w:t>Stand Najaarsnota 2015</w:t>
            </w:r>
          </w:p>
        </w:tc>
        <w:tc>
          <w:tcPr>
            <w:tcW w:w="0" w:type="auto"/>
            <w:gridSpan w:val="2"/>
            <w:tcBorders>
              <w:top w:val="single" w:color="000000" w:sz="6" w:space="0"/>
              <w:left w:val="nil"/>
              <w:right w:val="nil"/>
            </w:tcBorders>
            <w:hideMark/>
          </w:tcPr>
          <w:p w:rsidR="007264A4" w:rsidP="006D23DC" w:rsidRDefault="007264A4">
            <w:pPr>
              <w:jc w:val="right"/>
              <w:rPr>
                <w:rFonts w:ascii="Verdana" w:hAnsi="Verdana"/>
                <w:sz w:val="18"/>
                <w:szCs w:val="18"/>
              </w:rPr>
            </w:pPr>
            <w:r>
              <w:rPr>
                <w:rFonts w:ascii="Verdana" w:hAnsi="Verdana"/>
                <w:sz w:val="18"/>
                <w:szCs w:val="18"/>
              </w:rPr>
              <w:t>2.783,3</w:t>
            </w:r>
          </w:p>
        </w:tc>
      </w:tr>
      <w:tr w:rsidR="007264A4" w:rsidTr="007264A4">
        <w:tc>
          <w:tcPr>
            <w:tcW w:w="8266" w:type="dxa"/>
            <w:gridSpan w:val="2"/>
            <w:tcBorders>
              <w:left w:val="nil"/>
              <w:right w:val="nil"/>
            </w:tcBorders>
            <w:hideMark/>
          </w:tcPr>
          <w:p w:rsidR="007264A4" w:rsidP="006D23DC" w:rsidRDefault="007264A4">
            <w:pPr>
              <w:rPr>
                <w:rFonts w:ascii="Verdana" w:hAnsi="Verdana"/>
                <w:sz w:val="18"/>
                <w:szCs w:val="18"/>
              </w:rPr>
            </w:pPr>
            <w:r>
              <w:rPr>
                <w:rFonts w:ascii="Verdana" w:hAnsi="Verdana"/>
                <w:sz w:val="18"/>
                <w:szCs w:val="18"/>
              </w:rPr>
              <w:t> </w:t>
            </w:r>
          </w:p>
        </w:tc>
        <w:tc>
          <w:tcPr>
            <w:tcW w:w="836" w:type="dxa"/>
            <w:tcBorders>
              <w:left w:val="nil"/>
              <w:right w:val="nil"/>
            </w:tcBorders>
            <w:hideMark/>
          </w:tcPr>
          <w:p w:rsidR="007264A4" w:rsidP="006D23DC" w:rsidRDefault="007264A4">
            <w:pPr>
              <w:rPr>
                <w:rFonts w:ascii="Verdana" w:hAnsi="Verdana"/>
                <w:sz w:val="18"/>
                <w:szCs w:val="18"/>
              </w:rPr>
            </w:pPr>
            <w:r>
              <w:rPr>
                <w:rFonts w:ascii="Verdana" w:hAnsi="Verdana"/>
                <w:sz w:val="18"/>
                <w:szCs w:val="18"/>
              </w:rPr>
              <w:t> </w:t>
            </w:r>
          </w:p>
        </w:tc>
      </w:tr>
      <w:tr w:rsidR="007264A4" w:rsidTr="006D23DC">
        <w:tc>
          <w:tcPr>
            <w:tcW w:w="0" w:type="auto"/>
            <w:gridSpan w:val="2"/>
            <w:tcBorders>
              <w:left w:val="nil"/>
              <w:right w:val="nil"/>
            </w:tcBorders>
            <w:hideMark/>
          </w:tcPr>
          <w:p w:rsidR="007264A4" w:rsidP="006D23DC" w:rsidRDefault="007264A4">
            <w:pPr>
              <w:rPr>
                <w:rFonts w:ascii="Verdana" w:hAnsi="Verdana"/>
                <w:sz w:val="18"/>
                <w:szCs w:val="18"/>
              </w:rPr>
            </w:pPr>
            <w:r>
              <w:rPr>
                <w:rFonts w:ascii="Verdana" w:hAnsi="Verdana"/>
                <w:sz w:val="18"/>
                <w:szCs w:val="18"/>
              </w:rPr>
              <w:t>XVII BUITENLANDSE HANDEL &amp; ONTWIKKELINGSSAMENWERKING: NIET-BELASTINGONTVANGSTEN</w:t>
            </w:r>
          </w:p>
        </w:tc>
        <w:tc>
          <w:tcPr>
            <w:tcW w:w="0" w:type="auto"/>
            <w:hideMark/>
          </w:tcPr>
          <w:p w:rsidR="007264A4" w:rsidP="006D23DC" w:rsidRDefault="007264A4">
            <w:pPr>
              <w:rPr>
                <w:sz w:val="20"/>
                <w:szCs w:val="20"/>
              </w:rPr>
            </w:pPr>
          </w:p>
        </w:tc>
      </w:tr>
      <w:tr w:rsidR="007264A4" w:rsidTr="006D23DC">
        <w:tc>
          <w:tcPr>
            <w:tcW w:w="0" w:type="auto"/>
            <w:gridSpan w:val="2"/>
            <w:tcBorders>
              <w:top w:val="single" w:color="000000" w:sz="6" w:space="0"/>
              <w:left w:val="nil"/>
              <w:bottom w:val="single" w:color="000000" w:sz="6" w:space="0"/>
              <w:right w:val="nil"/>
            </w:tcBorders>
            <w:hideMark/>
          </w:tcPr>
          <w:p w:rsidR="007264A4" w:rsidP="006D23DC" w:rsidRDefault="007264A4">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7264A4" w:rsidP="006D23DC" w:rsidRDefault="007264A4">
            <w:pPr>
              <w:jc w:val="right"/>
              <w:rPr>
                <w:rFonts w:ascii="Verdana" w:hAnsi="Verdana"/>
                <w:sz w:val="18"/>
                <w:szCs w:val="18"/>
              </w:rPr>
            </w:pPr>
            <w:r>
              <w:rPr>
                <w:rFonts w:ascii="Verdana" w:hAnsi="Verdana"/>
                <w:sz w:val="18"/>
                <w:szCs w:val="18"/>
              </w:rPr>
              <w:t>2015</w:t>
            </w:r>
          </w:p>
        </w:tc>
      </w:tr>
      <w:tr w:rsidR="007264A4" w:rsidTr="006D23DC">
        <w:tc>
          <w:tcPr>
            <w:tcW w:w="0" w:type="auto"/>
            <w:gridSpan w:val="2"/>
            <w:tcBorders>
              <w:left w:val="nil"/>
              <w:right w:val="nil"/>
            </w:tcBorders>
            <w:hideMark/>
          </w:tcPr>
          <w:p w:rsidR="007264A4" w:rsidP="006D23DC" w:rsidRDefault="007264A4">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7264A4" w:rsidP="006D23DC" w:rsidRDefault="007264A4">
            <w:pPr>
              <w:jc w:val="right"/>
              <w:rPr>
                <w:rFonts w:ascii="Verdana" w:hAnsi="Verdana"/>
                <w:sz w:val="18"/>
                <w:szCs w:val="18"/>
              </w:rPr>
            </w:pPr>
            <w:r>
              <w:rPr>
                <w:rFonts w:ascii="Verdana" w:hAnsi="Verdana"/>
                <w:sz w:val="18"/>
                <w:szCs w:val="18"/>
              </w:rPr>
              <w:t>20,9</w:t>
            </w:r>
          </w:p>
        </w:tc>
      </w:tr>
      <w:tr w:rsidR="007264A4" w:rsidTr="006D23DC">
        <w:tc>
          <w:tcPr>
            <w:tcW w:w="0" w:type="auto"/>
            <w:gridSpan w:val="2"/>
            <w:tcBorders>
              <w:left w:val="nil"/>
              <w:right w:val="nil"/>
            </w:tcBorders>
            <w:hideMark/>
          </w:tcPr>
          <w:p w:rsidR="007264A4" w:rsidP="006D23DC" w:rsidRDefault="007264A4">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7264A4" w:rsidP="006D23DC" w:rsidRDefault="007264A4">
            <w:pPr>
              <w:jc w:val="right"/>
              <w:rPr>
                <w:rFonts w:ascii="Verdana" w:hAnsi="Verdana"/>
                <w:sz w:val="18"/>
                <w:szCs w:val="18"/>
              </w:rPr>
            </w:pPr>
            <w:r>
              <w:rPr>
                <w:rFonts w:ascii="Verdana" w:hAnsi="Verdana"/>
                <w:sz w:val="18"/>
                <w:szCs w:val="18"/>
              </w:rPr>
              <w:t>0,0</w:t>
            </w:r>
          </w:p>
        </w:tc>
      </w:tr>
      <w:tr w:rsidR="007264A4" w:rsidTr="006D23DC">
        <w:tc>
          <w:tcPr>
            <w:tcW w:w="0" w:type="auto"/>
            <w:gridSpan w:val="2"/>
            <w:tcBorders>
              <w:left w:val="nil"/>
              <w:right w:val="nil"/>
            </w:tcBorders>
            <w:hideMark/>
          </w:tcPr>
          <w:p w:rsidR="007264A4" w:rsidP="006D23DC" w:rsidRDefault="007264A4">
            <w:pPr>
              <w:rPr>
                <w:rFonts w:ascii="Verdana" w:hAnsi="Verdana"/>
                <w:sz w:val="18"/>
                <w:szCs w:val="18"/>
              </w:rPr>
            </w:pPr>
            <w:r>
              <w:rPr>
                <w:rFonts w:ascii="Verdana" w:hAnsi="Verdana"/>
                <w:sz w:val="18"/>
                <w:szCs w:val="18"/>
              </w:rPr>
              <w:t> </w:t>
            </w:r>
          </w:p>
        </w:tc>
        <w:tc>
          <w:tcPr>
            <w:tcW w:w="0" w:type="auto"/>
            <w:hideMark/>
          </w:tcPr>
          <w:p w:rsidR="007264A4" w:rsidP="006D23DC" w:rsidRDefault="007264A4">
            <w:pPr>
              <w:rPr>
                <w:sz w:val="20"/>
                <w:szCs w:val="20"/>
              </w:rPr>
            </w:pPr>
          </w:p>
        </w:tc>
      </w:tr>
      <w:tr w:rsidR="007264A4" w:rsidTr="006D23DC">
        <w:tc>
          <w:tcPr>
            <w:tcW w:w="0" w:type="auto"/>
            <w:gridSpan w:val="2"/>
            <w:tcBorders>
              <w:left w:val="nil"/>
              <w:right w:val="nil"/>
            </w:tcBorders>
            <w:hideMark/>
          </w:tcPr>
          <w:p w:rsidR="007264A4" w:rsidP="006D23DC" w:rsidRDefault="007264A4">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7264A4" w:rsidP="006D23DC" w:rsidRDefault="007264A4">
            <w:pPr>
              <w:jc w:val="right"/>
              <w:rPr>
                <w:rFonts w:ascii="Verdana" w:hAnsi="Verdana"/>
                <w:sz w:val="18"/>
                <w:szCs w:val="18"/>
              </w:rPr>
            </w:pPr>
            <w:r>
              <w:rPr>
                <w:rFonts w:ascii="Verdana" w:hAnsi="Verdana"/>
                <w:sz w:val="18"/>
                <w:szCs w:val="18"/>
              </w:rPr>
              <w:t>20,9</w:t>
            </w:r>
          </w:p>
        </w:tc>
      </w:tr>
      <w:tr w:rsidR="007264A4" w:rsidTr="006D23DC">
        <w:tc>
          <w:tcPr>
            <w:tcW w:w="0" w:type="auto"/>
            <w:gridSpan w:val="2"/>
            <w:tcBorders>
              <w:left w:val="nil"/>
              <w:right w:val="nil"/>
            </w:tcBorders>
            <w:hideMark/>
          </w:tcPr>
          <w:p w:rsidR="007264A4" w:rsidP="006D23DC" w:rsidRDefault="007264A4">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7264A4" w:rsidP="006D23DC" w:rsidRDefault="007264A4">
            <w:pPr>
              <w:jc w:val="right"/>
              <w:rPr>
                <w:rFonts w:ascii="Verdana" w:hAnsi="Verdana"/>
                <w:sz w:val="18"/>
                <w:szCs w:val="18"/>
              </w:rPr>
            </w:pPr>
            <w:r>
              <w:rPr>
                <w:rFonts w:ascii="Verdana" w:hAnsi="Verdana"/>
                <w:sz w:val="18"/>
                <w:szCs w:val="18"/>
              </w:rPr>
              <w:t>71,9</w:t>
            </w:r>
          </w:p>
        </w:tc>
      </w:tr>
      <w:tr w:rsidR="007264A4" w:rsidTr="006D23DC">
        <w:tc>
          <w:tcPr>
            <w:tcW w:w="0" w:type="auto"/>
            <w:gridSpan w:val="2"/>
            <w:tcBorders>
              <w:left w:val="nil"/>
              <w:right w:val="nil"/>
            </w:tcBorders>
            <w:hideMark/>
          </w:tcPr>
          <w:p w:rsidR="007264A4" w:rsidP="006D23DC" w:rsidRDefault="007264A4">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7264A4" w:rsidP="006D23DC" w:rsidRDefault="007264A4">
            <w:pPr>
              <w:jc w:val="right"/>
              <w:rPr>
                <w:rFonts w:ascii="Verdana" w:hAnsi="Verdana"/>
                <w:sz w:val="18"/>
                <w:szCs w:val="18"/>
              </w:rPr>
            </w:pPr>
            <w:r>
              <w:rPr>
                <w:rFonts w:ascii="Verdana" w:hAnsi="Verdana"/>
                <w:sz w:val="18"/>
                <w:szCs w:val="18"/>
              </w:rPr>
              <w:t>92,8</w:t>
            </w:r>
          </w:p>
        </w:tc>
      </w:tr>
    </w:tbl>
    <w:p w:rsidR="00FD7153" w:rsidRDefault="00FD7153">
      <w:pPr>
        <w:rPr>
          <w:rFonts w:ascii="Verdana" w:hAnsi="Verdana" w:cs="Verdana"/>
          <w:b/>
          <w:bCs/>
          <w:sz w:val="18"/>
          <w:szCs w:val="18"/>
        </w:rPr>
      </w:pPr>
      <w:r>
        <w:rPr>
          <w:rFonts w:ascii="Verdana" w:hAnsi="Verdana" w:cs="Verdana"/>
          <w:b/>
          <w:bCs/>
          <w:sz w:val="18"/>
          <w:szCs w:val="18"/>
        </w:rPr>
        <w:br w:type="page"/>
      </w:r>
    </w:p>
    <w:p w:rsidRPr="00533D5C" w:rsidR="003C0598" w:rsidP="00533D5C" w:rsidRDefault="003C0598">
      <w:pPr>
        <w:spacing w:line="240" w:lineRule="exact"/>
        <w:rPr>
          <w:rFonts w:ascii="Verdana" w:hAnsi="Verdana" w:cs="Verdana"/>
          <w:b/>
          <w:bCs/>
          <w:sz w:val="18"/>
          <w:szCs w:val="18"/>
        </w:rPr>
      </w:pPr>
      <w:r w:rsidRPr="007E4EDB">
        <w:rPr>
          <w:rFonts w:ascii="Verdana" w:hAnsi="Verdana" w:cs="Verdana"/>
          <w:b/>
          <w:bCs/>
          <w:sz w:val="18"/>
          <w:szCs w:val="18"/>
        </w:rPr>
        <w:lastRenderedPageBreak/>
        <w:t>Wonen &amp; Rijksdienst</w:t>
      </w:r>
    </w:p>
    <w:tbl>
      <w:tblPr>
        <w:tblW w:w="0" w:type="auto"/>
        <w:tblCellMar>
          <w:top w:w="15" w:type="dxa"/>
          <w:left w:w="15" w:type="dxa"/>
          <w:bottom w:w="15" w:type="dxa"/>
          <w:right w:w="15" w:type="dxa"/>
        </w:tblCellMar>
        <w:tblLook w:val="04A0"/>
      </w:tblPr>
      <w:tblGrid>
        <w:gridCol w:w="8221"/>
        <w:gridCol w:w="21"/>
        <w:gridCol w:w="860"/>
      </w:tblGrid>
      <w:tr w:rsidR="00FB5614" w:rsidTr="00FB5614">
        <w:tc>
          <w:tcPr>
            <w:tcW w:w="8221" w:type="dxa"/>
            <w:tcBorders>
              <w:left w:val="nil"/>
              <w:right w:val="nil"/>
            </w:tcBorders>
            <w:hideMark/>
          </w:tcPr>
          <w:p w:rsidR="00FB5614" w:rsidP="006D23DC" w:rsidRDefault="00FB5614">
            <w:pPr>
              <w:rPr>
                <w:rFonts w:ascii="Verdana" w:hAnsi="Verdana"/>
                <w:sz w:val="18"/>
                <w:szCs w:val="18"/>
              </w:rPr>
            </w:pPr>
          </w:p>
        </w:tc>
        <w:tc>
          <w:tcPr>
            <w:tcW w:w="881" w:type="dxa"/>
            <w:gridSpan w:val="2"/>
            <w:tcBorders>
              <w:left w:val="nil"/>
              <w:right w:val="nil"/>
            </w:tcBorders>
            <w:hideMark/>
          </w:tcPr>
          <w:p w:rsidR="00FB5614" w:rsidP="006D23DC" w:rsidRDefault="00FB5614">
            <w:pPr>
              <w:rPr>
                <w:rFonts w:ascii="Verdana" w:hAnsi="Verdana"/>
                <w:sz w:val="18"/>
                <w:szCs w:val="18"/>
              </w:rPr>
            </w:pPr>
            <w:r>
              <w:rPr>
                <w:rFonts w:ascii="Verdana" w:hAnsi="Verdana"/>
                <w:sz w:val="18"/>
                <w:szCs w:val="18"/>
              </w:rPr>
              <w:t> </w:t>
            </w:r>
          </w:p>
        </w:tc>
      </w:tr>
      <w:tr w:rsidR="00FB5614" w:rsidTr="006D23DC">
        <w:tc>
          <w:tcPr>
            <w:tcW w:w="0" w:type="auto"/>
            <w:tcBorders>
              <w:left w:val="nil"/>
              <w:right w:val="nil"/>
            </w:tcBorders>
            <w:hideMark/>
          </w:tcPr>
          <w:p w:rsidR="00FB5614" w:rsidP="006D23DC" w:rsidRDefault="00FB5614">
            <w:pPr>
              <w:rPr>
                <w:rFonts w:ascii="Verdana" w:hAnsi="Verdana"/>
                <w:sz w:val="18"/>
                <w:szCs w:val="18"/>
              </w:rPr>
            </w:pPr>
            <w:r>
              <w:rPr>
                <w:rFonts w:ascii="Verdana" w:hAnsi="Verdana"/>
                <w:sz w:val="18"/>
                <w:szCs w:val="18"/>
              </w:rPr>
              <w:t>XVIII WONEN &amp; RIJKSDIENST: UITGAVEN</w:t>
            </w:r>
          </w:p>
        </w:tc>
        <w:tc>
          <w:tcPr>
            <w:tcW w:w="0" w:type="auto"/>
            <w:gridSpan w:val="2"/>
            <w:hideMark/>
          </w:tcPr>
          <w:p w:rsidR="00FB5614" w:rsidP="006D23DC" w:rsidRDefault="00FB5614">
            <w:pPr>
              <w:rPr>
                <w:sz w:val="20"/>
                <w:szCs w:val="20"/>
              </w:rPr>
            </w:pPr>
          </w:p>
        </w:tc>
      </w:tr>
      <w:tr w:rsidR="00FB5614" w:rsidTr="006D23DC">
        <w:tc>
          <w:tcPr>
            <w:tcW w:w="0" w:type="auto"/>
            <w:tcBorders>
              <w:top w:val="single" w:color="000000" w:sz="6" w:space="0"/>
              <w:left w:val="nil"/>
              <w:bottom w:val="single" w:color="000000" w:sz="6" w:space="0"/>
              <w:right w:val="nil"/>
            </w:tcBorders>
            <w:hideMark/>
          </w:tcPr>
          <w:p w:rsidR="00FB5614" w:rsidP="006D23DC" w:rsidRDefault="00FB5614">
            <w:pPr>
              <w:jc w:val="right"/>
              <w:rPr>
                <w:rFonts w:ascii="Verdana" w:hAnsi="Verdana"/>
                <w:sz w:val="18"/>
                <w:szCs w:val="18"/>
              </w:rPr>
            </w:pPr>
          </w:p>
        </w:tc>
        <w:tc>
          <w:tcPr>
            <w:tcW w:w="0" w:type="auto"/>
            <w:gridSpan w:val="2"/>
            <w:tcBorders>
              <w:top w:val="single" w:color="000000" w:sz="6" w:space="0"/>
              <w:left w:val="nil"/>
              <w:bottom w:val="single" w:color="000000" w:sz="6" w:space="0"/>
              <w:right w:val="nil"/>
            </w:tcBorders>
            <w:hideMark/>
          </w:tcPr>
          <w:p w:rsidR="00FB5614" w:rsidP="006D23DC" w:rsidRDefault="00FB5614">
            <w:pPr>
              <w:jc w:val="right"/>
              <w:rPr>
                <w:rFonts w:ascii="Verdana" w:hAnsi="Verdana"/>
                <w:sz w:val="18"/>
                <w:szCs w:val="18"/>
              </w:rPr>
            </w:pPr>
            <w:r>
              <w:rPr>
                <w:rFonts w:ascii="Verdana" w:hAnsi="Verdana"/>
                <w:sz w:val="18"/>
                <w:szCs w:val="18"/>
              </w:rPr>
              <w:t>2015</w:t>
            </w:r>
          </w:p>
        </w:tc>
      </w:tr>
      <w:tr w:rsidR="00FB5614" w:rsidTr="006D23DC">
        <w:tc>
          <w:tcPr>
            <w:tcW w:w="0" w:type="auto"/>
            <w:tcBorders>
              <w:left w:val="nil"/>
              <w:right w:val="nil"/>
            </w:tcBorders>
            <w:hideMark/>
          </w:tcPr>
          <w:p w:rsidR="00FB5614" w:rsidP="006D23DC" w:rsidRDefault="00FB5614">
            <w:pPr>
              <w:rPr>
                <w:rFonts w:ascii="Verdana" w:hAnsi="Verdana"/>
                <w:sz w:val="18"/>
                <w:szCs w:val="18"/>
              </w:rPr>
            </w:pPr>
            <w:r>
              <w:rPr>
                <w:rFonts w:ascii="Verdana" w:hAnsi="Verdana"/>
                <w:sz w:val="18"/>
                <w:szCs w:val="18"/>
              </w:rPr>
              <w:t>Stand Miljoenennota 2016 (excl. IS)</w:t>
            </w:r>
          </w:p>
        </w:tc>
        <w:tc>
          <w:tcPr>
            <w:tcW w:w="0" w:type="auto"/>
            <w:gridSpan w:val="2"/>
            <w:tcBorders>
              <w:top w:val="single" w:color="000000" w:sz="6" w:space="0"/>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3.888,2</w:t>
            </w:r>
          </w:p>
        </w:tc>
      </w:tr>
      <w:tr w:rsidR="00FB5614" w:rsidTr="006D23DC">
        <w:tc>
          <w:tcPr>
            <w:tcW w:w="0" w:type="auto"/>
            <w:tcBorders>
              <w:left w:val="nil"/>
              <w:right w:val="nil"/>
            </w:tcBorders>
            <w:hideMark/>
          </w:tcPr>
          <w:p w:rsidR="00FB5614" w:rsidP="006D23DC" w:rsidRDefault="00FB5614">
            <w:pPr>
              <w:rPr>
                <w:rFonts w:ascii="Verdana" w:hAnsi="Verdana"/>
                <w:sz w:val="18"/>
                <w:szCs w:val="18"/>
              </w:rPr>
            </w:pPr>
            <w:r>
              <w:rPr>
                <w:rFonts w:ascii="Verdana" w:hAnsi="Verdana"/>
                <w:sz w:val="18"/>
                <w:szCs w:val="18"/>
              </w:rPr>
              <w:t>Mee- en tegenvallers</w:t>
            </w:r>
          </w:p>
        </w:tc>
        <w:tc>
          <w:tcPr>
            <w:tcW w:w="0" w:type="auto"/>
            <w:gridSpan w:val="2"/>
            <w:hideMark/>
          </w:tcPr>
          <w:p w:rsidR="00FB5614" w:rsidP="006D23DC" w:rsidRDefault="00FB5614">
            <w:pPr>
              <w:rPr>
                <w:sz w:val="20"/>
                <w:szCs w:val="20"/>
              </w:rPr>
            </w:pPr>
          </w:p>
        </w:tc>
      </w:tr>
      <w:tr w:rsidR="00FB5614" w:rsidTr="006D23DC">
        <w:tc>
          <w:tcPr>
            <w:tcW w:w="0" w:type="auto"/>
            <w:tcBorders>
              <w:left w:val="nil"/>
              <w:right w:val="nil"/>
            </w:tcBorders>
            <w:tcMar>
              <w:top w:w="15" w:type="dxa"/>
              <w:left w:w="180" w:type="dxa"/>
              <w:bottom w:w="15" w:type="dxa"/>
              <w:right w:w="15" w:type="dxa"/>
            </w:tcMar>
            <w:vAlign w:val="both"/>
            <w:hideMark/>
          </w:tcPr>
          <w:p w:rsidR="00FB5614" w:rsidP="006D23DC" w:rsidRDefault="00FB5614">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FB5614" w:rsidP="006D23DC" w:rsidRDefault="00FB5614">
            <w:pPr>
              <w:rPr>
                <w:sz w:val="20"/>
                <w:szCs w:val="20"/>
              </w:rPr>
            </w:pPr>
          </w:p>
        </w:tc>
      </w:tr>
      <w:tr w:rsidR="00FB5614" w:rsidTr="006D23DC">
        <w:tc>
          <w:tcPr>
            <w:tcW w:w="0" w:type="auto"/>
            <w:tcBorders>
              <w:left w:val="nil"/>
              <w:right w:val="nil"/>
            </w:tcBorders>
            <w:tcMar>
              <w:top w:w="15" w:type="dxa"/>
              <w:left w:w="360" w:type="dxa"/>
              <w:bottom w:w="15" w:type="dxa"/>
              <w:right w:w="15" w:type="dxa"/>
            </w:tcMar>
            <w:vAlign w:val="both"/>
            <w:hideMark/>
          </w:tcPr>
          <w:p w:rsidR="00FB5614" w:rsidP="006D23DC" w:rsidRDefault="00FB5614">
            <w:pPr>
              <w:ind w:firstLine="360" w:firstLineChars="200"/>
              <w:rPr>
                <w:rFonts w:ascii="Verdana" w:hAnsi="Verdana"/>
                <w:sz w:val="18"/>
                <w:szCs w:val="18"/>
              </w:rPr>
            </w:pPr>
            <w:r>
              <w:rPr>
                <w:rFonts w:ascii="Verdana" w:hAnsi="Verdana"/>
                <w:sz w:val="18"/>
                <w:szCs w:val="18"/>
              </w:rPr>
              <w:t>Huurtoeslag 2015</w:t>
            </w:r>
          </w:p>
        </w:tc>
        <w:tc>
          <w:tcPr>
            <w:tcW w:w="0" w:type="auto"/>
            <w:gridSpan w:val="2"/>
            <w:tcBorders>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154,0</w:t>
            </w:r>
          </w:p>
        </w:tc>
      </w:tr>
      <w:tr w:rsidR="00FB5614" w:rsidTr="006D23DC">
        <w:tc>
          <w:tcPr>
            <w:tcW w:w="0" w:type="auto"/>
            <w:tcBorders>
              <w:left w:val="nil"/>
              <w:right w:val="nil"/>
            </w:tcBorders>
            <w:hideMark/>
          </w:tcPr>
          <w:p w:rsidR="00FB5614" w:rsidP="006D23DC" w:rsidRDefault="00FB5614">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154,0</w:t>
            </w:r>
          </w:p>
        </w:tc>
      </w:tr>
      <w:tr w:rsidR="00FB5614" w:rsidTr="006D23DC">
        <w:tc>
          <w:tcPr>
            <w:tcW w:w="0" w:type="auto"/>
            <w:tcBorders>
              <w:left w:val="nil"/>
              <w:right w:val="nil"/>
            </w:tcBorders>
            <w:hideMark/>
          </w:tcPr>
          <w:p w:rsidR="00FB5614" w:rsidP="006D23DC" w:rsidRDefault="00FB5614">
            <w:pPr>
              <w:rPr>
                <w:rFonts w:ascii="Verdana" w:hAnsi="Verdana"/>
                <w:sz w:val="18"/>
                <w:szCs w:val="18"/>
              </w:rPr>
            </w:pPr>
            <w:r>
              <w:rPr>
                <w:rFonts w:ascii="Verdana" w:hAnsi="Verdana"/>
                <w:sz w:val="18"/>
                <w:szCs w:val="18"/>
              </w:rPr>
              <w:t>Beleidsmatige mutaties</w:t>
            </w:r>
          </w:p>
        </w:tc>
        <w:tc>
          <w:tcPr>
            <w:tcW w:w="0" w:type="auto"/>
            <w:gridSpan w:val="2"/>
            <w:hideMark/>
          </w:tcPr>
          <w:p w:rsidR="00FB5614" w:rsidP="006D23DC" w:rsidRDefault="00FB5614">
            <w:pPr>
              <w:rPr>
                <w:sz w:val="20"/>
                <w:szCs w:val="20"/>
              </w:rPr>
            </w:pPr>
          </w:p>
        </w:tc>
      </w:tr>
      <w:tr w:rsidR="00FB5614" w:rsidTr="006D23DC">
        <w:tc>
          <w:tcPr>
            <w:tcW w:w="0" w:type="auto"/>
            <w:tcBorders>
              <w:left w:val="nil"/>
              <w:right w:val="nil"/>
            </w:tcBorders>
            <w:tcMar>
              <w:top w:w="15" w:type="dxa"/>
              <w:left w:w="180" w:type="dxa"/>
              <w:bottom w:w="15" w:type="dxa"/>
              <w:right w:w="15" w:type="dxa"/>
            </w:tcMar>
            <w:vAlign w:val="both"/>
            <w:hideMark/>
          </w:tcPr>
          <w:p w:rsidR="00FB5614" w:rsidP="006D23DC" w:rsidRDefault="00FB5614">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FB5614" w:rsidP="006D23DC" w:rsidRDefault="00FB5614">
            <w:pPr>
              <w:rPr>
                <w:sz w:val="20"/>
                <w:szCs w:val="20"/>
              </w:rPr>
            </w:pPr>
          </w:p>
        </w:tc>
      </w:tr>
      <w:tr w:rsidR="00FB5614" w:rsidTr="006D23DC">
        <w:tc>
          <w:tcPr>
            <w:tcW w:w="0" w:type="auto"/>
            <w:tcBorders>
              <w:left w:val="nil"/>
              <w:right w:val="nil"/>
            </w:tcBorders>
            <w:tcMar>
              <w:top w:w="15" w:type="dxa"/>
              <w:left w:w="360" w:type="dxa"/>
              <w:bottom w:w="15" w:type="dxa"/>
              <w:right w:w="15" w:type="dxa"/>
            </w:tcMar>
            <w:vAlign w:val="both"/>
            <w:hideMark/>
          </w:tcPr>
          <w:p w:rsidR="00FB5614" w:rsidP="006D23DC" w:rsidRDefault="00FB5614">
            <w:pPr>
              <w:ind w:firstLine="360" w:firstLineChars="200"/>
              <w:rPr>
                <w:rFonts w:ascii="Verdana" w:hAnsi="Verdana"/>
                <w:sz w:val="18"/>
                <w:szCs w:val="18"/>
              </w:rPr>
            </w:pPr>
            <w:r>
              <w:rPr>
                <w:rFonts w:ascii="Verdana" w:hAnsi="Verdana"/>
                <w:sz w:val="18"/>
                <w:szCs w:val="18"/>
              </w:rPr>
              <w:t xml:space="preserve">Kasschuif </w:t>
            </w:r>
            <w:proofErr w:type="spellStart"/>
            <w:r>
              <w:rPr>
                <w:rFonts w:ascii="Verdana" w:hAnsi="Verdana"/>
                <w:sz w:val="18"/>
                <w:szCs w:val="18"/>
              </w:rPr>
              <w:t>rfe</w:t>
            </w:r>
            <w:proofErr w:type="spellEnd"/>
            <w:r>
              <w:rPr>
                <w:rFonts w:ascii="Verdana" w:hAnsi="Verdana"/>
                <w:sz w:val="18"/>
                <w:szCs w:val="18"/>
              </w:rPr>
              <w:t xml:space="preserve"> </w:t>
            </w:r>
            <w:proofErr w:type="spellStart"/>
            <w:r>
              <w:rPr>
                <w:rFonts w:ascii="Verdana" w:hAnsi="Verdana"/>
                <w:sz w:val="18"/>
                <w:szCs w:val="18"/>
              </w:rPr>
              <w:t>iii</w:t>
            </w:r>
            <w:proofErr w:type="spellEnd"/>
          </w:p>
        </w:tc>
        <w:tc>
          <w:tcPr>
            <w:tcW w:w="0" w:type="auto"/>
            <w:gridSpan w:val="2"/>
            <w:tcBorders>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-35,0</w:t>
            </w:r>
          </w:p>
        </w:tc>
      </w:tr>
      <w:tr w:rsidR="00FB5614" w:rsidTr="006D23DC">
        <w:tc>
          <w:tcPr>
            <w:tcW w:w="0" w:type="auto"/>
            <w:tcBorders>
              <w:left w:val="nil"/>
              <w:right w:val="nil"/>
            </w:tcBorders>
            <w:hideMark/>
          </w:tcPr>
          <w:p w:rsidR="00FB5614" w:rsidP="006D23DC" w:rsidRDefault="00FB5614">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-35,0</w:t>
            </w:r>
          </w:p>
        </w:tc>
      </w:tr>
      <w:tr w:rsidR="00FB5614" w:rsidTr="006D23DC">
        <w:tc>
          <w:tcPr>
            <w:tcW w:w="0" w:type="auto"/>
            <w:tcBorders>
              <w:left w:val="nil"/>
              <w:right w:val="nil"/>
            </w:tcBorders>
            <w:hideMark/>
          </w:tcPr>
          <w:p w:rsidR="00FB5614" w:rsidP="006D23DC" w:rsidRDefault="00FB5614">
            <w:pPr>
              <w:rPr>
                <w:rFonts w:ascii="Verdana" w:hAnsi="Verdana"/>
                <w:sz w:val="18"/>
                <w:szCs w:val="18"/>
              </w:rPr>
            </w:pPr>
            <w:r>
              <w:rPr>
                <w:rFonts w:ascii="Verdana" w:hAnsi="Verdana"/>
                <w:sz w:val="18"/>
                <w:szCs w:val="18"/>
              </w:rPr>
              <w:t>Technische mutaties</w:t>
            </w:r>
          </w:p>
        </w:tc>
        <w:tc>
          <w:tcPr>
            <w:tcW w:w="0" w:type="auto"/>
            <w:gridSpan w:val="2"/>
            <w:hideMark/>
          </w:tcPr>
          <w:p w:rsidR="00FB5614" w:rsidP="006D23DC" w:rsidRDefault="00FB5614">
            <w:pPr>
              <w:rPr>
                <w:sz w:val="20"/>
                <w:szCs w:val="20"/>
              </w:rPr>
            </w:pPr>
          </w:p>
        </w:tc>
      </w:tr>
      <w:tr w:rsidR="00FB5614" w:rsidTr="006D23DC">
        <w:tc>
          <w:tcPr>
            <w:tcW w:w="0" w:type="auto"/>
            <w:tcBorders>
              <w:left w:val="nil"/>
              <w:right w:val="nil"/>
            </w:tcBorders>
            <w:tcMar>
              <w:top w:w="15" w:type="dxa"/>
              <w:left w:w="180" w:type="dxa"/>
              <w:bottom w:w="15" w:type="dxa"/>
              <w:right w:w="15" w:type="dxa"/>
            </w:tcMar>
            <w:vAlign w:val="both"/>
            <w:hideMark/>
          </w:tcPr>
          <w:p w:rsidR="00FB5614" w:rsidP="006D23DC" w:rsidRDefault="00FB5614">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FB5614" w:rsidP="006D23DC" w:rsidRDefault="00FB5614">
            <w:pPr>
              <w:rPr>
                <w:sz w:val="20"/>
                <w:szCs w:val="20"/>
              </w:rPr>
            </w:pPr>
          </w:p>
        </w:tc>
      </w:tr>
      <w:tr w:rsidR="00FB5614" w:rsidTr="006D23DC">
        <w:tc>
          <w:tcPr>
            <w:tcW w:w="0" w:type="auto"/>
            <w:tcBorders>
              <w:left w:val="nil"/>
              <w:right w:val="nil"/>
            </w:tcBorders>
            <w:tcMar>
              <w:top w:w="15" w:type="dxa"/>
              <w:left w:w="360" w:type="dxa"/>
              <w:bottom w:w="15" w:type="dxa"/>
              <w:right w:w="15" w:type="dxa"/>
            </w:tcMar>
            <w:vAlign w:val="both"/>
            <w:hideMark/>
          </w:tcPr>
          <w:p w:rsidR="00FB5614" w:rsidP="006D23DC" w:rsidRDefault="00FB5614">
            <w:pPr>
              <w:ind w:firstLine="360" w:firstLineChars="200"/>
              <w:rPr>
                <w:rFonts w:ascii="Verdana" w:hAnsi="Verdana"/>
                <w:sz w:val="18"/>
                <w:szCs w:val="18"/>
              </w:rPr>
            </w:pPr>
            <w:r>
              <w:rPr>
                <w:rFonts w:ascii="Verdana" w:hAnsi="Verdana"/>
                <w:sz w:val="18"/>
                <w:szCs w:val="18"/>
              </w:rPr>
              <w:t>Reserve saneringssteun</w:t>
            </w:r>
          </w:p>
        </w:tc>
        <w:tc>
          <w:tcPr>
            <w:tcW w:w="0" w:type="auto"/>
            <w:gridSpan w:val="2"/>
            <w:tcBorders>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294,1</w:t>
            </w:r>
          </w:p>
        </w:tc>
      </w:tr>
      <w:tr w:rsidR="00FB5614" w:rsidTr="006D23DC">
        <w:tc>
          <w:tcPr>
            <w:tcW w:w="0" w:type="auto"/>
            <w:tcBorders>
              <w:left w:val="nil"/>
              <w:right w:val="nil"/>
            </w:tcBorders>
            <w:tcMar>
              <w:top w:w="15" w:type="dxa"/>
              <w:left w:w="360" w:type="dxa"/>
              <w:bottom w:w="15" w:type="dxa"/>
              <w:right w:w="15" w:type="dxa"/>
            </w:tcMar>
            <w:vAlign w:val="both"/>
            <w:hideMark/>
          </w:tcPr>
          <w:p w:rsidR="00FB5614" w:rsidP="006D23DC" w:rsidRDefault="00FB5614">
            <w:pPr>
              <w:ind w:firstLine="360" w:firstLineChars="200"/>
              <w:rPr>
                <w:rFonts w:ascii="Verdana" w:hAnsi="Verdana"/>
                <w:sz w:val="18"/>
                <w:szCs w:val="18"/>
              </w:rPr>
            </w:pPr>
            <w:r>
              <w:rPr>
                <w:rFonts w:ascii="Verdana" w:hAnsi="Verdana"/>
                <w:sz w:val="18"/>
                <w:szCs w:val="18"/>
              </w:rPr>
              <w:t xml:space="preserve">Saneringsbijdrage </w:t>
            </w:r>
            <w:proofErr w:type="spellStart"/>
            <w:r>
              <w:rPr>
                <w:rFonts w:ascii="Verdana" w:hAnsi="Verdana"/>
                <w:sz w:val="18"/>
                <w:szCs w:val="18"/>
              </w:rPr>
              <w:t>wsg</w:t>
            </w:r>
            <w:proofErr w:type="spellEnd"/>
          </w:p>
        </w:tc>
        <w:tc>
          <w:tcPr>
            <w:tcW w:w="0" w:type="auto"/>
            <w:gridSpan w:val="2"/>
            <w:tcBorders>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51,9</w:t>
            </w:r>
          </w:p>
        </w:tc>
      </w:tr>
      <w:tr w:rsidR="00FB5614" w:rsidTr="006D23DC">
        <w:tc>
          <w:tcPr>
            <w:tcW w:w="0" w:type="auto"/>
            <w:tcBorders>
              <w:left w:val="nil"/>
              <w:right w:val="nil"/>
            </w:tcBorders>
            <w:tcMar>
              <w:top w:w="15" w:type="dxa"/>
              <w:left w:w="360" w:type="dxa"/>
              <w:bottom w:w="15" w:type="dxa"/>
              <w:right w:w="15" w:type="dxa"/>
            </w:tcMar>
            <w:vAlign w:val="both"/>
            <w:hideMark/>
          </w:tcPr>
          <w:p w:rsidR="00FB5614" w:rsidP="006D23DC" w:rsidRDefault="00FB5614">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9,4</w:t>
            </w:r>
          </w:p>
        </w:tc>
      </w:tr>
      <w:tr w:rsidR="00FB5614" w:rsidTr="006D23DC">
        <w:tc>
          <w:tcPr>
            <w:tcW w:w="0" w:type="auto"/>
            <w:tcBorders>
              <w:left w:val="nil"/>
              <w:right w:val="nil"/>
            </w:tcBorders>
            <w:hideMark/>
          </w:tcPr>
          <w:p w:rsidR="00FB5614" w:rsidP="006D23DC" w:rsidRDefault="00FB5614">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355,4</w:t>
            </w:r>
          </w:p>
        </w:tc>
      </w:tr>
      <w:tr w:rsidR="00FB5614" w:rsidTr="006D23DC">
        <w:tc>
          <w:tcPr>
            <w:tcW w:w="0" w:type="auto"/>
            <w:tcBorders>
              <w:left w:val="nil"/>
              <w:right w:val="nil"/>
            </w:tcBorders>
            <w:hideMark/>
          </w:tcPr>
          <w:p w:rsidR="00FB5614" w:rsidP="006D23DC" w:rsidRDefault="00FB5614">
            <w:pPr>
              <w:rPr>
                <w:rFonts w:ascii="Verdana" w:hAnsi="Verdana"/>
                <w:sz w:val="18"/>
                <w:szCs w:val="18"/>
              </w:rPr>
            </w:pPr>
            <w:r>
              <w:rPr>
                <w:rFonts w:ascii="Verdana" w:hAnsi="Verdana"/>
                <w:sz w:val="18"/>
                <w:szCs w:val="18"/>
              </w:rPr>
              <w:t>Totaal mutaties sinds Miljoenennota 2016</w:t>
            </w:r>
          </w:p>
        </w:tc>
        <w:tc>
          <w:tcPr>
            <w:tcW w:w="0" w:type="auto"/>
            <w:gridSpan w:val="2"/>
            <w:tcBorders>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474,4</w:t>
            </w:r>
          </w:p>
        </w:tc>
      </w:tr>
      <w:tr w:rsidR="00FB5614" w:rsidTr="006D23DC">
        <w:tc>
          <w:tcPr>
            <w:tcW w:w="0" w:type="auto"/>
            <w:tcBorders>
              <w:left w:val="nil"/>
              <w:right w:val="nil"/>
            </w:tcBorders>
            <w:hideMark/>
          </w:tcPr>
          <w:p w:rsidR="00FB5614" w:rsidP="006D23DC" w:rsidRDefault="00FB5614">
            <w:pPr>
              <w:rPr>
                <w:rFonts w:ascii="Verdana" w:hAnsi="Verdana"/>
                <w:sz w:val="18"/>
                <w:szCs w:val="18"/>
              </w:rPr>
            </w:pPr>
            <w:r>
              <w:rPr>
                <w:rFonts w:ascii="Verdana" w:hAnsi="Verdana"/>
                <w:sz w:val="18"/>
                <w:szCs w:val="18"/>
              </w:rPr>
              <w:t> </w:t>
            </w:r>
          </w:p>
        </w:tc>
        <w:tc>
          <w:tcPr>
            <w:tcW w:w="0" w:type="auto"/>
            <w:gridSpan w:val="2"/>
            <w:hideMark/>
          </w:tcPr>
          <w:p w:rsidR="00FB5614" w:rsidP="006D23DC" w:rsidRDefault="00FB5614">
            <w:pPr>
              <w:rPr>
                <w:sz w:val="20"/>
                <w:szCs w:val="20"/>
              </w:rPr>
            </w:pPr>
          </w:p>
        </w:tc>
      </w:tr>
      <w:tr w:rsidR="00FB5614" w:rsidTr="006D23DC">
        <w:tc>
          <w:tcPr>
            <w:tcW w:w="0" w:type="auto"/>
            <w:tcBorders>
              <w:left w:val="nil"/>
              <w:right w:val="nil"/>
            </w:tcBorders>
            <w:hideMark/>
          </w:tcPr>
          <w:p w:rsidR="00FB5614" w:rsidP="006D23DC" w:rsidRDefault="00FB5614">
            <w:pPr>
              <w:rPr>
                <w:rFonts w:ascii="Verdana" w:hAnsi="Verdana"/>
                <w:sz w:val="18"/>
                <w:szCs w:val="18"/>
              </w:rPr>
            </w:pPr>
            <w:r>
              <w:rPr>
                <w:rFonts w:ascii="Verdana" w:hAnsi="Verdana"/>
                <w:sz w:val="18"/>
                <w:szCs w:val="18"/>
              </w:rPr>
              <w:t>Stand Najaarsnota 2015 (subtotaal)</w:t>
            </w:r>
          </w:p>
        </w:tc>
        <w:tc>
          <w:tcPr>
            <w:tcW w:w="0" w:type="auto"/>
            <w:gridSpan w:val="2"/>
            <w:tcBorders>
              <w:top w:val="single" w:color="000000" w:sz="6" w:space="0"/>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4.362,6</w:t>
            </w:r>
          </w:p>
        </w:tc>
      </w:tr>
      <w:tr w:rsidR="00FB5614" w:rsidTr="006D23DC">
        <w:tc>
          <w:tcPr>
            <w:tcW w:w="0" w:type="auto"/>
            <w:tcBorders>
              <w:left w:val="nil"/>
              <w:right w:val="nil"/>
            </w:tcBorders>
            <w:hideMark/>
          </w:tcPr>
          <w:p w:rsidR="00FB5614" w:rsidP="006D23DC" w:rsidRDefault="00FB5614">
            <w:pPr>
              <w:rPr>
                <w:rFonts w:ascii="Verdana" w:hAnsi="Verdana"/>
                <w:sz w:val="18"/>
                <w:szCs w:val="18"/>
              </w:rPr>
            </w:pPr>
            <w:r>
              <w:rPr>
                <w:rFonts w:ascii="Verdana" w:hAnsi="Verdana"/>
                <w:sz w:val="18"/>
                <w:szCs w:val="18"/>
              </w:rPr>
              <w:t>Totaal Internationale samenwerking</w:t>
            </w:r>
          </w:p>
        </w:tc>
        <w:tc>
          <w:tcPr>
            <w:tcW w:w="0" w:type="auto"/>
            <w:gridSpan w:val="2"/>
            <w:tcBorders>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0,0</w:t>
            </w:r>
          </w:p>
        </w:tc>
      </w:tr>
      <w:tr w:rsidR="00FB5614" w:rsidTr="006D23DC">
        <w:tc>
          <w:tcPr>
            <w:tcW w:w="0" w:type="auto"/>
            <w:tcBorders>
              <w:left w:val="nil"/>
              <w:right w:val="nil"/>
            </w:tcBorders>
            <w:hideMark/>
          </w:tcPr>
          <w:p w:rsidR="00FB5614" w:rsidP="006D23DC" w:rsidRDefault="00FB5614">
            <w:pPr>
              <w:rPr>
                <w:rFonts w:ascii="Verdana" w:hAnsi="Verdana"/>
                <w:sz w:val="18"/>
                <w:szCs w:val="18"/>
              </w:rPr>
            </w:pPr>
            <w:r>
              <w:rPr>
                <w:rFonts w:ascii="Verdana" w:hAnsi="Verdana"/>
                <w:sz w:val="18"/>
                <w:szCs w:val="18"/>
              </w:rPr>
              <w:t>Stand Najaarsnota 2015</w:t>
            </w:r>
          </w:p>
        </w:tc>
        <w:tc>
          <w:tcPr>
            <w:tcW w:w="0" w:type="auto"/>
            <w:gridSpan w:val="2"/>
            <w:tcBorders>
              <w:top w:val="single" w:color="000000" w:sz="6" w:space="0"/>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4.362,6</w:t>
            </w:r>
          </w:p>
        </w:tc>
      </w:tr>
      <w:tr w:rsidR="00FB5614" w:rsidTr="00FB5614">
        <w:tc>
          <w:tcPr>
            <w:tcW w:w="8242" w:type="dxa"/>
            <w:gridSpan w:val="2"/>
            <w:tcBorders>
              <w:left w:val="nil"/>
              <w:right w:val="nil"/>
            </w:tcBorders>
            <w:hideMark/>
          </w:tcPr>
          <w:p w:rsidR="00FB5614" w:rsidP="006D23DC" w:rsidRDefault="00FB5614">
            <w:pPr>
              <w:rPr>
                <w:rFonts w:ascii="Verdana" w:hAnsi="Verdana"/>
                <w:sz w:val="18"/>
                <w:szCs w:val="18"/>
              </w:rPr>
            </w:pPr>
            <w:r>
              <w:rPr>
                <w:rFonts w:ascii="Verdana" w:hAnsi="Verdana"/>
                <w:sz w:val="18"/>
                <w:szCs w:val="18"/>
              </w:rPr>
              <w:t> </w:t>
            </w:r>
          </w:p>
        </w:tc>
        <w:tc>
          <w:tcPr>
            <w:tcW w:w="860" w:type="dxa"/>
            <w:tcBorders>
              <w:left w:val="nil"/>
              <w:right w:val="nil"/>
            </w:tcBorders>
            <w:hideMark/>
          </w:tcPr>
          <w:p w:rsidR="00FB5614" w:rsidP="006D23DC" w:rsidRDefault="00FB5614">
            <w:pPr>
              <w:rPr>
                <w:rFonts w:ascii="Verdana" w:hAnsi="Verdana"/>
                <w:sz w:val="18"/>
                <w:szCs w:val="18"/>
              </w:rPr>
            </w:pPr>
            <w:r>
              <w:rPr>
                <w:rFonts w:ascii="Verdana" w:hAnsi="Verdana"/>
                <w:sz w:val="18"/>
                <w:szCs w:val="18"/>
              </w:rPr>
              <w:t> </w:t>
            </w:r>
          </w:p>
        </w:tc>
      </w:tr>
      <w:tr w:rsidR="00FB5614" w:rsidTr="006D23DC">
        <w:tc>
          <w:tcPr>
            <w:tcW w:w="0" w:type="auto"/>
            <w:gridSpan w:val="2"/>
            <w:tcBorders>
              <w:left w:val="nil"/>
              <w:right w:val="nil"/>
            </w:tcBorders>
            <w:hideMark/>
          </w:tcPr>
          <w:p w:rsidR="00FB5614" w:rsidP="006D23DC" w:rsidRDefault="00FB5614">
            <w:pPr>
              <w:rPr>
                <w:rFonts w:ascii="Verdana" w:hAnsi="Verdana"/>
                <w:sz w:val="18"/>
                <w:szCs w:val="18"/>
              </w:rPr>
            </w:pPr>
            <w:r>
              <w:rPr>
                <w:rFonts w:ascii="Verdana" w:hAnsi="Verdana"/>
                <w:sz w:val="18"/>
                <w:szCs w:val="18"/>
              </w:rPr>
              <w:t>XVIII WONEN &amp; RIJKSDIENST: NIET-BELASTINGONTVANGSTEN</w:t>
            </w:r>
          </w:p>
        </w:tc>
        <w:tc>
          <w:tcPr>
            <w:tcW w:w="0" w:type="auto"/>
            <w:hideMark/>
          </w:tcPr>
          <w:p w:rsidR="00FB5614" w:rsidP="006D23DC" w:rsidRDefault="00FB5614">
            <w:pPr>
              <w:rPr>
                <w:sz w:val="20"/>
                <w:szCs w:val="20"/>
              </w:rPr>
            </w:pPr>
          </w:p>
        </w:tc>
      </w:tr>
      <w:tr w:rsidR="00FB5614" w:rsidTr="006D23DC">
        <w:tc>
          <w:tcPr>
            <w:tcW w:w="0" w:type="auto"/>
            <w:gridSpan w:val="2"/>
            <w:tcBorders>
              <w:top w:val="single" w:color="000000" w:sz="6" w:space="0"/>
              <w:left w:val="nil"/>
              <w:bottom w:val="single" w:color="000000" w:sz="6" w:space="0"/>
              <w:right w:val="nil"/>
            </w:tcBorders>
            <w:hideMark/>
          </w:tcPr>
          <w:p w:rsidR="00FB5614" w:rsidP="006D23DC" w:rsidRDefault="00FB5614">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FB5614" w:rsidP="006D23DC" w:rsidRDefault="00FB5614">
            <w:pPr>
              <w:jc w:val="right"/>
              <w:rPr>
                <w:rFonts w:ascii="Verdana" w:hAnsi="Verdana"/>
                <w:sz w:val="18"/>
                <w:szCs w:val="18"/>
              </w:rPr>
            </w:pPr>
            <w:r>
              <w:rPr>
                <w:rFonts w:ascii="Verdana" w:hAnsi="Verdana"/>
                <w:sz w:val="18"/>
                <w:szCs w:val="18"/>
              </w:rPr>
              <w:t>2015</w:t>
            </w:r>
          </w:p>
        </w:tc>
      </w:tr>
      <w:tr w:rsidR="00FB5614" w:rsidTr="006D23DC">
        <w:tc>
          <w:tcPr>
            <w:tcW w:w="0" w:type="auto"/>
            <w:gridSpan w:val="2"/>
            <w:tcBorders>
              <w:left w:val="nil"/>
              <w:right w:val="nil"/>
            </w:tcBorders>
            <w:hideMark/>
          </w:tcPr>
          <w:p w:rsidR="00FB5614" w:rsidP="006D23DC" w:rsidRDefault="00FB5614">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603,0</w:t>
            </w:r>
          </w:p>
        </w:tc>
      </w:tr>
      <w:tr w:rsidR="00FB5614" w:rsidTr="006D23DC">
        <w:tc>
          <w:tcPr>
            <w:tcW w:w="0" w:type="auto"/>
            <w:gridSpan w:val="2"/>
            <w:tcBorders>
              <w:left w:val="nil"/>
              <w:right w:val="nil"/>
            </w:tcBorders>
            <w:hideMark/>
          </w:tcPr>
          <w:p w:rsidR="00FB5614" w:rsidP="006D23DC" w:rsidRDefault="00FB5614">
            <w:pPr>
              <w:rPr>
                <w:rFonts w:ascii="Verdana" w:hAnsi="Verdana"/>
                <w:sz w:val="18"/>
                <w:szCs w:val="18"/>
              </w:rPr>
            </w:pPr>
            <w:r>
              <w:rPr>
                <w:rFonts w:ascii="Verdana" w:hAnsi="Verdana"/>
                <w:sz w:val="18"/>
                <w:szCs w:val="18"/>
              </w:rPr>
              <w:t>Mee- en tegenvallers</w:t>
            </w:r>
          </w:p>
        </w:tc>
        <w:tc>
          <w:tcPr>
            <w:tcW w:w="0" w:type="auto"/>
            <w:hideMark/>
          </w:tcPr>
          <w:p w:rsidR="00FB5614" w:rsidP="006D23DC" w:rsidRDefault="00FB5614">
            <w:pPr>
              <w:rPr>
                <w:sz w:val="20"/>
                <w:szCs w:val="20"/>
              </w:rPr>
            </w:pPr>
          </w:p>
        </w:tc>
      </w:tr>
      <w:tr w:rsidR="00FB5614" w:rsidTr="006D23DC">
        <w:tc>
          <w:tcPr>
            <w:tcW w:w="0" w:type="auto"/>
            <w:gridSpan w:val="2"/>
            <w:tcBorders>
              <w:left w:val="nil"/>
              <w:right w:val="nil"/>
            </w:tcBorders>
            <w:tcMar>
              <w:top w:w="15" w:type="dxa"/>
              <w:left w:w="180" w:type="dxa"/>
              <w:bottom w:w="15" w:type="dxa"/>
              <w:right w:w="15" w:type="dxa"/>
            </w:tcMar>
            <w:vAlign w:val="both"/>
            <w:hideMark/>
          </w:tcPr>
          <w:p w:rsidR="00FB5614" w:rsidP="006D23DC" w:rsidRDefault="00FB5614">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FB5614" w:rsidP="006D23DC" w:rsidRDefault="00FB5614">
            <w:pPr>
              <w:rPr>
                <w:sz w:val="20"/>
                <w:szCs w:val="20"/>
              </w:rPr>
            </w:pPr>
          </w:p>
        </w:tc>
      </w:tr>
      <w:tr w:rsidR="00FB5614" w:rsidTr="006D23DC">
        <w:tc>
          <w:tcPr>
            <w:tcW w:w="0" w:type="auto"/>
            <w:gridSpan w:val="2"/>
            <w:tcBorders>
              <w:left w:val="nil"/>
              <w:right w:val="nil"/>
            </w:tcBorders>
            <w:tcMar>
              <w:top w:w="15" w:type="dxa"/>
              <w:left w:w="360" w:type="dxa"/>
              <w:bottom w:w="15" w:type="dxa"/>
              <w:right w:w="15" w:type="dxa"/>
            </w:tcMar>
            <w:vAlign w:val="both"/>
            <w:hideMark/>
          </w:tcPr>
          <w:p w:rsidR="00FB5614" w:rsidP="006D23DC" w:rsidRDefault="00FB5614">
            <w:pPr>
              <w:ind w:firstLine="360" w:firstLineChars="200"/>
              <w:rPr>
                <w:rFonts w:ascii="Verdana" w:hAnsi="Verdana"/>
                <w:sz w:val="18"/>
                <w:szCs w:val="18"/>
              </w:rPr>
            </w:pPr>
            <w:r>
              <w:rPr>
                <w:rFonts w:ascii="Verdana" w:hAnsi="Verdana"/>
                <w:sz w:val="18"/>
                <w:szCs w:val="18"/>
              </w:rPr>
              <w:t>Ontvangsten huurtoeslag 2015</w:t>
            </w:r>
          </w:p>
        </w:tc>
        <w:tc>
          <w:tcPr>
            <w:tcW w:w="0" w:type="auto"/>
            <w:tcBorders>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44,0</w:t>
            </w:r>
          </w:p>
        </w:tc>
      </w:tr>
      <w:tr w:rsidR="00FB5614" w:rsidTr="006D23DC">
        <w:tc>
          <w:tcPr>
            <w:tcW w:w="0" w:type="auto"/>
            <w:gridSpan w:val="2"/>
            <w:tcBorders>
              <w:left w:val="nil"/>
              <w:right w:val="nil"/>
            </w:tcBorders>
            <w:tcMar>
              <w:top w:w="15" w:type="dxa"/>
              <w:left w:w="360" w:type="dxa"/>
              <w:bottom w:w="15" w:type="dxa"/>
              <w:right w:w="15" w:type="dxa"/>
            </w:tcMar>
            <w:vAlign w:val="both"/>
            <w:hideMark/>
          </w:tcPr>
          <w:p w:rsidR="00FB5614" w:rsidP="006D23DC" w:rsidRDefault="00FB5614">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-1,0</w:t>
            </w:r>
          </w:p>
        </w:tc>
      </w:tr>
      <w:tr w:rsidR="00FB5614" w:rsidTr="006D23DC">
        <w:tc>
          <w:tcPr>
            <w:tcW w:w="0" w:type="auto"/>
            <w:gridSpan w:val="2"/>
            <w:tcBorders>
              <w:left w:val="nil"/>
              <w:right w:val="nil"/>
            </w:tcBorders>
            <w:hideMark/>
          </w:tcPr>
          <w:p w:rsidR="00FB5614" w:rsidP="006D23DC" w:rsidRDefault="00FB5614">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43,0</w:t>
            </w:r>
          </w:p>
        </w:tc>
      </w:tr>
      <w:tr w:rsidR="00FB5614" w:rsidTr="006D23DC">
        <w:tc>
          <w:tcPr>
            <w:tcW w:w="0" w:type="auto"/>
            <w:gridSpan w:val="2"/>
            <w:tcBorders>
              <w:left w:val="nil"/>
              <w:right w:val="nil"/>
            </w:tcBorders>
            <w:hideMark/>
          </w:tcPr>
          <w:p w:rsidR="00FB5614" w:rsidP="006D23DC" w:rsidRDefault="00FB5614">
            <w:pPr>
              <w:rPr>
                <w:rFonts w:ascii="Verdana" w:hAnsi="Verdana"/>
                <w:sz w:val="18"/>
                <w:szCs w:val="18"/>
              </w:rPr>
            </w:pPr>
            <w:r>
              <w:rPr>
                <w:rFonts w:ascii="Verdana" w:hAnsi="Verdana"/>
                <w:sz w:val="18"/>
                <w:szCs w:val="18"/>
              </w:rPr>
              <w:t>Technische mutaties</w:t>
            </w:r>
          </w:p>
        </w:tc>
        <w:tc>
          <w:tcPr>
            <w:tcW w:w="0" w:type="auto"/>
            <w:hideMark/>
          </w:tcPr>
          <w:p w:rsidR="00FB5614" w:rsidP="006D23DC" w:rsidRDefault="00FB5614">
            <w:pPr>
              <w:rPr>
                <w:sz w:val="20"/>
                <w:szCs w:val="20"/>
              </w:rPr>
            </w:pPr>
          </w:p>
        </w:tc>
      </w:tr>
      <w:tr w:rsidR="00FB5614" w:rsidTr="006D23DC">
        <w:tc>
          <w:tcPr>
            <w:tcW w:w="0" w:type="auto"/>
            <w:gridSpan w:val="2"/>
            <w:tcBorders>
              <w:left w:val="nil"/>
              <w:right w:val="nil"/>
            </w:tcBorders>
            <w:tcMar>
              <w:top w:w="15" w:type="dxa"/>
              <w:left w:w="180" w:type="dxa"/>
              <w:bottom w:w="15" w:type="dxa"/>
              <w:right w:w="15" w:type="dxa"/>
            </w:tcMar>
            <w:vAlign w:val="both"/>
            <w:hideMark/>
          </w:tcPr>
          <w:p w:rsidR="00FB5614" w:rsidP="006D23DC" w:rsidRDefault="00FB5614">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FB5614" w:rsidP="006D23DC" w:rsidRDefault="00FB5614">
            <w:pPr>
              <w:rPr>
                <w:sz w:val="20"/>
                <w:szCs w:val="20"/>
              </w:rPr>
            </w:pPr>
          </w:p>
        </w:tc>
      </w:tr>
      <w:tr w:rsidR="00FB5614" w:rsidTr="006D23DC">
        <w:tc>
          <w:tcPr>
            <w:tcW w:w="0" w:type="auto"/>
            <w:gridSpan w:val="2"/>
            <w:tcBorders>
              <w:left w:val="nil"/>
              <w:right w:val="nil"/>
            </w:tcBorders>
            <w:tcMar>
              <w:top w:w="15" w:type="dxa"/>
              <w:left w:w="360" w:type="dxa"/>
              <w:bottom w:w="15" w:type="dxa"/>
              <w:right w:w="15" w:type="dxa"/>
            </w:tcMar>
            <w:vAlign w:val="both"/>
            <w:hideMark/>
          </w:tcPr>
          <w:p w:rsidR="00FB5614" w:rsidP="006D23DC" w:rsidRDefault="00FB5614">
            <w:pPr>
              <w:ind w:firstLine="360" w:firstLineChars="200"/>
              <w:rPr>
                <w:rFonts w:ascii="Verdana" w:hAnsi="Verdana"/>
                <w:sz w:val="18"/>
                <w:szCs w:val="18"/>
              </w:rPr>
            </w:pPr>
            <w:r>
              <w:rPr>
                <w:rFonts w:ascii="Verdana" w:hAnsi="Verdana"/>
                <w:sz w:val="18"/>
                <w:szCs w:val="18"/>
              </w:rPr>
              <w:t>Reserve saneringssteun</w:t>
            </w:r>
          </w:p>
        </w:tc>
        <w:tc>
          <w:tcPr>
            <w:tcW w:w="0" w:type="auto"/>
            <w:tcBorders>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294,1</w:t>
            </w:r>
          </w:p>
        </w:tc>
      </w:tr>
      <w:tr w:rsidR="00FB5614" w:rsidTr="006D23DC">
        <w:tc>
          <w:tcPr>
            <w:tcW w:w="0" w:type="auto"/>
            <w:gridSpan w:val="2"/>
            <w:tcBorders>
              <w:left w:val="nil"/>
              <w:right w:val="nil"/>
            </w:tcBorders>
            <w:tcMar>
              <w:top w:w="15" w:type="dxa"/>
              <w:left w:w="360" w:type="dxa"/>
              <w:bottom w:w="15" w:type="dxa"/>
              <w:right w:w="15" w:type="dxa"/>
            </w:tcMar>
            <w:vAlign w:val="both"/>
            <w:hideMark/>
          </w:tcPr>
          <w:p w:rsidR="00FB5614" w:rsidP="006D23DC" w:rsidRDefault="00FB5614">
            <w:pPr>
              <w:ind w:firstLine="360" w:firstLineChars="200"/>
              <w:rPr>
                <w:rFonts w:ascii="Verdana" w:hAnsi="Verdana"/>
                <w:sz w:val="18"/>
                <w:szCs w:val="18"/>
              </w:rPr>
            </w:pPr>
            <w:r>
              <w:rPr>
                <w:rFonts w:ascii="Verdana" w:hAnsi="Verdana"/>
                <w:sz w:val="18"/>
                <w:szCs w:val="18"/>
              </w:rPr>
              <w:t xml:space="preserve">Saneringsbijdrage </w:t>
            </w:r>
            <w:proofErr w:type="spellStart"/>
            <w:r>
              <w:rPr>
                <w:rFonts w:ascii="Verdana" w:hAnsi="Verdana"/>
                <w:sz w:val="18"/>
                <w:szCs w:val="18"/>
              </w:rPr>
              <w:t>wsg</w:t>
            </w:r>
            <w:proofErr w:type="spellEnd"/>
          </w:p>
        </w:tc>
        <w:tc>
          <w:tcPr>
            <w:tcW w:w="0" w:type="auto"/>
            <w:tcBorders>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51,9</w:t>
            </w:r>
          </w:p>
        </w:tc>
      </w:tr>
      <w:tr w:rsidR="00FB5614" w:rsidTr="006D23DC">
        <w:tc>
          <w:tcPr>
            <w:tcW w:w="0" w:type="auto"/>
            <w:gridSpan w:val="2"/>
            <w:tcBorders>
              <w:left w:val="nil"/>
              <w:right w:val="nil"/>
            </w:tcBorders>
            <w:tcMar>
              <w:top w:w="15" w:type="dxa"/>
              <w:left w:w="360" w:type="dxa"/>
              <w:bottom w:w="15" w:type="dxa"/>
              <w:right w:w="15" w:type="dxa"/>
            </w:tcMar>
            <w:vAlign w:val="both"/>
            <w:hideMark/>
          </w:tcPr>
          <w:p w:rsidR="00FB5614" w:rsidP="006D23DC" w:rsidRDefault="00FB5614">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-2,5</w:t>
            </w:r>
          </w:p>
        </w:tc>
      </w:tr>
      <w:tr w:rsidR="00FB5614" w:rsidTr="006D23DC">
        <w:tc>
          <w:tcPr>
            <w:tcW w:w="0" w:type="auto"/>
            <w:gridSpan w:val="2"/>
            <w:tcBorders>
              <w:left w:val="nil"/>
              <w:right w:val="nil"/>
            </w:tcBorders>
            <w:hideMark/>
          </w:tcPr>
          <w:p w:rsidR="00FB5614" w:rsidP="006D23DC" w:rsidRDefault="00FB5614">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343,5</w:t>
            </w:r>
          </w:p>
        </w:tc>
      </w:tr>
      <w:tr w:rsidR="00FB5614" w:rsidTr="006D23DC">
        <w:tc>
          <w:tcPr>
            <w:tcW w:w="0" w:type="auto"/>
            <w:gridSpan w:val="2"/>
            <w:tcBorders>
              <w:left w:val="nil"/>
              <w:right w:val="nil"/>
            </w:tcBorders>
            <w:hideMark/>
          </w:tcPr>
          <w:p w:rsidR="00FB5614" w:rsidP="006D23DC" w:rsidRDefault="00FB5614">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386,4</w:t>
            </w:r>
          </w:p>
        </w:tc>
      </w:tr>
      <w:tr w:rsidR="00FB5614" w:rsidTr="006D23DC">
        <w:tc>
          <w:tcPr>
            <w:tcW w:w="0" w:type="auto"/>
            <w:gridSpan w:val="2"/>
            <w:tcBorders>
              <w:left w:val="nil"/>
              <w:right w:val="nil"/>
            </w:tcBorders>
            <w:hideMark/>
          </w:tcPr>
          <w:p w:rsidR="00FB5614" w:rsidP="006D23DC" w:rsidRDefault="00FB5614">
            <w:pPr>
              <w:rPr>
                <w:rFonts w:ascii="Verdana" w:hAnsi="Verdana"/>
                <w:sz w:val="18"/>
                <w:szCs w:val="18"/>
              </w:rPr>
            </w:pPr>
            <w:r>
              <w:rPr>
                <w:rFonts w:ascii="Verdana" w:hAnsi="Verdana"/>
                <w:sz w:val="18"/>
                <w:szCs w:val="18"/>
              </w:rPr>
              <w:t> </w:t>
            </w:r>
          </w:p>
        </w:tc>
        <w:tc>
          <w:tcPr>
            <w:tcW w:w="0" w:type="auto"/>
            <w:hideMark/>
          </w:tcPr>
          <w:p w:rsidR="00FB5614" w:rsidP="006D23DC" w:rsidRDefault="00FB5614">
            <w:pPr>
              <w:rPr>
                <w:sz w:val="20"/>
                <w:szCs w:val="20"/>
              </w:rPr>
            </w:pPr>
          </w:p>
        </w:tc>
      </w:tr>
      <w:tr w:rsidR="00FB5614" w:rsidTr="006D23DC">
        <w:tc>
          <w:tcPr>
            <w:tcW w:w="0" w:type="auto"/>
            <w:gridSpan w:val="2"/>
            <w:tcBorders>
              <w:left w:val="nil"/>
              <w:right w:val="nil"/>
            </w:tcBorders>
            <w:hideMark/>
          </w:tcPr>
          <w:p w:rsidR="00FB5614" w:rsidP="006D23DC" w:rsidRDefault="00FB5614">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989,4</w:t>
            </w:r>
          </w:p>
        </w:tc>
      </w:tr>
      <w:tr w:rsidR="00FB5614" w:rsidTr="006D23DC">
        <w:tc>
          <w:tcPr>
            <w:tcW w:w="0" w:type="auto"/>
            <w:gridSpan w:val="2"/>
            <w:tcBorders>
              <w:left w:val="nil"/>
              <w:right w:val="nil"/>
            </w:tcBorders>
            <w:hideMark/>
          </w:tcPr>
          <w:p w:rsidR="00FB5614" w:rsidP="006D23DC" w:rsidRDefault="00FB5614">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0,0</w:t>
            </w:r>
          </w:p>
        </w:tc>
      </w:tr>
      <w:tr w:rsidR="00FB5614" w:rsidTr="006D23DC">
        <w:tc>
          <w:tcPr>
            <w:tcW w:w="0" w:type="auto"/>
            <w:gridSpan w:val="2"/>
            <w:tcBorders>
              <w:left w:val="nil"/>
              <w:right w:val="nil"/>
            </w:tcBorders>
            <w:hideMark/>
          </w:tcPr>
          <w:p w:rsidR="00FB5614" w:rsidP="006D23DC" w:rsidRDefault="00FB5614">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FB5614" w:rsidP="006D23DC" w:rsidRDefault="00FB5614">
            <w:pPr>
              <w:jc w:val="right"/>
              <w:rPr>
                <w:rFonts w:ascii="Verdana" w:hAnsi="Verdana"/>
                <w:sz w:val="18"/>
                <w:szCs w:val="18"/>
              </w:rPr>
            </w:pPr>
            <w:r>
              <w:rPr>
                <w:rFonts w:ascii="Verdana" w:hAnsi="Verdana"/>
                <w:sz w:val="18"/>
                <w:szCs w:val="18"/>
              </w:rPr>
              <w:t>989,4</w:t>
            </w:r>
          </w:p>
        </w:tc>
      </w:tr>
    </w:tbl>
    <w:p w:rsidR="00FB5614" w:rsidRDefault="00FB5614">
      <w:pPr>
        <w:rPr>
          <w:rFonts w:ascii="Verdana" w:hAnsi="Verdana" w:cs="Verdana"/>
          <w:b/>
          <w:bCs/>
          <w:sz w:val="18"/>
          <w:szCs w:val="18"/>
        </w:rPr>
      </w:pPr>
    </w:p>
    <w:p w:rsidRPr="00FC3A34" w:rsidR="00FC3A34" w:rsidP="00FC3A34" w:rsidRDefault="00FC3A34">
      <w:pPr>
        <w:spacing w:line="240" w:lineRule="exact"/>
        <w:rPr>
          <w:rFonts w:ascii="Verdana" w:hAnsi="Verdana" w:cs="Verdana"/>
          <w:b/>
          <w:bCs/>
          <w:sz w:val="18"/>
          <w:szCs w:val="18"/>
        </w:rPr>
      </w:pPr>
    </w:p>
    <w:p w:rsidRPr="00FC3A34" w:rsidR="00FC3A34" w:rsidP="00FC3A34" w:rsidRDefault="00FC3A34">
      <w:pPr>
        <w:spacing w:line="240" w:lineRule="exact"/>
        <w:rPr>
          <w:rFonts w:ascii="Verdana" w:hAnsi="Verdana"/>
          <w:i/>
          <w:sz w:val="18"/>
          <w:szCs w:val="18"/>
        </w:rPr>
      </w:pPr>
      <w:r w:rsidRPr="00FC3A34">
        <w:rPr>
          <w:rFonts w:ascii="Verdana" w:hAnsi="Verdana"/>
          <w:i/>
          <w:sz w:val="18"/>
          <w:szCs w:val="18"/>
        </w:rPr>
        <w:t>Huurtoeslag 2015 (uitgaven en niet-belastingontvangsten)</w:t>
      </w:r>
    </w:p>
    <w:p w:rsidRPr="00FC3A34" w:rsidR="00FC3A34" w:rsidP="00FC3A34" w:rsidRDefault="00FC3A34">
      <w:pPr>
        <w:spacing w:line="240" w:lineRule="exact"/>
        <w:rPr>
          <w:rFonts w:ascii="Verdana" w:hAnsi="Verdana"/>
          <w:sz w:val="18"/>
          <w:szCs w:val="18"/>
        </w:rPr>
      </w:pPr>
      <w:r w:rsidRPr="00FC3A34">
        <w:rPr>
          <w:rFonts w:ascii="Verdana" w:hAnsi="Verdana"/>
          <w:sz w:val="18"/>
          <w:szCs w:val="18"/>
        </w:rPr>
        <w:t>Bij de Huurtoeslag is op basis van de huidige verwachtingen in 2015 per saldo sprake van een overschrijding. De uitgaven aan voorschotten liggen hoger door een hoger aantal aanvragen dan geraamd. De ontvangsten liggen hoger door een snellere vaststelling van de definitieve bijdragen dan verwacht, waardoor er in de loop van het jaar meer vorderingen zijn ingesteld. De definitieve hoogte van de overschrijding zal blijken bij Slotwet. Het tekort wordt betrokken bij de besluitvorming over de begroting 2017.</w:t>
      </w:r>
    </w:p>
    <w:p w:rsidR="00FC3A34" w:rsidP="00FC3A34" w:rsidRDefault="00FC3A34">
      <w:pPr>
        <w:spacing w:line="240" w:lineRule="exact"/>
        <w:rPr>
          <w:rFonts w:ascii="Verdana" w:hAnsi="Verdana"/>
          <w:i/>
          <w:sz w:val="18"/>
          <w:szCs w:val="18"/>
        </w:rPr>
      </w:pPr>
    </w:p>
    <w:p w:rsidR="00FC3A34" w:rsidP="00FC3A34" w:rsidRDefault="00FC3A34">
      <w:pPr>
        <w:spacing w:line="240" w:lineRule="exact"/>
        <w:rPr>
          <w:rFonts w:ascii="Verdana" w:hAnsi="Verdana"/>
          <w:i/>
          <w:sz w:val="18"/>
          <w:szCs w:val="18"/>
        </w:rPr>
      </w:pPr>
    </w:p>
    <w:p w:rsidR="00FC3A34" w:rsidP="00FC3A34" w:rsidRDefault="00FC3A34">
      <w:pPr>
        <w:spacing w:line="240" w:lineRule="exact"/>
        <w:rPr>
          <w:rFonts w:ascii="Verdana" w:hAnsi="Verdana"/>
          <w:i/>
          <w:sz w:val="18"/>
          <w:szCs w:val="18"/>
        </w:rPr>
      </w:pPr>
    </w:p>
    <w:p w:rsidRPr="00FC3A34" w:rsidR="00FC3A34" w:rsidP="00FC3A34" w:rsidRDefault="00FC3A34">
      <w:pPr>
        <w:spacing w:line="240" w:lineRule="exact"/>
        <w:rPr>
          <w:rFonts w:ascii="Verdana" w:hAnsi="Verdana"/>
          <w:i/>
          <w:sz w:val="18"/>
          <w:szCs w:val="18"/>
        </w:rPr>
      </w:pPr>
      <w:r w:rsidRPr="00FC3A34">
        <w:rPr>
          <w:rFonts w:ascii="Verdana" w:hAnsi="Verdana"/>
          <w:i/>
          <w:sz w:val="18"/>
          <w:szCs w:val="18"/>
        </w:rPr>
        <w:lastRenderedPageBreak/>
        <w:t>Kasschuif RFE III</w:t>
      </w:r>
    </w:p>
    <w:p w:rsidRPr="00FC3A34" w:rsidR="00FC3A34" w:rsidP="00FC3A34" w:rsidRDefault="00FC3A34">
      <w:pPr>
        <w:spacing w:line="240" w:lineRule="exact"/>
        <w:rPr>
          <w:rFonts w:ascii="Verdana" w:hAnsi="Verdana"/>
          <w:sz w:val="18"/>
          <w:szCs w:val="18"/>
        </w:rPr>
      </w:pPr>
      <w:r w:rsidRPr="00FC3A34">
        <w:rPr>
          <w:rFonts w:ascii="Verdana" w:hAnsi="Verdana"/>
          <w:sz w:val="18"/>
          <w:szCs w:val="18"/>
        </w:rPr>
        <w:t xml:space="preserve">Het </w:t>
      </w:r>
      <w:proofErr w:type="spellStart"/>
      <w:r w:rsidRPr="00FC3A34">
        <w:rPr>
          <w:rFonts w:ascii="Verdana" w:hAnsi="Verdana"/>
          <w:sz w:val="18"/>
          <w:szCs w:val="18"/>
        </w:rPr>
        <w:t>Revolverend</w:t>
      </w:r>
      <w:proofErr w:type="spellEnd"/>
      <w:r w:rsidRPr="00FC3A34">
        <w:rPr>
          <w:rFonts w:ascii="Verdana" w:hAnsi="Verdana"/>
          <w:sz w:val="18"/>
          <w:szCs w:val="18"/>
        </w:rPr>
        <w:t xml:space="preserve"> Fonds Energiebesparing III voor Verenigingen van Eigenaren gaat in 2015 niet meer van start. De beschikbare middelen uit 2015 worden doorgeschoven naar 2016. In het voorjaar wordt nader bezien of deze middelen eventueel (deels) kunnen worden ingezet voor een mogelijk op te richten fonds funderingsherstel.  </w:t>
      </w:r>
    </w:p>
    <w:p w:rsidRPr="00FC3A34" w:rsidR="00FC3A34" w:rsidP="00FC3A34" w:rsidRDefault="00FC3A34">
      <w:pPr>
        <w:spacing w:line="240" w:lineRule="exact"/>
        <w:rPr>
          <w:rFonts w:ascii="Verdana" w:hAnsi="Verdana"/>
          <w:sz w:val="18"/>
          <w:szCs w:val="18"/>
        </w:rPr>
      </w:pPr>
    </w:p>
    <w:p w:rsidRPr="00FC3A34" w:rsidR="00FC3A34" w:rsidP="00FC3A34" w:rsidRDefault="00FC3A34">
      <w:pPr>
        <w:spacing w:line="240" w:lineRule="exact"/>
        <w:rPr>
          <w:rFonts w:ascii="Verdana" w:hAnsi="Verdana"/>
          <w:i/>
          <w:sz w:val="18"/>
          <w:szCs w:val="18"/>
        </w:rPr>
      </w:pPr>
      <w:r w:rsidRPr="00FC3A34">
        <w:rPr>
          <w:rFonts w:ascii="Verdana" w:hAnsi="Verdana"/>
          <w:i/>
          <w:sz w:val="18"/>
          <w:szCs w:val="18"/>
        </w:rPr>
        <w:t xml:space="preserve">Begrotingsreserve </w:t>
      </w:r>
      <w:proofErr w:type="spellStart"/>
      <w:r w:rsidRPr="00FC3A34">
        <w:rPr>
          <w:rFonts w:ascii="Verdana" w:hAnsi="Verdana"/>
          <w:i/>
          <w:sz w:val="18"/>
          <w:szCs w:val="18"/>
        </w:rPr>
        <w:t>sanerings</w:t>
      </w:r>
      <w:proofErr w:type="spellEnd"/>
      <w:r w:rsidRPr="00FC3A34">
        <w:rPr>
          <w:rFonts w:ascii="Verdana" w:hAnsi="Verdana"/>
          <w:i/>
          <w:sz w:val="18"/>
          <w:szCs w:val="18"/>
        </w:rPr>
        <w:t>- en projectsteun woningcorporaties en saneringsbijdrage WSG ( uitgaven en niet belastingontvangsten)</w:t>
      </w:r>
    </w:p>
    <w:p w:rsidRPr="00FC3A34" w:rsidR="00FC3A34" w:rsidP="00FC3A34" w:rsidRDefault="00FC3A34">
      <w:pPr>
        <w:spacing w:line="240" w:lineRule="exact"/>
        <w:rPr>
          <w:rFonts w:ascii="Verdana" w:hAnsi="Verdana"/>
          <w:sz w:val="18"/>
          <w:szCs w:val="18"/>
        </w:rPr>
      </w:pPr>
      <w:r w:rsidRPr="00FC3A34">
        <w:rPr>
          <w:rFonts w:ascii="Verdana" w:hAnsi="Verdana"/>
          <w:sz w:val="18"/>
          <w:szCs w:val="18"/>
        </w:rPr>
        <w:t xml:space="preserve">Per 1 juli 2015 is de saneringstaak en de reguliere projectsteun van het Centraal Fonds Volkshuisvesting (CFV) overgegaan naar het Ministerie van Binnenlandse Zaken en Koninkrijksrelaties. De middelen verbonden aan de saneringstaak en de projectsteun worden via de begroting van </w:t>
      </w:r>
      <w:proofErr w:type="spellStart"/>
      <w:r w:rsidRPr="00FC3A34">
        <w:rPr>
          <w:rFonts w:ascii="Verdana" w:hAnsi="Verdana"/>
          <w:sz w:val="18"/>
          <w:szCs w:val="18"/>
        </w:rPr>
        <w:t>WenR</w:t>
      </w:r>
      <w:proofErr w:type="spellEnd"/>
      <w:r w:rsidRPr="00FC3A34">
        <w:rPr>
          <w:rFonts w:ascii="Verdana" w:hAnsi="Verdana"/>
          <w:sz w:val="18"/>
          <w:szCs w:val="18"/>
        </w:rPr>
        <w:t xml:space="preserve"> ondergebracht in een begrotingsreserve. De initiële storting in de reserve bedraagt 294,1 mln. Hiernaast wordt een bijdrage geleverd aan de sanering van de Woningstichting </w:t>
      </w:r>
      <w:proofErr w:type="spellStart"/>
      <w:r w:rsidRPr="00FC3A34">
        <w:rPr>
          <w:rFonts w:ascii="Verdana" w:hAnsi="Verdana"/>
          <w:sz w:val="18"/>
          <w:szCs w:val="18"/>
        </w:rPr>
        <w:t>Geertruidenberg</w:t>
      </w:r>
      <w:proofErr w:type="spellEnd"/>
      <w:r w:rsidRPr="00FC3A34">
        <w:rPr>
          <w:rFonts w:ascii="Verdana" w:hAnsi="Verdana"/>
          <w:sz w:val="18"/>
          <w:szCs w:val="18"/>
        </w:rPr>
        <w:t xml:space="preserve"> (WSG). </w:t>
      </w:r>
    </w:p>
    <w:p w:rsidR="00FD7153" w:rsidRDefault="00FD7153">
      <w:pPr>
        <w:rPr>
          <w:rFonts w:ascii="Verdana" w:hAnsi="Verdana" w:cs="Verdana"/>
          <w:b/>
          <w:bCs/>
          <w:sz w:val="18"/>
          <w:szCs w:val="18"/>
        </w:rPr>
      </w:pPr>
      <w:r>
        <w:rPr>
          <w:rFonts w:ascii="Verdana" w:hAnsi="Verdana" w:cs="Verdana"/>
          <w:b/>
          <w:bCs/>
          <w:sz w:val="18"/>
          <w:szCs w:val="18"/>
        </w:rPr>
        <w:br w:type="page"/>
      </w:r>
    </w:p>
    <w:p w:rsidRPr="00533D5C" w:rsidR="00F91DB9" w:rsidP="00533D5C" w:rsidRDefault="00C05141">
      <w:pPr>
        <w:spacing w:line="240" w:lineRule="exact"/>
        <w:rPr>
          <w:rFonts w:ascii="Verdana" w:hAnsi="Verdana" w:cs="Verdana"/>
          <w:b/>
          <w:bCs/>
          <w:sz w:val="18"/>
          <w:szCs w:val="18"/>
        </w:rPr>
      </w:pPr>
      <w:r w:rsidRPr="00E8449F">
        <w:rPr>
          <w:rFonts w:ascii="Verdana" w:hAnsi="Verdana" w:cs="Verdana"/>
          <w:b/>
          <w:bCs/>
          <w:sz w:val="18"/>
          <w:szCs w:val="18"/>
        </w:rPr>
        <w:lastRenderedPageBreak/>
        <w:t>Gemeentefonds</w:t>
      </w:r>
    </w:p>
    <w:tbl>
      <w:tblPr>
        <w:tblW w:w="0" w:type="auto"/>
        <w:tblCellMar>
          <w:top w:w="15" w:type="dxa"/>
          <w:left w:w="15" w:type="dxa"/>
          <w:bottom w:w="15" w:type="dxa"/>
          <w:right w:w="15" w:type="dxa"/>
        </w:tblCellMar>
        <w:tblLook w:val="04A0"/>
      </w:tblPr>
      <w:tblGrid>
        <w:gridCol w:w="8208"/>
        <w:gridCol w:w="41"/>
        <w:gridCol w:w="853"/>
      </w:tblGrid>
      <w:tr w:rsidR="00157048" w:rsidTr="00157048">
        <w:tc>
          <w:tcPr>
            <w:tcW w:w="8208" w:type="dxa"/>
            <w:tcBorders>
              <w:left w:val="nil"/>
              <w:right w:val="nil"/>
            </w:tcBorders>
            <w:hideMark/>
          </w:tcPr>
          <w:p w:rsidR="00157048" w:rsidP="006D23DC" w:rsidRDefault="00157048">
            <w:pPr>
              <w:rPr>
                <w:rFonts w:ascii="Verdana" w:hAnsi="Verdana"/>
                <w:sz w:val="18"/>
                <w:szCs w:val="18"/>
              </w:rPr>
            </w:pPr>
          </w:p>
        </w:tc>
        <w:tc>
          <w:tcPr>
            <w:tcW w:w="894" w:type="dxa"/>
            <w:gridSpan w:val="2"/>
            <w:tcBorders>
              <w:left w:val="nil"/>
              <w:right w:val="nil"/>
            </w:tcBorders>
            <w:hideMark/>
          </w:tcPr>
          <w:p w:rsidR="00157048" w:rsidP="006D23DC" w:rsidRDefault="00157048">
            <w:pPr>
              <w:rPr>
                <w:rFonts w:ascii="Verdana" w:hAnsi="Verdana"/>
                <w:sz w:val="18"/>
                <w:szCs w:val="18"/>
              </w:rPr>
            </w:pPr>
            <w:r>
              <w:rPr>
                <w:rFonts w:ascii="Verdana" w:hAnsi="Verdana"/>
                <w:sz w:val="18"/>
                <w:szCs w:val="18"/>
              </w:rPr>
              <w:t> </w:t>
            </w:r>
          </w:p>
        </w:tc>
      </w:tr>
      <w:tr w:rsidR="00157048" w:rsidTr="006D23DC">
        <w:tc>
          <w:tcPr>
            <w:tcW w:w="0" w:type="auto"/>
            <w:tcBorders>
              <w:left w:val="nil"/>
              <w:right w:val="nil"/>
            </w:tcBorders>
            <w:hideMark/>
          </w:tcPr>
          <w:p w:rsidR="00157048" w:rsidP="006D23DC" w:rsidRDefault="00157048">
            <w:pPr>
              <w:rPr>
                <w:rFonts w:ascii="Verdana" w:hAnsi="Verdana"/>
                <w:sz w:val="18"/>
                <w:szCs w:val="18"/>
              </w:rPr>
            </w:pPr>
            <w:r>
              <w:rPr>
                <w:rFonts w:ascii="Verdana" w:hAnsi="Verdana"/>
                <w:sz w:val="18"/>
                <w:szCs w:val="18"/>
              </w:rPr>
              <w:t>B GEMEENTEFONDS: UITGAVEN</w:t>
            </w:r>
          </w:p>
        </w:tc>
        <w:tc>
          <w:tcPr>
            <w:tcW w:w="0" w:type="auto"/>
            <w:gridSpan w:val="2"/>
            <w:hideMark/>
          </w:tcPr>
          <w:p w:rsidR="00157048" w:rsidP="006D23DC" w:rsidRDefault="00157048">
            <w:pPr>
              <w:rPr>
                <w:sz w:val="20"/>
                <w:szCs w:val="20"/>
              </w:rPr>
            </w:pPr>
          </w:p>
        </w:tc>
      </w:tr>
      <w:tr w:rsidR="00157048" w:rsidTr="006D23DC">
        <w:tc>
          <w:tcPr>
            <w:tcW w:w="0" w:type="auto"/>
            <w:tcBorders>
              <w:top w:val="single" w:color="000000" w:sz="6" w:space="0"/>
              <w:left w:val="nil"/>
              <w:bottom w:val="single" w:color="000000" w:sz="6" w:space="0"/>
              <w:right w:val="nil"/>
            </w:tcBorders>
            <w:hideMark/>
          </w:tcPr>
          <w:p w:rsidR="00157048" w:rsidP="006D23DC" w:rsidRDefault="00157048">
            <w:pPr>
              <w:jc w:val="right"/>
              <w:rPr>
                <w:rFonts w:ascii="Verdana" w:hAnsi="Verdana"/>
                <w:sz w:val="18"/>
                <w:szCs w:val="18"/>
              </w:rPr>
            </w:pPr>
          </w:p>
        </w:tc>
        <w:tc>
          <w:tcPr>
            <w:tcW w:w="0" w:type="auto"/>
            <w:gridSpan w:val="2"/>
            <w:tcBorders>
              <w:top w:val="single" w:color="000000" w:sz="6" w:space="0"/>
              <w:left w:val="nil"/>
              <w:bottom w:val="single" w:color="000000" w:sz="6" w:space="0"/>
              <w:right w:val="nil"/>
            </w:tcBorders>
            <w:hideMark/>
          </w:tcPr>
          <w:p w:rsidR="00157048" w:rsidP="006D23DC" w:rsidRDefault="00157048">
            <w:pPr>
              <w:jc w:val="right"/>
              <w:rPr>
                <w:rFonts w:ascii="Verdana" w:hAnsi="Verdana"/>
                <w:sz w:val="18"/>
                <w:szCs w:val="18"/>
              </w:rPr>
            </w:pPr>
            <w:r>
              <w:rPr>
                <w:rFonts w:ascii="Verdana" w:hAnsi="Verdana"/>
                <w:sz w:val="18"/>
                <w:szCs w:val="18"/>
              </w:rPr>
              <w:t>2015</w:t>
            </w:r>
          </w:p>
        </w:tc>
      </w:tr>
      <w:tr w:rsidR="00157048" w:rsidTr="006D23DC">
        <w:tc>
          <w:tcPr>
            <w:tcW w:w="0" w:type="auto"/>
            <w:tcBorders>
              <w:left w:val="nil"/>
              <w:right w:val="nil"/>
            </w:tcBorders>
            <w:hideMark/>
          </w:tcPr>
          <w:p w:rsidR="00157048" w:rsidP="006D23DC" w:rsidRDefault="00157048">
            <w:pPr>
              <w:rPr>
                <w:rFonts w:ascii="Verdana" w:hAnsi="Verdana"/>
                <w:sz w:val="18"/>
                <w:szCs w:val="18"/>
              </w:rPr>
            </w:pPr>
            <w:r>
              <w:rPr>
                <w:rFonts w:ascii="Verdana" w:hAnsi="Verdana"/>
                <w:sz w:val="18"/>
                <w:szCs w:val="18"/>
              </w:rPr>
              <w:t>Stand Miljoenennota 2016 (excl. IS)</w:t>
            </w:r>
          </w:p>
        </w:tc>
        <w:tc>
          <w:tcPr>
            <w:tcW w:w="0" w:type="auto"/>
            <w:gridSpan w:val="2"/>
            <w:tcBorders>
              <w:top w:val="single" w:color="000000" w:sz="6" w:space="0"/>
              <w:left w:val="nil"/>
              <w:right w:val="nil"/>
            </w:tcBorders>
            <w:hideMark/>
          </w:tcPr>
          <w:p w:rsidR="00157048" w:rsidP="006D23DC" w:rsidRDefault="00157048">
            <w:pPr>
              <w:jc w:val="right"/>
              <w:rPr>
                <w:rFonts w:ascii="Verdana" w:hAnsi="Verdana"/>
                <w:sz w:val="18"/>
                <w:szCs w:val="18"/>
              </w:rPr>
            </w:pPr>
            <w:r>
              <w:rPr>
                <w:rFonts w:ascii="Verdana" w:hAnsi="Verdana"/>
                <w:sz w:val="18"/>
                <w:szCs w:val="18"/>
              </w:rPr>
              <w:t>27.246,5</w:t>
            </w:r>
          </w:p>
        </w:tc>
      </w:tr>
      <w:tr w:rsidR="00157048" w:rsidTr="006D23DC">
        <w:tc>
          <w:tcPr>
            <w:tcW w:w="0" w:type="auto"/>
            <w:tcBorders>
              <w:left w:val="nil"/>
              <w:right w:val="nil"/>
            </w:tcBorders>
            <w:hideMark/>
          </w:tcPr>
          <w:p w:rsidR="00157048" w:rsidP="006D23DC" w:rsidRDefault="00157048">
            <w:pPr>
              <w:rPr>
                <w:rFonts w:ascii="Verdana" w:hAnsi="Verdana"/>
                <w:sz w:val="18"/>
                <w:szCs w:val="18"/>
              </w:rPr>
            </w:pPr>
            <w:r>
              <w:rPr>
                <w:rFonts w:ascii="Verdana" w:hAnsi="Verdana"/>
                <w:sz w:val="18"/>
                <w:szCs w:val="18"/>
              </w:rPr>
              <w:t>Technische mutaties</w:t>
            </w:r>
          </w:p>
        </w:tc>
        <w:tc>
          <w:tcPr>
            <w:tcW w:w="0" w:type="auto"/>
            <w:gridSpan w:val="2"/>
            <w:hideMark/>
          </w:tcPr>
          <w:p w:rsidR="00157048" w:rsidP="006D23DC" w:rsidRDefault="00157048">
            <w:pPr>
              <w:rPr>
                <w:sz w:val="20"/>
                <w:szCs w:val="20"/>
              </w:rPr>
            </w:pPr>
          </w:p>
        </w:tc>
      </w:tr>
      <w:tr w:rsidR="00157048" w:rsidTr="006D23DC">
        <w:tc>
          <w:tcPr>
            <w:tcW w:w="0" w:type="auto"/>
            <w:tcBorders>
              <w:left w:val="nil"/>
              <w:right w:val="nil"/>
            </w:tcBorders>
            <w:tcMar>
              <w:top w:w="15" w:type="dxa"/>
              <w:left w:w="180" w:type="dxa"/>
              <w:bottom w:w="15" w:type="dxa"/>
              <w:right w:w="15" w:type="dxa"/>
            </w:tcMar>
            <w:vAlign w:val="both"/>
            <w:hideMark/>
          </w:tcPr>
          <w:p w:rsidR="00157048" w:rsidP="006D23DC" w:rsidRDefault="00157048">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157048" w:rsidP="006D23DC" w:rsidRDefault="00157048">
            <w:pPr>
              <w:rPr>
                <w:sz w:val="20"/>
                <w:szCs w:val="20"/>
              </w:rPr>
            </w:pPr>
          </w:p>
        </w:tc>
      </w:tr>
      <w:tr w:rsidR="00157048" w:rsidTr="006D23DC">
        <w:tc>
          <w:tcPr>
            <w:tcW w:w="0" w:type="auto"/>
            <w:tcBorders>
              <w:left w:val="nil"/>
              <w:right w:val="nil"/>
            </w:tcBorders>
            <w:tcMar>
              <w:top w:w="15" w:type="dxa"/>
              <w:left w:w="360" w:type="dxa"/>
              <w:bottom w:w="15" w:type="dxa"/>
              <w:right w:w="15" w:type="dxa"/>
            </w:tcMar>
            <w:vAlign w:val="both"/>
            <w:hideMark/>
          </w:tcPr>
          <w:p w:rsidR="00157048" w:rsidP="006D23DC" w:rsidRDefault="00157048">
            <w:pPr>
              <w:ind w:firstLine="360" w:firstLineChars="200"/>
              <w:rPr>
                <w:rFonts w:ascii="Verdana" w:hAnsi="Verdana"/>
                <w:sz w:val="18"/>
                <w:szCs w:val="18"/>
              </w:rPr>
            </w:pPr>
            <w:r>
              <w:rPr>
                <w:rFonts w:ascii="Verdana" w:hAnsi="Verdana"/>
                <w:sz w:val="18"/>
                <w:szCs w:val="18"/>
              </w:rPr>
              <w:t xml:space="preserve">Uitvoering motie </w:t>
            </w:r>
            <w:proofErr w:type="spellStart"/>
            <w:r>
              <w:rPr>
                <w:rFonts w:ascii="Verdana" w:hAnsi="Verdana"/>
                <w:sz w:val="18"/>
                <w:szCs w:val="18"/>
              </w:rPr>
              <w:t>kerstens</w:t>
            </w:r>
            <w:proofErr w:type="spellEnd"/>
            <w:r>
              <w:rPr>
                <w:rFonts w:ascii="Verdana" w:hAnsi="Verdana"/>
                <w:sz w:val="18"/>
                <w:szCs w:val="18"/>
              </w:rPr>
              <w:t xml:space="preserve"> (herstructurering sociale werkplaatsen)</w:t>
            </w:r>
          </w:p>
        </w:tc>
        <w:tc>
          <w:tcPr>
            <w:tcW w:w="0" w:type="auto"/>
            <w:gridSpan w:val="2"/>
            <w:tcBorders>
              <w:left w:val="nil"/>
              <w:right w:val="nil"/>
            </w:tcBorders>
            <w:hideMark/>
          </w:tcPr>
          <w:p w:rsidR="00157048" w:rsidP="006D23DC" w:rsidRDefault="00157048">
            <w:pPr>
              <w:jc w:val="right"/>
              <w:rPr>
                <w:rFonts w:ascii="Verdana" w:hAnsi="Verdana"/>
                <w:sz w:val="18"/>
                <w:szCs w:val="18"/>
              </w:rPr>
            </w:pPr>
            <w:r>
              <w:rPr>
                <w:rFonts w:ascii="Verdana" w:hAnsi="Verdana"/>
                <w:sz w:val="18"/>
                <w:szCs w:val="18"/>
              </w:rPr>
              <w:t>30,0</w:t>
            </w:r>
          </w:p>
        </w:tc>
      </w:tr>
      <w:tr w:rsidR="00157048" w:rsidTr="006D23DC">
        <w:tc>
          <w:tcPr>
            <w:tcW w:w="0" w:type="auto"/>
            <w:tcBorders>
              <w:left w:val="nil"/>
              <w:right w:val="nil"/>
            </w:tcBorders>
            <w:tcMar>
              <w:top w:w="15" w:type="dxa"/>
              <w:left w:w="360" w:type="dxa"/>
              <w:bottom w:w="15" w:type="dxa"/>
              <w:right w:w="15" w:type="dxa"/>
            </w:tcMar>
            <w:vAlign w:val="both"/>
            <w:hideMark/>
          </w:tcPr>
          <w:p w:rsidR="00157048" w:rsidP="006D23DC" w:rsidRDefault="00157048">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157048" w:rsidP="006D23DC" w:rsidRDefault="00157048">
            <w:pPr>
              <w:jc w:val="right"/>
              <w:rPr>
                <w:rFonts w:ascii="Verdana" w:hAnsi="Verdana"/>
                <w:sz w:val="18"/>
                <w:szCs w:val="18"/>
              </w:rPr>
            </w:pPr>
            <w:r>
              <w:rPr>
                <w:rFonts w:ascii="Verdana" w:hAnsi="Verdana"/>
                <w:sz w:val="18"/>
                <w:szCs w:val="18"/>
              </w:rPr>
              <w:t>19,2</w:t>
            </w:r>
          </w:p>
        </w:tc>
      </w:tr>
      <w:tr w:rsidR="00157048" w:rsidTr="006D23DC">
        <w:tc>
          <w:tcPr>
            <w:tcW w:w="0" w:type="auto"/>
            <w:tcBorders>
              <w:left w:val="nil"/>
              <w:right w:val="nil"/>
            </w:tcBorders>
            <w:tcMar>
              <w:top w:w="15" w:type="dxa"/>
              <w:left w:w="180" w:type="dxa"/>
              <w:bottom w:w="15" w:type="dxa"/>
              <w:right w:w="15" w:type="dxa"/>
            </w:tcMar>
            <w:vAlign w:val="both"/>
            <w:hideMark/>
          </w:tcPr>
          <w:p w:rsidR="00157048" w:rsidP="006D23DC" w:rsidRDefault="00157048">
            <w:pPr>
              <w:ind w:firstLine="180" w:firstLineChars="100"/>
              <w:rPr>
                <w:rFonts w:ascii="Verdana" w:hAnsi="Verdana"/>
                <w:sz w:val="18"/>
                <w:szCs w:val="18"/>
              </w:rPr>
            </w:pPr>
            <w:r>
              <w:rPr>
                <w:rFonts w:ascii="Verdana" w:hAnsi="Verdana"/>
                <w:sz w:val="18"/>
                <w:szCs w:val="18"/>
              </w:rPr>
              <w:t>Zorg</w:t>
            </w:r>
          </w:p>
        </w:tc>
        <w:tc>
          <w:tcPr>
            <w:tcW w:w="0" w:type="auto"/>
            <w:gridSpan w:val="2"/>
            <w:hideMark/>
          </w:tcPr>
          <w:p w:rsidR="00157048" w:rsidP="006D23DC" w:rsidRDefault="00157048">
            <w:pPr>
              <w:rPr>
                <w:sz w:val="20"/>
                <w:szCs w:val="20"/>
              </w:rPr>
            </w:pPr>
          </w:p>
        </w:tc>
      </w:tr>
      <w:tr w:rsidR="00157048" w:rsidTr="006D23DC">
        <w:tc>
          <w:tcPr>
            <w:tcW w:w="0" w:type="auto"/>
            <w:tcBorders>
              <w:left w:val="nil"/>
              <w:right w:val="nil"/>
            </w:tcBorders>
            <w:tcMar>
              <w:top w:w="15" w:type="dxa"/>
              <w:left w:w="360" w:type="dxa"/>
              <w:bottom w:w="15" w:type="dxa"/>
              <w:right w:w="15" w:type="dxa"/>
            </w:tcMar>
            <w:vAlign w:val="both"/>
            <w:hideMark/>
          </w:tcPr>
          <w:p w:rsidR="00157048" w:rsidP="006D23DC" w:rsidRDefault="00157048">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157048" w:rsidP="006D23DC" w:rsidRDefault="00157048">
            <w:pPr>
              <w:jc w:val="right"/>
              <w:rPr>
                <w:rFonts w:ascii="Verdana" w:hAnsi="Verdana"/>
                <w:sz w:val="18"/>
                <w:szCs w:val="18"/>
              </w:rPr>
            </w:pPr>
            <w:r>
              <w:rPr>
                <w:rFonts w:ascii="Verdana" w:hAnsi="Verdana"/>
                <w:sz w:val="18"/>
                <w:szCs w:val="18"/>
              </w:rPr>
              <w:t>12,2</w:t>
            </w:r>
          </w:p>
        </w:tc>
      </w:tr>
      <w:tr w:rsidR="00157048" w:rsidTr="006D23DC">
        <w:tc>
          <w:tcPr>
            <w:tcW w:w="0" w:type="auto"/>
            <w:tcBorders>
              <w:left w:val="nil"/>
              <w:right w:val="nil"/>
            </w:tcBorders>
            <w:hideMark/>
          </w:tcPr>
          <w:p w:rsidR="00157048" w:rsidP="006D23DC" w:rsidRDefault="00157048">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157048" w:rsidP="006D23DC" w:rsidRDefault="00157048">
            <w:pPr>
              <w:jc w:val="right"/>
              <w:rPr>
                <w:rFonts w:ascii="Verdana" w:hAnsi="Verdana"/>
                <w:sz w:val="18"/>
                <w:szCs w:val="18"/>
              </w:rPr>
            </w:pPr>
            <w:r>
              <w:rPr>
                <w:rFonts w:ascii="Verdana" w:hAnsi="Verdana"/>
                <w:sz w:val="18"/>
                <w:szCs w:val="18"/>
              </w:rPr>
              <w:t>61,4</w:t>
            </w:r>
          </w:p>
        </w:tc>
      </w:tr>
      <w:tr w:rsidR="00157048" w:rsidTr="006D23DC">
        <w:tc>
          <w:tcPr>
            <w:tcW w:w="0" w:type="auto"/>
            <w:tcBorders>
              <w:left w:val="nil"/>
              <w:right w:val="nil"/>
            </w:tcBorders>
            <w:hideMark/>
          </w:tcPr>
          <w:p w:rsidR="00157048" w:rsidP="006D23DC" w:rsidRDefault="00157048">
            <w:pPr>
              <w:rPr>
                <w:rFonts w:ascii="Verdana" w:hAnsi="Verdana"/>
                <w:sz w:val="18"/>
                <w:szCs w:val="18"/>
              </w:rPr>
            </w:pPr>
            <w:r>
              <w:rPr>
                <w:rFonts w:ascii="Verdana" w:hAnsi="Verdana"/>
                <w:sz w:val="18"/>
                <w:szCs w:val="18"/>
              </w:rPr>
              <w:t>Totaal mutaties sinds Miljoenennota 2016</w:t>
            </w:r>
          </w:p>
        </w:tc>
        <w:tc>
          <w:tcPr>
            <w:tcW w:w="0" w:type="auto"/>
            <w:gridSpan w:val="2"/>
            <w:tcBorders>
              <w:left w:val="nil"/>
              <w:right w:val="nil"/>
            </w:tcBorders>
            <w:hideMark/>
          </w:tcPr>
          <w:p w:rsidR="00157048" w:rsidP="006D23DC" w:rsidRDefault="00157048">
            <w:pPr>
              <w:jc w:val="right"/>
              <w:rPr>
                <w:rFonts w:ascii="Verdana" w:hAnsi="Verdana"/>
                <w:sz w:val="18"/>
                <w:szCs w:val="18"/>
              </w:rPr>
            </w:pPr>
            <w:r>
              <w:rPr>
                <w:rFonts w:ascii="Verdana" w:hAnsi="Verdana"/>
                <w:sz w:val="18"/>
                <w:szCs w:val="18"/>
              </w:rPr>
              <w:t>61,4</w:t>
            </w:r>
          </w:p>
        </w:tc>
      </w:tr>
      <w:tr w:rsidR="00157048" w:rsidTr="006D23DC">
        <w:tc>
          <w:tcPr>
            <w:tcW w:w="0" w:type="auto"/>
            <w:tcBorders>
              <w:left w:val="nil"/>
              <w:right w:val="nil"/>
            </w:tcBorders>
            <w:hideMark/>
          </w:tcPr>
          <w:p w:rsidR="00157048" w:rsidP="006D23DC" w:rsidRDefault="00157048">
            <w:pPr>
              <w:rPr>
                <w:rFonts w:ascii="Verdana" w:hAnsi="Verdana"/>
                <w:sz w:val="18"/>
                <w:szCs w:val="18"/>
              </w:rPr>
            </w:pPr>
            <w:r>
              <w:rPr>
                <w:rFonts w:ascii="Verdana" w:hAnsi="Verdana"/>
                <w:sz w:val="18"/>
                <w:szCs w:val="18"/>
              </w:rPr>
              <w:t> </w:t>
            </w:r>
          </w:p>
        </w:tc>
        <w:tc>
          <w:tcPr>
            <w:tcW w:w="0" w:type="auto"/>
            <w:gridSpan w:val="2"/>
            <w:hideMark/>
          </w:tcPr>
          <w:p w:rsidR="00157048" w:rsidP="006D23DC" w:rsidRDefault="00157048">
            <w:pPr>
              <w:rPr>
                <w:sz w:val="20"/>
                <w:szCs w:val="20"/>
              </w:rPr>
            </w:pPr>
          </w:p>
        </w:tc>
      </w:tr>
      <w:tr w:rsidR="00157048" w:rsidTr="006D23DC">
        <w:tc>
          <w:tcPr>
            <w:tcW w:w="0" w:type="auto"/>
            <w:tcBorders>
              <w:left w:val="nil"/>
              <w:right w:val="nil"/>
            </w:tcBorders>
            <w:hideMark/>
          </w:tcPr>
          <w:p w:rsidR="00157048" w:rsidP="006D23DC" w:rsidRDefault="00157048">
            <w:pPr>
              <w:rPr>
                <w:rFonts w:ascii="Verdana" w:hAnsi="Verdana"/>
                <w:sz w:val="18"/>
                <w:szCs w:val="18"/>
              </w:rPr>
            </w:pPr>
            <w:r>
              <w:rPr>
                <w:rFonts w:ascii="Verdana" w:hAnsi="Verdana"/>
                <w:sz w:val="18"/>
                <w:szCs w:val="18"/>
              </w:rPr>
              <w:t>Stand Najaarsnota 2015 (subtotaal)</w:t>
            </w:r>
          </w:p>
        </w:tc>
        <w:tc>
          <w:tcPr>
            <w:tcW w:w="0" w:type="auto"/>
            <w:gridSpan w:val="2"/>
            <w:tcBorders>
              <w:top w:val="single" w:color="000000" w:sz="6" w:space="0"/>
              <w:left w:val="nil"/>
              <w:right w:val="nil"/>
            </w:tcBorders>
            <w:hideMark/>
          </w:tcPr>
          <w:p w:rsidR="00157048" w:rsidP="006D23DC" w:rsidRDefault="00157048">
            <w:pPr>
              <w:jc w:val="right"/>
              <w:rPr>
                <w:rFonts w:ascii="Verdana" w:hAnsi="Verdana"/>
                <w:sz w:val="18"/>
                <w:szCs w:val="18"/>
              </w:rPr>
            </w:pPr>
            <w:r>
              <w:rPr>
                <w:rFonts w:ascii="Verdana" w:hAnsi="Verdana"/>
                <w:sz w:val="18"/>
                <w:szCs w:val="18"/>
              </w:rPr>
              <w:t>27.307,9</w:t>
            </w:r>
          </w:p>
        </w:tc>
      </w:tr>
      <w:tr w:rsidR="00157048" w:rsidTr="006D23DC">
        <w:tc>
          <w:tcPr>
            <w:tcW w:w="0" w:type="auto"/>
            <w:tcBorders>
              <w:left w:val="nil"/>
              <w:right w:val="nil"/>
            </w:tcBorders>
            <w:hideMark/>
          </w:tcPr>
          <w:p w:rsidR="00157048" w:rsidP="006D23DC" w:rsidRDefault="00157048">
            <w:pPr>
              <w:rPr>
                <w:rFonts w:ascii="Verdana" w:hAnsi="Verdana"/>
                <w:sz w:val="18"/>
                <w:szCs w:val="18"/>
              </w:rPr>
            </w:pPr>
            <w:r>
              <w:rPr>
                <w:rFonts w:ascii="Verdana" w:hAnsi="Verdana"/>
                <w:sz w:val="18"/>
                <w:szCs w:val="18"/>
              </w:rPr>
              <w:t>Totaal Internationale samenwerking</w:t>
            </w:r>
          </w:p>
        </w:tc>
        <w:tc>
          <w:tcPr>
            <w:tcW w:w="0" w:type="auto"/>
            <w:gridSpan w:val="2"/>
            <w:tcBorders>
              <w:left w:val="nil"/>
              <w:right w:val="nil"/>
            </w:tcBorders>
            <w:hideMark/>
          </w:tcPr>
          <w:p w:rsidR="00157048" w:rsidP="006D23DC" w:rsidRDefault="00157048">
            <w:pPr>
              <w:jc w:val="right"/>
              <w:rPr>
                <w:rFonts w:ascii="Verdana" w:hAnsi="Verdana"/>
                <w:sz w:val="18"/>
                <w:szCs w:val="18"/>
              </w:rPr>
            </w:pPr>
            <w:r>
              <w:rPr>
                <w:rFonts w:ascii="Verdana" w:hAnsi="Verdana"/>
                <w:sz w:val="18"/>
                <w:szCs w:val="18"/>
              </w:rPr>
              <w:t>0,0</w:t>
            </w:r>
          </w:p>
        </w:tc>
      </w:tr>
      <w:tr w:rsidR="00157048" w:rsidTr="006D23DC">
        <w:tc>
          <w:tcPr>
            <w:tcW w:w="0" w:type="auto"/>
            <w:tcBorders>
              <w:left w:val="nil"/>
              <w:right w:val="nil"/>
            </w:tcBorders>
            <w:hideMark/>
          </w:tcPr>
          <w:p w:rsidR="00157048" w:rsidP="006D23DC" w:rsidRDefault="00157048">
            <w:pPr>
              <w:rPr>
                <w:rFonts w:ascii="Verdana" w:hAnsi="Verdana"/>
                <w:sz w:val="18"/>
                <w:szCs w:val="18"/>
              </w:rPr>
            </w:pPr>
            <w:r>
              <w:rPr>
                <w:rFonts w:ascii="Verdana" w:hAnsi="Verdana"/>
                <w:sz w:val="18"/>
                <w:szCs w:val="18"/>
              </w:rPr>
              <w:t>Stand Najaarsnota 2015</w:t>
            </w:r>
          </w:p>
        </w:tc>
        <w:tc>
          <w:tcPr>
            <w:tcW w:w="0" w:type="auto"/>
            <w:gridSpan w:val="2"/>
            <w:tcBorders>
              <w:top w:val="single" w:color="000000" w:sz="6" w:space="0"/>
              <w:left w:val="nil"/>
              <w:right w:val="nil"/>
            </w:tcBorders>
            <w:hideMark/>
          </w:tcPr>
          <w:p w:rsidR="00157048" w:rsidP="006D23DC" w:rsidRDefault="00157048">
            <w:pPr>
              <w:jc w:val="right"/>
              <w:rPr>
                <w:rFonts w:ascii="Verdana" w:hAnsi="Verdana"/>
                <w:sz w:val="18"/>
                <w:szCs w:val="18"/>
              </w:rPr>
            </w:pPr>
            <w:r>
              <w:rPr>
                <w:rFonts w:ascii="Verdana" w:hAnsi="Verdana"/>
                <w:sz w:val="18"/>
                <w:szCs w:val="18"/>
              </w:rPr>
              <w:t>27.307,9</w:t>
            </w:r>
          </w:p>
        </w:tc>
      </w:tr>
      <w:tr w:rsidR="00157048" w:rsidTr="00157048">
        <w:tc>
          <w:tcPr>
            <w:tcW w:w="8249" w:type="dxa"/>
            <w:gridSpan w:val="2"/>
            <w:tcBorders>
              <w:left w:val="nil"/>
              <w:right w:val="nil"/>
            </w:tcBorders>
            <w:hideMark/>
          </w:tcPr>
          <w:p w:rsidR="00157048" w:rsidP="006D23DC" w:rsidRDefault="00157048">
            <w:pPr>
              <w:rPr>
                <w:rFonts w:ascii="Verdana" w:hAnsi="Verdana"/>
                <w:sz w:val="18"/>
                <w:szCs w:val="18"/>
              </w:rPr>
            </w:pPr>
            <w:r>
              <w:rPr>
                <w:rFonts w:ascii="Verdana" w:hAnsi="Verdana"/>
                <w:sz w:val="18"/>
                <w:szCs w:val="18"/>
              </w:rPr>
              <w:t> </w:t>
            </w:r>
          </w:p>
        </w:tc>
        <w:tc>
          <w:tcPr>
            <w:tcW w:w="853" w:type="dxa"/>
            <w:tcBorders>
              <w:left w:val="nil"/>
              <w:right w:val="nil"/>
            </w:tcBorders>
            <w:hideMark/>
          </w:tcPr>
          <w:p w:rsidR="00157048" w:rsidP="006D23DC" w:rsidRDefault="00157048">
            <w:pPr>
              <w:rPr>
                <w:rFonts w:ascii="Verdana" w:hAnsi="Verdana"/>
                <w:sz w:val="18"/>
                <w:szCs w:val="18"/>
              </w:rPr>
            </w:pPr>
            <w:r>
              <w:rPr>
                <w:rFonts w:ascii="Verdana" w:hAnsi="Verdana"/>
                <w:sz w:val="18"/>
                <w:szCs w:val="18"/>
              </w:rPr>
              <w:t> </w:t>
            </w:r>
          </w:p>
        </w:tc>
      </w:tr>
      <w:tr w:rsidR="00157048" w:rsidTr="006D23DC">
        <w:tc>
          <w:tcPr>
            <w:tcW w:w="0" w:type="auto"/>
            <w:gridSpan w:val="2"/>
            <w:tcBorders>
              <w:left w:val="nil"/>
              <w:right w:val="nil"/>
            </w:tcBorders>
            <w:hideMark/>
          </w:tcPr>
          <w:p w:rsidR="00157048" w:rsidP="006D23DC" w:rsidRDefault="00157048">
            <w:pPr>
              <w:rPr>
                <w:rFonts w:ascii="Verdana" w:hAnsi="Verdana"/>
                <w:sz w:val="18"/>
                <w:szCs w:val="18"/>
              </w:rPr>
            </w:pPr>
            <w:r>
              <w:rPr>
                <w:rFonts w:ascii="Verdana" w:hAnsi="Verdana"/>
                <w:sz w:val="18"/>
                <w:szCs w:val="18"/>
              </w:rPr>
              <w:t>B GEMEENTEFONDS: NIET-BELASTINGONTVANGSTEN</w:t>
            </w:r>
          </w:p>
        </w:tc>
        <w:tc>
          <w:tcPr>
            <w:tcW w:w="0" w:type="auto"/>
            <w:hideMark/>
          </w:tcPr>
          <w:p w:rsidR="00157048" w:rsidP="006D23DC" w:rsidRDefault="00157048">
            <w:pPr>
              <w:rPr>
                <w:sz w:val="20"/>
                <w:szCs w:val="20"/>
              </w:rPr>
            </w:pPr>
          </w:p>
        </w:tc>
      </w:tr>
      <w:tr w:rsidR="00157048" w:rsidTr="006D23DC">
        <w:tc>
          <w:tcPr>
            <w:tcW w:w="0" w:type="auto"/>
            <w:gridSpan w:val="2"/>
            <w:tcBorders>
              <w:top w:val="single" w:color="000000" w:sz="6" w:space="0"/>
              <w:left w:val="nil"/>
              <w:bottom w:val="single" w:color="000000" w:sz="6" w:space="0"/>
              <w:right w:val="nil"/>
            </w:tcBorders>
            <w:hideMark/>
          </w:tcPr>
          <w:p w:rsidR="00157048" w:rsidP="006D23DC" w:rsidRDefault="00157048">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157048" w:rsidP="006D23DC" w:rsidRDefault="00157048">
            <w:pPr>
              <w:jc w:val="right"/>
              <w:rPr>
                <w:rFonts w:ascii="Verdana" w:hAnsi="Verdana"/>
                <w:sz w:val="18"/>
                <w:szCs w:val="18"/>
              </w:rPr>
            </w:pPr>
            <w:r>
              <w:rPr>
                <w:rFonts w:ascii="Verdana" w:hAnsi="Verdana"/>
                <w:sz w:val="18"/>
                <w:szCs w:val="18"/>
              </w:rPr>
              <w:t>2015</w:t>
            </w:r>
          </w:p>
        </w:tc>
      </w:tr>
      <w:tr w:rsidR="00157048" w:rsidTr="006D23DC">
        <w:tc>
          <w:tcPr>
            <w:tcW w:w="0" w:type="auto"/>
            <w:gridSpan w:val="2"/>
            <w:tcBorders>
              <w:left w:val="nil"/>
              <w:right w:val="nil"/>
            </w:tcBorders>
            <w:hideMark/>
          </w:tcPr>
          <w:p w:rsidR="00157048" w:rsidP="006D23DC" w:rsidRDefault="00157048">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157048" w:rsidP="006D23DC" w:rsidRDefault="00157048">
            <w:pPr>
              <w:jc w:val="right"/>
              <w:rPr>
                <w:rFonts w:ascii="Verdana" w:hAnsi="Verdana"/>
                <w:sz w:val="18"/>
                <w:szCs w:val="18"/>
              </w:rPr>
            </w:pPr>
            <w:r>
              <w:rPr>
                <w:rFonts w:ascii="Verdana" w:hAnsi="Verdana"/>
                <w:sz w:val="18"/>
                <w:szCs w:val="18"/>
              </w:rPr>
              <w:t>0,1</w:t>
            </w:r>
          </w:p>
        </w:tc>
      </w:tr>
      <w:tr w:rsidR="00157048" w:rsidTr="006D23DC">
        <w:tc>
          <w:tcPr>
            <w:tcW w:w="0" w:type="auto"/>
            <w:gridSpan w:val="2"/>
            <w:tcBorders>
              <w:left w:val="nil"/>
              <w:right w:val="nil"/>
            </w:tcBorders>
            <w:hideMark/>
          </w:tcPr>
          <w:p w:rsidR="00157048" w:rsidP="006D23DC" w:rsidRDefault="00157048">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157048" w:rsidP="006D23DC" w:rsidRDefault="00157048">
            <w:pPr>
              <w:jc w:val="right"/>
              <w:rPr>
                <w:rFonts w:ascii="Verdana" w:hAnsi="Verdana"/>
                <w:sz w:val="18"/>
                <w:szCs w:val="18"/>
              </w:rPr>
            </w:pPr>
            <w:r>
              <w:rPr>
                <w:rFonts w:ascii="Verdana" w:hAnsi="Verdana"/>
                <w:sz w:val="18"/>
                <w:szCs w:val="18"/>
              </w:rPr>
              <w:t>0,0</w:t>
            </w:r>
          </w:p>
        </w:tc>
      </w:tr>
      <w:tr w:rsidR="00157048" w:rsidTr="006D23DC">
        <w:tc>
          <w:tcPr>
            <w:tcW w:w="0" w:type="auto"/>
            <w:gridSpan w:val="2"/>
            <w:tcBorders>
              <w:left w:val="nil"/>
              <w:right w:val="nil"/>
            </w:tcBorders>
            <w:hideMark/>
          </w:tcPr>
          <w:p w:rsidR="00157048" w:rsidP="006D23DC" w:rsidRDefault="00157048">
            <w:pPr>
              <w:rPr>
                <w:rFonts w:ascii="Verdana" w:hAnsi="Verdana"/>
                <w:sz w:val="18"/>
                <w:szCs w:val="18"/>
              </w:rPr>
            </w:pPr>
            <w:r>
              <w:rPr>
                <w:rFonts w:ascii="Verdana" w:hAnsi="Verdana"/>
                <w:sz w:val="18"/>
                <w:szCs w:val="18"/>
              </w:rPr>
              <w:t> </w:t>
            </w:r>
          </w:p>
        </w:tc>
        <w:tc>
          <w:tcPr>
            <w:tcW w:w="0" w:type="auto"/>
            <w:hideMark/>
          </w:tcPr>
          <w:p w:rsidR="00157048" w:rsidP="006D23DC" w:rsidRDefault="00157048">
            <w:pPr>
              <w:rPr>
                <w:sz w:val="20"/>
                <w:szCs w:val="20"/>
              </w:rPr>
            </w:pPr>
          </w:p>
        </w:tc>
      </w:tr>
      <w:tr w:rsidR="00157048" w:rsidTr="006D23DC">
        <w:tc>
          <w:tcPr>
            <w:tcW w:w="0" w:type="auto"/>
            <w:gridSpan w:val="2"/>
            <w:tcBorders>
              <w:left w:val="nil"/>
              <w:right w:val="nil"/>
            </w:tcBorders>
            <w:hideMark/>
          </w:tcPr>
          <w:p w:rsidR="00157048" w:rsidP="006D23DC" w:rsidRDefault="00157048">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157048" w:rsidP="006D23DC" w:rsidRDefault="00157048">
            <w:pPr>
              <w:jc w:val="right"/>
              <w:rPr>
                <w:rFonts w:ascii="Verdana" w:hAnsi="Verdana"/>
                <w:sz w:val="18"/>
                <w:szCs w:val="18"/>
              </w:rPr>
            </w:pPr>
            <w:r>
              <w:rPr>
                <w:rFonts w:ascii="Verdana" w:hAnsi="Verdana"/>
                <w:sz w:val="18"/>
                <w:szCs w:val="18"/>
              </w:rPr>
              <w:t>0,1</w:t>
            </w:r>
          </w:p>
        </w:tc>
      </w:tr>
      <w:tr w:rsidR="00157048" w:rsidTr="006D23DC">
        <w:tc>
          <w:tcPr>
            <w:tcW w:w="0" w:type="auto"/>
            <w:gridSpan w:val="2"/>
            <w:tcBorders>
              <w:left w:val="nil"/>
              <w:right w:val="nil"/>
            </w:tcBorders>
            <w:hideMark/>
          </w:tcPr>
          <w:p w:rsidR="00157048" w:rsidP="006D23DC" w:rsidRDefault="00157048">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157048" w:rsidP="006D23DC" w:rsidRDefault="00157048">
            <w:pPr>
              <w:jc w:val="right"/>
              <w:rPr>
                <w:rFonts w:ascii="Verdana" w:hAnsi="Verdana"/>
                <w:sz w:val="18"/>
                <w:szCs w:val="18"/>
              </w:rPr>
            </w:pPr>
            <w:r>
              <w:rPr>
                <w:rFonts w:ascii="Verdana" w:hAnsi="Verdana"/>
                <w:sz w:val="18"/>
                <w:szCs w:val="18"/>
              </w:rPr>
              <w:t>0,0</w:t>
            </w:r>
          </w:p>
        </w:tc>
      </w:tr>
      <w:tr w:rsidR="00157048" w:rsidTr="006D23DC">
        <w:tc>
          <w:tcPr>
            <w:tcW w:w="0" w:type="auto"/>
            <w:gridSpan w:val="2"/>
            <w:tcBorders>
              <w:left w:val="nil"/>
              <w:right w:val="nil"/>
            </w:tcBorders>
            <w:hideMark/>
          </w:tcPr>
          <w:p w:rsidR="00157048" w:rsidP="006D23DC" w:rsidRDefault="00157048">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157048" w:rsidP="006D23DC" w:rsidRDefault="00157048">
            <w:pPr>
              <w:jc w:val="right"/>
              <w:rPr>
                <w:rFonts w:ascii="Verdana" w:hAnsi="Verdana"/>
                <w:sz w:val="18"/>
                <w:szCs w:val="18"/>
              </w:rPr>
            </w:pPr>
            <w:r>
              <w:rPr>
                <w:rFonts w:ascii="Verdana" w:hAnsi="Verdana"/>
                <w:sz w:val="18"/>
                <w:szCs w:val="18"/>
              </w:rPr>
              <w:t>0,1</w:t>
            </w:r>
          </w:p>
        </w:tc>
      </w:tr>
    </w:tbl>
    <w:p w:rsidR="00157048" w:rsidRDefault="00157048">
      <w:pPr>
        <w:rPr>
          <w:rFonts w:ascii="Verdana" w:hAnsi="Verdana" w:cs="Verdana"/>
          <w:b/>
          <w:bCs/>
          <w:sz w:val="18"/>
          <w:szCs w:val="18"/>
        </w:rPr>
      </w:pPr>
    </w:p>
    <w:p w:rsidR="00F05723" w:rsidRDefault="00F05723">
      <w:pPr>
        <w:rPr>
          <w:rFonts w:ascii="Verdana" w:hAnsi="Verdana" w:cs="Verdana"/>
          <w:b/>
          <w:bCs/>
          <w:sz w:val="18"/>
          <w:szCs w:val="18"/>
        </w:rPr>
      </w:pPr>
    </w:p>
    <w:p w:rsidRPr="00F05723" w:rsidR="00F05723" w:rsidP="00F05723" w:rsidRDefault="00F05723">
      <w:pPr>
        <w:spacing w:line="240" w:lineRule="exact"/>
        <w:rPr>
          <w:rFonts w:ascii="Verdana" w:hAnsi="Verdana"/>
          <w:i/>
          <w:iCs/>
          <w:sz w:val="18"/>
          <w:szCs w:val="18"/>
        </w:rPr>
      </w:pPr>
      <w:r w:rsidRPr="00F05723">
        <w:rPr>
          <w:rFonts w:ascii="Verdana" w:hAnsi="Verdana"/>
          <w:i/>
          <w:iCs/>
          <w:sz w:val="18"/>
          <w:szCs w:val="18"/>
        </w:rPr>
        <w:t xml:space="preserve">Uitvoering motie </w:t>
      </w:r>
      <w:proofErr w:type="spellStart"/>
      <w:r w:rsidRPr="00F05723">
        <w:rPr>
          <w:rFonts w:ascii="Verdana" w:hAnsi="Verdana"/>
          <w:i/>
          <w:iCs/>
          <w:sz w:val="18"/>
          <w:szCs w:val="18"/>
        </w:rPr>
        <w:t>Kerstens</w:t>
      </w:r>
      <w:proofErr w:type="spellEnd"/>
      <w:r w:rsidRPr="00F05723">
        <w:rPr>
          <w:rFonts w:ascii="Verdana" w:hAnsi="Verdana"/>
          <w:i/>
          <w:iCs/>
          <w:sz w:val="18"/>
          <w:szCs w:val="18"/>
        </w:rPr>
        <w:t xml:space="preserve"> (herstructurering sociale werkplaatsen)</w:t>
      </w:r>
    </w:p>
    <w:p w:rsidRPr="00F05723" w:rsidR="00F05723" w:rsidP="00F05723" w:rsidRDefault="00F05723">
      <w:pPr>
        <w:spacing w:line="240" w:lineRule="exact"/>
        <w:rPr>
          <w:rFonts w:ascii="Verdana" w:hAnsi="Verdana"/>
          <w:sz w:val="18"/>
          <w:szCs w:val="18"/>
        </w:rPr>
      </w:pPr>
      <w:r w:rsidRPr="00F05723">
        <w:rPr>
          <w:rFonts w:ascii="Verdana" w:hAnsi="Verdana"/>
          <w:sz w:val="18"/>
          <w:szCs w:val="18"/>
        </w:rPr>
        <w:t xml:space="preserve">Dit betreft een overboeking naar het Gemeentefonds ten behoeve van een decentralisatie-uitkering in verband met de door de Tweede Kamer aangenomen motie </w:t>
      </w:r>
      <w:proofErr w:type="spellStart"/>
      <w:r w:rsidRPr="00F05723">
        <w:rPr>
          <w:rFonts w:ascii="Verdana" w:hAnsi="Verdana"/>
          <w:sz w:val="18"/>
          <w:szCs w:val="18"/>
        </w:rPr>
        <w:t>Kerstens</w:t>
      </w:r>
      <w:proofErr w:type="spellEnd"/>
      <w:r w:rsidRPr="00F05723">
        <w:rPr>
          <w:rFonts w:ascii="Verdana" w:hAnsi="Verdana"/>
          <w:sz w:val="18"/>
          <w:szCs w:val="18"/>
        </w:rPr>
        <w:t xml:space="preserve"> voor de herstructurering van de sociale werkvoorziening via een landelijk sectorplan. </w:t>
      </w:r>
    </w:p>
    <w:p w:rsidR="00FD7153" w:rsidRDefault="00FD7153">
      <w:pPr>
        <w:rPr>
          <w:rFonts w:ascii="Verdana" w:hAnsi="Verdana" w:cs="Verdana"/>
          <w:b/>
          <w:bCs/>
          <w:sz w:val="18"/>
          <w:szCs w:val="18"/>
        </w:rPr>
      </w:pPr>
      <w:r>
        <w:rPr>
          <w:rFonts w:ascii="Verdana" w:hAnsi="Verdana" w:cs="Verdana"/>
          <w:b/>
          <w:bCs/>
          <w:sz w:val="18"/>
          <w:szCs w:val="18"/>
        </w:rPr>
        <w:br w:type="page"/>
      </w:r>
    </w:p>
    <w:p w:rsidRPr="00533D5C" w:rsidR="00512EDB" w:rsidP="00533D5C" w:rsidRDefault="00C05141">
      <w:pPr>
        <w:spacing w:line="240" w:lineRule="exact"/>
        <w:rPr>
          <w:rFonts w:ascii="Verdana" w:hAnsi="Verdana" w:cs="Verdana"/>
          <w:b/>
          <w:bCs/>
          <w:sz w:val="18"/>
          <w:szCs w:val="18"/>
        </w:rPr>
      </w:pPr>
      <w:r w:rsidRPr="003E7400">
        <w:rPr>
          <w:rFonts w:ascii="Verdana" w:hAnsi="Verdana" w:cs="Verdana"/>
          <w:b/>
          <w:bCs/>
          <w:sz w:val="18"/>
          <w:szCs w:val="18"/>
        </w:rPr>
        <w:lastRenderedPageBreak/>
        <w:t>Provinciefonds</w:t>
      </w:r>
    </w:p>
    <w:tbl>
      <w:tblPr>
        <w:tblW w:w="0" w:type="auto"/>
        <w:tblCellMar>
          <w:top w:w="15" w:type="dxa"/>
          <w:left w:w="15" w:type="dxa"/>
          <w:bottom w:w="15" w:type="dxa"/>
          <w:right w:w="15" w:type="dxa"/>
        </w:tblCellMar>
        <w:tblLook w:val="04A0"/>
      </w:tblPr>
      <w:tblGrid>
        <w:gridCol w:w="8220"/>
        <w:gridCol w:w="29"/>
        <w:gridCol w:w="853"/>
      </w:tblGrid>
      <w:tr w:rsidR="00C50E86" w:rsidTr="00C50E86">
        <w:tc>
          <w:tcPr>
            <w:tcW w:w="8220" w:type="dxa"/>
            <w:tcBorders>
              <w:left w:val="nil"/>
              <w:right w:val="nil"/>
            </w:tcBorders>
            <w:hideMark/>
          </w:tcPr>
          <w:p w:rsidR="00C50E86" w:rsidP="006D23DC" w:rsidRDefault="00C50E86">
            <w:pPr>
              <w:rPr>
                <w:rFonts w:ascii="Verdana" w:hAnsi="Verdana"/>
                <w:sz w:val="18"/>
                <w:szCs w:val="18"/>
              </w:rPr>
            </w:pPr>
          </w:p>
        </w:tc>
        <w:tc>
          <w:tcPr>
            <w:tcW w:w="882" w:type="dxa"/>
            <w:gridSpan w:val="2"/>
            <w:tcBorders>
              <w:left w:val="nil"/>
              <w:right w:val="nil"/>
            </w:tcBorders>
            <w:hideMark/>
          </w:tcPr>
          <w:p w:rsidR="00C50E86" w:rsidP="006D23DC" w:rsidRDefault="00C50E86">
            <w:pPr>
              <w:rPr>
                <w:rFonts w:ascii="Verdana" w:hAnsi="Verdana"/>
                <w:sz w:val="18"/>
                <w:szCs w:val="18"/>
              </w:rPr>
            </w:pPr>
            <w:r>
              <w:rPr>
                <w:rFonts w:ascii="Verdana" w:hAnsi="Verdana"/>
                <w:sz w:val="18"/>
                <w:szCs w:val="18"/>
              </w:rPr>
              <w:t> </w:t>
            </w:r>
          </w:p>
        </w:tc>
      </w:tr>
      <w:tr w:rsidR="00C50E86" w:rsidTr="006D23DC">
        <w:tc>
          <w:tcPr>
            <w:tcW w:w="0" w:type="auto"/>
            <w:tcBorders>
              <w:left w:val="nil"/>
              <w:right w:val="nil"/>
            </w:tcBorders>
            <w:hideMark/>
          </w:tcPr>
          <w:p w:rsidR="00C50E86" w:rsidP="006D23DC" w:rsidRDefault="00C50E86">
            <w:pPr>
              <w:rPr>
                <w:rFonts w:ascii="Verdana" w:hAnsi="Verdana"/>
                <w:sz w:val="18"/>
                <w:szCs w:val="18"/>
              </w:rPr>
            </w:pPr>
            <w:r>
              <w:rPr>
                <w:rFonts w:ascii="Verdana" w:hAnsi="Verdana"/>
                <w:sz w:val="18"/>
                <w:szCs w:val="18"/>
              </w:rPr>
              <w:t>C PROVINCIEFONDS: UITGAVEN</w:t>
            </w:r>
          </w:p>
        </w:tc>
        <w:tc>
          <w:tcPr>
            <w:tcW w:w="0" w:type="auto"/>
            <w:gridSpan w:val="2"/>
            <w:hideMark/>
          </w:tcPr>
          <w:p w:rsidR="00C50E86" w:rsidP="006D23DC" w:rsidRDefault="00C50E86">
            <w:pPr>
              <w:rPr>
                <w:sz w:val="20"/>
                <w:szCs w:val="20"/>
              </w:rPr>
            </w:pPr>
          </w:p>
        </w:tc>
      </w:tr>
      <w:tr w:rsidR="00C50E86" w:rsidTr="006D23DC">
        <w:tc>
          <w:tcPr>
            <w:tcW w:w="0" w:type="auto"/>
            <w:tcBorders>
              <w:top w:val="single" w:color="000000" w:sz="6" w:space="0"/>
              <w:left w:val="nil"/>
              <w:bottom w:val="single" w:color="000000" w:sz="6" w:space="0"/>
              <w:right w:val="nil"/>
            </w:tcBorders>
            <w:hideMark/>
          </w:tcPr>
          <w:p w:rsidR="00C50E86" w:rsidP="006D23DC" w:rsidRDefault="00C50E86">
            <w:pPr>
              <w:jc w:val="right"/>
              <w:rPr>
                <w:rFonts w:ascii="Verdana" w:hAnsi="Verdana"/>
                <w:sz w:val="18"/>
                <w:szCs w:val="18"/>
              </w:rPr>
            </w:pPr>
          </w:p>
        </w:tc>
        <w:tc>
          <w:tcPr>
            <w:tcW w:w="0" w:type="auto"/>
            <w:gridSpan w:val="2"/>
            <w:tcBorders>
              <w:top w:val="single" w:color="000000" w:sz="6" w:space="0"/>
              <w:left w:val="nil"/>
              <w:bottom w:val="single" w:color="000000" w:sz="6" w:space="0"/>
              <w:right w:val="nil"/>
            </w:tcBorders>
            <w:hideMark/>
          </w:tcPr>
          <w:p w:rsidR="00C50E86" w:rsidP="006D23DC" w:rsidRDefault="00C50E86">
            <w:pPr>
              <w:jc w:val="right"/>
              <w:rPr>
                <w:rFonts w:ascii="Verdana" w:hAnsi="Verdana"/>
                <w:sz w:val="18"/>
                <w:szCs w:val="18"/>
              </w:rPr>
            </w:pPr>
            <w:r>
              <w:rPr>
                <w:rFonts w:ascii="Verdana" w:hAnsi="Verdana"/>
                <w:sz w:val="18"/>
                <w:szCs w:val="18"/>
              </w:rPr>
              <w:t>2015</w:t>
            </w:r>
          </w:p>
        </w:tc>
      </w:tr>
      <w:tr w:rsidR="00C50E86" w:rsidTr="006D23DC">
        <w:tc>
          <w:tcPr>
            <w:tcW w:w="0" w:type="auto"/>
            <w:tcBorders>
              <w:left w:val="nil"/>
              <w:right w:val="nil"/>
            </w:tcBorders>
            <w:hideMark/>
          </w:tcPr>
          <w:p w:rsidR="00C50E86" w:rsidP="006D23DC" w:rsidRDefault="00C50E86">
            <w:pPr>
              <w:rPr>
                <w:rFonts w:ascii="Verdana" w:hAnsi="Verdana"/>
                <w:sz w:val="18"/>
                <w:szCs w:val="18"/>
              </w:rPr>
            </w:pPr>
            <w:r>
              <w:rPr>
                <w:rFonts w:ascii="Verdana" w:hAnsi="Verdana"/>
                <w:sz w:val="18"/>
                <w:szCs w:val="18"/>
              </w:rPr>
              <w:t>Stand Miljoenennota 2016 (excl. IS)</w:t>
            </w:r>
          </w:p>
        </w:tc>
        <w:tc>
          <w:tcPr>
            <w:tcW w:w="0" w:type="auto"/>
            <w:gridSpan w:val="2"/>
            <w:tcBorders>
              <w:top w:val="single" w:color="000000" w:sz="6" w:space="0"/>
              <w:left w:val="nil"/>
              <w:right w:val="nil"/>
            </w:tcBorders>
            <w:hideMark/>
          </w:tcPr>
          <w:p w:rsidR="00C50E86" w:rsidP="006D23DC" w:rsidRDefault="00C50E86">
            <w:pPr>
              <w:jc w:val="right"/>
              <w:rPr>
                <w:rFonts w:ascii="Verdana" w:hAnsi="Verdana"/>
                <w:sz w:val="18"/>
                <w:szCs w:val="18"/>
              </w:rPr>
            </w:pPr>
            <w:r>
              <w:rPr>
                <w:rFonts w:ascii="Verdana" w:hAnsi="Verdana"/>
                <w:sz w:val="18"/>
                <w:szCs w:val="18"/>
              </w:rPr>
              <w:t>1.077,4</w:t>
            </w:r>
          </w:p>
        </w:tc>
      </w:tr>
      <w:tr w:rsidR="00C50E86" w:rsidTr="006D23DC">
        <w:tc>
          <w:tcPr>
            <w:tcW w:w="0" w:type="auto"/>
            <w:tcBorders>
              <w:left w:val="nil"/>
              <w:right w:val="nil"/>
            </w:tcBorders>
            <w:hideMark/>
          </w:tcPr>
          <w:p w:rsidR="00C50E86" w:rsidP="006D23DC" w:rsidRDefault="00C50E86">
            <w:pPr>
              <w:rPr>
                <w:rFonts w:ascii="Verdana" w:hAnsi="Verdana"/>
                <w:sz w:val="18"/>
                <w:szCs w:val="18"/>
              </w:rPr>
            </w:pPr>
            <w:r>
              <w:rPr>
                <w:rFonts w:ascii="Verdana" w:hAnsi="Verdana"/>
                <w:sz w:val="18"/>
                <w:szCs w:val="18"/>
              </w:rPr>
              <w:t>Technische mutaties</w:t>
            </w:r>
          </w:p>
        </w:tc>
        <w:tc>
          <w:tcPr>
            <w:tcW w:w="0" w:type="auto"/>
            <w:gridSpan w:val="2"/>
            <w:hideMark/>
          </w:tcPr>
          <w:p w:rsidR="00C50E86" w:rsidP="006D23DC" w:rsidRDefault="00C50E86">
            <w:pPr>
              <w:rPr>
                <w:sz w:val="20"/>
                <w:szCs w:val="20"/>
              </w:rPr>
            </w:pPr>
          </w:p>
        </w:tc>
      </w:tr>
      <w:tr w:rsidR="00C50E86" w:rsidTr="006D23DC">
        <w:tc>
          <w:tcPr>
            <w:tcW w:w="0" w:type="auto"/>
            <w:tcBorders>
              <w:left w:val="nil"/>
              <w:right w:val="nil"/>
            </w:tcBorders>
            <w:tcMar>
              <w:top w:w="15" w:type="dxa"/>
              <w:left w:w="180" w:type="dxa"/>
              <w:bottom w:w="15" w:type="dxa"/>
              <w:right w:w="15" w:type="dxa"/>
            </w:tcMar>
            <w:vAlign w:val="both"/>
            <w:hideMark/>
          </w:tcPr>
          <w:p w:rsidR="00C50E86" w:rsidP="006D23DC" w:rsidRDefault="00C50E86">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C50E86" w:rsidP="006D23DC" w:rsidRDefault="00C50E86">
            <w:pPr>
              <w:rPr>
                <w:sz w:val="20"/>
                <w:szCs w:val="20"/>
              </w:rPr>
            </w:pPr>
          </w:p>
        </w:tc>
      </w:tr>
      <w:tr w:rsidR="00C50E86" w:rsidTr="006D23DC">
        <w:tc>
          <w:tcPr>
            <w:tcW w:w="0" w:type="auto"/>
            <w:tcBorders>
              <w:left w:val="nil"/>
              <w:right w:val="nil"/>
            </w:tcBorders>
            <w:tcMar>
              <w:top w:w="15" w:type="dxa"/>
              <w:left w:w="360" w:type="dxa"/>
              <w:bottom w:w="15" w:type="dxa"/>
              <w:right w:w="15" w:type="dxa"/>
            </w:tcMar>
            <w:vAlign w:val="both"/>
            <w:hideMark/>
          </w:tcPr>
          <w:p w:rsidR="00C50E86" w:rsidP="006D23DC" w:rsidRDefault="00C50E86">
            <w:pPr>
              <w:ind w:firstLine="360" w:firstLineChars="200"/>
              <w:rPr>
                <w:rFonts w:ascii="Verdana" w:hAnsi="Verdana"/>
                <w:sz w:val="18"/>
                <w:szCs w:val="18"/>
              </w:rPr>
            </w:pPr>
            <w:proofErr w:type="spellStart"/>
            <w:r>
              <w:rPr>
                <w:rFonts w:ascii="Verdana" w:hAnsi="Verdana"/>
                <w:sz w:val="18"/>
                <w:szCs w:val="18"/>
              </w:rPr>
              <w:t>Mkb</w:t>
            </w:r>
            <w:proofErr w:type="spellEnd"/>
            <w:r>
              <w:rPr>
                <w:rFonts w:ascii="Verdana" w:hAnsi="Verdana"/>
                <w:sz w:val="18"/>
                <w:szCs w:val="18"/>
              </w:rPr>
              <w:t xml:space="preserve"> innovatie topsectoren</w:t>
            </w:r>
          </w:p>
        </w:tc>
        <w:tc>
          <w:tcPr>
            <w:tcW w:w="0" w:type="auto"/>
            <w:gridSpan w:val="2"/>
            <w:tcBorders>
              <w:left w:val="nil"/>
              <w:right w:val="nil"/>
            </w:tcBorders>
            <w:hideMark/>
          </w:tcPr>
          <w:p w:rsidR="00C50E86" w:rsidP="006D23DC" w:rsidRDefault="00C50E86">
            <w:pPr>
              <w:jc w:val="right"/>
              <w:rPr>
                <w:rFonts w:ascii="Verdana" w:hAnsi="Verdana"/>
                <w:sz w:val="18"/>
                <w:szCs w:val="18"/>
              </w:rPr>
            </w:pPr>
            <w:r>
              <w:rPr>
                <w:rFonts w:ascii="Verdana" w:hAnsi="Verdana"/>
                <w:sz w:val="18"/>
                <w:szCs w:val="18"/>
              </w:rPr>
              <w:t>15,0</w:t>
            </w:r>
          </w:p>
        </w:tc>
      </w:tr>
      <w:tr w:rsidR="00C50E86" w:rsidTr="006D23DC">
        <w:tc>
          <w:tcPr>
            <w:tcW w:w="0" w:type="auto"/>
            <w:tcBorders>
              <w:left w:val="nil"/>
              <w:right w:val="nil"/>
            </w:tcBorders>
            <w:tcMar>
              <w:top w:w="15" w:type="dxa"/>
              <w:left w:w="360" w:type="dxa"/>
              <w:bottom w:w="15" w:type="dxa"/>
              <w:right w:w="15" w:type="dxa"/>
            </w:tcMar>
            <w:vAlign w:val="both"/>
            <w:hideMark/>
          </w:tcPr>
          <w:p w:rsidR="00C50E86" w:rsidP="006D23DC" w:rsidRDefault="00C50E86">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C50E86" w:rsidP="006D23DC" w:rsidRDefault="00C50E86">
            <w:pPr>
              <w:jc w:val="right"/>
              <w:rPr>
                <w:rFonts w:ascii="Verdana" w:hAnsi="Verdana"/>
                <w:sz w:val="18"/>
                <w:szCs w:val="18"/>
              </w:rPr>
            </w:pPr>
            <w:r>
              <w:rPr>
                <w:rFonts w:ascii="Verdana" w:hAnsi="Verdana"/>
                <w:sz w:val="18"/>
                <w:szCs w:val="18"/>
              </w:rPr>
              <w:t>22,2</w:t>
            </w:r>
          </w:p>
        </w:tc>
      </w:tr>
      <w:tr w:rsidR="00C50E86" w:rsidTr="006D23DC">
        <w:tc>
          <w:tcPr>
            <w:tcW w:w="0" w:type="auto"/>
            <w:tcBorders>
              <w:left w:val="nil"/>
              <w:right w:val="nil"/>
            </w:tcBorders>
            <w:hideMark/>
          </w:tcPr>
          <w:p w:rsidR="00C50E86" w:rsidP="006D23DC" w:rsidRDefault="00C50E86">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C50E86" w:rsidP="006D23DC" w:rsidRDefault="00C50E86">
            <w:pPr>
              <w:jc w:val="right"/>
              <w:rPr>
                <w:rFonts w:ascii="Verdana" w:hAnsi="Verdana"/>
                <w:sz w:val="18"/>
                <w:szCs w:val="18"/>
              </w:rPr>
            </w:pPr>
            <w:r>
              <w:rPr>
                <w:rFonts w:ascii="Verdana" w:hAnsi="Verdana"/>
                <w:sz w:val="18"/>
                <w:szCs w:val="18"/>
              </w:rPr>
              <w:t>37,2</w:t>
            </w:r>
          </w:p>
        </w:tc>
      </w:tr>
      <w:tr w:rsidR="00C50E86" w:rsidTr="006D23DC">
        <w:tc>
          <w:tcPr>
            <w:tcW w:w="0" w:type="auto"/>
            <w:tcBorders>
              <w:left w:val="nil"/>
              <w:right w:val="nil"/>
            </w:tcBorders>
            <w:hideMark/>
          </w:tcPr>
          <w:p w:rsidR="00C50E86" w:rsidP="006D23DC" w:rsidRDefault="00C50E86">
            <w:pPr>
              <w:rPr>
                <w:rFonts w:ascii="Verdana" w:hAnsi="Verdana"/>
                <w:sz w:val="18"/>
                <w:szCs w:val="18"/>
              </w:rPr>
            </w:pPr>
            <w:r>
              <w:rPr>
                <w:rFonts w:ascii="Verdana" w:hAnsi="Verdana"/>
                <w:sz w:val="18"/>
                <w:szCs w:val="18"/>
              </w:rPr>
              <w:t>Totaal mutaties sinds Miljoenennota 2016</w:t>
            </w:r>
          </w:p>
        </w:tc>
        <w:tc>
          <w:tcPr>
            <w:tcW w:w="0" w:type="auto"/>
            <w:gridSpan w:val="2"/>
            <w:tcBorders>
              <w:left w:val="nil"/>
              <w:right w:val="nil"/>
            </w:tcBorders>
            <w:hideMark/>
          </w:tcPr>
          <w:p w:rsidR="00C50E86" w:rsidP="006D23DC" w:rsidRDefault="00C50E86">
            <w:pPr>
              <w:jc w:val="right"/>
              <w:rPr>
                <w:rFonts w:ascii="Verdana" w:hAnsi="Verdana"/>
                <w:sz w:val="18"/>
                <w:szCs w:val="18"/>
              </w:rPr>
            </w:pPr>
            <w:r>
              <w:rPr>
                <w:rFonts w:ascii="Verdana" w:hAnsi="Verdana"/>
                <w:sz w:val="18"/>
                <w:szCs w:val="18"/>
              </w:rPr>
              <w:t>37,2</w:t>
            </w:r>
          </w:p>
        </w:tc>
      </w:tr>
      <w:tr w:rsidR="00C50E86" w:rsidTr="006D23DC">
        <w:tc>
          <w:tcPr>
            <w:tcW w:w="0" w:type="auto"/>
            <w:tcBorders>
              <w:left w:val="nil"/>
              <w:right w:val="nil"/>
            </w:tcBorders>
            <w:hideMark/>
          </w:tcPr>
          <w:p w:rsidR="00C50E86" w:rsidP="006D23DC" w:rsidRDefault="00C50E86">
            <w:pPr>
              <w:rPr>
                <w:rFonts w:ascii="Verdana" w:hAnsi="Verdana"/>
                <w:sz w:val="18"/>
                <w:szCs w:val="18"/>
              </w:rPr>
            </w:pPr>
            <w:r>
              <w:rPr>
                <w:rFonts w:ascii="Verdana" w:hAnsi="Verdana"/>
                <w:sz w:val="18"/>
                <w:szCs w:val="18"/>
              </w:rPr>
              <w:t> </w:t>
            </w:r>
          </w:p>
        </w:tc>
        <w:tc>
          <w:tcPr>
            <w:tcW w:w="0" w:type="auto"/>
            <w:gridSpan w:val="2"/>
            <w:hideMark/>
          </w:tcPr>
          <w:p w:rsidR="00C50E86" w:rsidP="006D23DC" w:rsidRDefault="00C50E86">
            <w:pPr>
              <w:rPr>
                <w:sz w:val="20"/>
                <w:szCs w:val="20"/>
              </w:rPr>
            </w:pPr>
          </w:p>
        </w:tc>
      </w:tr>
      <w:tr w:rsidR="00C50E86" w:rsidTr="006D23DC">
        <w:tc>
          <w:tcPr>
            <w:tcW w:w="0" w:type="auto"/>
            <w:tcBorders>
              <w:left w:val="nil"/>
              <w:right w:val="nil"/>
            </w:tcBorders>
            <w:hideMark/>
          </w:tcPr>
          <w:p w:rsidR="00C50E86" w:rsidP="006D23DC" w:rsidRDefault="00C50E86">
            <w:pPr>
              <w:rPr>
                <w:rFonts w:ascii="Verdana" w:hAnsi="Verdana"/>
                <w:sz w:val="18"/>
                <w:szCs w:val="18"/>
              </w:rPr>
            </w:pPr>
            <w:r>
              <w:rPr>
                <w:rFonts w:ascii="Verdana" w:hAnsi="Verdana"/>
                <w:sz w:val="18"/>
                <w:szCs w:val="18"/>
              </w:rPr>
              <w:t>Stand Najaarsnota 2015 (subtotaal)</w:t>
            </w:r>
          </w:p>
        </w:tc>
        <w:tc>
          <w:tcPr>
            <w:tcW w:w="0" w:type="auto"/>
            <w:gridSpan w:val="2"/>
            <w:tcBorders>
              <w:top w:val="single" w:color="000000" w:sz="6" w:space="0"/>
              <w:left w:val="nil"/>
              <w:right w:val="nil"/>
            </w:tcBorders>
            <w:hideMark/>
          </w:tcPr>
          <w:p w:rsidR="00C50E86" w:rsidP="006D23DC" w:rsidRDefault="00C50E86">
            <w:pPr>
              <w:jc w:val="right"/>
              <w:rPr>
                <w:rFonts w:ascii="Verdana" w:hAnsi="Verdana"/>
                <w:sz w:val="18"/>
                <w:szCs w:val="18"/>
              </w:rPr>
            </w:pPr>
            <w:r>
              <w:rPr>
                <w:rFonts w:ascii="Verdana" w:hAnsi="Verdana"/>
                <w:sz w:val="18"/>
                <w:szCs w:val="18"/>
              </w:rPr>
              <w:t>1.114,6</w:t>
            </w:r>
          </w:p>
        </w:tc>
      </w:tr>
      <w:tr w:rsidR="00C50E86" w:rsidTr="006D23DC">
        <w:tc>
          <w:tcPr>
            <w:tcW w:w="0" w:type="auto"/>
            <w:tcBorders>
              <w:left w:val="nil"/>
              <w:right w:val="nil"/>
            </w:tcBorders>
            <w:hideMark/>
          </w:tcPr>
          <w:p w:rsidR="00C50E86" w:rsidP="006D23DC" w:rsidRDefault="00C50E86">
            <w:pPr>
              <w:rPr>
                <w:rFonts w:ascii="Verdana" w:hAnsi="Verdana"/>
                <w:sz w:val="18"/>
                <w:szCs w:val="18"/>
              </w:rPr>
            </w:pPr>
            <w:r>
              <w:rPr>
                <w:rFonts w:ascii="Verdana" w:hAnsi="Verdana"/>
                <w:sz w:val="18"/>
                <w:szCs w:val="18"/>
              </w:rPr>
              <w:t>Totaal Internationale samenwerking</w:t>
            </w:r>
          </w:p>
        </w:tc>
        <w:tc>
          <w:tcPr>
            <w:tcW w:w="0" w:type="auto"/>
            <w:gridSpan w:val="2"/>
            <w:tcBorders>
              <w:left w:val="nil"/>
              <w:right w:val="nil"/>
            </w:tcBorders>
            <w:hideMark/>
          </w:tcPr>
          <w:p w:rsidR="00C50E86" w:rsidP="006D23DC" w:rsidRDefault="00C50E86">
            <w:pPr>
              <w:jc w:val="right"/>
              <w:rPr>
                <w:rFonts w:ascii="Verdana" w:hAnsi="Verdana"/>
                <w:sz w:val="18"/>
                <w:szCs w:val="18"/>
              </w:rPr>
            </w:pPr>
            <w:r>
              <w:rPr>
                <w:rFonts w:ascii="Verdana" w:hAnsi="Verdana"/>
                <w:sz w:val="18"/>
                <w:szCs w:val="18"/>
              </w:rPr>
              <w:t>0,0</w:t>
            </w:r>
          </w:p>
        </w:tc>
      </w:tr>
      <w:tr w:rsidR="00C50E86" w:rsidTr="006D23DC">
        <w:tc>
          <w:tcPr>
            <w:tcW w:w="0" w:type="auto"/>
            <w:tcBorders>
              <w:left w:val="nil"/>
              <w:right w:val="nil"/>
            </w:tcBorders>
            <w:hideMark/>
          </w:tcPr>
          <w:p w:rsidR="00C50E86" w:rsidP="006D23DC" w:rsidRDefault="00C50E86">
            <w:pPr>
              <w:rPr>
                <w:rFonts w:ascii="Verdana" w:hAnsi="Verdana"/>
                <w:sz w:val="18"/>
                <w:szCs w:val="18"/>
              </w:rPr>
            </w:pPr>
            <w:r>
              <w:rPr>
                <w:rFonts w:ascii="Verdana" w:hAnsi="Verdana"/>
                <w:sz w:val="18"/>
                <w:szCs w:val="18"/>
              </w:rPr>
              <w:t>Stand Najaarsnota 2015</w:t>
            </w:r>
          </w:p>
        </w:tc>
        <w:tc>
          <w:tcPr>
            <w:tcW w:w="0" w:type="auto"/>
            <w:gridSpan w:val="2"/>
            <w:tcBorders>
              <w:top w:val="single" w:color="000000" w:sz="6" w:space="0"/>
              <w:left w:val="nil"/>
              <w:right w:val="nil"/>
            </w:tcBorders>
            <w:hideMark/>
          </w:tcPr>
          <w:p w:rsidR="00C50E86" w:rsidP="006D23DC" w:rsidRDefault="00C50E86">
            <w:pPr>
              <w:jc w:val="right"/>
              <w:rPr>
                <w:rFonts w:ascii="Verdana" w:hAnsi="Verdana"/>
                <w:sz w:val="18"/>
                <w:szCs w:val="18"/>
              </w:rPr>
            </w:pPr>
            <w:r>
              <w:rPr>
                <w:rFonts w:ascii="Verdana" w:hAnsi="Verdana"/>
                <w:sz w:val="18"/>
                <w:szCs w:val="18"/>
              </w:rPr>
              <w:t>1.114,6</w:t>
            </w:r>
          </w:p>
        </w:tc>
      </w:tr>
      <w:tr w:rsidR="00C50E86" w:rsidTr="00C50E86">
        <w:tc>
          <w:tcPr>
            <w:tcW w:w="8249" w:type="dxa"/>
            <w:gridSpan w:val="2"/>
            <w:tcBorders>
              <w:left w:val="nil"/>
              <w:right w:val="nil"/>
            </w:tcBorders>
            <w:hideMark/>
          </w:tcPr>
          <w:p w:rsidR="00C50E86" w:rsidP="006D23DC" w:rsidRDefault="00C50E86">
            <w:pPr>
              <w:rPr>
                <w:rFonts w:ascii="Verdana" w:hAnsi="Verdana"/>
                <w:sz w:val="18"/>
                <w:szCs w:val="18"/>
              </w:rPr>
            </w:pPr>
            <w:r>
              <w:rPr>
                <w:rFonts w:ascii="Verdana" w:hAnsi="Verdana"/>
                <w:sz w:val="18"/>
                <w:szCs w:val="18"/>
              </w:rPr>
              <w:t> </w:t>
            </w:r>
          </w:p>
        </w:tc>
        <w:tc>
          <w:tcPr>
            <w:tcW w:w="853" w:type="dxa"/>
            <w:tcBorders>
              <w:left w:val="nil"/>
              <w:right w:val="nil"/>
            </w:tcBorders>
            <w:hideMark/>
          </w:tcPr>
          <w:p w:rsidR="00C50E86" w:rsidP="006D23DC" w:rsidRDefault="00C50E86">
            <w:pPr>
              <w:rPr>
                <w:rFonts w:ascii="Verdana" w:hAnsi="Verdana"/>
                <w:sz w:val="18"/>
                <w:szCs w:val="18"/>
              </w:rPr>
            </w:pPr>
            <w:r>
              <w:rPr>
                <w:rFonts w:ascii="Verdana" w:hAnsi="Verdana"/>
                <w:sz w:val="18"/>
                <w:szCs w:val="18"/>
              </w:rPr>
              <w:t> </w:t>
            </w:r>
          </w:p>
        </w:tc>
      </w:tr>
      <w:tr w:rsidR="00C50E86" w:rsidTr="006D23DC">
        <w:tc>
          <w:tcPr>
            <w:tcW w:w="0" w:type="auto"/>
            <w:gridSpan w:val="2"/>
            <w:tcBorders>
              <w:left w:val="nil"/>
              <w:right w:val="nil"/>
            </w:tcBorders>
            <w:hideMark/>
          </w:tcPr>
          <w:p w:rsidR="00C50E86" w:rsidP="006D23DC" w:rsidRDefault="00C50E86">
            <w:pPr>
              <w:rPr>
                <w:rFonts w:ascii="Verdana" w:hAnsi="Verdana"/>
                <w:sz w:val="18"/>
                <w:szCs w:val="18"/>
              </w:rPr>
            </w:pPr>
            <w:r>
              <w:rPr>
                <w:rFonts w:ascii="Verdana" w:hAnsi="Verdana"/>
                <w:sz w:val="18"/>
                <w:szCs w:val="18"/>
              </w:rPr>
              <w:t>C PROVINCIEFONDS: NIET-BELASTINGONTVANGSTEN</w:t>
            </w:r>
          </w:p>
        </w:tc>
        <w:tc>
          <w:tcPr>
            <w:tcW w:w="0" w:type="auto"/>
            <w:hideMark/>
          </w:tcPr>
          <w:p w:rsidR="00C50E86" w:rsidP="006D23DC" w:rsidRDefault="00C50E86">
            <w:pPr>
              <w:rPr>
                <w:sz w:val="20"/>
                <w:szCs w:val="20"/>
              </w:rPr>
            </w:pPr>
          </w:p>
        </w:tc>
      </w:tr>
      <w:tr w:rsidR="00C50E86" w:rsidTr="006D23DC">
        <w:tc>
          <w:tcPr>
            <w:tcW w:w="0" w:type="auto"/>
            <w:gridSpan w:val="2"/>
            <w:tcBorders>
              <w:top w:val="single" w:color="000000" w:sz="6" w:space="0"/>
              <w:left w:val="nil"/>
              <w:bottom w:val="single" w:color="000000" w:sz="6" w:space="0"/>
              <w:right w:val="nil"/>
            </w:tcBorders>
            <w:hideMark/>
          </w:tcPr>
          <w:p w:rsidR="00C50E86" w:rsidP="006D23DC" w:rsidRDefault="00C50E86">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C50E86" w:rsidP="006D23DC" w:rsidRDefault="00C50E86">
            <w:pPr>
              <w:jc w:val="right"/>
              <w:rPr>
                <w:rFonts w:ascii="Verdana" w:hAnsi="Verdana"/>
                <w:sz w:val="18"/>
                <w:szCs w:val="18"/>
              </w:rPr>
            </w:pPr>
            <w:r>
              <w:rPr>
                <w:rFonts w:ascii="Verdana" w:hAnsi="Verdana"/>
                <w:sz w:val="18"/>
                <w:szCs w:val="18"/>
              </w:rPr>
              <w:t>2015</w:t>
            </w:r>
          </w:p>
        </w:tc>
      </w:tr>
      <w:tr w:rsidR="00C50E86" w:rsidTr="006D23DC">
        <w:tc>
          <w:tcPr>
            <w:tcW w:w="0" w:type="auto"/>
            <w:gridSpan w:val="2"/>
            <w:tcBorders>
              <w:left w:val="nil"/>
              <w:right w:val="nil"/>
            </w:tcBorders>
            <w:hideMark/>
          </w:tcPr>
          <w:p w:rsidR="00C50E86" w:rsidP="006D23DC" w:rsidRDefault="00C50E86">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C50E86" w:rsidP="006D23DC" w:rsidRDefault="00C50E86">
            <w:pPr>
              <w:jc w:val="right"/>
              <w:rPr>
                <w:rFonts w:ascii="Verdana" w:hAnsi="Verdana"/>
                <w:sz w:val="18"/>
                <w:szCs w:val="18"/>
              </w:rPr>
            </w:pPr>
            <w:r>
              <w:rPr>
                <w:rFonts w:ascii="Verdana" w:hAnsi="Verdana"/>
                <w:sz w:val="18"/>
                <w:szCs w:val="18"/>
              </w:rPr>
              <w:t>0,0</w:t>
            </w:r>
          </w:p>
        </w:tc>
      </w:tr>
      <w:tr w:rsidR="00C50E86" w:rsidTr="006D23DC">
        <w:tc>
          <w:tcPr>
            <w:tcW w:w="0" w:type="auto"/>
            <w:gridSpan w:val="2"/>
            <w:tcBorders>
              <w:left w:val="nil"/>
              <w:right w:val="nil"/>
            </w:tcBorders>
            <w:hideMark/>
          </w:tcPr>
          <w:p w:rsidR="00C50E86" w:rsidP="006D23DC" w:rsidRDefault="00C50E86">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C50E86" w:rsidP="006D23DC" w:rsidRDefault="00C50E86">
            <w:pPr>
              <w:jc w:val="right"/>
              <w:rPr>
                <w:rFonts w:ascii="Verdana" w:hAnsi="Verdana"/>
                <w:sz w:val="18"/>
                <w:szCs w:val="18"/>
              </w:rPr>
            </w:pPr>
            <w:r>
              <w:rPr>
                <w:rFonts w:ascii="Verdana" w:hAnsi="Verdana"/>
                <w:sz w:val="18"/>
                <w:szCs w:val="18"/>
              </w:rPr>
              <w:t>0,0</w:t>
            </w:r>
          </w:p>
        </w:tc>
      </w:tr>
      <w:tr w:rsidR="00C50E86" w:rsidTr="006D23DC">
        <w:tc>
          <w:tcPr>
            <w:tcW w:w="0" w:type="auto"/>
            <w:gridSpan w:val="2"/>
            <w:tcBorders>
              <w:left w:val="nil"/>
              <w:right w:val="nil"/>
            </w:tcBorders>
            <w:hideMark/>
          </w:tcPr>
          <w:p w:rsidR="00C50E86" w:rsidP="006D23DC" w:rsidRDefault="00C50E86">
            <w:pPr>
              <w:rPr>
                <w:rFonts w:ascii="Verdana" w:hAnsi="Verdana"/>
                <w:sz w:val="18"/>
                <w:szCs w:val="18"/>
              </w:rPr>
            </w:pPr>
            <w:r>
              <w:rPr>
                <w:rFonts w:ascii="Verdana" w:hAnsi="Verdana"/>
                <w:sz w:val="18"/>
                <w:szCs w:val="18"/>
              </w:rPr>
              <w:t> </w:t>
            </w:r>
          </w:p>
        </w:tc>
        <w:tc>
          <w:tcPr>
            <w:tcW w:w="0" w:type="auto"/>
            <w:hideMark/>
          </w:tcPr>
          <w:p w:rsidR="00C50E86" w:rsidP="006D23DC" w:rsidRDefault="00C50E86">
            <w:pPr>
              <w:rPr>
                <w:sz w:val="20"/>
                <w:szCs w:val="20"/>
              </w:rPr>
            </w:pPr>
          </w:p>
        </w:tc>
      </w:tr>
      <w:tr w:rsidR="00C50E86" w:rsidTr="006D23DC">
        <w:tc>
          <w:tcPr>
            <w:tcW w:w="0" w:type="auto"/>
            <w:gridSpan w:val="2"/>
            <w:tcBorders>
              <w:left w:val="nil"/>
              <w:right w:val="nil"/>
            </w:tcBorders>
            <w:hideMark/>
          </w:tcPr>
          <w:p w:rsidR="00C50E86" w:rsidP="006D23DC" w:rsidRDefault="00C50E86">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C50E86" w:rsidP="006D23DC" w:rsidRDefault="00C50E86">
            <w:pPr>
              <w:jc w:val="right"/>
              <w:rPr>
                <w:rFonts w:ascii="Verdana" w:hAnsi="Verdana"/>
                <w:sz w:val="18"/>
                <w:szCs w:val="18"/>
              </w:rPr>
            </w:pPr>
            <w:r>
              <w:rPr>
                <w:rFonts w:ascii="Verdana" w:hAnsi="Verdana"/>
                <w:sz w:val="18"/>
                <w:szCs w:val="18"/>
              </w:rPr>
              <w:t>0,0</w:t>
            </w:r>
          </w:p>
        </w:tc>
      </w:tr>
      <w:tr w:rsidR="00C50E86" w:rsidTr="006D23DC">
        <w:tc>
          <w:tcPr>
            <w:tcW w:w="0" w:type="auto"/>
            <w:gridSpan w:val="2"/>
            <w:tcBorders>
              <w:left w:val="nil"/>
              <w:right w:val="nil"/>
            </w:tcBorders>
            <w:hideMark/>
          </w:tcPr>
          <w:p w:rsidR="00C50E86" w:rsidP="006D23DC" w:rsidRDefault="00C50E86">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C50E86" w:rsidP="006D23DC" w:rsidRDefault="00C50E86">
            <w:pPr>
              <w:jc w:val="right"/>
              <w:rPr>
                <w:rFonts w:ascii="Verdana" w:hAnsi="Verdana"/>
                <w:sz w:val="18"/>
                <w:szCs w:val="18"/>
              </w:rPr>
            </w:pPr>
            <w:r>
              <w:rPr>
                <w:rFonts w:ascii="Verdana" w:hAnsi="Verdana"/>
                <w:sz w:val="18"/>
                <w:szCs w:val="18"/>
              </w:rPr>
              <w:t>0,0</w:t>
            </w:r>
          </w:p>
        </w:tc>
      </w:tr>
      <w:tr w:rsidR="00C50E86" w:rsidTr="006D23DC">
        <w:tc>
          <w:tcPr>
            <w:tcW w:w="0" w:type="auto"/>
            <w:gridSpan w:val="2"/>
            <w:tcBorders>
              <w:left w:val="nil"/>
              <w:right w:val="nil"/>
            </w:tcBorders>
            <w:hideMark/>
          </w:tcPr>
          <w:p w:rsidR="00C50E86" w:rsidP="006D23DC" w:rsidRDefault="00C50E86">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C50E86" w:rsidP="006D23DC" w:rsidRDefault="00C50E86">
            <w:pPr>
              <w:jc w:val="right"/>
              <w:rPr>
                <w:rFonts w:ascii="Verdana" w:hAnsi="Verdana"/>
                <w:sz w:val="18"/>
                <w:szCs w:val="18"/>
              </w:rPr>
            </w:pPr>
            <w:r>
              <w:rPr>
                <w:rFonts w:ascii="Verdana" w:hAnsi="Verdana"/>
                <w:sz w:val="18"/>
                <w:szCs w:val="18"/>
              </w:rPr>
              <w:t>0,0</w:t>
            </w:r>
          </w:p>
        </w:tc>
      </w:tr>
    </w:tbl>
    <w:p w:rsidRPr="00F83DB4" w:rsidR="00C50E86" w:rsidP="00F83DB4" w:rsidRDefault="00C50E86">
      <w:pPr>
        <w:spacing w:line="240" w:lineRule="exact"/>
        <w:rPr>
          <w:rFonts w:ascii="Verdana" w:hAnsi="Verdana" w:cs="Verdana"/>
          <w:b/>
          <w:bCs/>
          <w:sz w:val="18"/>
          <w:szCs w:val="18"/>
        </w:rPr>
      </w:pPr>
    </w:p>
    <w:p w:rsidRPr="00F83DB4" w:rsidR="00F83DB4" w:rsidP="00F83DB4" w:rsidRDefault="00F83DB4">
      <w:pPr>
        <w:spacing w:line="240" w:lineRule="exact"/>
        <w:rPr>
          <w:rFonts w:ascii="Verdana" w:hAnsi="Verdana" w:cs="Verdana"/>
          <w:b/>
          <w:bCs/>
          <w:sz w:val="18"/>
          <w:szCs w:val="18"/>
        </w:rPr>
      </w:pPr>
    </w:p>
    <w:p w:rsidRPr="00F83DB4" w:rsidR="00F83DB4" w:rsidP="00F83DB4" w:rsidRDefault="00F83DB4">
      <w:pPr>
        <w:spacing w:line="240" w:lineRule="exact"/>
        <w:rPr>
          <w:rFonts w:ascii="Verdana" w:hAnsi="Verdana"/>
          <w:i/>
          <w:iCs/>
          <w:sz w:val="18"/>
          <w:szCs w:val="18"/>
        </w:rPr>
      </w:pPr>
      <w:r w:rsidRPr="00F83DB4">
        <w:rPr>
          <w:rFonts w:ascii="Verdana" w:hAnsi="Verdana"/>
          <w:i/>
          <w:iCs/>
          <w:sz w:val="18"/>
          <w:szCs w:val="18"/>
        </w:rPr>
        <w:t>MKB innovatie topsectoren</w:t>
      </w:r>
    </w:p>
    <w:p w:rsidRPr="00F83DB4" w:rsidR="00F83DB4" w:rsidP="00F83DB4" w:rsidRDefault="00F83DB4">
      <w:pPr>
        <w:spacing w:line="240" w:lineRule="exact"/>
        <w:rPr>
          <w:rFonts w:ascii="Verdana" w:hAnsi="Verdana"/>
          <w:sz w:val="18"/>
          <w:szCs w:val="18"/>
        </w:rPr>
      </w:pPr>
      <w:r w:rsidRPr="00F83DB4">
        <w:rPr>
          <w:rFonts w:ascii="Verdana" w:hAnsi="Verdana"/>
          <w:sz w:val="18"/>
          <w:szCs w:val="18"/>
        </w:rPr>
        <w:t xml:space="preserve">In het kader van de Samenwerkingsagenda </w:t>
      </w:r>
      <w:proofErr w:type="spellStart"/>
      <w:r w:rsidRPr="00F83DB4">
        <w:rPr>
          <w:rFonts w:ascii="Verdana" w:hAnsi="Verdana"/>
          <w:sz w:val="18"/>
          <w:szCs w:val="18"/>
        </w:rPr>
        <w:t>Rijk-regio</w:t>
      </w:r>
      <w:proofErr w:type="spellEnd"/>
      <w:r w:rsidRPr="00F83DB4">
        <w:rPr>
          <w:rFonts w:ascii="Verdana" w:hAnsi="Verdana"/>
          <w:sz w:val="18"/>
          <w:szCs w:val="18"/>
        </w:rPr>
        <w:t xml:space="preserve"> wordt voor de uitvoering van de regeling MKB Innovatiestimulering Topsectoren budget overgemaakt naar het Provinciefonds.</w:t>
      </w:r>
    </w:p>
    <w:p w:rsidRPr="00533D5C" w:rsidR="002E65E1" w:rsidP="00533D5C" w:rsidRDefault="002E65E1">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512EDB" w:rsidP="00533D5C" w:rsidRDefault="00C05141">
      <w:pPr>
        <w:spacing w:line="240" w:lineRule="exact"/>
        <w:rPr>
          <w:rFonts w:ascii="Verdana" w:hAnsi="Verdana" w:cs="Verdana"/>
          <w:b/>
          <w:bCs/>
          <w:sz w:val="18"/>
          <w:szCs w:val="18"/>
        </w:rPr>
      </w:pPr>
      <w:r w:rsidRPr="006A0765">
        <w:rPr>
          <w:rFonts w:ascii="Verdana" w:hAnsi="Verdana" w:cs="Verdana"/>
          <w:b/>
          <w:bCs/>
          <w:sz w:val="18"/>
          <w:szCs w:val="18"/>
        </w:rPr>
        <w:lastRenderedPageBreak/>
        <w:t>Infrastructuurfonds</w:t>
      </w:r>
    </w:p>
    <w:tbl>
      <w:tblPr>
        <w:tblW w:w="0" w:type="auto"/>
        <w:tblCellMar>
          <w:top w:w="15" w:type="dxa"/>
          <w:left w:w="15" w:type="dxa"/>
          <w:bottom w:w="15" w:type="dxa"/>
          <w:right w:w="15" w:type="dxa"/>
        </w:tblCellMar>
        <w:tblLook w:val="04A0"/>
      </w:tblPr>
      <w:tblGrid>
        <w:gridCol w:w="8222"/>
        <w:gridCol w:w="880"/>
      </w:tblGrid>
      <w:tr w:rsidR="00BD2DFF" w:rsidTr="00BD2DFF">
        <w:tc>
          <w:tcPr>
            <w:tcW w:w="8222" w:type="dxa"/>
            <w:tcBorders>
              <w:left w:val="nil"/>
              <w:right w:val="nil"/>
            </w:tcBorders>
            <w:hideMark/>
          </w:tcPr>
          <w:p w:rsidR="00BD2DFF" w:rsidP="006D23DC" w:rsidRDefault="00BD2DFF">
            <w:pPr>
              <w:rPr>
                <w:rFonts w:ascii="Verdana" w:hAnsi="Verdana"/>
                <w:sz w:val="18"/>
                <w:szCs w:val="18"/>
              </w:rPr>
            </w:pPr>
          </w:p>
        </w:tc>
        <w:tc>
          <w:tcPr>
            <w:tcW w:w="880" w:type="dxa"/>
            <w:tcBorders>
              <w:left w:val="nil"/>
              <w:right w:val="nil"/>
            </w:tcBorders>
            <w:hideMark/>
          </w:tcPr>
          <w:p w:rsidR="00BD2DFF" w:rsidP="006D23DC" w:rsidRDefault="00BD2DFF">
            <w:pPr>
              <w:rPr>
                <w:rFonts w:ascii="Verdana" w:hAnsi="Verdana"/>
                <w:sz w:val="18"/>
                <w:szCs w:val="18"/>
              </w:rPr>
            </w:pPr>
            <w:r>
              <w:rPr>
                <w:rFonts w:ascii="Verdana" w:hAnsi="Verdana"/>
                <w:sz w:val="18"/>
                <w:szCs w:val="18"/>
              </w:rPr>
              <w:t> </w:t>
            </w:r>
          </w:p>
        </w:tc>
      </w:tr>
      <w:tr w:rsidR="00BD2DFF" w:rsidTr="006D23DC">
        <w:tc>
          <w:tcPr>
            <w:tcW w:w="0" w:type="auto"/>
            <w:tcBorders>
              <w:left w:val="nil"/>
              <w:right w:val="nil"/>
            </w:tcBorders>
            <w:hideMark/>
          </w:tcPr>
          <w:p w:rsidR="00BD2DFF" w:rsidP="006D23DC" w:rsidRDefault="00BD2DFF">
            <w:pPr>
              <w:rPr>
                <w:rFonts w:ascii="Verdana" w:hAnsi="Verdana"/>
                <w:sz w:val="18"/>
                <w:szCs w:val="18"/>
              </w:rPr>
            </w:pPr>
            <w:r>
              <w:rPr>
                <w:rFonts w:ascii="Verdana" w:hAnsi="Verdana"/>
                <w:sz w:val="18"/>
                <w:szCs w:val="18"/>
              </w:rPr>
              <w:t>A INFRASTRUCTUURFONDS: UITGAVEN</w:t>
            </w:r>
          </w:p>
        </w:tc>
        <w:tc>
          <w:tcPr>
            <w:tcW w:w="0" w:type="auto"/>
            <w:hideMark/>
          </w:tcPr>
          <w:p w:rsidR="00BD2DFF" w:rsidP="006D23DC" w:rsidRDefault="00BD2DFF">
            <w:pPr>
              <w:rPr>
                <w:sz w:val="20"/>
                <w:szCs w:val="20"/>
              </w:rPr>
            </w:pPr>
          </w:p>
        </w:tc>
      </w:tr>
      <w:tr w:rsidR="00BD2DFF" w:rsidTr="006D23DC">
        <w:tc>
          <w:tcPr>
            <w:tcW w:w="0" w:type="auto"/>
            <w:tcBorders>
              <w:top w:val="single" w:color="000000" w:sz="6" w:space="0"/>
              <w:left w:val="nil"/>
              <w:bottom w:val="single" w:color="000000" w:sz="6" w:space="0"/>
              <w:right w:val="nil"/>
            </w:tcBorders>
            <w:hideMark/>
          </w:tcPr>
          <w:p w:rsidR="00BD2DFF" w:rsidP="006D23DC" w:rsidRDefault="00BD2DFF">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BD2DFF" w:rsidP="006D23DC" w:rsidRDefault="00BD2DFF">
            <w:pPr>
              <w:jc w:val="right"/>
              <w:rPr>
                <w:rFonts w:ascii="Verdana" w:hAnsi="Verdana"/>
                <w:sz w:val="18"/>
                <w:szCs w:val="18"/>
              </w:rPr>
            </w:pPr>
            <w:r>
              <w:rPr>
                <w:rFonts w:ascii="Verdana" w:hAnsi="Verdana"/>
                <w:sz w:val="18"/>
                <w:szCs w:val="18"/>
              </w:rPr>
              <w:t>2015</w:t>
            </w:r>
          </w:p>
        </w:tc>
      </w:tr>
      <w:tr w:rsidR="00BD2DFF" w:rsidTr="006D23DC">
        <w:tc>
          <w:tcPr>
            <w:tcW w:w="0" w:type="auto"/>
            <w:tcBorders>
              <w:left w:val="nil"/>
              <w:right w:val="nil"/>
            </w:tcBorders>
            <w:hideMark/>
          </w:tcPr>
          <w:p w:rsidR="00BD2DFF" w:rsidP="006D23DC" w:rsidRDefault="00BD2DFF">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5.946,7</w:t>
            </w:r>
          </w:p>
        </w:tc>
      </w:tr>
      <w:tr w:rsidR="00BD2DFF" w:rsidTr="006D23DC">
        <w:tc>
          <w:tcPr>
            <w:tcW w:w="0" w:type="auto"/>
            <w:tcBorders>
              <w:left w:val="nil"/>
              <w:right w:val="nil"/>
            </w:tcBorders>
            <w:hideMark/>
          </w:tcPr>
          <w:p w:rsidR="00BD2DFF" w:rsidP="006D23DC" w:rsidRDefault="00BD2DFF">
            <w:pPr>
              <w:rPr>
                <w:rFonts w:ascii="Verdana" w:hAnsi="Verdana"/>
                <w:sz w:val="18"/>
                <w:szCs w:val="18"/>
              </w:rPr>
            </w:pPr>
            <w:r>
              <w:rPr>
                <w:rFonts w:ascii="Verdana" w:hAnsi="Verdana"/>
                <w:sz w:val="18"/>
                <w:szCs w:val="18"/>
              </w:rPr>
              <w:t>Beleidsmatige mutaties</w:t>
            </w:r>
          </w:p>
        </w:tc>
        <w:tc>
          <w:tcPr>
            <w:tcW w:w="0" w:type="auto"/>
            <w:hideMark/>
          </w:tcPr>
          <w:p w:rsidR="00BD2DFF" w:rsidP="006D23DC" w:rsidRDefault="00BD2DFF">
            <w:pPr>
              <w:rPr>
                <w:sz w:val="20"/>
                <w:szCs w:val="20"/>
              </w:rPr>
            </w:pPr>
          </w:p>
        </w:tc>
      </w:tr>
      <w:tr w:rsidR="00BD2DFF" w:rsidTr="006D23DC">
        <w:tc>
          <w:tcPr>
            <w:tcW w:w="0" w:type="auto"/>
            <w:tcBorders>
              <w:left w:val="nil"/>
              <w:right w:val="nil"/>
            </w:tcBorders>
            <w:tcMar>
              <w:top w:w="15" w:type="dxa"/>
              <w:left w:w="180" w:type="dxa"/>
              <w:bottom w:w="15" w:type="dxa"/>
              <w:right w:w="15" w:type="dxa"/>
            </w:tcMar>
            <w:vAlign w:val="both"/>
            <w:hideMark/>
          </w:tcPr>
          <w:p w:rsidR="00BD2DFF" w:rsidP="006D23DC" w:rsidRDefault="00BD2DFF">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BD2DFF" w:rsidP="006D23DC" w:rsidRDefault="00BD2DFF">
            <w:pPr>
              <w:rPr>
                <w:sz w:val="20"/>
                <w:szCs w:val="20"/>
              </w:rPr>
            </w:pPr>
          </w:p>
        </w:tc>
      </w:tr>
      <w:tr w:rsidR="00BD2DFF" w:rsidTr="006D23DC">
        <w:tc>
          <w:tcPr>
            <w:tcW w:w="0" w:type="auto"/>
            <w:tcBorders>
              <w:left w:val="nil"/>
              <w:right w:val="nil"/>
            </w:tcBorders>
            <w:tcMar>
              <w:top w:w="15" w:type="dxa"/>
              <w:left w:w="360" w:type="dxa"/>
              <w:bottom w:w="15" w:type="dxa"/>
              <w:right w:w="15" w:type="dxa"/>
            </w:tcMar>
            <w:vAlign w:val="both"/>
            <w:hideMark/>
          </w:tcPr>
          <w:p w:rsidR="00BD2DFF" w:rsidP="006D23DC" w:rsidRDefault="00BD2DFF">
            <w:pPr>
              <w:ind w:firstLine="360" w:firstLineChars="200"/>
              <w:rPr>
                <w:rFonts w:ascii="Verdana" w:hAnsi="Verdana"/>
                <w:sz w:val="18"/>
                <w:szCs w:val="18"/>
              </w:rPr>
            </w:pPr>
            <w:r>
              <w:rPr>
                <w:rFonts w:ascii="Verdana" w:hAnsi="Verdana"/>
                <w:sz w:val="18"/>
                <w:szCs w:val="18"/>
              </w:rPr>
              <w:t xml:space="preserve">Saldo 2015 </w:t>
            </w:r>
            <w:proofErr w:type="spellStart"/>
            <w:r>
              <w:rPr>
                <w:rFonts w:ascii="Verdana" w:hAnsi="Verdana"/>
                <w:sz w:val="18"/>
                <w:szCs w:val="18"/>
              </w:rPr>
              <w:t>hoofdvaarwegennet</w:t>
            </w:r>
            <w:proofErr w:type="spellEnd"/>
          </w:p>
        </w:tc>
        <w:tc>
          <w:tcPr>
            <w:tcW w:w="0" w:type="auto"/>
            <w:tcBorders>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-29,6</w:t>
            </w:r>
          </w:p>
        </w:tc>
      </w:tr>
      <w:tr w:rsidR="00BD2DFF" w:rsidTr="006D23DC">
        <w:tc>
          <w:tcPr>
            <w:tcW w:w="0" w:type="auto"/>
            <w:tcBorders>
              <w:left w:val="nil"/>
              <w:right w:val="nil"/>
            </w:tcBorders>
            <w:tcMar>
              <w:top w:w="15" w:type="dxa"/>
              <w:left w:w="360" w:type="dxa"/>
              <w:bottom w:w="15" w:type="dxa"/>
              <w:right w:w="15" w:type="dxa"/>
            </w:tcMar>
            <w:vAlign w:val="both"/>
            <w:hideMark/>
          </w:tcPr>
          <w:p w:rsidR="00BD2DFF" w:rsidP="006D23DC" w:rsidRDefault="00BD2DFF">
            <w:pPr>
              <w:ind w:firstLine="360" w:firstLineChars="200"/>
              <w:rPr>
                <w:rFonts w:ascii="Verdana" w:hAnsi="Verdana"/>
                <w:sz w:val="18"/>
                <w:szCs w:val="18"/>
              </w:rPr>
            </w:pPr>
            <w:r>
              <w:rPr>
                <w:rFonts w:ascii="Verdana" w:hAnsi="Verdana"/>
                <w:sz w:val="18"/>
                <w:szCs w:val="18"/>
              </w:rPr>
              <w:t>Saldo 2015 hoofdwegennet</w:t>
            </w:r>
          </w:p>
        </w:tc>
        <w:tc>
          <w:tcPr>
            <w:tcW w:w="0" w:type="auto"/>
            <w:tcBorders>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155,4</w:t>
            </w:r>
          </w:p>
        </w:tc>
      </w:tr>
      <w:tr w:rsidR="00BD2DFF" w:rsidTr="006D23DC">
        <w:tc>
          <w:tcPr>
            <w:tcW w:w="0" w:type="auto"/>
            <w:tcBorders>
              <w:left w:val="nil"/>
              <w:right w:val="nil"/>
            </w:tcBorders>
            <w:tcMar>
              <w:top w:w="15" w:type="dxa"/>
              <w:left w:w="360" w:type="dxa"/>
              <w:bottom w:w="15" w:type="dxa"/>
              <w:right w:w="15" w:type="dxa"/>
            </w:tcMar>
            <w:vAlign w:val="both"/>
            <w:hideMark/>
          </w:tcPr>
          <w:p w:rsidR="00BD2DFF" w:rsidP="006D23DC" w:rsidRDefault="00BD2DFF">
            <w:pPr>
              <w:ind w:firstLine="360" w:firstLineChars="200"/>
              <w:rPr>
                <w:rFonts w:ascii="Verdana" w:hAnsi="Verdana"/>
                <w:sz w:val="18"/>
                <w:szCs w:val="18"/>
              </w:rPr>
            </w:pPr>
            <w:r>
              <w:rPr>
                <w:rFonts w:ascii="Verdana" w:hAnsi="Verdana"/>
                <w:sz w:val="18"/>
                <w:szCs w:val="18"/>
              </w:rPr>
              <w:t>Saldo 2015 megaprojecten verkeer en vervoer</w:t>
            </w:r>
          </w:p>
        </w:tc>
        <w:tc>
          <w:tcPr>
            <w:tcW w:w="0" w:type="auto"/>
            <w:tcBorders>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-36,7</w:t>
            </w:r>
          </w:p>
        </w:tc>
      </w:tr>
      <w:tr w:rsidR="00BD2DFF" w:rsidTr="006D23DC">
        <w:tc>
          <w:tcPr>
            <w:tcW w:w="0" w:type="auto"/>
            <w:tcBorders>
              <w:left w:val="nil"/>
              <w:right w:val="nil"/>
            </w:tcBorders>
            <w:tcMar>
              <w:top w:w="15" w:type="dxa"/>
              <w:left w:w="360" w:type="dxa"/>
              <w:bottom w:w="15" w:type="dxa"/>
              <w:right w:w="15" w:type="dxa"/>
            </w:tcMar>
            <w:vAlign w:val="both"/>
            <w:hideMark/>
          </w:tcPr>
          <w:p w:rsidR="00BD2DFF" w:rsidP="006D23DC" w:rsidRDefault="00BD2DFF">
            <w:pPr>
              <w:ind w:firstLine="360" w:firstLineChars="200"/>
              <w:rPr>
                <w:rFonts w:ascii="Verdana" w:hAnsi="Verdana"/>
                <w:sz w:val="18"/>
                <w:szCs w:val="18"/>
              </w:rPr>
            </w:pPr>
            <w:r>
              <w:rPr>
                <w:rFonts w:ascii="Verdana" w:hAnsi="Verdana"/>
                <w:sz w:val="18"/>
                <w:szCs w:val="18"/>
              </w:rPr>
              <w:t>Saldo 2015 spoorwegen</w:t>
            </w:r>
          </w:p>
        </w:tc>
        <w:tc>
          <w:tcPr>
            <w:tcW w:w="0" w:type="auto"/>
            <w:tcBorders>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-240,5</w:t>
            </w:r>
          </w:p>
        </w:tc>
      </w:tr>
      <w:tr w:rsidR="00BD2DFF" w:rsidTr="006D23DC">
        <w:tc>
          <w:tcPr>
            <w:tcW w:w="0" w:type="auto"/>
            <w:tcBorders>
              <w:left w:val="nil"/>
              <w:right w:val="nil"/>
            </w:tcBorders>
            <w:tcMar>
              <w:top w:w="15" w:type="dxa"/>
              <w:left w:w="360" w:type="dxa"/>
              <w:bottom w:w="15" w:type="dxa"/>
              <w:right w:w="15" w:type="dxa"/>
            </w:tcMar>
            <w:vAlign w:val="both"/>
            <w:hideMark/>
          </w:tcPr>
          <w:p w:rsidR="00BD2DFF" w:rsidP="006D23DC" w:rsidRDefault="00BD2DFF">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-4,5</w:t>
            </w:r>
          </w:p>
        </w:tc>
      </w:tr>
      <w:tr w:rsidR="00BD2DFF" w:rsidTr="006D23DC">
        <w:tc>
          <w:tcPr>
            <w:tcW w:w="0" w:type="auto"/>
            <w:tcBorders>
              <w:left w:val="nil"/>
              <w:right w:val="nil"/>
            </w:tcBorders>
            <w:hideMark/>
          </w:tcPr>
          <w:p w:rsidR="00BD2DFF" w:rsidP="006D23DC" w:rsidRDefault="00BD2DFF">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-155,9</w:t>
            </w:r>
          </w:p>
        </w:tc>
      </w:tr>
      <w:tr w:rsidR="00BD2DFF" w:rsidTr="006D23DC">
        <w:tc>
          <w:tcPr>
            <w:tcW w:w="0" w:type="auto"/>
            <w:tcBorders>
              <w:left w:val="nil"/>
              <w:right w:val="nil"/>
            </w:tcBorders>
            <w:hideMark/>
          </w:tcPr>
          <w:p w:rsidR="00BD2DFF" w:rsidP="006D23DC" w:rsidRDefault="00BD2DFF">
            <w:pPr>
              <w:rPr>
                <w:rFonts w:ascii="Verdana" w:hAnsi="Verdana"/>
                <w:sz w:val="18"/>
                <w:szCs w:val="18"/>
              </w:rPr>
            </w:pPr>
            <w:r>
              <w:rPr>
                <w:rFonts w:ascii="Verdana" w:hAnsi="Verdana"/>
                <w:sz w:val="18"/>
                <w:szCs w:val="18"/>
              </w:rPr>
              <w:t>Technische mutaties</w:t>
            </w:r>
          </w:p>
        </w:tc>
        <w:tc>
          <w:tcPr>
            <w:tcW w:w="0" w:type="auto"/>
            <w:hideMark/>
          </w:tcPr>
          <w:p w:rsidR="00BD2DFF" w:rsidP="006D23DC" w:rsidRDefault="00BD2DFF">
            <w:pPr>
              <w:rPr>
                <w:sz w:val="20"/>
                <w:szCs w:val="20"/>
              </w:rPr>
            </w:pPr>
          </w:p>
        </w:tc>
      </w:tr>
      <w:tr w:rsidR="00BD2DFF" w:rsidTr="006D23DC">
        <w:tc>
          <w:tcPr>
            <w:tcW w:w="0" w:type="auto"/>
            <w:tcBorders>
              <w:left w:val="nil"/>
              <w:right w:val="nil"/>
            </w:tcBorders>
            <w:tcMar>
              <w:top w:w="15" w:type="dxa"/>
              <w:left w:w="180" w:type="dxa"/>
              <w:bottom w:w="15" w:type="dxa"/>
              <w:right w:w="15" w:type="dxa"/>
            </w:tcMar>
            <w:vAlign w:val="both"/>
            <w:hideMark/>
          </w:tcPr>
          <w:p w:rsidR="00BD2DFF" w:rsidP="006D23DC" w:rsidRDefault="00BD2DFF">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BD2DFF" w:rsidP="006D23DC" w:rsidRDefault="00BD2DFF">
            <w:pPr>
              <w:rPr>
                <w:sz w:val="20"/>
                <w:szCs w:val="20"/>
              </w:rPr>
            </w:pPr>
          </w:p>
        </w:tc>
      </w:tr>
      <w:tr w:rsidR="00BD2DFF" w:rsidTr="006D23DC">
        <w:tc>
          <w:tcPr>
            <w:tcW w:w="0" w:type="auto"/>
            <w:tcBorders>
              <w:left w:val="nil"/>
              <w:right w:val="nil"/>
            </w:tcBorders>
            <w:tcMar>
              <w:top w:w="15" w:type="dxa"/>
              <w:left w:w="360" w:type="dxa"/>
              <w:bottom w:w="15" w:type="dxa"/>
              <w:right w:w="15" w:type="dxa"/>
            </w:tcMar>
            <w:vAlign w:val="both"/>
            <w:hideMark/>
          </w:tcPr>
          <w:p w:rsidR="00BD2DFF" w:rsidP="006D23DC" w:rsidRDefault="00BD2DFF">
            <w:pPr>
              <w:ind w:firstLine="360" w:firstLineChars="200"/>
              <w:rPr>
                <w:rFonts w:ascii="Verdana" w:hAnsi="Verdana"/>
                <w:sz w:val="18"/>
                <w:szCs w:val="18"/>
              </w:rPr>
            </w:pPr>
            <w:r>
              <w:rPr>
                <w:rFonts w:ascii="Verdana" w:hAnsi="Verdana"/>
                <w:sz w:val="18"/>
                <w:szCs w:val="18"/>
              </w:rPr>
              <w:t xml:space="preserve">Vaststelling </w:t>
            </w:r>
            <w:proofErr w:type="spellStart"/>
            <w:r>
              <w:rPr>
                <w:rFonts w:ascii="Verdana" w:hAnsi="Verdana"/>
                <w:sz w:val="18"/>
                <w:szCs w:val="18"/>
              </w:rPr>
              <w:t>bov-subsidie</w:t>
            </w:r>
            <w:proofErr w:type="spellEnd"/>
            <w:r>
              <w:rPr>
                <w:rFonts w:ascii="Verdana" w:hAnsi="Verdana"/>
                <w:sz w:val="18"/>
                <w:szCs w:val="18"/>
              </w:rPr>
              <w:t xml:space="preserve"> 2014</w:t>
            </w:r>
          </w:p>
        </w:tc>
        <w:tc>
          <w:tcPr>
            <w:tcW w:w="0" w:type="auto"/>
            <w:tcBorders>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35,1</w:t>
            </w:r>
          </w:p>
        </w:tc>
      </w:tr>
      <w:tr w:rsidR="00BD2DFF" w:rsidTr="006D23DC">
        <w:tc>
          <w:tcPr>
            <w:tcW w:w="0" w:type="auto"/>
            <w:tcBorders>
              <w:left w:val="nil"/>
              <w:right w:val="nil"/>
            </w:tcBorders>
            <w:tcMar>
              <w:top w:w="15" w:type="dxa"/>
              <w:left w:w="360" w:type="dxa"/>
              <w:bottom w:w="15" w:type="dxa"/>
              <w:right w:w="15" w:type="dxa"/>
            </w:tcMar>
            <w:vAlign w:val="both"/>
            <w:hideMark/>
          </w:tcPr>
          <w:p w:rsidR="00BD2DFF" w:rsidP="006D23DC" w:rsidRDefault="00BD2DFF">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1,2</w:t>
            </w:r>
          </w:p>
        </w:tc>
      </w:tr>
      <w:tr w:rsidR="00BD2DFF" w:rsidTr="006D23DC">
        <w:tc>
          <w:tcPr>
            <w:tcW w:w="0" w:type="auto"/>
            <w:tcBorders>
              <w:left w:val="nil"/>
              <w:right w:val="nil"/>
            </w:tcBorders>
            <w:hideMark/>
          </w:tcPr>
          <w:p w:rsidR="00BD2DFF" w:rsidP="006D23DC" w:rsidRDefault="00BD2DFF">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36,3</w:t>
            </w:r>
          </w:p>
        </w:tc>
      </w:tr>
      <w:tr w:rsidR="00BD2DFF" w:rsidTr="006D23DC">
        <w:tc>
          <w:tcPr>
            <w:tcW w:w="0" w:type="auto"/>
            <w:tcBorders>
              <w:left w:val="nil"/>
              <w:right w:val="nil"/>
            </w:tcBorders>
            <w:hideMark/>
          </w:tcPr>
          <w:p w:rsidR="00BD2DFF" w:rsidP="006D23DC" w:rsidRDefault="00BD2DFF">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-119,6</w:t>
            </w:r>
          </w:p>
        </w:tc>
      </w:tr>
      <w:tr w:rsidR="00BD2DFF" w:rsidTr="006D23DC">
        <w:tc>
          <w:tcPr>
            <w:tcW w:w="0" w:type="auto"/>
            <w:tcBorders>
              <w:left w:val="nil"/>
              <w:right w:val="nil"/>
            </w:tcBorders>
            <w:hideMark/>
          </w:tcPr>
          <w:p w:rsidR="00BD2DFF" w:rsidP="006D23DC" w:rsidRDefault="00BD2DFF">
            <w:pPr>
              <w:rPr>
                <w:rFonts w:ascii="Verdana" w:hAnsi="Verdana"/>
                <w:sz w:val="18"/>
                <w:szCs w:val="18"/>
              </w:rPr>
            </w:pPr>
            <w:r>
              <w:rPr>
                <w:rFonts w:ascii="Verdana" w:hAnsi="Verdana"/>
                <w:sz w:val="18"/>
                <w:szCs w:val="18"/>
              </w:rPr>
              <w:t> </w:t>
            </w:r>
          </w:p>
        </w:tc>
        <w:tc>
          <w:tcPr>
            <w:tcW w:w="0" w:type="auto"/>
            <w:hideMark/>
          </w:tcPr>
          <w:p w:rsidR="00BD2DFF" w:rsidP="006D23DC" w:rsidRDefault="00BD2DFF">
            <w:pPr>
              <w:rPr>
                <w:sz w:val="20"/>
                <w:szCs w:val="20"/>
              </w:rPr>
            </w:pPr>
          </w:p>
        </w:tc>
      </w:tr>
      <w:tr w:rsidR="00BD2DFF" w:rsidTr="006D23DC">
        <w:tc>
          <w:tcPr>
            <w:tcW w:w="0" w:type="auto"/>
            <w:tcBorders>
              <w:left w:val="nil"/>
              <w:right w:val="nil"/>
            </w:tcBorders>
            <w:hideMark/>
          </w:tcPr>
          <w:p w:rsidR="00BD2DFF" w:rsidP="006D23DC" w:rsidRDefault="00BD2DFF">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5.827,1</w:t>
            </w:r>
          </w:p>
        </w:tc>
      </w:tr>
      <w:tr w:rsidR="00BD2DFF" w:rsidTr="006D23DC">
        <w:tc>
          <w:tcPr>
            <w:tcW w:w="0" w:type="auto"/>
            <w:tcBorders>
              <w:left w:val="nil"/>
              <w:right w:val="nil"/>
            </w:tcBorders>
            <w:hideMark/>
          </w:tcPr>
          <w:p w:rsidR="00BD2DFF" w:rsidP="006D23DC" w:rsidRDefault="00BD2DFF">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0,0</w:t>
            </w:r>
          </w:p>
        </w:tc>
      </w:tr>
      <w:tr w:rsidR="00BD2DFF" w:rsidTr="006D23DC">
        <w:tc>
          <w:tcPr>
            <w:tcW w:w="0" w:type="auto"/>
            <w:tcBorders>
              <w:left w:val="nil"/>
              <w:right w:val="nil"/>
            </w:tcBorders>
            <w:hideMark/>
          </w:tcPr>
          <w:p w:rsidR="00BD2DFF" w:rsidP="006D23DC" w:rsidRDefault="00BD2DFF">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5.827,1</w:t>
            </w:r>
          </w:p>
        </w:tc>
      </w:tr>
      <w:tr w:rsidR="00BD2DFF" w:rsidTr="00BD2DFF">
        <w:tc>
          <w:tcPr>
            <w:tcW w:w="8222" w:type="dxa"/>
            <w:tcBorders>
              <w:left w:val="nil"/>
              <w:right w:val="nil"/>
            </w:tcBorders>
            <w:hideMark/>
          </w:tcPr>
          <w:p w:rsidR="00BD2DFF" w:rsidP="006D23DC" w:rsidRDefault="00BD2DFF">
            <w:pPr>
              <w:rPr>
                <w:rFonts w:ascii="Verdana" w:hAnsi="Verdana"/>
                <w:sz w:val="18"/>
                <w:szCs w:val="18"/>
              </w:rPr>
            </w:pPr>
            <w:r>
              <w:rPr>
                <w:rFonts w:ascii="Verdana" w:hAnsi="Verdana"/>
                <w:sz w:val="18"/>
                <w:szCs w:val="18"/>
              </w:rPr>
              <w:t> </w:t>
            </w:r>
          </w:p>
        </w:tc>
        <w:tc>
          <w:tcPr>
            <w:tcW w:w="880" w:type="dxa"/>
            <w:tcBorders>
              <w:left w:val="nil"/>
              <w:right w:val="nil"/>
            </w:tcBorders>
            <w:hideMark/>
          </w:tcPr>
          <w:p w:rsidR="00BD2DFF" w:rsidP="006D23DC" w:rsidRDefault="00BD2DFF">
            <w:pPr>
              <w:rPr>
                <w:rFonts w:ascii="Verdana" w:hAnsi="Verdana"/>
                <w:sz w:val="18"/>
                <w:szCs w:val="18"/>
              </w:rPr>
            </w:pPr>
            <w:r>
              <w:rPr>
                <w:rFonts w:ascii="Verdana" w:hAnsi="Verdana"/>
                <w:sz w:val="18"/>
                <w:szCs w:val="18"/>
              </w:rPr>
              <w:t> </w:t>
            </w:r>
          </w:p>
        </w:tc>
      </w:tr>
      <w:tr w:rsidR="00BD2DFF" w:rsidTr="006D23DC">
        <w:tc>
          <w:tcPr>
            <w:tcW w:w="0" w:type="auto"/>
            <w:tcBorders>
              <w:left w:val="nil"/>
              <w:right w:val="nil"/>
            </w:tcBorders>
            <w:hideMark/>
          </w:tcPr>
          <w:p w:rsidR="00BD2DFF" w:rsidP="006D23DC" w:rsidRDefault="00BD2DFF">
            <w:pPr>
              <w:rPr>
                <w:rFonts w:ascii="Verdana" w:hAnsi="Verdana"/>
                <w:sz w:val="18"/>
                <w:szCs w:val="18"/>
              </w:rPr>
            </w:pPr>
            <w:r>
              <w:rPr>
                <w:rFonts w:ascii="Verdana" w:hAnsi="Verdana"/>
                <w:sz w:val="18"/>
                <w:szCs w:val="18"/>
              </w:rPr>
              <w:t>A INFRASTRUCTUURFONDS: NIET-BELASTINGONTVANGSTEN</w:t>
            </w:r>
          </w:p>
        </w:tc>
        <w:tc>
          <w:tcPr>
            <w:tcW w:w="0" w:type="auto"/>
            <w:hideMark/>
          </w:tcPr>
          <w:p w:rsidR="00BD2DFF" w:rsidP="006D23DC" w:rsidRDefault="00BD2DFF">
            <w:pPr>
              <w:rPr>
                <w:sz w:val="20"/>
                <w:szCs w:val="20"/>
              </w:rPr>
            </w:pPr>
          </w:p>
        </w:tc>
      </w:tr>
      <w:tr w:rsidR="00BD2DFF" w:rsidTr="006D23DC">
        <w:tc>
          <w:tcPr>
            <w:tcW w:w="0" w:type="auto"/>
            <w:tcBorders>
              <w:top w:val="single" w:color="000000" w:sz="6" w:space="0"/>
              <w:left w:val="nil"/>
              <w:bottom w:val="single" w:color="000000" w:sz="6" w:space="0"/>
              <w:right w:val="nil"/>
            </w:tcBorders>
            <w:hideMark/>
          </w:tcPr>
          <w:p w:rsidR="00BD2DFF" w:rsidP="006D23DC" w:rsidRDefault="00BD2DFF">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BD2DFF" w:rsidP="006D23DC" w:rsidRDefault="00BD2DFF">
            <w:pPr>
              <w:jc w:val="right"/>
              <w:rPr>
                <w:rFonts w:ascii="Verdana" w:hAnsi="Verdana"/>
                <w:sz w:val="18"/>
                <w:szCs w:val="18"/>
              </w:rPr>
            </w:pPr>
            <w:r>
              <w:rPr>
                <w:rFonts w:ascii="Verdana" w:hAnsi="Verdana"/>
                <w:sz w:val="18"/>
                <w:szCs w:val="18"/>
              </w:rPr>
              <w:t>2015</w:t>
            </w:r>
          </w:p>
        </w:tc>
      </w:tr>
      <w:tr w:rsidR="00BD2DFF" w:rsidTr="006D23DC">
        <w:tc>
          <w:tcPr>
            <w:tcW w:w="0" w:type="auto"/>
            <w:tcBorders>
              <w:left w:val="nil"/>
              <w:right w:val="nil"/>
            </w:tcBorders>
            <w:hideMark/>
          </w:tcPr>
          <w:p w:rsidR="00BD2DFF" w:rsidP="006D23DC" w:rsidRDefault="00BD2DFF">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5.946,7</w:t>
            </w:r>
          </w:p>
        </w:tc>
      </w:tr>
      <w:tr w:rsidR="00BD2DFF" w:rsidTr="006D23DC">
        <w:tc>
          <w:tcPr>
            <w:tcW w:w="0" w:type="auto"/>
            <w:tcBorders>
              <w:left w:val="nil"/>
              <w:right w:val="nil"/>
            </w:tcBorders>
            <w:hideMark/>
          </w:tcPr>
          <w:p w:rsidR="00BD2DFF" w:rsidP="006D23DC" w:rsidRDefault="00BD2DFF">
            <w:pPr>
              <w:rPr>
                <w:rFonts w:ascii="Verdana" w:hAnsi="Verdana"/>
                <w:sz w:val="18"/>
                <w:szCs w:val="18"/>
              </w:rPr>
            </w:pPr>
            <w:r>
              <w:rPr>
                <w:rFonts w:ascii="Verdana" w:hAnsi="Verdana"/>
                <w:sz w:val="18"/>
                <w:szCs w:val="18"/>
              </w:rPr>
              <w:t>Beleidsmatige mutaties</w:t>
            </w:r>
          </w:p>
        </w:tc>
        <w:tc>
          <w:tcPr>
            <w:tcW w:w="0" w:type="auto"/>
            <w:hideMark/>
          </w:tcPr>
          <w:p w:rsidR="00BD2DFF" w:rsidP="006D23DC" w:rsidRDefault="00BD2DFF">
            <w:pPr>
              <w:rPr>
                <w:sz w:val="20"/>
                <w:szCs w:val="20"/>
              </w:rPr>
            </w:pPr>
          </w:p>
        </w:tc>
      </w:tr>
      <w:tr w:rsidR="00BD2DFF" w:rsidTr="006D23DC">
        <w:tc>
          <w:tcPr>
            <w:tcW w:w="0" w:type="auto"/>
            <w:tcBorders>
              <w:left w:val="nil"/>
              <w:right w:val="nil"/>
            </w:tcBorders>
            <w:tcMar>
              <w:top w:w="15" w:type="dxa"/>
              <w:left w:w="180" w:type="dxa"/>
              <w:bottom w:w="15" w:type="dxa"/>
              <w:right w:w="15" w:type="dxa"/>
            </w:tcMar>
            <w:vAlign w:val="both"/>
            <w:hideMark/>
          </w:tcPr>
          <w:p w:rsidR="00BD2DFF" w:rsidP="006D23DC" w:rsidRDefault="00BD2DFF">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BD2DFF" w:rsidP="006D23DC" w:rsidRDefault="00BD2DFF">
            <w:pPr>
              <w:rPr>
                <w:sz w:val="20"/>
                <w:szCs w:val="20"/>
              </w:rPr>
            </w:pPr>
          </w:p>
        </w:tc>
      </w:tr>
      <w:tr w:rsidR="00BD2DFF" w:rsidTr="006D23DC">
        <w:tc>
          <w:tcPr>
            <w:tcW w:w="0" w:type="auto"/>
            <w:tcBorders>
              <w:left w:val="nil"/>
              <w:right w:val="nil"/>
            </w:tcBorders>
            <w:tcMar>
              <w:top w:w="15" w:type="dxa"/>
              <w:left w:w="360" w:type="dxa"/>
              <w:bottom w:w="15" w:type="dxa"/>
              <w:right w:w="15" w:type="dxa"/>
            </w:tcMar>
            <w:vAlign w:val="both"/>
            <w:hideMark/>
          </w:tcPr>
          <w:p w:rsidR="00BD2DFF" w:rsidP="006D23DC" w:rsidRDefault="00BD2DFF">
            <w:pPr>
              <w:ind w:firstLine="360" w:firstLineChars="200"/>
              <w:rPr>
                <w:rFonts w:ascii="Verdana" w:hAnsi="Verdana"/>
                <w:sz w:val="18"/>
                <w:szCs w:val="18"/>
              </w:rPr>
            </w:pPr>
            <w:r>
              <w:rPr>
                <w:rFonts w:ascii="Verdana" w:hAnsi="Verdana"/>
                <w:sz w:val="18"/>
                <w:szCs w:val="18"/>
              </w:rPr>
              <w:t xml:space="preserve">Saldo 2015 </w:t>
            </w:r>
            <w:proofErr w:type="spellStart"/>
            <w:r>
              <w:rPr>
                <w:rFonts w:ascii="Verdana" w:hAnsi="Verdana"/>
                <w:sz w:val="18"/>
                <w:szCs w:val="18"/>
              </w:rPr>
              <w:t>hoofdvaarwegennet</w:t>
            </w:r>
            <w:proofErr w:type="spellEnd"/>
          </w:p>
        </w:tc>
        <w:tc>
          <w:tcPr>
            <w:tcW w:w="0" w:type="auto"/>
            <w:tcBorders>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15,9</w:t>
            </w:r>
          </w:p>
        </w:tc>
      </w:tr>
      <w:tr w:rsidR="00BD2DFF" w:rsidTr="006D23DC">
        <w:tc>
          <w:tcPr>
            <w:tcW w:w="0" w:type="auto"/>
            <w:tcBorders>
              <w:left w:val="nil"/>
              <w:right w:val="nil"/>
            </w:tcBorders>
            <w:tcMar>
              <w:top w:w="15" w:type="dxa"/>
              <w:left w:w="360" w:type="dxa"/>
              <w:bottom w:w="15" w:type="dxa"/>
              <w:right w:w="15" w:type="dxa"/>
            </w:tcMar>
            <w:vAlign w:val="both"/>
            <w:hideMark/>
          </w:tcPr>
          <w:p w:rsidR="00BD2DFF" w:rsidP="006D23DC" w:rsidRDefault="00BD2DFF">
            <w:pPr>
              <w:ind w:firstLine="360" w:firstLineChars="200"/>
              <w:rPr>
                <w:rFonts w:ascii="Verdana" w:hAnsi="Verdana"/>
                <w:sz w:val="18"/>
                <w:szCs w:val="18"/>
              </w:rPr>
            </w:pPr>
            <w:r>
              <w:rPr>
                <w:rFonts w:ascii="Verdana" w:hAnsi="Verdana"/>
                <w:sz w:val="18"/>
                <w:szCs w:val="18"/>
              </w:rPr>
              <w:t>Saldo 2015 hoofdwegennet</w:t>
            </w:r>
          </w:p>
        </w:tc>
        <w:tc>
          <w:tcPr>
            <w:tcW w:w="0" w:type="auto"/>
            <w:tcBorders>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-46,9</w:t>
            </w:r>
          </w:p>
        </w:tc>
      </w:tr>
      <w:tr w:rsidR="00BD2DFF" w:rsidTr="006D23DC">
        <w:tc>
          <w:tcPr>
            <w:tcW w:w="0" w:type="auto"/>
            <w:tcBorders>
              <w:left w:val="nil"/>
              <w:right w:val="nil"/>
            </w:tcBorders>
            <w:tcMar>
              <w:top w:w="15" w:type="dxa"/>
              <w:left w:w="360" w:type="dxa"/>
              <w:bottom w:w="15" w:type="dxa"/>
              <w:right w:w="15" w:type="dxa"/>
            </w:tcMar>
            <w:vAlign w:val="both"/>
            <w:hideMark/>
          </w:tcPr>
          <w:p w:rsidR="00BD2DFF" w:rsidP="006D23DC" w:rsidRDefault="00BD2DFF">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1,0</w:t>
            </w:r>
          </w:p>
        </w:tc>
      </w:tr>
      <w:tr w:rsidR="00BD2DFF" w:rsidTr="006D23DC">
        <w:tc>
          <w:tcPr>
            <w:tcW w:w="0" w:type="auto"/>
            <w:tcBorders>
              <w:left w:val="nil"/>
              <w:right w:val="nil"/>
            </w:tcBorders>
            <w:hideMark/>
          </w:tcPr>
          <w:p w:rsidR="00BD2DFF" w:rsidP="006D23DC" w:rsidRDefault="00BD2DFF">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-30,0</w:t>
            </w:r>
          </w:p>
        </w:tc>
      </w:tr>
      <w:tr w:rsidR="00BD2DFF" w:rsidTr="006D23DC">
        <w:tc>
          <w:tcPr>
            <w:tcW w:w="0" w:type="auto"/>
            <w:tcBorders>
              <w:left w:val="nil"/>
              <w:right w:val="nil"/>
            </w:tcBorders>
            <w:hideMark/>
          </w:tcPr>
          <w:p w:rsidR="00BD2DFF" w:rsidP="006D23DC" w:rsidRDefault="00BD2DFF">
            <w:pPr>
              <w:rPr>
                <w:rFonts w:ascii="Verdana" w:hAnsi="Verdana"/>
                <w:sz w:val="18"/>
                <w:szCs w:val="18"/>
              </w:rPr>
            </w:pPr>
            <w:r>
              <w:rPr>
                <w:rFonts w:ascii="Verdana" w:hAnsi="Verdana"/>
                <w:sz w:val="18"/>
                <w:szCs w:val="18"/>
              </w:rPr>
              <w:t>Technische mutaties</w:t>
            </w:r>
          </w:p>
        </w:tc>
        <w:tc>
          <w:tcPr>
            <w:tcW w:w="0" w:type="auto"/>
            <w:hideMark/>
          </w:tcPr>
          <w:p w:rsidR="00BD2DFF" w:rsidP="006D23DC" w:rsidRDefault="00BD2DFF">
            <w:pPr>
              <w:rPr>
                <w:sz w:val="20"/>
                <w:szCs w:val="20"/>
              </w:rPr>
            </w:pPr>
          </w:p>
        </w:tc>
      </w:tr>
      <w:tr w:rsidR="00BD2DFF" w:rsidTr="006D23DC">
        <w:tc>
          <w:tcPr>
            <w:tcW w:w="0" w:type="auto"/>
            <w:tcBorders>
              <w:left w:val="nil"/>
              <w:right w:val="nil"/>
            </w:tcBorders>
            <w:tcMar>
              <w:top w:w="15" w:type="dxa"/>
              <w:left w:w="180" w:type="dxa"/>
              <w:bottom w:w="15" w:type="dxa"/>
              <w:right w:w="15" w:type="dxa"/>
            </w:tcMar>
            <w:vAlign w:val="both"/>
            <w:hideMark/>
          </w:tcPr>
          <w:p w:rsidR="00BD2DFF" w:rsidP="006D23DC" w:rsidRDefault="00BD2DFF">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BD2DFF" w:rsidP="006D23DC" w:rsidRDefault="00BD2DFF">
            <w:pPr>
              <w:rPr>
                <w:sz w:val="20"/>
                <w:szCs w:val="20"/>
              </w:rPr>
            </w:pPr>
          </w:p>
        </w:tc>
      </w:tr>
      <w:tr w:rsidR="00BD2DFF" w:rsidTr="006D23DC">
        <w:tc>
          <w:tcPr>
            <w:tcW w:w="0" w:type="auto"/>
            <w:tcBorders>
              <w:left w:val="nil"/>
              <w:right w:val="nil"/>
            </w:tcBorders>
            <w:tcMar>
              <w:top w:w="15" w:type="dxa"/>
              <w:left w:w="360" w:type="dxa"/>
              <w:bottom w:w="15" w:type="dxa"/>
              <w:right w:w="15" w:type="dxa"/>
            </w:tcMar>
            <w:vAlign w:val="both"/>
            <w:hideMark/>
          </w:tcPr>
          <w:p w:rsidR="00BD2DFF" w:rsidP="006D23DC" w:rsidRDefault="00BD2DFF">
            <w:pPr>
              <w:ind w:firstLine="360" w:firstLineChars="200"/>
              <w:rPr>
                <w:rFonts w:ascii="Verdana" w:hAnsi="Verdana"/>
                <w:sz w:val="18"/>
                <w:szCs w:val="18"/>
              </w:rPr>
            </w:pPr>
            <w:r>
              <w:rPr>
                <w:rFonts w:ascii="Verdana" w:hAnsi="Verdana"/>
                <w:sz w:val="18"/>
                <w:szCs w:val="18"/>
              </w:rPr>
              <w:t xml:space="preserve">Vaststelling </w:t>
            </w:r>
            <w:proofErr w:type="spellStart"/>
            <w:r>
              <w:rPr>
                <w:rFonts w:ascii="Verdana" w:hAnsi="Verdana"/>
                <w:sz w:val="18"/>
                <w:szCs w:val="18"/>
              </w:rPr>
              <w:t>bov-subsidie</w:t>
            </w:r>
            <w:proofErr w:type="spellEnd"/>
            <w:r>
              <w:rPr>
                <w:rFonts w:ascii="Verdana" w:hAnsi="Verdana"/>
                <w:sz w:val="18"/>
                <w:szCs w:val="18"/>
              </w:rPr>
              <w:t xml:space="preserve"> 2014</w:t>
            </w:r>
          </w:p>
        </w:tc>
        <w:tc>
          <w:tcPr>
            <w:tcW w:w="0" w:type="auto"/>
            <w:tcBorders>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35,1</w:t>
            </w:r>
          </w:p>
        </w:tc>
      </w:tr>
      <w:tr w:rsidR="00BD2DFF" w:rsidTr="006D23DC">
        <w:tc>
          <w:tcPr>
            <w:tcW w:w="0" w:type="auto"/>
            <w:tcBorders>
              <w:left w:val="nil"/>
              <w:right w:val="nil"/>
            </w:tcBorders>
            <w:tcMar>
              <w:top w:w="15" w:type="dxa"/>
              <w:left w:w="360" w:type="dxa"/>
              <w:bottom w:w="15" w:type="dxa"/>
              <w:right w:w="15" w:type="dxa"/>
            </w:tcMar>
            <w:vAlign w:val="both"/>
            <w:hideMark/>
          </w:tcPr>
          <w:p w:rsidR="00BD2DFF" w:rsidP="006D23DC" w:rsidRDefault="00BD2DFF">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1,2</w:t>
            </w:r>
          </w:p>
        </w:tc>
      </w:tr>
      <w:tr w:rsidR="00BD2DFF" w:rsidTr="006D23DC">
        <w:tc>
          <w:tcPr>
            <w:tcW w:w="0" w:type="auto"/>
            <w:tcBorders>
              <w:left w:val="nil"/>
              <w:right w:val="nil"/>
            </w:tcBorders>
            <w:hideMark/>
          </w:tcPr>
          <w:p w:rsidR="00BD2DFF" w:rsidP="006D23DC" w:rsidRDefault="00BD2DFF">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36,3</w:t>
            </w:r>
          </w:p>
        </w:tc>
      </w:tr>
      <w:tr w:rsidR="00BD2DFF" w:rsidTr="006D23DC">
        <w:tc>
          <w:tcPr>
            <w:tcW w:w="0" w:type="auto"/>
            <w:tcBorders>
              <w:left w:val="nil"/>
              <w:right w:val="nil"/>
            </w:tcBorders>
            <w:hideMark/>
          </w:tcPr>
          <w:p w:rsidR="00BD2DFF" w:rsidP="006D23DC" w:rsidRDefault="00BD2DFF">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6,4</w:t>
            </w:r>
          </w:p>
        </w:tc>
      </w:tr>
      <w:tr w:rsidR="00BD2DFF" w:rsidTr="006D23DC">
        <w:tc>
          <w:tcPr>
            <w:tcW w:w="0" w:type="auto"/>
            <w:tcBorders>
              <w:left w:val="nil"/>
              <w:right w:val="nil"/>
            </w:tcBorders>
            <w:hideMark/>
          </w:tcPr>
          <w:p w:rsidR="00BD2DFF" w:rsidP="006D23DC" w:rsidRDefault="00BD2DFF">
            <w:pPr>
              <w:rPr>
                <w:rFonts w:ascii="Verdana" w:hAnsi="Verdana"/>
                <w:sz w:val="18"/>
                <w:szCs w:val="18"/>
              </w:rPr>
            </w:pPr>
            <w:r>
              <w:rPr>
                <w:rFonts w:ascii="Verdana" w:hAnsi="Verdana"/>
                <w:sz w:val="18"/>
                <w:szCs w:val="18"/>
              </w:rPr>
              <w:t> </w:t>
            </w:r>
          </w:p>
        </w:tc>
        <w:tc>
          <w:tcPr>
            <w:tcW w:w="0" w:type="auto"/>
            <w:hideMark/>
          </w:tcPr>
          <w:p w:rsidR="00BD2DFF" w:rsidP="006D23DC" w:rsidRDefault="00BD2DFF">
            <w:pPr>
              <w:rPr>
                <w:sz w:val="20"/>
                <w:szCs w:val="20"/>
              </w:rPr>
            </w:pPr>
          </w:p>
        </w:tc>
      </w:tr>
      <w:tr w:rsidR="00BD2DFF" w:rsidTr="006D23DC">
        <w:tc>
          <w:tcPr>
            <w:tcW w:w="0" w:type="auto"/>
            <w:tcBorders>
              <w:left w:val="nil"/>
              <w:right w:val="nil"/>
            </w:tcBorders>
            <w:hideMark/>
          </w:tcPr>
          <w:p w:rsidR="00BD2DFF" w:rsidP="006D23DC" w:rsidRDefault="00BD2DFF">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5.953,1</w:t>
            </w:r>
          </w:p>
        </w:tc>
      </w:tr>
      <w:tr w:rsidR="00BD2DFF" w:rsidTr="006D23DC">
        <w:tc>
          <w:tcPr>
            <w:tcW w:w="0" w:type="auto"/>
            <w:tcBorders>
              <w:left w:val="nil"/>
              <w:right w:val="nil"/>
            </w:tcBorders>
            <w:hideMark/>
          </w:tcPr>
          <w:p w:rsidR="00BD2DFF" w:rsidP="006D23DC" w:rsidRDefault="00BD2DFF">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0,0</w:t>
            </w:r>
          </w:p>
        </w:tc>
      </w:tr>
      <w:tr w:rsidR="00BD2DFF" w:rsidTr="006D23DC">
        <w:tc>
          <w:tcPr>
            <w:tcW w:w="0" w:type="auto"/>
            <w:tcBorders>
              <w:left w:val="nil"/>
              <w:right w:val="nil"/>
            </w:tcBorders>
            <w:hideMark/>
          </w:tcPr>
          <w:p w:rsidR="00BD2DFF" w:rsidP="006D23DC" w:rsidRDefault="00BD2DFF">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BD2DFF" w:rsidP="006D23DC" w:rsidRDefault="00BD2DFF">
            <w:pPr>
              <w:jc w:val="right"/>
              <w:rPr>
                <w:rFonts w:ascii="Verdana" w:hAnsi="Verdana"/>
                <w:sz w:val="18"/>
                <w:szCs w:val="18"/>
              </w:rPr>
            </w:pPr>
            <w:r>
              <w:rPr>
                <w:rFonts w:ascii="Verdana" w:hAnsi="Verdana"/>
                <w:sz w:val="18"/>
                <w:szCs w:val="18"/>
              </w:rPr>
              <w:t>5.953,1</w:t>
            </w:r>
          </w:p>
        </w:tc>
      </w:tr>
    </w:tbl>
    <w:p w:rsidR="00BD2DFF" w:rsidP="00533D5C" w:rsidRDefault="00BD2DFF">
      <w:pPr>
        <w:spacing w:line="240" w:lineRule="exact"/>
        <w:rPr>
          <w:rFonts w:ascii="Verdana" w:hAnsi="Verdana" w:cs="Verdana"/>
          <w:b/>
          <w:bCs/>
          <w:sz w:val="18"/>
          <w:szCs w:val="18"/>
        </w:rPr>
      </w:pPr>
    </w:p>
    <w:p w:rsidR="00DD0420" w:rsidP="00533D5C" w:rsidRDefault="00DD0420">
      <w:pPr>
        <w:spacing w:line="240" w:lineRule="exact"/>
        <w:rPr>
          <w:rFonts w:ascii="Verdana" w:hAnsi="Verdana" w:cs="Verdana"/>
          <w:b/>
          <w:bCs/>
          <w:sz w:val="18"/>
          <w:szCs w:val="18"/>
        </w:rPr>
      </w:pPr>
    </w:p>
    <w:p w:rsidR="00DD0420" w:rsidP="00DD0420" w:rsidRDefault="00DD0420">
      <w:pPr>
        <w:spacing w:line="276" w:lineRule="auto"/>
        <w:rPr>
          <w:rFonts w:ascii="Verdana" w:hAnsi="Verdana"/>
          <w:i/>
          <w:sz w:val="18"/>
          <w:szCs w:val="14"/>
        </w:rPr>
      </w:pPr>
      <w:r>
        <w:rPr>
          <w:rFonts w:ascii="Verdana" w:hAnsi="Verdana"/>
          <w:i/>
          <w:sz w:val="18"/>
          <w:szCs w:val="14"/>
        </w:rPr>
        <w:t xml:space="preserve">Saldo 2015 </w:t>
      </w:r>
      <w:proofErr w:type="spellStart"/>
      <w:r>
        <w:rPr>
          <w:rFonts w:ascii="Verdana" w:hAnsi="Verdana"/>
          <w:i/>
          <w:sz w:val="18"/>
          <w:szCs w:val="14"/>
        </w:rPr>
        <w:t>Hoofdvaarwegennet</w:t>
      </w:r>
      <w:proofErr w:type="spellEnd"/>
    </w:p>
    <w:p w:rsidR="00DD0420" w:rsidP="00DD0420" w:rsidRDefault="00DD0420">
      <w:pPr>
        <w:spacing w:line="276" w:lineRule="auto"/>
        <w:rPr>
          <w:rFonts w:ascii="Verdana" w:hAnsi="Verdana"/>
          <w:sz w:val="18"/>
          <w:szCs w:val="14"/>
        </w:rPr>
      </w:pPr>
      <w:r>
        <w:rPr>
          <w:rFonts w:ascii="Verdana" w:hAnsi="Verdana"/>
          <w:sz w:val="18"/>
          <w:szCs w:val="14"/>
        </w:rPr>
        <w:t xml:space="preserve">Per saldo is op het artikel </w:t>
      </w:r>
      <w:proofErr w:type="spellStart"/>
      <w:r>
        <w:rPr>
          <w:rFonts w:ascii="Verdana" w:hAnsi="Verdana"/>
          <w:sz w:val="18"/>
          <w:szCs w:val="14"/>
        </w:rPr>
        <w:t>hoofdvaarwegennet</w:t>
      </w:r>
      <w:proofErr w:type="spellEnd"/>
      <w:r>
        <w:rPr>
          <w:rFonts w:ascii="Verdana" w:hAnsi="Verdana"/>
          <w:sz w:val="18"/>
          <w:szCs w:val="14"/>
        </w:rPr>
        <w:t xml:space="preserve"> een onderuitputting van 29,6 mln. Dit bedrag bestaat uit drie componenten. </w:t>
      </w:r>
    </w:p>
    <w:p w:rsidRPr="00DD0420" w:rsidR="00DD0420" w:rsidP="00DD0420" w:rsidRDefault="00DD0420">
      <w:pPr>
        <w:pStyle w:val="Lijstalinea"/>
        <w:numPr>
          <w:ilvl w:val="0"/>
          <w:numId w:val="20"/>
        </w:numPr>
        <w:spacing w:line="276" w:lineRule="auto"/>
        <w:rPr>
          <w:rFonts w:ascii="Verdana" w:hAnsi="Verdana"/>
          <w:sz w:val="18"/>
          <w:szCs w:val="14"/>
        </w:rPr>
      </w:pPr>
      <w:r>
        <w:rPr>
          <w:rFonts w:ascii="Verdana" w:hAnsi="Verdana"/>
          <w:sz w:val="18"/>
          <w:szCs w:val="14"/>
        </w:rPr>
        <w:t>O</w:t>
      </w:r>
      <w:r w:rsidRPr="00DD0420">
        <w:rPr>
          <w:rFonts w:ascii="Verdana" w:hAnsi="Verdana"/>
          <w:sz w:val="18"/>
          <w:szCs w:val="14"/>
        </w:rPr>
        <w:t xml:space="preserve">p aanleg is er voor 66,1 mln. minder gerealiseerd dan geprogrammeerd. </w:t>
      </w:r>
      <w:r w:rsidRPr="00DD0420">
        <w:rPr>
          <w:rFonts w:ascii="Verdana" w:hAnsi="Verdana" w:cs="Verdana"/>
          <w:sz w:val="18"/>
          <w:szCs w:val="14"/>
        </w:rPr>
        <w:t>Deze lagere realisatie wordt met name veroorzaakt door</w:t>
      </w:r>
      <w:r w:rsidRPr="00DD0420">
        <w:rPr>
          <w:rFonts w:ascii="Verdana" w:hAnsi="Verdana"/>
          <w:sz w:val="18"/>
          <w:szCs w:val="14"/>
        </w:rPr>
        <w:t xml:space="preserve"> lagere uitgaven binnen de projecten Dynamisch verkeersmanagement vaarwegen (</w:t>
      </w:r>
      <w:r w:rsidRPr="00DD0420">
        <w:rPr>
          <w:rFonts w:ascii="Verdana" w:hAnsi="Verdana" w:cs="Verdana"/>
          <w:sz w:val="18"/>
          <w:szCs w:val="14"/>
        </w:rPr>
        <w:t xml:space="preserve">12,5 mln.), Capaciteitsuitbreiding ligplaatsen </w:t>
      </w:r>
      <w:proofErr w:type="spellStart"/>
      <w:r w:rsidRPr="00DD0420">
        <w:rPr>
          <w:rFonts w:ascii="Verdana" w:hAnsi="Verdana" w:cs="Verdana"/>
          <w:sz w:val="18"/>
          <w:szCs w:val="14"/>
        </w:rPr>
        <w:t>Beneden-Lek</w:t>
      </w:r>
      <w:proofErr w:type="spellEnd"/>
      <w:r w:rsidRPr="00DD0420">
        <w:rPr>
          <w:rFonts w:ascii="Verdana" w:hAnsi="Verdana" w:cs="Verdana"/>
          <w:sz w:val="18"/>
          <w:szCs w:val="14"/>
        </w:rPr>
        <w:t xml:space="preserve"> (9,5mln.), </w:t>
      </w:r>
      <w:proofErr w:type="spellStart"/>
      <w:r w:rsidRPr="00DD0420">
        <w:rPr>
          <w:rFonts w:ascii="Verdana" w:hAnsi="Verdana" w:cs="Verdana"/>
          <w:sz w:val="18"/>
          <w:szCs w:val="14"/>
        </w:rPr>
        <w:t>Lichteren</w:t>
      </w:r>
      <w:proofErr w:type="spellEnd"/>
      <w:r w:rsidRPr="00DD0420">
        <w:rPr>
          <w:rFonts w:ascii="Verdana" w:hAnsi="Verdana" w:cs="Verdana"/>
          <w:sz w:val="18"/>
          <w:szCs w:val="14"/>
        </w:rPr>
        <w:t xml:space="preserve"> buitenhaven IJmuiden (8,0 mln.), Capaciteitsuitbreiding sluis </w:t>
      </w:r>
      <w:proofErr w:type="spellStart"/>
      <w:r w:rsidRPr="00DD0420">
        <w:rPr>
          <w:rFonts w:ascii="Verdana" w:hAnsi="Verdana" w:cs="Verdana"/>
          <w:sz w:val="18"/>
          <w:szCs w:val="14"/>
        </w:rPr>
        <w:t>Eefde</w:t>
      </w:r>
      <w:proofErr w:type="spellEnd"/>
      <w:r w:rsidRPr="00DD0420">
        <w:rPr>
          <w:rFonts w:ascii="Verdana" w:hAnsi="Verdana" w:cs="Verdana"/>
          <w:sz w:val="18"/>
          <w:szCs w:val="14"/>
        </w:rPr>
        <w:t xml:space="preserve"> (6,1 mln.) en Beter Benutten (5,4 mln.). </w:t>
      </w:r>
      <w:r w:rsidRPr="00DD0420">
        <w:rPr>
          <w:rFonts w:ascii="Verdana" w:hAnsi="Verdana"/>
          <w:sz w:val="18"/>
          <w:szCs w:val="14"/>
        </w:rPr>
        <w:t xml:space="preserve">Omdat op aanleg in 2015 wordt gewerkt met een </w:t>
      </w:r>
      <w:proofErr w:type="spellStart"/>
      <w:r w:rsidRPr="00DD0420">
        <w:rPr>
          <w:rFonts w:ascii="Verdana" w:hAnsi="Verdana"/>
          <w:sz w:val="18"/>
          <w:szCs w:val="14"/>
        </w:rPr>
        <w:t>overprogrammering</w:t>
      </w:r>
      <w:proofErr w:type="spellEnd"/>
      <w:r w:rsidRPr="00DD0420">
        <w:rPr>
          <w:rFonts w:ascii="Verdana" w:hAnsi="Verdana"/>
          <w:sz w:val="18"/>
          <w:szCs w:val="14"/>
        </w:rPr>
        <w:t xml:space="preserve"> van 35,0 mln. leidt de onderrealisatie van 66,1 mln. tot een onderuitputting </w:t>
      </w:r>
      <w:r w:rsidR="00E56BFC">
        <w:rPr>
          <w:rFonts w:ascii="Verdana" w:hAnsi="Verdana"/>
          <w:sz w:val="18"/>
          <w:szCs w:val="14"/>
        </w:rPr>
        <w:t xml:space="preserve">op het budget </w:t>
      </w:r>
      <w:r w:rsidRPr="00DD0420">
        <w:rPr>
          <w:rFonts w:ascii="Verdana" w:hAnsi="Verdana"/>
          <w:sz w:val="18"/>
          <w:szCs w:val="14"/>
        </w:rPr>
        <w:t xml:space="preserve">van 31,1 mln. </w:t>
      </w:r>
    </w:p>
    <w:p w:rsidRPr="00DD0420" w:rsidR="00DD0420" w:rsidP="00DD0420" w:rsidRDefault="00DD0420">
      <w:pPr>
        <w:pStyle w:val="Lijstalinea"/>
        <w:numPr>
          <w:ilvl w:val="0"/>
          <w:numId w:val="20"/>
        </w:numPr>
        <w:spacing w:line="276" w:lineRule="auto"/>
        <w:rPr>
          <w:rFonts w:ascii="Verdana" w:hAnsi="Verdana" w:cs="Verdana"/>
          <w:sz w:val="18"/>
          <w:szCs w:val="14"/>
        </w:rPr>
      </w:pPr>
      <w:r>
        <w:rPr>
          <w:rFonts w:ascii="Verdana" w:hAnsi="Verdana"/>
          <w:sz w:val="18"/>
          <w:szCs w:val="14"/>
        </w:rPr>
        <w:lastRenderedPageBreak/>
        <w:t>O</w:t>
      </w:r>
      <w:r w:rsidRPr="00DD0420">
        <w:rPr>
          <w:rFonts w:ascii="Verdana" w:hAnsi="Verdana"/>
          <w:sz w:val="18"/>
          <w:szCs w:val="14"/>
        </w:rPr>
        <w:t xml:space="preserve">p beheer, onderhoud en vervanging is er een overschrijding van 5,1 mln. Voor het project “Impuls Groot Onderhoud” is 11,4 mln. meer uitgegeven. Hier tegenover staan lagere uitgaven op de Vervanging en Renovatie projecten volgend uit Risico Inventarisatie Natte Kunstwerken (4,8 mln.). </w:t>
      </w:r>
      <w:r w:rsidRPr="00DD0420">
        <w:rPr>
          <w:rFonts w:ascii="Verdana" w:hAnsi="Verdana" w:cs="Verdana"/>
          <w:sz w:val="18"/>
          <w:szCs w:val="14"/>
        </w:rPr>
        <w:t xml:space="preserve">Daarnaast is op </w:t>
      </w:r>
      <w:r w:rsidRPr="00DD0420">
        <w:rPr>
          <w:rFonts w:ascii="Verdana" w:hAnsi="Verdana"/>
          <w:sz w:val="18"/>
          <w:szCs w:val="14"/>
        </w:rPr>
        <w:t xml:space="preserve">de overdracht van vaarwegen in het kader van </w:t>
      </w:r>
      <w:proofErr w:type="spellStart"/>
      <w:r w:rsidRPr="00DD0420">
        <w:rPr>
          <w:rFonts w:ascii="Verdana" w:hAnsi="Verdana"/>
          <w:sz w:val="18"/>
          <w:szCs w:val="14"/>
        </w:rPr>
        <w:t>Brokx-Nat</w:t>
      </w:r>
      <w:proofErr w:type="spellEnd"/>
      <w:r w:rsidRPr="00DD0420">
        <w:rPr>
          <w:rFonts w:ascii="Verdana" w:hAnsi="Verdana"/>
          <w:sz w:val="18"/>
          <w:szCs w:val="14"/>
        </w:rPr>
        <w:t xml:space="preserve"> </w:t>
      </w:r>
      <w:r w:rsidRPr="00DD0420">
        <w:rPr>
          <w:rFonts w:ascii="Verdana" w:hAnsi="Verdana" w:cs="Verdana"/>
          <w:sz w:val="18"/>
          <w:szCs w:val="14"/>
        </w:rPr>
        <w:t xml:space="preserve">1,5 mln. minder uitgegeven. </w:t>
      </w:r>
    </w:p>
    <w:p w:rsidRPr="00DD0420" w:rsidR="00DD0420" w:rsidP="00DD0420" w:rsidRDefault="00DD0420">
      <w:pPr>
        <w:pStyle w:val="Lijstalinea"/>
        <w:numPr>
          <w:ilvl w:val="0"/>
          <w:numId w:val="20"/>
        </w:numPr>
        <w:spacing w:line="276" w:lineRule="auto"/>
        <w:rPr>
          <w:rFonts w:ascii="Verdana" w:hAnsi="Verdana"/>
          <w:sz w:val="18"/>
          <w:szCs w:val="14"/>
        </w:rPr>
      </w:pPr>
      <w:r>
        <w:rPr>
          <w:rFonts w:ascii="Verdana" w:hAnsi="Verdana" w:cs="Verdana"/>
          <w:sz w:val="18"/>
          <w:szCs w:val="14"/>
        </w:rPr>
        <w:t>O</w:t>
      </w:r>
      <w:r w:rsidRPr="00DD0420">
        <w:rPr>
          <w:rFonts w:ascii="Verdana" w:hAnsi="Verdana" w:cs="Verdana"/>
          <w:sz w:val="18"/>
          <w:szCs w:val="14"/>
        </w:rPr>
        <w:t xml:space="preserve">p de geïntegreerde contractvormen is een onderuitputting van 3,5 mln. De oorzaak hiervan is dat een deel van de kosten voor het project Sluis </w:t>
      </w:r>
      <w:proofErr w:type="spellStart"/>
      <w:r w:rsidRPr="00DD0420">
        <w:rPr>
          <w:rFonts w:ascii="Verdana" w:hAnsi="Verdana" w:cs="Verdana"/>
          <w:sz w:val="18"/>
          <w:szCs w:val="14"/>
        </w:rPr>
        <w:t>Limmel</w:t>
      </w:r>
      <w:proofErr w:type="spellEnd"/>
      <w:r w:rsidRPr="00DD0420">
        <w:rPr>
          <w:rFonts w:ascii="Verdana" w:hAnsi="Verdana" w:cs="Verdana"/>
          <w:sz w:val="18"/>
          <w:szCs w:val="14"/>
        </w:rPr>
        <w:t xml:space="preserve"> nog ten laste van aanleg komen en de uitgaven in 2015 lager uitvallen. </w:t>
      </w:r>
    </w:p>
    <w:p w:rsidR="00DD0420" w:rsidP="00DD0420" w:rsidRDefault="00DD0420">
      <w:pPr>
        <w:spacing w:line="276" w:lineRule="auto"/>
        <w:rPr>
          <w:rFonts w:ascii="Verdana" w:hAnsi="Verdana"/>
          <w:i/>
          <w:sz w:val="18"/>
          <w:szCs w:val="14"/>
        </w:rPr>
      </w:pPr>
    </w:p>
    <w:p w:rsidR="00DD0420" w:rsidP="00DD0420" w:rsidRDefault="00DD0420">
      <w:pPr>
        <w:spacing w:line="276" w:lineRule="auto"/>
        <w:rPr>
          <w:rFonts w:ascii="Verdana" w:hAnsi="Verdana"/>
          <w:i/>
          <w:sz w:val="18"/>
          <w:szCs w:val="14"/>
        </w:rPr>
      </w:pPr>
      <w:r>
        <w:rPr>
          <w:rFonts w:ascii="Verdana" w:hAnsi="Verdana"/>
          <w:i/>
          <w:sz w:val="18"/>
          <w:szCs w:val="14"/>
        </w:rPr>
        <w:t>Saldo 2015 Hoofdwegennet</w:t>
      </w:r>
    </w:p>
    <w:p w:rsidR="00DD0420" w:rsidP="00DD0420" w:rsidRDefault="00DD0420">
      <w:pPr>
        <w:spacing w:line="276" w:lineRule="auto"/>
        <w:rPr>
          <w:rFonts w:ascii="Verdana" w:hAnsi="Verdana"/>
          <w:sz w:val="18"/>
          <w:szCs w:val="14"/>
        </w:rPr>
      </w:pPr>
      <w:r>
        <w:rPr>
          <w:rFonts w:ascii="Verdana" w:hAnsi="Verdana"/>
          <w:sz w:val="18"/>
          <w:szCs w:val="14"/>
        </w:rPr>
        <w:t xml:space="preserve">Per saldo is op het artikel hoofdwegennet een overschrijding van 155,4 mln. Dit bedrag bestaat uit vier componenten. </w:t>
      </w:r>
    </w:p>
    <w:p w:rsidRPr="00DD0420" w:rsidR="00DD0420" w:rsidP="00DD0420" w:rsidRDefault="00DD0420">
      <w:pPr>
        <w:pStyle w:val="Lijstalinea"/>
        <w:numPr>
          <w:ilvl w:val="0"/>
          <w:numId w:val="22"/>
        </w:numPr>
        <w:spacing w:line="276" w:lineRule="auto"/>
        <w:rPr>
          <w:rFonts w:ascii="Verdana" w:hAnsi="Verdana" w:cs="Verdana"/>
          <w:sz w:val="18"/>
          <w:szCs w:val="14"/>
        </w:rPr>
      </w:pPr>
      <w:r>
        <w:rPr>
          <w:rFonts w:ascii="Verdana" w:hAnsi="Verdana"/>
          <w:sz w:val="18"/>
          <w:szCs w:val="14"/>
        </w:rPr>
        <w:t>O</w:t>
      </w:r>
      <w:r w:rsidRPr="00DD0420">
        <w:rPr>
          <w:rFonts w:ascii="Verdana" w:hAnsi="Verdana"/>
          <w:sz w:val="18"/>
          <w:szCs w:val="14"/>
        </w:rPr>
        <w:t>p aanleg is voor 18,8 mln. minder gerealiseerd dan geprogrammeerd</w:t>
      </w:r>
      <w:r w:rsidRPr="00DD0420">
        <w:rPr>
          <w:rFonts w:ascii="Verdana" w:hAnsi="Verdana" w:cs="Verdana"/>
          <w:sz w:val="18"/>
          <w:szCs w:val="14"/>
        </w:rPr>
        <w:t xml:space="preserve">. De lagere realisatie wordt met name veroorzaakt door lagere uitgaven binnen de projecten N35 </w:t>
      </w:r>
      <w:proofErr w:type="spellStart"/>
      <w:r w:rsidRPr="00DD0420">
        <w:rPr>
          <w:rFonts w:ascii="Verdana" w:hAnsi="Verdana" w:cs="Verdana"/>
          <w:sz w:val="18"/>
          <w:szCs w:val="14"/>
        </w:rPr>
        <w:t>Wijthmen-Nijverdal</w:t>
      </w:r>
      <w:proofErr w:type="spellEnd"/>
      <w:r w:rsidRPr="00DD0420">
        <w:rPr>
          <w:rFonts w:ascii="Verdana" w:hAnsi="Verdana" w:cs="Verdana"/>
          <w:sz w:val="18"/>
          <w:szCs w:val="14"/>
        </w:rPr>
        <w:t xml:space="preserve"> (15,1 mln.), Beter Benutten (14,4 mln.), ZSM S</w:t>
      </w:r>
      <w:r w:rsidRPr="00DD0420">
        <w:rPr>
          <w:rFonts w:ascii="Verdana" w:hAnsi="Verdana"/>
          <w:sz w:val="18"/>
          <w:szCs w:val="14"/>
        </w:rPr>
        <w:t>poedwet Wegverbreding (</w:t>
      </w:r>
      <w:r w:rsidRPr="00DD0420">
        <w:rPr>
          <w:rFonts w:ascii="Verdana" w:hAnsi="Verdana" w:cs="Verdana"/>
          <w:sz w:val="18"/>
          <w:szCs w:val="14"/>
        </w:rPr>
        <w:t xml:space="preserve">11,0 mln.), programma 130 km/h (9,8 mln.), N18 </w:t>
      </w:r>
      <w:proofErr w:type="spellStart"/>
      <w:r w:rsidRPr="00DD0420">
        <w:rPr>
          <w:rFonts w:ascii="Verdana" w:hAnsi="Verdana" w:cs="Verdana"/>
          <w:sz w:val="18"/>
          <w:szCs w:val="14"/>
        </w:rPr>
        <w:t>Varsseveld-Enschede</w:t>
      </w:r>
      <w:proofErr w:type="spellEnd"/>
      <w:r w:rsidRPr="00DD0420">
        <w:rPr>
          <w:rFonts w:ascii="Verdana" w:hAnsi="Verdana" w:cs="Verdana"/>
          <w:sz w:val="18"/>
          <w:szCs w:val="14"/>
        </w:rPr>
        <w:t xml:space="preserve"> (8,3 mln.), en A7 Zuidelijke Ringweg Groningen (7,7mln.) Een aantal projecten kent hogere uitgaven: o.a. </w:t>
      </w:r>
      <w:proofErr w:type="spellStart"/>
      <w:r w:rsidRPr="00DD0420">
        <w:rPr>
          <w:rFonts w:ascii="Verdana" w:hAnsi="Verdana" w:cs="Verdana"/>
          <w:sz w:val="18"/>
          <w:szCs w:val="14"/>
        </w:rPr>
        <w:t>Delft-Schiedam</w:t>
      </w:r>
      <w:proofErr w:type="spellEnd"/>
      <w:r w:rsidRPr="00DD0420">
        <w:rPr>
          <w:rFonts w:ascii="Verdana" w:hAnsi="Verdana" w:cs="Verdana"/>
          <w:sz w:val="18"/>
          <w:szCs w:val="14"/>
        </w:rPr>
        <w:t xml:space="preserve"> (18,4 mln.), A9 </w:t>
      </w:r>
      <w:proofErr w:type="spellStart"/>
      <w:r w:rsidRPr="00DD0420">
        <w:rPr>
          <w:rFonts w:ascii="Verdana" w:hAnsi="Verdana" w:cs="Verdana"/>
          <w:sz w:val="18"/>
          <w:szCs w:val="14"/>
        </w:rPr>
        <w:t>Badhoevedorp</w:t>
      </w:r>
      <w:proofErr w:type="spellEnd"/>
      <w:r w:rsidRPr="00DD0420">
        <w:rPr>
          <w:rFonts w:ascii="Verdana" w:hAnsi="Verdana" w:cs="Verdana"/>
          <w:sz w:val="18"/>
          <w:szCs w:val="14"/>
        </w:rPr>
        <w:t xml:space="preserve"> (17,3 mln.) </w:t>
      </w:r>
      <w:r w:rsidRPr="00DD0420">
        <w:rPr>
          <w:rFonts w:ascii="Verdana" w:hAnsi="Verdana"/>
          <w:sz w:val="18"/>
          <w:szCs w:val="14"/>
        </w:rPr>
        <w:t xml:space="preserve">en A1/A6/A9 </w:t>
      </w:r>
      <w:proofErr w:type="spellStart"/>
      <w:r w:rsidRPr="00DD0420">
        <w:rPr>
          <w:rFonts w:ascii="Verdana" w:hAnsi="Verdana"/>
          <w:sz w:val="18"/>
          <w:szCs w:val="14"/>
        </w:rPr>
        <w:t>Schiphol-Amsterdam-Almere</w:t>
      </w:r>
      <w:proofErr w:type="spellEnd"/>
      <w:r w:rsidRPr="00DD0420">
        <w:rPr>
          <w:rFonts w:ascii="Verdana" w:hAnsi="Verdana"/>
          <w:sz w:val="18"/>
          <w:szCs w:val="14"/>
        </w:rPr>
        <w:t xml:space="preserve"> (</w:t>
      </w:r>
      <w:r w:rsidRPr="00DD0420">
        <w:rPr>
          <w:rFonts w:ascii="Verdana" w:hAnsi="Verdana" w:cs="Verdana"/>
          <w:sz w:val="18"/>
          <w:szCs w:val="14"/>
        </w:rPr>
        <w:t xml:space="preserve">16,4 mln.). Omdat op aanleg in 2015 wordt gewerkt met een </w:t>
      </w:r>
      <w:proofErr w:type="spellStart"/>
      <w:r w:rsidRPr="00DD0420">
        <w:rPr>
          <w:rFonts w:ascii="Verdana" w:hAnsi="Verdana" w:cs="Verdana"/>
          <w:sz w:val="18"/>
          <w:szCs w:val="14"/>
        </w:rPr>
        <w:t>overprogrammering</w:t>
      </w:r>
      <w:proofErr w:type="spellEnd"/>
      <w:r w:rsidRPr="00DD0420">
        <w:rPr>
          <w:rFonts w:ascii="Verdana" w:hAnsi="Verdana" w:cs="Verdana"/>
          <w:sz w:val="18"/>
          <w:szCs w:val="14"/>
        </w:rPr>
        <w:t xml:space="preserve"> van 145,0 mln. leidt de onderrealisatie van 18,8 mln. t</w:t>
      </w:r>
      <w:r w:rsidRPr="00DD0420">
        <w:rPr>
          <w:rFonts w:ascii="Verdana" w:hAnsi="Verdana"/>
          <w:sz w:val="18"/>
          <w:szCs w:val="14"/>
        </w:rPr>
        <w:t xml:space="preserve">ot een overschrijding van </w:t>
      </w:r>
      <w:r w:rsidRPr="00DD0420">
        <w:rPr>
          <w:rFonts w:ascii="Verdana" w:hAnsi="Verdana" w:cs="Verdana"/>
          <w:sz w:val="18"/>
          <w:szCs w:val="14"/>
        </w:rPr>
        <w:t xml:space="preserve">126,2 mln. </w:t>
      </w:r>
    </w:p>
    <w:p w:rsidRPr="00DD0420" w:rsidR="00DD0420" w:rsidP="00DD0420" w:rsidRDefault="00DD0420">
      <w:pPr>
        <w:pStyle w:val="Lijstalinea"/>
        <w:numPr>
          <w:ilvl w:val="0"/>
          <w:numId w:val="22"/>
        </w:numPr>
        <w:spacing w:line="276" w:lineRule="auto"/>
        <w:rPr>
          <w:rFonts w:ascii="Verdana" w:hAnsi="Verdana"/>
          <w:sz w:val="18"/>
          <w:szCs w:val="14"/>
        </w:rPr>
      </w:pPr>
      <w:r>
        <w:rPr>
          <w:rFonts w:ascii="Verdana" w:hAnsi="Verdana" w:cs="Verdana"/>
          <w:sz w:val="18"/>
          <w:szCs w:val="14"/>
        </w:rPr>
        <w:t>O</w:t>
      </w:r>
      <w:r w:rsidRPr="00DD0420">
        <w:rPr>
          <w:rFonts w:ascii="Verdana" w:hAnsi="Verdana" w:cs="Verdana"/>
          <w:sz w:val="18"/>
          <w:szCs w:val="14"/>
        </w:rPr>
        <w:t xml:space="preserve">p beheer, onderhoud en vervanging is een overschrijding van 55,6 mln. De overschrijding wordt veroorzaakt door hogere uitgaven voor </w:t>
      </w:r>
      <w:r w:rsidRPr="00DD0420">
        <w:rPr>
          <w:rFonts w:ascii="Verdana" w:hAnsi="Verdana"/>
          <w:sz w:val="18"/>
          <w:szCs w:val="14"/>
        </w:rPr>
        <w:t xml:space="preserve">de brug bij </w:t>
      </w:r>
      <w:proofErr w:type="spellStart"/>
      <w:r w:rsidRPr="00DD0420">
        <w:rPr>
          <w:rFonts w:ascii="Verdana" w:hAnsi="Verdana"/>
          <w:sz w:val="18"/>
          <w:szCs w:val="14"/>
        </w:rPr>
        <w:t>Ewijk</w:t>
      </w:r>
      <w:proofErr w:type="spellEnd"/>
      <w:r w:rsidRPr="00DD0420">
        <w:rPr>
          <w:rFonts w:ascii="Verdana" w:hAnsi="Verdana"/>
          <w:sz w:val="18"/>
          <w:szCs w:val="14"/>
        </w:rPr>
        <w:t xml:space="preserve">, de </w:t>
      </w:r>
      <w:proofErr w:type="spellStart"/>
      <w:r w:rsidRPr="00DD0420">
        <w:rPr>
          <w:rFonts w:ascii="Verdana" w:hAnsi="Verdana"/>
          <w:sz w:val="18"/>
          <w:szCs w:val="14"/>
        </w:rPr>
        <w:t>Galecopperbrug</w:t>
      </w:r>
      <w:proofErr w:type="spellEnd"/>
      <w:r w:rsidRPr="00DD0420">
        <w:rPr>
          <w:rFonts w:ascii="Verdana" w:hAnsi="Verdana"/>
          <w:sz w:val="18"/>
          <w:szCs w:val="14"/>
        </w:rPr>
        <w:t xml:space="preserve">, de </w:t>
      </w:r>
      <w:proofErr w:type="spellStart"/>
      <w:r w:rsidRPr="00DD0420">
        <w:rPr>
          <w:rFonts w:ascii="Verdana" w:hAnsi="Verdana"/>
          <w:sz w:val="18"/>
          <w:szCs w:val="14"/>
        </w:rPr>
        <w:t>Velsertunnel</w:t>
      </w:r>
      <w:proofErr w:type="spellEnd"/>
      <w:r w:rsidRPr="00DD0420">
        <w:rPr>
          <w:rFonts w:ascii="Verdana" w:hAnsi="Verdana"/>
          <w:sz w:val="18"/>
          <w:szCs w:val="14"/>
        </w:rPr>
        <w:t xml:space="preserve"> en de </w:t>
      </w:r>
      <w:proofErr w:type="spellStart"/>
      <w:r w:rsidRPr="00DD0420">
        <w:rPr>
          <w:rFonts w:ascii="Verdana" w:hAnsi="Verdana"/>
          <w:sz w:val="18"/>
          <w:szCs w:val="14"/>
        </w:rPr>
        <w:t>Stichtse</w:t>
      </w:r>
      <w:proofErr w:type="spellEnd"/>
      <w:r w:rsidRPr="00DD0420">
        <w:rPr>
          <w:rFonts w:ascii="Verdana" w:hAnsi="Verdana"/>
          <w:sz w:val="18"/>
          <w:szCs w:val="14"/>
        </w:rPr>
        <w:t xml:space="preserve"> Brug binnen het programma Vervanging en Renovatie. </w:t>
      </w:r>
    </w:p>
    <w:p w:rsidRPr="00DD0420" w:rsidR="00DD0420" w:rsidP="00DD0420" w:rsidRDefault="00DD0420">
      <w:pPr>
        <w:pStyle w:val="Lijstalinea"/>
        <w:numPr>
          <w:ilvl w:val="0"/>
          <w:numId w:val="22"/>
        </w:numPr>
        <w:spacing w:line="276" w:lineRule="auto"/>
        <w:rPr>
          <w:rFonts w:ascii="Verdana" w:hAnsi="Verdana"/>
          <w:sz w:val="18"/>
          <w:szCs w:val="14"/>
        </w:rPr>
      </w:pPr>
      <w:r>
        <w:rPr>
          <w:rFonts w:ascii="Verdana" w:hAnsi="Verdana"/>
          <w:sz w:val="18"/>
          <w:szCs w:val="14"/>
        </w:rPr>
        <w:t>O</w:t>
      </w:r>
      <w:r w:rsidRPr="00DD0420">
        <w:rPr>
          <w:rFonts w:ascii="Verdana" w:hAnsi="Verdana"/>
          <w:sz w:val="18"/>
          <w:szCs w:val="14"/>
        </w:rPr>
        <w:t xml:space="preserve">p de geïntegreerde contractvormen is een onderuitputting van 23,9 mln. als gevolg van lagere uitgaven binnen het project N33 </w:t>
      </w:r>
      <w:proofErr w:type="spellStart"/>
      <w:r w:rsidRPr="00DD0420">
        <w:rPr>
          <w:rFonts w:ascii="Verdana" w:hAnsi="Verdana"/>
          <w:sz w:val="18"/>
          <w:szCs w:val="14"/>
        </w:rPr>
        <w:t>Assen-Zuidbroek</w:t>
      </w:r>
      <w:proofErr w:type="spellEnd"/>
      <w:r w:rsidRPr="00DD0420">
        <w:rPr>
          <w:rFonts w:ascii="Verdana" w:hAnsi="Verdana"/>
          <w:sz w:val="18"/>
          <w:szCs w:val="14"/>
        </w:rPr>
        <w:t xml:space="preserve">. </w:t>
      </w:r>
    </w:p>
    <w:p w:rsidRPr="00DD0420" w:rsidR="00DD0420" w:rsidP="00DD0420" w:rsidRDefault="00DD0420">
      <w:pPr>
        <w:pStyle w:val="Lijstalinea"/>
        <w:numPr>
          <w:ilvl w:val="0"/>
          <w:numId w:val="22"/>
        </w:numPr>
        <w:spacing w:line="276" w:lineRule="auto"/>
        <w:rPr>
          <w:rFonts w:ascii="Verdana" w:hAnsi="Verdana" w:cs="Verdana"/>
          <w:sz w:val="18"/>
          <w:szCs w:val="14"/>
        </w:rPr>
      </w:pPr>
      <w:r>
        <w:rPr>
          <w:rFonts w:ascii="Verdana" w:hAnsi="Verdana"/>
          <w:sz w:val="18"/>
          <w:szCs w:val="14"/>
        </w:rPr>
        <w:t>D</w:t>
      </w:r>
      <w:r w:rsidRPr="00DD0420">
        <w:rPr>
          <w:rFonts w:ascii="Verdana" w:hAnsi="Verdana"/>
          <w:sz w:val="18"/>
          <w:szCs w:val="14"/>
        </w:rPr>
        <w:t>e toevoeging aan de investeringsruimte Hoofdwegennet als gevolg van een grondopbrengst van 2,5 mln. in het kader van het IODS (Integrale Ontwikkeling tussen Delft en Schiedam) convenant wordt naar 2016 geschoven.</w:t>
      </w:r>
      <w:r w:rsidRPr="00DD0420">
        <w:rPr>
          <w:rFonts w:ascii="Verdana" w:hAnsi="Verdana" w:cs="Verdana"/>
          <w:sz w:val="18"/>
          <w:szCs w:val="14"/>
        </w:rPr>
        <w:t xml:space="preserve"> </w:t>
      </w:r>
    </w:p>
    <w:p w:rsidR="00DD0420" w:rsidP="00DD0420" w:rsidRDefault="00DD0420">
      <w:pPr>
        <w:spacing w:line="276" w:lineRule="auto"/>
        <w:rPr>
          <w:rFonts w:ascii="Verdana" w:hAnsi="Verdana"/>
          <w:sz w:val="18"/>
          <w:szCs w:val="14"/>
        </w:rPr>
      </w:pPr>
    </w:p>
    <w:p w:rsidR="00DD0420" w:rsidP="00DD0420" w:rsidRDefault="00DD0420">
      <w:pPr>
        <w:spacing w:line="276" w:lineRule="auto"/>
        <w:rPr>
          <w:rFonts w:ascii="Verdana" w:hAnsi="Verdana"/>
          <w:i/>
          <w:sz w:val="18"/>
          <w:szCs w:val="14"/>
        </w:rPr>
      </w:pPr>
      <w:r>
        <w:rPr>
          <w:rFonts w:ascii="Verdana" w:hAnsi="Verdana"/>
          <w:i/>
          <w:sz w:val="18"/>
          <w:szCs w:val="14"/>
        </w:rPr>
        <w:t>Saldo 2015 Megaprojecten verkeer en vervoer</w:t>
      </w:r>
    </w:p>
    <w:p w:rsidR="00DD0420" w:rsidP="00DD0420" w:rsidRDefault="00DD0420">
      <w:pPr>
        <w:spacing w:line="276" w:lineRule="auto"/>
        <w:rPr>
          <w:rFonts w:ascii="Verdana" w:hAnsi="Verdana"/>
          <w:sz w:val="18"/>
          <w:szCs w:val="14"/>
        </w:rPr>
      </w:pPr>
      <w:r>
        <w:rPr>
          <w:rFonts w:ascii="Verdana" w:hAnsi="Verdana"/>
          <w:sz w:val="18"/>
          <w:szCs w:val="14"/>
        </w:rPr>
        <w:t xml:space="preserve">Per saldo is op het artikel megaprojecten verkeer en vervoer een onderuitputting van 36,7 mln. De onderuitputting wordt veroorzaakt door vijf megaprojecten. </w:t>
      </w:r>
    </w:p>
    <w:p w:rsidRPr="00DD0420" w:rsidR="00DD0420" w:rsidP="00DD0420" w:rsidRDefault="00DD0420">
      <w:pPr>
        <w:pStyle w:val="Lijstalinea"/>
        <w:numPr>
          <w:ilvl w:val="0"/>
          <w:numId w:val="24"/>
        </w:numPr>
        <w:spacing w:line="276" w:lineRule="auto"/>
        <w:rPr>
          <w:rFonts w:ascii="Verdana" w:hAnsi="Verdana"/>
          <w:sz w:val="18"/>
          <w:szCs w:val="14"/>
        </w:rPr>
      </w:pPr>
      <w:r>
        <w:rPr>
          <w:rFonts w:ascii="Verdana" w:hAnsi="Verdana"/>
          <w:sz w:val="18"/>
          <w:szCs w:val="14"/>
        </w:rPr>
        <w:t>B</w:t>
      </w:r>
      <w:r w:rsidRPr="00DD0420">
        <w:rPr>
          <w:rFonts w:ascii="Verdana" w:hAnsi="Verdana"/>
          <w:sz w:val="18"/>
          <w:szCs w:val="14"/>
        </w:rPr>
        <w:t xml:space="preserve">innen het project Betuweroute is 2,5 mln. minder uitgeven doordat de </w:t>
      </w:r>
      <w:proofErr w:type="spellStart"/>
      <w:r w:rsidRPr="00DD0420">
        <w:rPr>
          <w:rFonts w:ascii="Verdana" w:hAnsi="Verdana"/>
          <w:sz w:val="18"/>
          <w:szCs w:val="14"/>
        </w:rPr>
        <w:t>plasbrandverkleinende</w:t>
      </w:r>
      <w:proofErr w:type="spellEnd"/>
      <w:r w:rsidRPr="00DD0420">
        <w:rPr>
          <w:rFonts w:ascii="Verdana" w:hAnsi="Verdana"/>
          <w:sz w:val="18"/>
          <w:szCs w:val="14"/>
        </w:rPr>
        <w:t xml:space="preserve"> maatregelen voor het grootste deel pas in 2016 worden uitgevoerd. </w:t>
      </w:r>
    </w:p>
    <w:p w:rsidRPr="00DD0420" w:rsidR="00DD0420" w:rsidP="00DD0420" w:rsidRDefault="00DD0420">
      <w:pPr>
        <w:pStyle w:val="Lijstalinea"/>
        <w:numPr>
          <w:ilvl w:val="0"/>
          <w:numId w:val="24"/>
        </w:numPr>
        <w:spacing w:line="276" w:lineRule="auto"/>
        <w:rPr>
          <w:rFonts w:ascii="Verdana" w:hAnsi="Verdana" w:cs="Verdana"/>
          <w:sz w:val="18"/>
          <w:szCs w:val="14"/>
        </w:rPr>
      </w:pPr>
      <w:r>
        <w:rPr>
          <w:rFonts w:ascii="Verdana" w:hAnsi="Verdana"/>
          <w:sz w:val="18"/>
          <w:szCs w:val="14"/>
        </w:rPr>
        <w:t>B</w:t>
      </w:r>
      <w:r w:rsidRPr="00DD0420">
        <w:rPr>
          <w:rFonts w:ascii="Verdana" w:hAnsi="Verdana"/>
          <w:sz w:val="18"/>
          <w:szCs w:val="14"/>
        </w:rPr>
        <w:t>innen het project HSL is 19,5 mln. minder uitgegeven als gevolg van uitgestelde besluitvorming over de te nemen geluidsmaatregelen vanwege inspraak van belanghebbenden</w:t>
      </w:r>
      <w:r w:rsidRPr="00DD0420">
        <w:rPr>
          <w:rFonts w:ascii="Verdana" w:hAnsi="Verdana" w:cs="Verdana"/>
          <w:sz w:val="18"/>
          <w:szCs w:val="14"/>
        </w:rPr>
        <w:t xml:space="preserve">. Daarnaast zijn de onderzoeken naar de </w:t>
      </w:r>
      <w:proofErr w:type="spellStart"/>
      <w:r w:rsidRPr="00DD0420">
        <w:rPr>
          <w:rFonts w:ascii="Verdana" w:hAnsi="Verdana" w:cs="Verdana"/>
          <w:sz w:val="18"/>
          <w:szCs w:val="14"/>
        </w:rPr>
        <w:t>zettingsproblematiek</w:t>
      </w:r>
      <w:proofErr w:type="spellEnd"/>
      <w:r w:rsidRPr="00DD0420">
        <w:rPr>
          <w:rFonts w:ascii="Verdana" w:hAnsi="Verdana" w:cs="Verdana"/>
          <w:sz w:val="18"/>
          <w:szCs w:val="14"/>
        </w:rPr>
        <w:t xml:space="preserve"> nog niet afgerond. </w:t>
      </w:r>
    </w:p>
    <w:p w:rsidRPr="00DD0420" w:rsidR="00DD0420" w:rsidP="00DD0420" w:rsidRDefault="00DD0420">
      <w:pPr>
        <w:pStyle w:val="Lijstalinea"/>
        <w:numPr>
          <w:ilvl w:val="0"/>
          <w:numId w:val="24"/>
        </w:numPr>
        <w:spacing w:line="276" w:lineRule="auto"/>
        <w:rPr>
          <w:rFonts w:ascii="Verdana" w:hAnsi="Verdana"/>
          <w:sz w:val="18"/>
          <w:szCs w:val="14"/>
        </w:rPr>
      </w:pPr>
      <w:r>
        <w:rPr>
          <w:rFonts w:ascii="Verdana" w:hAnsi="Verdana" w:cs="Verdana"/>
          <w:sz w:val="18"/>
          <w:szCs w:val="14"/>
        </w:rPr>
        <w:t>B</w:t>
      </w:r>
      <w:r w:rsidRPr="00DD0420">
        <w:rPr>
          <w:rFonts w:ascii="Verdana" w:hAnsi="Verdana" w:cs="Verdana"/>
          <w:sz w:val="18"/>
          <w:szCs w:val="14"/>
        </w:rPr>
        <w:t xml:space="preserve">innen het project </w:t>
      </w:r>
      <w:proofErr w:type="spellStart"/>
      <w:r w:rsidRPr="00DD0420">
        <w:rPr>
          <w:rFonts w:ascii="Verdana" w:hAnsi="Verdana" w:cs="Verdana"/>
          <w:sz w:val="18"/>
          <w:szCs w:val="14"/>
        </w:rPr>
        <w:t>Mainportontwikkeling</w:t>
      </w:r>
      <w:proofErr w:type="spellEnd"/>
      <w:r w:rsidRPr="00DD0420">
        <w:rPr>
          <w:rFonts w:ascii="Verdana" w:hAnsi="Verdana" w:cs="Verdana"/>
          <w:sz w:val="18"/>
          <w:szCs w:val="14"/>
        </w:rPr>
        <w:t xml:space="preserve"> Rotterdam is 1,8 mln. meer uitgegeven als gevolg van een </w:t>
      </w:r>
      <w:r w:rsidRPr="00DD0420">
        <w:rPr>
          <w:rFonts w:ascii="Verdana" w:hAnsi="Verdana"/>
          <w:sz w:val="18"/>
          <w:szCs w:val="14"/>
        </w:rPr>
        <w:t xml:space="preserve">aanvulling op de uitwerkingsovereenkomst met het Havenbedrijf Rotterdam vanwege de verbreding van het </w:t>
      </w:r>
      <w:proofErr w:type="spellStart"/>
      <w:r w:rsidRPr="00DD0420">
        <w:rPr>
          <w:rFonts w:ascii="Verdana" w:hAnsi="Verdana"/>
          <w:sz w:val="18"/>
          <w:szCs w:val="14"/>
        </w:rPr>
        <w:t>Breeddiep</w:t>
      </w:r>
      <w:proofErr w:type="spellEnd"/>
      <w:r w:rsidRPr="00DD0420">
        <w:rPr>
          <w:rFonts w:ascii="Verdana" w:hAnsi="Verdana"/>
          <w:sz w:val="18"/>
          <w:szCs w:val="14"/>
        </w:rPr>
        <w:t xml:space="preserve">. </w:t>
      </w:r>
    </w:p>
    <w:p w:rsidRPr="00DD0420" w:rsidR="00DD0420" w:rsidP="00DD0420" w:rsidRDefault="00DD0420">
      <w:pPr>
        <w:pStyle w:val="Lijstalinea"/>
        <w:numPr>
          <w:ilvl w:val="0"/>
          <w:numId w:val="24"/>
        </w:numPr>
        <w:spacing w:line="276" w:lineRule="auto"/>
        <w:rPr>
          <w:rFonts w:ascii="Verdana" w:hAnsi="Verdana"/>
          <w:sz w:val="18"/>
          <w:szCs w:val="14"/>
        </w:rPr>
      </w:pPr>
      <w:r>
        <w:rPr>
          <w:rFonts w:ascii="Verdana" w:hAnsi="Verdana"/>
          <w:sz w:val="18"/>
          <w:szCs w:val="14"/>
        </w:rPr>
        <w:t>B</w:t>
      </w:r>
      <w:r w:rsidRPr="00DD0420">
        <w:rPr>
          <w:rFonts w:ascii="Verdana" w:hAnsi="Verdana"/>
          <w:sz w:val="18"/>
          <w:szCs w:val="14"/>
        </w:rPr>
        <w:t xml:space="preserve">innen het programma ERTMS is 12,7 mln. minder uitgegeven door het later op gang komen van de inhoudelijke werkzaamheden en daardoor ook van de specifieke werkzaamheden bij </w:t>
      </w:r>
      <w:proofErr w:type="spellStart"/>
      <w:r w:rsidRPr="00DD0420">
        <w:rPr>
          <w:rFonts w:ascii="Verdana" w:hAnsi="Verdana"/>
          <w:sz w:val="18"/>
          <w:szCs w:val="14"/>
        </w:rPr>
        <w:t>ProRail</w:t>
      </w:r>
      <w:proofErr w:type="spellEnd"/>
      <w:r w:rsidRPr="00DD0420">
        <w:rPr>
          <w:rFonts w:ascii="Verdana" w:hAnsi="Verdana"/>
          <w:sz w:val="18"/>
          <w:szCs w:val="14"/>
        </w:rPr>
        <w:t xml:space="preserve">, NS en externe expertise. </w:t>
      </w:r>
    </w:p>
    <w:p w:rsidRPr="00DD0420" w:rsidR="00DD0420" w:rsidP="00DD0420" w:rsidRDefault="00DD0420">
      <w:pPr>
        <w:pStyle w:val="Lijstalinea"/>
        <w:numPr>
          <w:ilvl w:val="0"/>
          <w:numId w:val="24"/>
        </w:numPr>
        <w:spacing w:line="276" w:lineRule="auto"/>
        <w:rPr>
          <w:rFonts w:ascii="Verdana" w:hAnsi="Verdana"/>
          <w:sz w:val="18"/>
          <w:szCs w:val="14"/>
        </w:rPr>
      </w:pPr>
      <w:r>
        <w:rPr>
          <w:rFonts w:ascii="Verdana" w:hAnsi="Verdana"/>
          <w:sz w:val="18"/>
          <w:szCs w:val="14"/>
        </w:rPr>
        <w:t>V</w:t>
      </w:r>
      <w:r w:rsidRPr="00DD0420">
        <w:rPr>
          <w:rFonts w:ascii="Verdana" w:hAnsi="Verdana"/>
          <w:sz w:val="18"/>
          <w:szCs w:val="14"/>
        </w:rPr>
        <w:t xml:space="preserve">oor het project </w:t>
      </w:r>
      <w:proofErr w:type="spellStart"/>
      <w:r w:rsidRPr="00DD0420">
        <w:rPr>
          <w:rFonts w:ascii="Verdana" w:hAnsi="Verdana"/>
          <w:sz w:val="18"/>
          <w:szCs w:val="14"/>
        </w:rPr>
        <w:t>Zuidasdok</w:t>
      </w:r>
      <w:proofErr w:type="spellEnd"/>
      <w:r w:rsidRPr="00DD0420">
        <w:rPr>
          <w:rFonts w:ascii="Verdana" w:hAnsi="Verdana"/>
          <w:sz w:val="18"/>
          <w:szCs w:val="14"/>
        </w:rPr>
        <w:t xml:space="preserve"> zijn de budgetten overgeheveld van de planstudie naar de realisatiefase. Hiertoe is het kasritme in lijn gebracht met de uitvoeringsplanning, met als gevolg dat 3,7 mln. van 2015 naar 2016 wordt geschoven.</w:t>
      </w:r>
    </w:p>
    <w:p w:rsidR="00DD0420" w:rsidP="00DD0420" w:rsidRDefault="00DD0420">
      <w:pPr>
        <w:spacing w:line="276" w:lineRule="auto"/>
        <w:rPr>
          <w:rFonts w:ascii="Verdana" w:hAnsi="Verdana"/>
          <w:sz w:val="18"/>
          <w:szCs w:val="14"/>
        </w:rPr>
      </w:pPr>
    </w:p>
    <w:p w:rsidR="00DD0420" w:rsidP="00DD0420" w:rsidRDefault="00DD0420">
      <w:pPr>
        <w:spacing w:line="276" w:lineRule="auto"/>
        <w:rPr>
          <w:rFonts w:ascii="Verdana" w:hAnsi="Verdana"/>
          <w:i/>
          <w:sz w:val="18"/>
          <w:szCs w:val="14"/>
        </w:rPr>
      </w:pPr>
      <w:r>
        <w:rPr>
          <w:rFonts w:ascii="Verdana" w:hAnsi="Verdana"/>
          <w:i/>
          <w:sz w:val="18"/>
          <w:szCs w:val="14"/>
        </w:rPr>
        <w:t>Saldo 2015 spoorwegen</w:t>
      </w:r>
    </w:p>
    <w:p w:rsidR="00DD0420" w:rsidP="00DD0420" w:rsidRDefault="00DD0420">
      <w:pPr>
        <w:spacing w:line="276" w:lineRule="auto"/>
        <w:rPr>
          <w:rFonts w:ascii="Verdana" w:hAnsi="Verdana"/>
          <w:sz w:val="18"/>
          <w:szCs w:val="14"/>
        </w:rPr>
      </w:pPr>
      <w:r>
        <w:rPr>
          <w:rFonts w:ascii="Verdana" w:hAnsi="Verdana"/>
          <w:sz w:val="18"/>
          <w:szCs w:val="14"/>
        </w:rPr>
        <w:t xml:space="preserve">Per saldo is op het artikel spoorwegen een onderuitputting van 240,5 mln. Dit bedrag bestaat uit vier componenten. </w:t>
      </w:r>
    </w:p>
    <w:p w:rsidRPr="00DD0420" w:rsidR="00DD0420" w:rsidP="00DD0420" w:rsidRDefault="00DD0420">
      <w:pPr>
        <w:pStyle w:val="Lijstalinea"/>
        <w:numPr>
          <w:ilvl w:val="0"/>
          <w:numId w:val="26"/>
        </w:numPr>
        <w:spacing w:line="276" w:lineRule="auto"/>
        <w:rPr>
          <w:rFonts w:ascii="Verdana" w:hAnsi="Verdana" w:cs="Verdana"/>
          <w:sz w:val="18"/>
          <w:szCs w:val="14"/>
        </w:rPr>
      </w:pPr>
      <w:r>
        <w:rPr>
          <w:rFonts w:ascii="Verdana" w:hAnsi="Verdana"/>
          <w:sz w:val="18"/>
          <w:szCs w:val="14"/>
        </w:rPr>
        <w:t>O</w:t>
      </w:r>
      <w:r w:rsidRPr="00DD0420">
        <w:rPr>
          <w:rFonts w:ascii="Verdana" w:hAnsi="Verdana"/>
          <w:sz w:val="18"/>
          <w:szCs w:val="14"/>
        </w:rPr>
        <w:t>p aanleg is voor 62,5 mln. minder gerealiseerd dan geprogrammeerd. De lagere realisatie wordt met name veroorzaakt door lagere uitgaven binnen de projecten PHS (</w:t>
      </w:r>
      <w:r w:rsidRPr="00DD0420">
        <w:rPr>
          <w:rFonts w:ascii="Verdana" w:hAnsi="Verdana" w:cs="Verdana"/>
          <w:sz w:val="18"/>
          <w:szCs w:val="14"/>
        </w:rPr>
        <w:t xml:space="preserve">31,5 mln.), OV SAAL (17,2 mln.) en het programma Kleine Functiewijzingen (8,7 mln.). Omdat op aanleg in 2015 wordt gewerkt met een onderprogrammering van 108,0 mln. leidt de lagere realisatie van 62,5 mln. tot een onderuitputting van 170,5 mln. </w:t>
      </w:r>
    </w:p>
    <w:p w:rsidRPr="00DD0420" w:rsidR="00DD0420" w:rsidP="00DD0420" w:rsidRDefault="00DD0420">
      <w:pPr>
        <w:pStyle w:val="Lijstalinea"/>
        <w:numPr>
          <w:ilvl w:val="0"/>
          <w:numId w:val="26"/>
        </w:numPr>
        <w:spacing w:line="276" w:lineRule="auto"/>
        <w:rPr>
          <w:rFonts w:ascii="Verdana" w:hAnsi="Verdana" w:cs="Verdana"/>
          <w:sz w:val="18"/>
          <w:szCs w:val="14"/>
        </w:rPr>
      </w:pPr>
      <w:r>
        <w:rPr>
          <w:rFonts w:ascii="Verdana" w:hAnsi="Verdana" w:cs="Verdana"/>
          <w:sz w:val="18"/>
          <w:szCs w:val="14"/>
        </w:rPr>
        <w:lastRenderedPageBreak/>
        <w:t>O</w:t>
      </w:r>
      <w:r w:rsidRPr="00DD0420">
        <w:rPr>
          <w:rFonts w:ascii="Verdana" w:hAnsi="Verdana" w:cs="Verdana"/>
          <w:sz w:val="18"/>
          <w:szCs w:val="14"/>
        </w:rPr>
        <w:t xml:space="preserve">p beheer, onderhoud en vervanging (BOV) is 4,4 mln. minder uitgegeven doordat de aanvullende </w:t>
      </w:r>
      <w:proofErr w:type="spellStart"/>
      <w:r w:rsidRPr="00DD0420">
        <w:rPr>
          <w:rFonts w:ascii="Verdana" w:hAnsi="Verdana" w:cs="Verdana"/>
          <w:sz w:val="18"/>
          <w:szCs w:val="14"/>
        </w:rPr>
        <w:t>BOV-subsidie</w:t>
      </w:r>
      <w:proofErr w:type="spellEnd"/>
      <w:r w:rsidRPr="00DD0420">
        <w:rPr>
          <w:rFonts w:ascii="Verdana" w:hAnsi="Verdana" w:cs="Verdana"/>
          <w:sz w:val="18"/>
          <w:szCs w:val="14"/>
        </w:rPr>
        <w:t xml:space="preserve"> voor Prorail in 2015 niet nodig is. </w:t>
      </w:r>
    </w:p>
    <w:p w:rsidRPr="00DD0420" w:rsidR="00DD0420" w:rsidP="00DD0420" w:rsidRDefault="00DD0420">
      <w:pPr>
        <w:pStyle w:val="Lijstalinea"/>
        <w:numPr>
          <w:ilvl w:val="0"/>
          <w:numId w:val="26"/>
        </w:numPr>
        <w:spacing w:line="276" w:lineRule="auto"/>
        <w:rPr>
          <w:rFonts w:ascii="Verdana" w:hAnsi="Verdana" w:cs="Verdana"/>
          <w:sz w:val="18"/>
          <w:szCs w:val="14"/>
        </w:rPr>
      </w:pPr>
      <w:r>
        <w:rPr>
          <w:rFonts w:ascii="Verdana" w:hAnsi="Verdana" w:cs="Verdana"/>
          <w:sz w:val="18"/>
          <w:szCs w:val="14"/>
        </w:rPr>
        <w:t>O</w:t>
      </w:r>
      <w:r w:rsidRPr="00DD0420">
        <w:rPr>
          <w:rFonts w:ascii="Verdana" w:hAnsi="Verdana" w:cs="Verdana"/>
          <w:sz w:val="18"/>
          <w:szCs w:val="14"/>
        </w:rPr>
        <w:t xml:space="preserve">p de geïntegreerde contractvormen is een onderuitputting van 11,9 mln. Dit komt deels door de </w:t>
      </w:r>
      <w:proofErr w:type="spellStart"/>
      <w:r w:rsidRPr="00DD0420">
        <w:rPr>
          <w:rFonts w:ascii="Verdana" w:hAnsi="Verdana" w:cs="Verdana"/>
          <w:sz w:val="18"/>
          <w:szCs w:val="14"/>
        </w:rPr>
        <w:t>hedging</w:t>
      </w:r>
      <w:proofErr w:type="spellEnd"/>
      <w:r w:rsidRPr="00DD0420">
        <w:rPr>
          <w:rFonts w:ascii="Verdana" w:hAnsi="Verdana" w:cs="Verdana"/>
          <w:sz w:val="18"/>
          <w:szCs w:val="14"/>
        </w:rPr>
        <w:t xml:space="preserve"> </w:t>
      </w:r>
      <w:proofErr w:type="spellStart"/>
      <w:r w:rsidRPr="00DD0420">
        <w:rPr>
          <w:rFonts w:ascii="Verdana" w:hAnsi="Verdana" w:cs="Verdana"/>
          <w:sz w:val="18"/>
          <w:szCs w:val="14"/>
        </w:rPr>
        <w:t>adjustment</w:t>
      </w:r>
      <w:proofErr w:type="spellEnd"/>
      <w:r w:rsidRPr="00DD0420">
        <w:rPr>
          <w:rFonts w:ascii="Verdana" w:hAnsi="Verdana" w:cs="Verdana"/>
          <w:sz w:val="18"/>
          <w:szCs w:val="14"/>
        </w:rPr>
        <w:t xml:space="preserve"> die heeft plaatsgevonden op de </w:t>
      </w:r>
      <w:proofErr w:type="spellStart"/>
      <w:r w:rsidRPr="00DD0420">
        <w:rPr>
          <w:rFonts w:ascii="Verdana" w:hAnsi="Verdana" w:cs="Verdana"/>
          <w:sz w:val="18"/>
          <w:szCs w:val="14"/>
        </w:rPr>
        <w:t>beschikbaarheidsvergoeding</w:t>
      </w:r>
      <w:proofErr w:type="spellEnd"/>
      <w:r w:rsidRPr="00DD0420">
        <w:rPr>
          <w:rFonts w:ascii="Verdana" w:hAnsi="Verdana" w:cs="Verdana"/>
          <w:sz w:val="18"/>
          <w:szCs w:val="14"/>
        </w:rPr>
        <w:t xml:space="preserve"> van </w:t>
      </w:r>
      <w:proofErr w:type="spellStart"/>
      <w:r w:rsidRPr="00DD0420">
        <w:rPr>
          <w:rFonts w:ascii="Verdana" w:hAnsi="Verdana" w:cs="Verdana"/>
          <w:sz w:val="18"/>
          <w:szCs w:val="14"/>
        </w:rPr>
        <w:t>Infraspeed</w:t>
      </w:r>
      <w:proofErr w:type="spellEnd"/>
      <w:r w:rsidRPr="00DD0420">
        <w:rPr>
          <w:rFonts w:ascii="Verdana" w:hAnsi="Verdana" w:cs="Verdana"/>
          <w:sz w:val="18"/>
          <w:szCs w:val="14"/>
        </w:rPr>
        <w:t xml:space="preserve">. In de </w:t>
      </w:r>
      <w:proofErr w:type="spellStart"/>
      <w:r w:rsidRPr="00DD0420">
        <w:rPr>
          <w:rFonts w:ascii="Verdana" w:hAnsi="Verdana" w:cs="Verdana"/>
          <w:sz w:val="18"/>
          <w:szCs w:val="14"/>
        </w:rPr>
        <w:t>beschikbaarheidsvergoeding</w:t>
      </w:r>
      <w:proofErr w:type="spellEnd"/>
      <w:r w:rsidRPr="00DD0420">
        <w:rPr>
          <w:rFonts w:ascii="Verdana" w:hAnsi="Verdana" w:cs="Verdana"/>
          <w:sz w:val="18"/>
          <w:szCs w:val="14"/>
        </w:rPr>
        <w:t xml:space="preserve"> die </w:t>
      </w:r>
      <w:proofErr w:type="spellStart"/>
      <w:r w:rsidRPr="00DD0420">
        <w:rPr>
          <w:rFonts w:ascii="Verdana" w:hAnsi="Verdana" w:cs="Verdana"/>
          <w:sz w:val="18"/>
          <w:szCs w:val="14"/>
        </w:rPr>
        <w:t>Infraspeed</w:t>
      </w:r>
      <w:proofErr w:type="spellEnd"/>
      <w:r w:rsidRPr="00DD0420">
        <w:rPr>
          <w:rFonts w:ascii="Verdana" w:hAnsi="Verdana" w:cs="Verdana"/>
          <w:sz w:val="18"/>
          <w:szCs w:val="14"/>
        </w:rPr>
        <w:t xml:space="preserve"> van IenM ontvangt is rekening gehouden met 4,25%-rente op de lening waarvoor het renterisico bij de Staat ligt. Per halfjaar vindt verrekening plaats tussen deze 4,25%-rente en het op dat moment geldende </w:t>
      </w:r>
      <w:proofErr w:type="spellStart"/>
      <w:r w:rsidRPr="00DD0420">
        <w:rPr>
          <w:rFonts w:ascii="Verdana" w:hAnsi="Verdana" w:cs="Verdana"/>
          <w:sz w:val="18"/>
          <w:szCs w:val="14"/>
        </w:rPr>
        <w:t>Euribor-percentage</w:t>
      </w:r>
      <w:proofErr w:type="spellEnd"/>
      <w:r w:rsidRPr="00DD0420">
        <w:rPr>
          <w:rFonts w:ascii="Verdana" w:hAnsi="Verdana" w:cs="Verdana"/>
          <w:sz w:val="18"/>
          <w:szCs w:val="14"/>
        </w:rPr>
        <w:t xml:space="preserve">. Dit zijn de zgn. </w:t>
      </w:r>
      <w:proofErr w:type="spellStart"/>
      <w:r w:rsidRPr="00DD0420">
        <w:rPr>
          <w:rFonts w:ascii="Verdana" w:hAnsi="Verdana" w:cs="Verdana"/>
          <w:sz w:val="18"/>
          <w:szCs w:val="14"/>
        </w:rPr>
        <w:t>hedging</w:t>
      </w:r>
      <w:proofErr w:type="spellEnd"/>
      <w:r w:rsidRPr="00DD0420">
        <w:rPr>
          <w:rFonts w:ascii="Verdana" w:hAnsi="Verdana" w:cs="Verdana"/>
          <w:sz w:val="18"/>
          <w:szCs w:val="14"/>
        </w:rPr>
        <w:t xml:space="preserve"> </w:t>
      </w:r>
      <w:proofErr w:type="spellStart"/>
      <w:r w:rsidRPr="00DD0420">
        <w:rPr>
          <w:rFonts w:ascii="Verdana" w:hAnsi="Verdana" w:cs="Verdana"/>
          <w:sz w:val="18"/>
          <w:szCs w:val="14"/>
        </w:rPr>
        <w:t>adjustments</w:t>
      </w:r>
      <w:proofErr w:type="spellEnd"/>
      <w:r w:rsidRPr="00DD0420">
        <w:rPr>
          <w:rFonts w:ascii="Verdana" w:hAnsi="Verdana" w:cs="Verdana"/>
          <w:sz w:val="18"/>
          <w:szCs w:val="14"/>
        </w:rPr>
        <w:t xml:space="preserve">. Na herfinanciering van de lening zou deze </w:t>
      </w:r>
      <w:proofErr w:type="spellStart"/>
      <w:r w:rsidRPr="00DD0420">
        <w:rPr>
          <w:rFonts w:ascii="Verdana" w:hAnsi="Verdana" w:cs="Verdana"/>
          <w:sz w:val="18"/>
          <w:szCs w:val="14"/>
        </w:rPr>
        <w:t>adjustments</w:t>
      </w:r>
      <w:proofErr w:type="spellEnd"/>
      <w:r w:rsidRPr="00DD0420">
        <w:rPr>
          <w:rFonts w:ascii="Verdana" w:hAnsi="Verdana" w:cs="Verdana"/>
          <w:sz w:val="18"/>
          <w:szCs w:val="14"/>
        </w:rPr>
        <w:t xml:space="preserve"> niet langer nodig zijn. Het </w:t>
      </w:r>
      <w:proofErr w:type="spellStart"/>
      <w:r w:rsidRPr="00DD0420">
        <w:rPr>
          <w:rFonts w:ascii="Verdana" w:hAnsi="Verdana" w:cs="Verdana"/>
          <w:sz w:val="18"/>
          <w:szCs w:val="14"/>
        </w:rPr>
        <w:t>herfinancieringsproces</w:t>
      </w:r>
      <w:proofErr w:type="spellEnd"/>
      <w:r w:rsidRPr="00DD0420">
        <w:rPr>
          <w:rFonts w:ascii="Verdana" w:hAnsi="Verdana" w:cs="Verdana"/>
          <w:sz w:val="18"/>
          <w:szCs w:val="14"/>
        </w:rPr>
        <w:t xml:space="preserve"> heeft echter vertraging opgelopen. Hierdoor is er ook een </w:t>
      </w:r>
      <w:proofErr w:type="spellStart"/>
      <w:r w:rsidRPr="00DD0420">
        <w:rPr>
          <w:rFonts w:ascii="Verdana" w:hAnsi="Verdana" w:cs="Verdana"/>
          <w:sz w:val="18"/>
          <w:szCs w:val="14"/>
        </w:rPr>
        <w:t>hedging</w:t>
      </w:r>
      <w:proofErr w:type="spellEnd"/>
      <w:r w:rsidRPr="00DD0420">
        <w:rPr>
          <w:rFonts w:ascii="Verdana" w:hAnsi="Verdana" w:cs="Verdana"/>
          <w:sz w:val="18"/>
          <w:szCs w:val="14"/>
        </w:rPr>
        <w:t xml:space="preserve"> </w:t>
      </w:r>
      <w:proofErr w:type="spellStart"/>
      <w:r w:rsidRPr="00DD0420">
        <w:rPr>
          <w:rFonts w:ascii="Verdana" w:hAnsi="Verdana" w:cs="Verdana"/>
          <w:sz w:val="18"/>
          <w:szCs w:val="14"/>
        </w:rPr>
        <w:t>adjustment</w:t>
      </w:r>
      <w:proofErr w:type="spellEnd"/>
      <w:r w:rsidRPr="00DD0420">
        <w:rPr>
          <w:rFonts w:ascii="Verdana" w:hAnsi="Verdana" w:cs="Verdana"/>
          <w:sz w:val="18"/>
          <w:szCs w:val="14"/>
        </w:rPr>
        <w:t xml:space="preserve"> geweest voor de periode 1 april – 1 oktober 2015. Daarnaast schuiven werkzaamheden van </w:t>
      </w:r>
      <w:proofErr w:type="spellStart"/>
      <w:r w:rsidRPr="00DD0420">
        <w:rPr>
          <w:rFonts w:ascii="Verdana" w:hAnsi="Verdana" w:cs="Verdana"/>
          <w:sz w:val="18"/>
          <w:szCs w:val="14"/>
        </w:rPr>
        <w:t>Infraspeed</w:t>
      </w:r>
      <w:proofErr w:type="spellEnd"/>
      <w:r w:rsidRPr="00DD0420">
        <w:rPr>
          <w:rFonts w:ascii="Verdana" w:hAnsi="Verdana" w:cs="Verdana"/>
          <w:sz w:val="18"/>
          <w:szCs w:val="14"/>
        </w:rPr>
        <w:t xml:space="preserve"> voor geluidsmaatregelen en </w:t>
      </w:r>
      <w:proofErr w:type="spellStart"/>
      <w:r w:rsidRPr="00DD0420">
        <w:rPr>
          <w:rFonts w:ascii="Verdana" w:hAnsi="Verdana" w:cs="Verdana"/>
          <w:sz w:val="18"/>
          <w:szCs w:val="14"/>
        </w:rPr>
        <w:t>zettingsproblematiek</w:t>
      </w:r>
      <w:proofErr w:type="spellEnd"/>
      <w:r w:rsidRPr="00DD0420">
        <w:rPr>
          <w:rFonts w:ascii="Verdana" w:hAnsi="Verdana" w:cs="Verdana"/>
          <w:sz w:val="18"/>
          <w:szCs w:val="14"/>
        </w:rPr>
        <w:t xml:space="preserve"> vanwege uitgestelde besluitvorming door naar 2016. 4) de toevoeging aan de investeringsruimte Spoorwegen als gevolg van de terugbetaling van </w:t>
      </w:r>
      <w:proofErr w:type="spellStart"/>
      <w:r w:rsidRPr="00DD0420">
        <w:rPr>
          <w:rFonts w:ascii="Verdana" w:hAnsi="Verdana" w:cs="Verdana"/>
          <w:sz w:val="18"/>
          <w:szCs w:val="14"/>
        </w:rPr>
        <w:t>ProRail</w:t>
      </w:r>
      <w:proofErr w:type="spellEnd"/>
      <w:r w:rsidRPr="00DD0420">
        <w:rPr>
          <w:rFonts w:ascii="Verdana" w:hAnsi="Verdana" w:cs="Verdana"/>
          <w:sz w:val="18"/>
          <w:szCs w:val="14"/>
        </w:rPr>
        <w:t xml:space="preserve"> op basis van de vaststelling van de </w:t>
      </w:r>
      <w:proofErr w:type="spellStart"/>
      <w:r w:rsidRPr="00DD0420">
        <w:rPr>
          <w:rFonts w:ascii="Verdana" w:hAnsi="Verdana" w:cs="Verdana"/>
          <w:sz w:val="18"/>
          <w:szCs w:val="14"/>
        </w:rPr>
        <w:t>BOV-subsidie</w:t>
      </w:r>
      <w:proofErr w:type="spellEnd"/>
      <w:r w:rsidRPr="00DD0420">
        <w:rPr>
          <w:rFonts w:ascii="Verdana" w:hAnsi="Verdana" w:cs="Verdana"/>
          <w:sz w:val="18"/>
          <w:szCs w:val="14"/>
        </w:rPr>
        <w:t xml:space="preserve"> 2014 (35,1 mln.) wordt naar 2016 geschoven. Daarnaast wordt er in 2015 geen nieuwe dekking meer vanuit de investeringsruimte Spoorwegen voorzien, waardoor de resterende middelen ook naar 2016 schuiven (18,6 mln.).</w:t>
      </w:r>
    </w:p>
    <w:p w:rsidR="00DD0420" w:rsidP="00DD0420" w:rsidRDefault="00DD0420">
      <w:pPr>
        <w:spacing w:line="276" w:lineRule="auto"/>
        <w:rPr>
          <w:rFonts w:ascii="Verdana" w:hAnsi="Verdana"/>
          <w:sz w:val="18"/>
          <w:szCs w:val="14"/>
        </w:rPr>
      </w:pPr>
    </w:p>
    <w:p w:rsidR="00DD0420" w:rsidP="00DD0420" w:rsidRDefault="00DD0420">
      <w:pPr>
        <w:spacing w:line="276" w:lineRule="auto"/>
        <w:rPr>
          <w:rFonts w:ascii="Verdana" w:hAnsi="Verdana"/>
          <w:i/>
          <w:sz w:val="18"/>
          <w:szCs w:val="14"/>
        </w:rPr>
      </w:pPr>
      <w:r>
        <w:rPr>
          <w:rFonts w:ascii="Verdana" w:hAnsi="Verdana"/>
          <w:i/>
          <w:sz w:val="18"/>
          <w:szCs w:val="14"/>
        </w:rPr>
        <w:t xml:space="preserve">Vaststelling </w:t>
      </w:r>
      <w:proofErr w:type="spellStart"/>
      <w:r>
        <w:rPr>
          <w:rFonts w:ascii="Verdana" w:hAnsi="Verdana"/>
          <w:i/>
          <w:sz w:val="18"/>
          <w:szCs w:val="14"/>
        </w:rPr>
        <w:t>BOV-subsidie</w:t>
      </w:r>
      <w:proofErr w:type="spellEnd"/>
      <w:r>
        <w:rPr>
          <w:rFonts w:ascii="Verdana" w:hAnsi="Verdana"/>
          <w:i/>
          <w:sz w:val="18"/>
          <w:szCs w:val="14"/>
        </w:rPr>
        <w:t xml:space="preserve"> 2014 (uitgaven &amp; </w:t>
      </w:r>
      <w:proofErr w:type="spellStart"/>
      <w:r>
        <w:rPr>
          <w:rFonts w:ascii="Verdana" w:hAnsi="Verdana"/>
          <w:i/>
          <w:sz w:val="18"/>
          <w:szCs w:val="14"/>
        </w:rPr>
        <w:t>niet-belastingonvangsten</w:t>
      </w:r>
      <w:proofErr w:type="spellEnd"/>
      <w:r>
        <w:rPr>
          <w:rFonts w:ascii="Verdana" w:hAnsi="Verdana"/>
          <w:i/>
          <w:sz w:val="18"/>
          <w:szCs w:val="14"/>
        </w:rPr>
        <w:t>)</w:t>
      </w:r>
    </w:p>
    <w:p w:rsidR="00DD0420" w:rsidP="00DD0420" w:rsidRDefault="00DD0420">
      <w:pPr>
        <w:spacing w:line="276" w:lineRule="auto"/>
        <w:rPr>
          <w:rFonts w:ascii="Verdana" w:hAnsi="Verdana"/>
          <w:sz w:val="18"/>
          <w:szCs w:val="14"/>
        </w:rPr>
      </w:pPr>
      <w:r>
        <w:rPr>
          <w:rFonts w:ascii="Verdana" w:hAnsi="Verdana"/>
          <w:sz w:val="18"/>
          <w:szCs w:val="14"/>
        </w:rPr>
        <w:t xml:space="preserve">Uit de vaststelling van de </w:t>
      </w:r>
      <w:proofErr w:type="spellStart"/>
      <w:r>
        <w:rPr>
          <w:rFonts w:ascii="Verdana" w:hAnsi="Verdana"/>
          <w:sz w:val="18"/>
          <w:szCs w:val="14"/>
        </w:rPr>
        <w:t>BOV-subsidie</w:t>
      </w:r>
      <w:proofErr w:type="spellEnd"/>
      <w:r>
        <w:rPr>
          <w:rFonts w:ascii="Verdana" w:hAnsi="Verdana"/>
          <w:sz w:val="18"/>
          <w:szCs w:val="14"/>
        </w:rPr>
        <w:t xml:space="preserve"> 2014 blijkt dat Prorail 35,1 mln. aan IenM zal terugbetalen in verband met vervallen maatregelen. Dit bedrag is aan de investeringsruimte spoorwegen toegevoegd en wordt via het saldo 2015 doorgeschoven naar 2016. (zie toelichting bij </w:t>
      </w:r>
      <w:r>
        <w:rPr>
          <w:rFonts w:ascii="Verdana" w:hAnsi="Verdana"/>
          <w:i/>
          <w:sz w:val="18"/>
          <w:szCs w:val="14"/>
        </w:rPr>
        <w:t>Saldo 2015 Spoorwegen</w:t>
      </w:r>
      <w:r>
        <w:rPr>
          <w:rFonts w:ascii="Verdana" w:hAnsi="Verdana"/>
          <w:sz w:val="18"/>
          <w:szCs w:val="14"/>
        </w:rPr>
        <w:t>).</w:t>
      </w:r>
    </w:p>
    <w:p w:rsidR="00DD0420" w:rsidP="00DD0420" w:rsidRDefault="00DD0420">
      <w:pPr>
        <w:spacing w:line="276" w:lineRule="auto"/>
        <w:rPr>
          <w:rFonts w:ascii="Verdana" w:hAnsi="Verdana"/>
          <w:sz w:val="18"/>
          <w:szCs w:val="14"/>
        </w:rPr>
      </w:pPr>
    </w:p>
    <w:p w:rsidR="00DD0420" w:rsidP="00DD0420" w:rsidRDefault="00DD0420">
      <w:pPr>
        <w:spacing w:line="276" w:lineRule="auto"/>
        <w:rPr>
          <w:rFonts w:ascii="Verdana" w:hAnsi="Verdana"/>
          <w:i/>
          <w:sz w:val="18"/>
          <w:szCs w:val="14"/>
        </w:rPr>
      </w:pPr>
      <w:r>
        <w:rPr>
          <w:rFonts w:ascii="Verdana" w:hAnsi="Verdana"/>
          <w:i/>
          <w:sz w:val="18"/>
          <w:szCs w:val="14"/>
        </w:rPr>
        <w:t xml:space="preserve">Saldo 2015 </w:t>
      </w:r>
      <w:proofErr w:type="spellStart"/>
      <w:r>
        <w:rPr>
          <w:rFonts w:ascii="Verdana" w:hAnsi="Verdana"/>
          <w:i/>
          <w:sz w:val="18"/>
          <w:szCs w:val="14"/>
        </w:rPr>
        <w:t>Hoofdvaarwegennet</w:t>
      </w:r>
      <w:proofErr w:type="spellEnd"/>
    </w:p>
    <w:p w:rsidR="00DD0420" w:rsidP="00DD0420" w:rsidRDefault="00DD0420">
      <w:pPr>
        <w:spacing w:line="276" w:lineRule="auto"/>
        <w:rPr>
          <w:rFonts w:ascii="Verdana" w:hAnsi="Verdana"/>
          <w:i/>
          <w:sz w:val="18"/>
          <w:szCs w:val="14"/>
        </w:rPr>
      </w:pPr>
      <w:r>
        <w:rPr>
          <w:rFonts w:ascii="Verdana" w:hAnsi="Verdana"/>
          <w:sz w:val="18"/>
          <w:szCs w:val="14"/>
        </w:rPr>
        <w:t xml:space="preserve">Het saldo van de niet-belastingontvangsten op het artikel </w:t>
      </w:r>
      <w:proofErr w:type="spellStart"/>
      <w:r>
        <w:rPr>
          <w:rFonts w:ascii="Verdana" w:hAnsi="Verdana"/>
          <w:sz w:val="18"/>
          <w:szCs w:val="14"/>
        </w:rPr>
        <w:t>hoofdvaarwegennet</w:t>
      </w:r>
      <w:proofErr w:type="spellEnd"/>
      <w:r>
        <w:rPr>
          <w:rFonts w:ascii="Verdana" w:hAnsi="Verdana"/>
          <w:sz w:val="18"/>
          <w:szCs w:val="14"/>
        </w:rPr>
        <w:t xml:space="preserve"> toont hogere ontvangsten van 15,9 mln. De ontvangsten bij het project Berging Baltic Ace (</w:t>
      </w:r>
      <w:r>
        <w:rPr>
          <w:rFonts w:ascii="Verdana" w:hAnsi="Verdana" w:cs="Verdana"/>
          <w:sz w:val="18"/>
          <w:szCs w:val="14"/>
        </w:rPr>
        <w:t xml:space="preserve">12,2 mln.) zijn een jaar eerder binnengekomen dan verwacht. Ook worden de hogere ontvangsten veroorzaakt door het </w:t>
      </w:r>
      <w:proofErr w:type="spellStart"/>
      <w:r>
        <w:rPr>
          <w:rFonts w:ascii="Verdana" w:hAnsi="Verdana" w:cs="Verdana"/>
          <w:sz w:val="18"/>
          <w:szCs w:val="14"/>
        </w:rPr>
        <w:t>Verkeersbegeleidingstarief</w:t>
      </w:r>
      <w:proofErr w:type="spellEnd"/>
      <w:r>
        <w:rPr>
          <w:rFonts w:ascii="Verdana" w:hAnsi="Verdana" w:cs="Verdana"/>
          <w:sz w:val="18"/>
          <w:szCs w:val="14"/>
        </w:rPr>
        <w:t xml:space="preserve"> (4,7 mln.) en het project </w:t>
      </w:r>
      <w:proofErr w:type="spellStart"/>
      <w:r>
        <w:rPr>
          <w:rFonts w:ascii="Verdana" w:hAnsi="Verdana" w:cs="Verdana"/>
          <w:sz w:val="18"/>
          <w:szCs w:val="14"/>
        </w:rPr>
        <w:t>Quick</w:t>
      </w:r>
      <w:proofErr w:type="spellEnd"/>
      <w:r>
        <w:rPr>
          <w:rFonts w:ascii="Verdana" w:hAnsi="Verdana" w:cs="Verdana"/>
          <w:sz w:val="18"/>
          <w:szCs w:val="14"/>
        </w:rPr>
        <w:t xml:space="preserve"> </w:t>
      </w:r>
      <w:proofErr w:type="spellStart"/>
      <w:r>
        <w:rPr>
          <w:rFonts w:ascii="Verdana" w:hAnsi="Verdana" w:cs="Verdana"/>
          <w:sz w:val="18"/>
          <w:szCs w:val="14"/>
        </w:rPr>
        <w:t>Wins</w:t>
      </w:r>
      <w:proofErr w:type="spellEnd"/>
      <w:r>
        <w:rPr>
          <w:rFonts w:ascii="Verdana" w:hAnsi="Verdana" w:cs="Verdana"/>
          <w:sz w:val="18"/>
          <w:szCs w:val="14"/>
        </w:rPr>
        <w:t xml:space="preserve"> Binnenhavens (1,4 mln.). Hier </w:t>
      </w:r>
      <w:r>
        <w:rPr>
          <w:rFonts w:ascii="Verdana" w:hAnsi="Verdana"/>
          <w:sz w:val="18"/>
          <w:szCs w:val="14"/>
        </w:rPr>
        <w:t>tegenover staan lagere ontvangsten op het programma Impuls dynamisch verkeersmanagement vaarwegen (</w:t>
      </w:r>
      <w:r>
        <w:rPr>
          <w:rFonts w:ascii="Verdana" w:hAnsi="Verdana" w:cs="Verdana"/>
          <w:sz w:val="18"/>
          <w:szCs w:val="14"/>
        </w:rPr>
        <w:t xml:space="preserve">2,5 mln.). </w:t>
      </w:r>
    </w:p>
    <w:p w:rsidR="00DD0420" w:rsidP="00DD0420" w:rsidRDefault="00DD0420">
      <w:pPr>
        <w:spacing w:line="276" w:lineRule="auto"/>
        <w:rPr>
          <w:rFonts w:ascii="Verdana" w:hAnsi="Verdana"/>
          <w:i/>
          <w:sz w:val="18"/>
          <w:szCs w:val="14"/>
        </w:rPr>
      </w:pPr>
    </w:p>
    <w:p w:rsidR="00DD0420" w:rsidP="00DD0420" w:rsidRDefault="00DD0420">
      <w:pPr>
        <w:spacing w:line="276" w:lineRule="auto"/>
        <w:rPr>
          <w:rFonts w:ascii="Verdana" w:hAnsi="Verdana"/>
          <w:i/>
          <w:sz w:val="18"/>
          <w:szCs w:val="14"/>
        </w:rPr>
      </w:pPr>
      <w:r>
        <w:rPr>
          <w:rFonts w:ascii="Verdana" w:hAnsi="Verdana"/>
          <w:i/>
          <w:sz w:val="18"/>
          <w:szCs w:val="14"/>
        </w:rPr>
        <w:t>Saldo 2015 Hoofdwegennet</w:t>
      </w:r>
    </w:p>
    <w:p w:rsidR="00DD0420" w:rsidP="00DD0420" w:rsidRDefault="00DD0420">
      <w:pPr>
        <w:spacing w:line="276" w:lineRule="auto"/>
        <w:rPr>
          <w:rFonts w:ascii="Verdana" w:hAnsi="Verdana"/>
          <w:sz w:val="18"/>
          <w:szCs w:val="14"/>
        </w:rPr>
      </w:pPr>
      <w:r>
        <w:rPr>
          <w:rFonts w:ascii="Verdana" w:hAnsi="Verdana"/>
          <w:sz w:val="18"/>
          <w:szCs w:val="14"/>
        </w:rPr>
        <w:t xml:space="preserve">Het saldo van de niet-belastingontvangsten op het artikel hoofdwegennet toont lagere ontvangsten van 46,9 mln. Dit wordt met name veroorzaakt door de projecten A1/A6/A9 </w:t>
      </w:r>
      <w:proofErr w:type="spellStart"/>
      <w:r>
        <w:rPr>
          <w:rFonts w:ascii="Verdana" w:hAnsi="Verdana"/>
          <w:sz w:val="18"/>
          <w:szCs w:val="14"/>
        </w:rPr>
        <w:t>Schiphol-Amsterdam-Almere</w:t>
      </w:r>
      <w:proofErr w:type="spellEnd"/>
      <w:r>
        <w:rPr>
          <w:rFonts w:ascii="Verdana" w:hAnsi="Verdana"/>
          <w:sz w:val="18"/>
          <w:szCs w:val="14"/>
        </w:rPr>
        <w:t xml:space="preserve"> (</w:t>
      </w:r>
      <w:r>
        <w:rPr>
          <w:rFonts w:ascii="Verdana" w:hAnsi="Verdana" w:cs="Verdana"/>
          <w:sz w:val="18"/>
          <w:szCs w:val="14"/>
        </w:rPr>
        <w:t xml:space="preserve">14,0 mln.), N33 </w:t>
      </w:r>
      <w:proofErr w:type="spellStart"/>
      <w:r>
        <w:rPr>
          <w:rFonts w:ascii="Verdana" w:hAnsi="Verdana" w:cs="Verdana"/>
          <w:sz w:val="18"/>
          <w:szCs w:val="14"/>
        </w:rPr>
        <w:t>Assen-Zuidbroek</w:t>
      </w:r>
      <w:proofErr w:type="spellEnd"/>
      <w:r>
        <w:rPr>
          <w:rFonts w:ascii="Verdana" w:hAnsi="Verdana" w:cs="Verdana"/>
          <w:sz w:val="18"/>
          <w:szCs w:val="14"/>
        </w:rPr>
        <w:t xml:space="preserve"> (12,0 mln.), N35 </w:t>
      </w:r>
      <w:proofErr w:type="spellStart"/>
      <w:r>
        <w:rPr>
          <w:rFonts w:ascii="Verdana" w:hAnsi="Verdana" w:cs="Verdana"/>
          <w:sz w:val="18"/>
          <w:szCs w:val="14"/>
        </w:rPr>
        <w:t>Wijthem-N</w:t>
      </w:r>
      <w:r>
        <w:rPr>
          <w:rFonts w:ascii="Verdana" w:hAnsi="Verdana"/>
          <w:sz w:val="18"/>
          <w:szCs w:val="14"/>
        </w:rPr>
        <w:t>ijverdal</w:t>
      </w:r>
      <w:proofErr w:type="spellEnd"/>
      <w:r>
        <w:rPr>
          <w:rFonts w:ascii="Verdana" w:hAnsi="Verdana"/>
          <w:sz w:val="18"/>
          <w:szCs w:val="14"/>
        </w:rPr>
        <w:t xml:space="preserve"> (</w:t>
      </w:r>
      <w:r>
        <w:rPr>
          <w:rFonts w:ascii="Verdana" w:hAnsi="Verdana" w:cs="Verdana"/>
          <w:sz w:val="18"/>
          <w:szCs w:val="14"/>
        </w:rPr>
        <w:t xml:space="preserve">10,0 mln.) en A7 Zuidelijke Ringweg Groningen (6,2 mln.). </w:t>
      </w:r>
    </w:p>
    <w:p w:rsidRPr="00533D5C" w:rsidR="00512EDB" w:rsidP="00DD0420" w:rsidRDefault="00DD0420">
      <w:pPr>
        <w:spacing w:line="276" w:lineRule="auto"/>
        <w:rPr>
          <w:rFonts w:ascii="Verdana" w:hAnsi="Verdana" w:cs="Verdana"/>
          <w:b/>
          <w:bCs/>
          <w:sz w:val="18"/>
          <w:szCs w:val="18"/>
        </w:rPr>
      </w:pPr>
      <w:r>
        <w:rPr>
          <w:rFonts w:ascii="Verdana" w:hAnsi="Verdana"/>
          <w:sz w:val="14"/>
          <w:szCs w:val="14"/>
        </w:rPr>
        <w:t xml:space="preserve"> </w:t>
      </w:r>
      <w:r w:rsidRPr="00533D5C" w:rsidR="00880694">
        <w:rPr>
          <w:rFonts w:ascii="Verdana" w:hAnsi="Verdana" w:cs="Verdana"/>
          <w:b/>
          <w:bCs/>
          <w:sz w:val="18"/>
          <w:szCs w:val="18"/>
        </w:rPr>
        <w:br w:type="page"/>
      </w:r>
      <w:proofErr w:type="spellStart"/>
      <w:r w:rsidRPr="003958C9" w:rsidR="00C05141">
        <w:rPr>
          <w:rFonts w:ascii="Verdana" w:hAnsi="Verdana" w:cs="Verdana"/>
          <w:b/>
          <w:bCs/>
          <w:sz w:val="18"/>
          <w:szCs w:val="18"/>
        </w:rPr>
        <w:lastRenderedPageBreak/>
        <w:t>Diergezondheidsfonds</w:t>
      </w:r>
      <w:proofErr w:type="spellEnd"/>
    </w:p>
    <w:tbl>
      <w:tblPr>
        <w:tblW w:w="0" w:type="auto"/>
        <w:tblCellMar>
          <w:top w:w="15" w:type="dxa"/>
          <w:left w:w="15" w:type="dxa"/>
          <w:bottom w:w="15" w:type="dxa"/>
          <w:right w:w="15" w:type="dxa"/>
        </w:tblCellMar>
        <w:tblLook w:val="04A0"/>
      </w:tblPr>
      <w:tblGrid>
        <w:gridCol w:w="8250"/>
        <w:gridCol w:w="852"/>
      </w:tblGrid>
      <w:tr w:rsidR="00051734" w:rsidTr="00051734">
        <w:tc>
          <w:tcPr>
            <w:tcW w:w="8250" w:type="dxa"/>
            <w:tcBorders>
              <w:left w:val="nil"/>
              <w:right w:val="nil"/>
            </w:tcBorders>
            <w:hideMark/>
          </w:tcPr>
          <w:p w:rsidR="00051734" w:rsidP="006D23DC" w:rsidRDefault="00051734">
            <w:pPr>
              <w:rPr>
                <w:rFonts w:ascii="Verdana" w:hAnsi="Verdana"/>
                <w:sz w:val="18"/>
                <w:szCs w:val="18"/>
              </w:rPr>
            </w:pPr>
          </w:p>
        </w:tc>
        <w:tc>
          <w:tcPr>
            <w:tcW w:w="852" w:type="dxa"/>
            <w:tcBorders>
              <w:left w:val="nil"/>
              <w:right w:val="nil"/>
            </w:tcBorders>
            <w:hideMark/>
          </w:tcPr>
          <w:p w:rsidR="00051734" w:rsidP="006D23DC" w:rsidRDefault="00051734">
            <w:pPr>
              <w:rPr>
                <w:rFonts w:ascii="Verdana" w:hAnsi="Verdana"/>
                <w:sz w:val="18"/>
                <w:szCs w:val="18"/>
              </w:rPr>
            </w:pPr>
            <w:r>
              <w:rPr>
                <w:rFonts w:ascii="Verdana" w:hAnsi="Verdana"/>
                <w:sz w:val="18"/>
                <w:szCs w:val="18"/>
              </w:rPr>
              <w:t> </w:t>
            </w:r>
          </w:p>
        </w:tc>
      </w:tr>
      <w:tr w:rsidR="00051734" w:rsidTr="006D23DC">
        <w:tc>
          <w:tcPr>
            <w:tcW w:w="0" w:type="auto"/>
            <w:tcBorders>
              <w:left w:val="nil"/>
              <w:right w:val="nil"/>
            </w:tcBorders>
            <w:hideMark/>
          </w:tcPr>
          <w:p w:rsidR="00051734" w:rsidP="006D23DC" w:rsidRDefault="00051734">
            <w:pPr>
              <w:rPr>
                <w:rFonts w:ascii="Verdana" w:hAnsi="Verdana"/>
                <w:sz w:val="18"/>
                <w:szCs w:val="18"/>
              </w:rPr>
            </w:pPr>
            <w:r>
              <w:rPr>
                <w:rFonts w:ascii="Verdana" w:hAnsi="Verdana"/>
                <w:sz w:val="18"/>
                <w:szCs w:val="18"/>
              </w:rPr>
              <w:t>F DIERGEZONDHEIDSFONDS: UITGAVEN</w:t>
            </w:r>
          </w:p>
        </w:tc>
        <w:tc>
          <w:tcPr>
            <w:tcW w:w="0" w:type="auto"/>
            <w:hideMark/>
          </w:tcPr>
          <w:p w:rsidR="00051734" w:rsidP="006D23DC" w:rsidRDefault="00051734">
            <w:pPr>
              <w:rPr>
                <w:sz w:val="20"/>
                <w:szCs w:val="20"/>
              </w:rPr>
            </w:pPr>
          </w:p>
        </w:tc>
      </w:tr>
      <w:tr w:rsidR="00051734" w:rsidTr="006D23DC">
        <w:tc>
          <w:tcPr>
            <w:tcW w:w="0" w:type="auto"/>
            <w:tcBorders>
              <w:top w:val="single" w:color="000000" w:sz="6" w:space="0"/>
              <w:left w:val="nil"/>
              <w:bottom w:val="single" w:color="000000" w:sz="6" w:space="0"/>
              <w:right w:val="nil"/>
            </w:tcBorders>
            <w:hideMark/>
          </w:tcPr>
          <w:p w:rsidR="00051734" w:rsidP="006D23DC" w:rsidRDefault="00051734">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051734" w:rsidP="006D23DC" w:rsidRDefault="00051734">
            <w:pPr>
              <w:jc w:val="right"/>
              <w:rPr>
                <w:rFonts w:ascii="Verdana" w:hAnsi="Verdana"/>
                <w:sz w:val="18"/>
                <w:szCs w:val="18"/>
              </w:rPr>
            </w:pPr>
            <w:r>
              <w:rPr>
                <w:rFonts w:ascii="Verdana" w:hAnsi="Verdana"/>
                <w:sz w:val="18"/>
                <w:szCs w:val="18"/>
              </w:rPr>
              <w:t>2015</w:t>
            </w:r>
          </w:p>
        </w:tc>
      </w:tr>
      <w:tr w:rsidR="00051734" w:rsidTr="006D23DC">
        <w:tc>
          <w:tcPr>
            <w:tcW w:w="0" w:type="auto"/>
            <w:tcBorders>
              <w:left w:val="nil"/>
              <w:right w:val="nil"/>
            </w:tcBorders>
            <w:hideMark/>
          </w:tcPr>
          <w:p w:rsidR="00051734" w:rsidP="006D23DC" w:rsidRDefault="00051734">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051734" w:rsidP="006D23DC" w:rsidRDefault="00051734">
            <w:pPr>
              <w:jc w:val="right"/>
              <w:rPr>
                <w:rFonts w:ascii="Verdana" w:hAnsi="Verdana"/>
                <w:sz w:val="18"/>
                <w:szCs w:val="18"/>
              </w:rPr>
            </w:pPr>
            <w:r>
              <w:rPr>
                <w:rFonts w:ascii="Verdana" w:hAnsi="Verdana"/>
                <w:sz w:val="18"/>
                <w:szCs w:val="18"/>
              </w:rPr>
              <w:t>42,8</w:t>
            </w:r>
          </w:p>
        </w:tc>
      </w:tr>
      <w:tr w:rsidR="00051734" w:rsidTr="006D23DC">
        <w:tc>
          <w:tcPr>
            <w:tcW w:w="0" w:type="auto"/>
            <w:tcBorders>
              <w:left w:val="nil"/>
              <w:right w:val="nil"/>
            </w:tcBorders>
            <w:hideMark/>
          </w:tcPr>
          <w:p w:rsidR="00051734" w:rsidP="006D23DC" w:rsidRDefault="00051734">
            <w:pPr>
              <w:rPr>
                <w:rFonts w:ascii="Verdana" w:hAnsi="Verdana"/>
                <w:sz w:val="18"/>
                <w:szCs w:val="18"/>
              </w:rPr>
            </w:pPr>
            <w:r>
              <w:rPr>
                <w:rFonts w:ascii="Verdana" w:hAnsi="Verdana"/>
                <w:sz w:val="18"/>
                <w:szCs w:val="18"/>
              </w:rPr>
              <w:t>Technische mutaties</w:t>
            </w:r>
          </w:p>
        </w:tc>
        <w:tc>
          <w:tcPr>
            <w:tcW w:w="0" w:type="auto"/>
            <w:hideMark/>
          </w:tcPr>
          <w:p w:rsidR="00051734" w:rsidP="006D23DC" w:rsidRDefault="00051734">
            <w:pPr>
              <w:rPr>
                <w:sz w:val="20"/>
                <w:szCs w:val="20"/>
              </w:rPr>
            </w:pPr>
          </w:p>
        </w:tc>
      </w:tr>
      <w:tr w:rsidR="00051734" w:rsidTr="006D23DC">
        <w:tc>
          <w:tcPr>
            <w:tcW w:w="0" w:type="auto"/>
            <w:tcBorders>
              <w:left w:val="nil"/>
              <w:right w:val="nil"/>
            </w:tcBorders>
            <w:tcMar>
              <w:top w:w="15" w:type="dxa"/>
              <w:left w:w="180" w:type="dxa"/>
              <w:bottom w:w="15" w:type="dxa"/>
              <w:right w:w="15" w:type="dxa"/>
            </w:tcMar>
            <w:vAlign w:val="both"/>
            <w:hideMark/>
          </w:tcPr>
          <w:p w:rsidR="00051734" w:rsidP="006D23DC" w:rsidRDefault="00051734">
            <w:pPr>
              <w:ind w:firstLine="180" w:firstLineChars="100"/>
              <w:rPr>
                <w:rFonts w:ascii="Verdana" w:hAnsi="Verdana"/>
                <w:sz w:val="18"/>
                <w:szCs w:val="18"/>
              </w:rPr>
            </w:pPr>
            <w:r>
              <w:rPr>
                <w:rFonts w:ascii="Verdana" w:hAnsi="Verdana"/>
                <w:sz w:val="18"/>
                <w:szCs w:val="18"/>
              </w:rPr>
              <w:t xml:space="preserve">Niet tot een </w:t>
            </w:r>
            <w:proofErr w:type="spellStart"/>
            <w:r>
              <w:rPr>
                <w:rFonts w:ascii="Verdana" w:hAnsi="Verdana"/>
                <w:sz w:val="18"/>
                <w:szCs w:val="18"/>
              </w:rPr>
              <w:t>ijklijn</w:t>
            </w:r>
            <w:proofErr w:type="spellEnd"/>
            <w:r>
              <w:rPr>
                <w:rFonts w:ascii="Verdana" w:hAnsi="Verdana"/>
                <w:sz w:val="18"/>
                <w:szCs w:val="18"/>
              </w:rPr>
              <w:t xml:space="preserve"> behorend</w:t>
            </w:r>
          </w:p>
        </w:tc>
        <w:tc>
          <w:tcPr>
            <w:tcW w:w="0" w:type="auto"/>
            <w:hideMark/>
          </w:tcPr>
          <w:p w:rsidR="00051734" w:rsidP="006D23DC" w:rsidRDefault="00051734">
            <w:pPr>
              <w:rPr>
                <w:sz w:val="20"/>
                <w:szCs w:val="20"/>
              </w:rPr>
            </w:pPr>
          </w:p>
        </w:tc>
      </w:tr>
      <w:tr w:rsidR="00051734" w:rsidTr="006D23DC">
        <w:tc>
          <w:tcPr>
            <w:tcW w:w="0" w:type="auto"/>
            <w:tcBorders>
              <w:left w:val="nil"/>
              <w:right w:val="nil"/>
            </w:tcBorders>
            <w:tcMar>
              <w:top w:w="15" w:type="dxa"/>
              <w:left w:w="360" w:type="dxa"/>
              <w:bottom w:w="15" w:type="dxa"/>
              <w:right w:w="15" w:type="dxa"/>
            </w:tcMar>
            <w:vAlign w:val="both"/>
            <w:hideMark/>
          </w:tcPr>
          <w:p w:rsidR="00051734" w:rsidP="006D23DC" w:rsidRDefault="00051734">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051734" w:rsidP="006D23DC" w:rsidRDefault="00051734">
            <w:pPr>
              <w:jc w:val="right"/>
              <w:rPr>
                <w:rFonts w:ascii="Verdana" w:hAnsi="Verdana"/>
                <w:sz w:val="18"/>
                <w:szCs w:val="18"/>
              </w:rPr>
            </w:pPr>
            <w:r>
              <w:rPr>
                <w:rFonts w:ascii="Verdana" w:hAnsi="Verdana"/>
                <w:sz w:val="18"/>
                <w:szCs w:val="18"/>
              </w:rPr>
              <w:t>19,6</w:t>
            </w:r>
          </w:p>
        </w:tc>
      </w:tr>
      <w:tr w:rsidR="00051734" w:rsidTr="006D23DC">
        <w:tc>
          <w:tcPr>
            <w:tcW w:w="0" w:type="auto"/>
            <w:tcBorders>
              <w:left w:val="nil"/>
              <w:right w:val="nil"/>
            </w:tcBorders>
            <w:hideMark/>
          </w:tcPr>
          <w:p w:rsidR="00051734" w:rsidP="006D23DC" w:rsidRDefault="00051734">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051734" w:rsidP="006D23DC" w:rsidRDefault="00051734">
            <w:pPr>
              <w:jc w:val="right"/>
              <w:rPr>
                <w:rFonts w:ascii="Verdana" w:hAnsi="Verdana"/>
                <w:sz w:val="18"/>
                <w:szCs w:val="18"/>
              </w:rPr>
            </w:pPr>
            <w:r>
              <w:rPr>
                <w:rFonts w:ascii="Verdana" w:hAnsi="Verdana"/>
                <w:sz w:val="18"/>
                <w:szCs w:val="18"/>
              </w:rPr>
              <w:t>19,6</w:t>
            </w:r>
          </w:p>
        </w:tc>
      </w:tr>
      <w:tr w:rsidR="00051734" w:rsidTr="006D23DC">
        <w:tc>
          <w:tcPr>
            <w:tcW w:w="0" w:type="auto"/>
            <w:tcBorders>
              <w:left w:val="nil"/>
              <w:right w:val="nil"/>
            </w:tcBorders>
            <w:hideMark/>
          </w:tcPr>
          <w:p w:rsidR="00051734" w:rsidP="006D23DC" w:rsidRDefault="00051734">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051734" w:rsidP="006D23DC" w:rsidRDefault="00051734">
            <w:pPr>
              <w:jc w:val="right"/>
              <w:rPr>
                <w:rFonts w:ascii="Verdana" w:hAnsi="Verdana"/>
                <w:sz w:val="18"/>
                <w:szCs w:val="18"/>
              </w:rPr>
            </w:pPr>
            <w:r>
              <w:rPr>
                <w:rFonts w:ascii="Verdana" w:hAnsi="Verdana"/>
                <w:sz w:val="18"/>
                <w:szCs w:val="18"/>
              </w:rPr>
              <w:t>19,6</w:t>
            </w:r>
          </w:p>
        </w:tc>
      </w:tr>
      <w:tr w:rsidR="00051734" w:rsidTr="006D23DC">
        <w:tc>
          <w:tcPr>
            <w:tcW w:w="0" w:type="auto"/>
            <w:tcBorders>
              <w:left w:val="nil"/>
              <w:right w:val="nil"/>
            </w:tcBorders>
            <w:hideMark/>
          </w:tcPr>
          <w:p w:rsidR="00051734" w:rsidP="006D23DC" w:rsidRDefault="00051734">
            <w:pPr>
              <w:rPr>
                <w:rFonts w:ascii="Verdana" w:hAnsi="Verdana"/>
                <w:sz w:val="18"/>
                <w:szCs w:val="18"/>
              </w:rPr>
            </w:pPr>
            <w:r>
              <w:rPr>
                <w:rFonts w:ascii="Verdana" w:hAnsi="Verdana"/>
                <w:sz w:val="18"/>
                <w:szCs w:val="18"/>
              </w:rPr>
              <w:t> </w:t>
            </w:r>
          </w:p>
        </w:tc>
        <w:tc>
          <w:tcPr>
            <w:tcW w:w="0" w:type="auto"/>
            <w:hideMark/>
          </w:tcPr>
          <w:p w:rsidR="00051734" w:rsidP="006D23DC" w:rsidRDefault="00051734">
            <w:pPr>
              <w:rPr>
                <w:sz w:val="20"/>
                <w:szCs w:val="20"/>
              </w:rPr>
            </w:pPr>
          </w:p>
        </w:tc>
      </w:tr>
      <w:tr w:rsidR="00051734" w:rsidTr="006D23DC">
        <w:tc>
          <w:tcPr>
            <w:tcW w:w="0" w:type="auto"/>
            <w:tcBorders>
              <w:left w:val="nil"/>
              <w:right w:val="nil"/>
            </w:tcBorders>
            <w:hideMark/>
          </w:tcPr>
          <w:p w:rsidR="00051734" w:rsidP="006D23DC" w:rsidRDefault="00051734">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051734" w:rsidP="006D23DC" w:rsidRDefault="00051734">
            <w:pPr>
              <w:jc w:val="right"/>
              <w:rPr>
                <w:rFonts w:ascii="Verdana" w:hAnsi="Verdana"/>
                <w:sz w:val="18"/>
                <w:szCs w:val="18"/>
              </w:rPr>
            </w:pPr>
            <w:r>
              <w:rPr>
                <w:rFonts w:ascii="Verdana" w:hAnsi="Verdana"/>
                <w:sz w:val="18"/>
                <w:szCs w:val="18"/>
              </w:rPr>
              <w:t>62,4</w:t>
            </w:r>
          </w:p>
        </w:tc>
      </w:tr>
      <w:tr w:rsidR="00051734" w:rsidTr="006D23DC">
        <w:tc>
          <w:tcPr>
            <w:tcW w:w="0" w:type="auto"/>
            <w:tcBorders>
              <w:left w:val="nil"/>
              <w:right w:val="nil"/>
            </w:tcBorders>
            <w:hideMark/>
          </w:tcPr>
          <w:p w:rsidR="00051734" w:rsidP="006D23DC" w:rsidRDefault="00051734">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051734" w:rsidP="006D23DC" w:rsidRDefault="00051734">
            <w:pPr>
              <w:jc w:val="right"/>
              <w:rPr>
                <w:rFonts w:ascii="Verdana" w:hAnsi="Verdana"/>
                <w:sz w:val="18"/>
                <w:szCs w:val="18"/>
              </w:rPr>
            </w:pPr>
            <w:r>
              <w:rPr>
                <w:rFonts w:ascii="Verdana" w:hAnsi="Verdana"/>
                <w:sz w:val="18"/>
                <w:szCs w:val="18"/>
              </w:rPr>
              <w:t>0,0</w:t>
            </w:r>
          </w:p>
        </w:tc>
      </w:tr>
      <w:tr w:rsidR="00051734" w:rsidTr="006D23DC">
        <w:tc>
          <w:tcPr>
            <w:tcW w:w="0" w:type="auto"/>
            <w:tcBorders>
              <w:left w:val="nil"/>
              <w:right w:val="nil"/>
            </w:tcBorders>
            <w:hideMark/>
          </w:tcPr>
          <w:p w:rsidR="00051734" w:rsidP="006D23DC" w:rsidRDefault="00051734">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051734" w:rsidP="006D23DC" w:rsidRDefault="00051734">
            <w:pPr>
              <w:jc w:val="right"/>
              <w:rPr>
                <w:rFonts w:ascii="Verdana" w:hAnsi="Verdana"/>
                <w:sz w:val="18"/>
                <w:szCs w:val="18"/>
              </w:rPr>
            </w:pPr>
            <w:r>
              <w:rPr>
                <w:rFonts w:ascii="Verdana" w:hAnsi="Verdana"/>
                <w:sz w:val="18"/>
                <w:szCs w:val="18"/>
              </w:rPr>
              <w:t>62,4</w:t>
            </w:r>
          </w:p>
        </w:tc>
      </w:tr>
      <w:tr w:rsidR="00051734" w:rsidTr="00051734">
        <w:tc>
          <w:tcPr>
            <w:tcW w:w="8250" w:type="dxa"/>
            <w:tcBorders>
              <w:left w:val="nil"/>
              <w:right w:val="nil"/>
            </w:tcBorders>
            <w:hideMark/>
          </w:tcPr>
          <w:p w:rsidR="00051734" w:rsidP="006D23DC" w:rsidRDefault="00051734">
            <w:pPr>
              <w:rPr>
                <w:rFonts w:ascii="Verdana" w:hAnsi="Verdana"/>
                <w:sz w:val="18"/>
                <w:szCs w:val="18"/>
              </w:rPr>
            </w:pPr>
            <w:r>
              <w:rPr>
                <w:rFonts w:ascii="Verdana" w:hAnsi="Verdana"/>
                <w:sz w:val="18"/>
                <w:szCs w:val="18"/>
              </w:rPr>
              <w:t> </w:t>
            </w:r>
          </w:p>
        </w:tc>
        <w:tc>
          <w:tcPr>
            <w:tcW w:w="852" w:type="dxa"/>
            <w:tcBorders>
              <w:left w:val="nil"/>
              <w:right w:val="nil"/>
            </w:tcBorders>
            <w:hideMark/>
          </w:tcPr>
          <w:p w:rsidR="00051734" w:rsidP="006D23DC" w:rsidRDefault="00051734">
            <w:pPr>
              <w:rPr>
                <w:rFonts w:ascii="Verdana" w:hAnsi="Verdana"/>
                <w:sz w:val="18"/>
                <w:szCs w:val="18"/>
              </w:rPr>
            </w:pPr>
            <w:r>
              <w:rPr>
                <w:rFonts w:ascii="Verdana" w:hAnsi="Verdana"/>
                <w:sz w:val="18"/>
                <w:szCs w:val="18"/>
              </w:rPr>
              <w:t> </w:t>
            </w:r>
          </w:p>
        </w:tc>
      </w:tr>
      <w:tr w:rsidR="00051734" w:rsidTr="006D23DC">
        <w:tc>
          <w:tcPr>
            <w:tcW w:w="0" w:type="auto"/>
            <w:tcBorders>
              <w:left w:val="nil"/>
              <w:right w:val="nil"/>
            </w:tcBorders>
            <w:hideMark/>
          </w:tcPr>
          <w:p w:rsidR="00051734" w:rsidP="006D23DC" w:rsidRDefault="00051734">
            <w:pPr>
              <w:rPr>
                <w:rFonts w:ascii="Verdana" w:hAnsi="Verdana"/>
                <w:sz w:val="18"/>
                <w:szCs w:val="18"/>
              </w:rPr>
            </w:pPr>
            <w:r>
              <w:rPr>
                <w:rFonts w:ascii="Verdana" w:hAnsi="Verdana"/>
                <w:sz w:val="18"/>
                <w:szCs w:val="18"/>
              </w:rPr>
              <w:t>F DIERGEZONDHEIDSFONDS: NIET-BELASTINGONTVANGSTEN</w:t>
            </w:r>
          </w:p>
        </w:tc>
        <w:tc>
          <w:tcPr>
            <w:tcW w:w="0" w:type="auto"/>
            <w:hideMark/>
          </w:tcPr>
          <w:p w:rsidR="00051734" w:rsidP="006D23DC" w:rsidRDefault="00051734">
            <w:pPr>
              <w:rPr>
                <w:sz w:val="20"/>
                <w:szCs w:val="20"/>
              </w:rPr>
            </w:pPr>
          </w:p>
        </w:tc>
      </w:tr>
      <w:tr w:rsidR="00051734" w:rsidTr="006D23DC">
        <w:tc>
          <w:tcPr>
            <w:tcW w:w="0" w:type="auto"/>
            <w:tcBorders>
              <w:top w:val="single" w:color="000000" w:sz="6" w:space="0"/>
              <w:left w:val="nil"/>
              <w:bottom w:val="single" w:color="000000" w:sz="6" w:space="0"/>
              <w:right w:val="nil"/>
            </w:tcBorders>
            <w:hideMark/>
          </w:tcPr>
          <w:p w:rsidR="00051734" w:rsidP="006D23DC" w:rsidRDefault="00051734">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051734" w:rsidP="006D23DC" w:rsidRDefault="00051734">
            <w:pPr>
              <w:jc w:val="right"/>
              <w:rPr>
                <w:rFonts w:ascii="Verdana" w:hAnsi="Verdana"/>
                <w:sz w:val="18"/>
                <w:szCs w:val="18"/>
              </w:rPr>
            </w:pPr>
            <w:r>
              <w:rPr>
                <w:rFonts w:ascii="Verdana" w:hAnsi="Verdana"/>
                <w:sz w:val="18"/>
                <w:szCs w:val="18"/>
              </w:rPr>
              <w:t>2015</w:t>
            </w:r>
          </w:p>
        </w:tc>
      </w:tr>
      <w:tr w:rsidR="00051734" w:rsidTr="006D23DC">
        <w:tc>
          <w:tcPr>
            <w:tcW w:w="0" w:type="auto"/>
            <w:tcBorders>
              <w:left w:val="nil"/>
              <w:right w:val="nil"/>
            </w:tcBorders>
            <w:hideMark/>
          </w:tcPr>
          <w:p w:rsidR="00051734" w:rsidP="006D23DC" w:rsidRDefault="00051734">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051734" w:rsidP="006D23DC" w:rsidRDefault="00051734">
            <w:pPr>
              <w:jc w:val="right"/>
              <w:rPr>
                <w:rFonts w:ascii="Verdana" w:hAnsi="Verdana"/>
                <w:sz w:val="18"/>
                <w:szCs w:val="18"/>
              </w:rPr>
            </w:pPr>
            <w:r>
              <w:rPr>
                <w:rFonts w:ascii="Verdana" w:hAnsi="Verdana"/>
                <w:sz w:val="18"/>
                <w:szCs w:val="18"/>
              </w:rPr>
              <w:t>42,8</w:t>
            </w:r>
          </w:p>
        </w:tc>
      </w:tr>
      <w:tr w:rsidR="00051734" w:rsidTr="006D23DC">
        <w:tc>
          <w:tcPr>
            <w:tcW w:w="0" w:type="auto"/>
            <w:tcBorders>
              <w:left w:val="nil"/>
              <w:right w:val="nil"/>
            </w:tcBorders>
            <w:hideMark/>
          </w:tcPr>
          <w:p w:rsidR="00051734" w:rsidP="006D23DC" w:rsidRDefault="00051734">
            <w:pPr>
              <w:rPr>
                <w:rFonts w:ascii="Verdana" w:hAnsi="Verdana"/>
                <w:sz w:val="18"/>
                <w:szCs w:val="18"/>
              </w:rPr>
            </w:pPr>
            <w:r>
              <w:rPr>
                <w:rFonts w:ascii="Verdana" w:hAnsi="Verdana"/>
                <w:sz w:val="18"/>
                <w:szCs w:val="18"/>
              </w:rPr>
              <w:t>Technische mutaties</w:t>
            </w:r>
          </w:p>
        </w:tc>
        <w:tc>
          <w:tcPr>
            <w:tcW w:w="0" w:type="auto"/>
            <w:hideMark/>
          </w:tcPr>
          <w:p w:rsidR="00051734" w:rsidP="006D23DC" w:rsidRDefault="00051734">
            <w:pPr>
              <w:rPr>
                <w:sz w:val="20"/>
                <w:szCs w:val="20"/>
              </w:rPr>
            </w:pPr>
          </w:p>
        </w:tc>
      </w:tr>
      <w:tr w:rsidR="00051734" w:rsidTr="006D23DC">
        <w:tc>
          <w:tcPr>
            <w:tcW w:w="0" w:type="auto"/>
            <w:tcBorders>
              <w:left w:val="nil"/>
              <w:right w:val="nil"/>
            </w:tcBorders>
            <w:tcMar>
              <w:top w:w="15" w:type="dxa"/>
              <w:left w:w="180" w:type="dxa"/>
              <w:bottom w:w="15" w:type="dxa"/>
              <w:right w:w="15" w:type="dxa"/>
            </w:tcMar>
            <w:vAlign w:val="both"/>
            <w:hideMark/>
          </w:tcPr>
          <w:p w:rsidR="00051734" w:rsidP="006D23DC" w:rsidRDefault="00051734">
            <w:pPr>
              <w:ind w:firstLine="180" w:firstLineChars="100"/>
              <w:rPr>
                <w:rFonts w:ascii="Verdana" w:hAnsi="Verdana"/>
                <w:sz w:val="18"/>
                <w:szCs w:val="18"/>
              </w:rPr>
            </w:pPr>
            <w:r>
              <w:rPr>
                <w:rFonts w:ascii="Verdana" w:hAnsi="Verdana"/>
                <w:sz w:val="18"/>
                <w:szCs w:val="18"/>
              </w:rPr>
              <w:t xml:space="preserve">Niet tot een </w:t>
            </w:r>
            <w:proofErr w:type="spellStart"/>
            <w:r>
              <w:rPr>
                <w:rFonts w:ascii="Verdana" w:hAnsi="Verdana"/>
                <w:sz w:val="18"/>
                <w:szCs w:val="18"/>
              </w:rPr>
              <w:t>ijklijn</w:t>
            </w:r>
            <w:proofErr w:type="spellEnd"/>
            <w:r>
              <w:rPr>
                <w:rFonts w:ascii="Verdana" w:hAnsi="Verdana"/>
                <w:sz w:val="18"/>
                <w:szCs w:val="18"/>
              </w:rPr>
              <w:t xml:space="preserve"> behorend</w:t>
            </w:r>
          </w:p>
        </w:tc>
        <w:tc>
          <w:tcPr>
            <w:tcW w:w="0" w:type="auto"/>
            <w:hideMark/>
          </w:tcPr>
          <w:p w:rsidR="00051734" w:rsidP="006D23DC" w:rsidRDefault="00051734">
            <w:pPr>
              <w:rPr>
                <w:sz w:val="20"/>
                <w:szCs w:val="20"/>
              </w:rPr>
            </w:pPr>
          </w:p>
        </w:tc>
      </w:tr>
      <w:tr w:rsidR="00051734" w:rsidTr="006D23DC">
        <w:tc>
          <w:tcPr>
            <w:tcW w:w="0" w:type="auto"/>
            <w:tcBorders>
              <w:left w:val="nil"/>
              <w:right w:val="nil"/>
            </w:tcBorders>
            <w:tcMar>
              <w:top w:w="15" w:type="dxa"/>
              <w:left w:w="360" w:type="dxa"/>
              <w:bottom w:w="15" w:type="dxa"/>
              <w:right w:w="15" w:type="dxa"/>
            </w:tcMar>
            <w:vAlign w:val="both"/>
            <w:hideMark/>
          </w:tcPr>
          <w:p w:rsidR="00051734" w:rsidP="006D23DC" w:rsidRDefault="00051734">
            <w:pPr>
              <w:ind w:firstLine="360" w:firstLineChars="200"/>
              <w:rPr>
                <w:rFonts w:ascii="Verdana" w:hAnsi="Verdana"/>
                <w:sz w:val="18"/>
                <w:szCs w:val="18"/>
              </w:rPr>
            </w:pPr>
            <w:r>
              <w:rPr>
                <w:rFonts w:ascii="Verdana" w:hAnsi="Verdana"/>
                <w:sz w:val="18"/>
                <w:szCs w:val="18"/>
              </w:rPr>
              <w:t>Saldo</w:t>
            </w:r>
          </w:p>
        </w:tc>
        <w:tc>
          <w:tcPr>
            <w:tcW w:w="0" w:type="auto"/>
            <w:tcBorders>
              <w:left w:val="nil"/>
              <w:right w:val="nil"/>
            </w:tcBorders>
            <w:hideMark/>
          </w:tcPr>
          <w:p w:rsidR="00051734" w:rsidP="006D23DC" w:rsidRDefault="00051734">
            <w:pPr>
              <w:jc w:val="right"/>
              <w:rPr>
                <w:rFonts w:ascii="Verdana" w:hAnsi="Verdana"/>
                <w:sz w:val="18"/>
                <w:szCs w:val="18"/>
              </w:rPr>
            </w:pPr>
            <w:r>
              <w:rPr>
                <w:rFonts w:ascii="Verdana" w:hAnsi="Verdana"/>
                <w:sz w:val="18"/>
                <w:szCs w:val="18"/>
              </w:rPr>
              <w:t>12,0</w:t>
            </w:r>
          </w:p>
        </w:tc>
      </w:tr>
      <w:tr w:rsidR="00051734" w:rsidTr="006D23DC">
        <w:tc>
          <w:tcPr>
            <w:tcW w:w="0" w:type="auto"/>
            <w:tcBorders>
              <w:left w:val="nil"/>
              <w:right w:val="nil"/>
            </w:tcBorders>
            <w:tcMar>
              <w:top w:w="15" w:type="dxa"/>
              <w:left w:w="360" w:type="dxa"/>
              <w:bottom w:w="15" w:type="dxa"/>
              <w:right w:w="15" w:type="dxa"/>
            </w:tcMar>
            <w:vAlign w:val="both"/>
            <w:hideMark/>
          </w:tcPr>
          <w:p w:rsidR="00051734" w:rsidP="006D23DC" w:rsidRDefault="00051734">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051734" w:rsidP="006D23DC" w:rsidRDefault="00051734">
            <w:pPr>
              <w:jc w:val="right"/>
              <w:rPr>
                <w:rFonts w:ascii="Verdana" w:hAnsi="Verdana"/>
                <w:sz w:val="18"/>
                <w:szCs w:val="18"/>
              </w:rPr>
            </w:pPr>
            <w:r>
              <w:rPr>
                <w:rFonts w:ascii="Verdana" w:hAnsi="Verdana"/>
                <w:sz w:val="18"/>
                <w:szCs w:val="18"/>
              </w:rPr>
              <w:t>7,6</w:t>
            </w:r>
          </w:p>
        </w:tc>
      </w:tr>
      <w:tr w:rsidR="00051734" w:rsidTr="006D23DC">
        <w:tc>
          <w:tcPr>
            <w:tcW w:w="0" w:type="auto"/>
            <w:tcBorders>
              <w:left w:val="nil"/>
              <w:right w:val="nil"/>
            </w:tcBorders>
            <w:hideMark/>
          </w:tcPr>
          <w:p w:rsidR="00051734" w:rsidP="006D23DC" w:rsidRDefault="00051734">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051734" w:rsidP="006D23DC" w:rsidRDefault="00051734">
            <w:pPr>
              <w:jc w:val="right"/>
              <w:rPr>
                <w:rFonts w:ascii="Verdana" w:hAnsi="Verdana"/>
                <w:sz w:val="18"/>
                <w:szCs w:val="18"/>
              </w:rPr>
            </w:pPr>
            <w:r>
              <w:rPr>
                <w:rFonts w:ascii="Verdana" w:hAnsi="Verdana"/>
                <w:sz w:val="18"/>
                <w:szCs w:val="18"/>
              </w:rPr>
              <w:t>19,6</w:t>
            </w:r>
          </w:p>
        </w:tc>
      </w:tr>
      <w:tr w:rsidR="00051734" w:rsidTr="006D23DC">
        <w:tc>
          <w:tcPr>
            <w:tcW w:w="0" w:type="auto"/>
            <w:tcBorders>
              <w:left w:val="nil"/>
              <w:right w:val="nil"/>
            </w:tcBorders>
            <w:hideMark/>
          </w:tcPr>
          <w:p w:rsidR="00051734" w:rsidP="006D23DC" w:rsidRDefault="00051734">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051734" w:rsidP="006D23DC" w:rsidRDefault="00051734">
            <w:pPr>
              <w:jc w:val="right"/>
              <w:rPr>
                <w:rFonts w:ascii="Verdana" w:hAnsi="Verdana"/>
                <w:sz w:val="18"/>
                <w:szCs w:val="18"/>
              </w:rPr>
            </w:pPr>
            <w:r>
              <w:rPr>
                <w:rFonts w:ascii="Verdana" w:hAnsi="Verdana"/>
                <w:sz w:val="18"/>
                <w:szCs w:val="18"/>
              </w:rPr>
              <w:t>19,6</w:t>
            </w:r>
          </w:p>
        </w:tc>
      </w:tr>
      <w:tr w:rsidR="00051734" w:rsidTr="006D23DC">
        <w:tc>
          <w:tcPr>
            <w:tcW w:w="0" w:type="auto"/>
            <w:tcBorders>
              <w:left w:val="nil"/>
              <w:right w:val="nil"/>
            </w:tcBorders>
            <w:hideMark/>
          </w:tcPr>
          <w:p w:rsidR="00051734" w:rsidP="006D23DC" w:rsidRDefault="00051734">
            <w:pPr>
              <w:rPr>
                <w:rFonts w:ascii="Verdana" w:hAnsi="Verdana"/>
                <w:sz w:val="18"/>
                <w:szCs w:val="18"/>
              </w:rPr>
            </w:pPr>
            <w:r>
              <w:rPr>
                <w:rFonts w:ascii="Verdana" w:hAnsi="Verdana"/>
                <w:sz w:val="18"/>
                <w:szCs w:val="18"/>
              </w:rPr>
              <w:t> </w:t>
            </w:r>
          </w:p>
        </w:tc>
        <w:tc>
          <w:tcPr>
            <w:tcW w:w="0" w:type="auto"/>
            <w:hideMark/>
          </w:tcPr>
          <w:p w:rsidR="00051734" w:rsidP="006D23DC" w:rsidRDefault="00051734">
            <w:pPr>
              <w:rPr>
                <w:sz w:val="20"/>
                <w:szCs w:val="20"/>
              </w:rPr>
            </w:pPr>
          </w:p>
        </w:tc>
      </w:tr>
      <w:tr w:rsidR="00051734" w:rsidTr="006D23DC">
        <w:tc>
          <w:tcPr>
            <w:tcW w:w="0" w:type="auto"/>
            <w:tcBorders>
              <w:left w:val="nil"/>
              <w:right w:val="nil"/>
            </w:tcBorders>
            <w:hideMark/>
          </w:tcPr>
          <w:p w:rsidR="00051734" w:rsidP="006D23DC" w:rsidRDefault="00051734">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051734" w:rsidP="006D23DC" w:rsidRDefault="00051734">
            <w:pPr>
              <w:jc w:val="right"/>
              <w:rPr>
                <w:rFonts w:ascii="Verdana" w:hAnsi="Verdana"/>
                <w:sz w:val="18"/>
                <w:szCs w:val="18"/>
              </w:rPr>
            </w:pPr>
            <w:r>
              <w:rPr>
                <w:rFonts w:ascii="Verdana" w:hAnsi="Verdana"/>
                <w:sz w:val="18"/>
                <w:szCs w:val="18"/>
              </w:rPr>
              <w:t>62,4</w:t>
            </w:r>
          </w:p>
        </w:tc>
      </w:tr>
      <w:tr w:rsidR="00051734" w:rsidTr="006D23DC">
        <w:tc>
          <w:tcPr>
            <w:tcW w:w="0" w:type="auto"/>
            <w:tcBorders>
              <w:left w:val="nil"/>
              <w:right w:val="nil"/>
            </w:tcBorders>
            <w:hideMark/>
          </w:tcPr>
          <w:p w:rsidR="00051734" w:rsidP="006D23DC" w:rsidRDefault="00051734">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051734" w:rsidP="006D23DC" w:rsidRDefault="00051734">
            <w:pPr>
              <w:jc w:val="right"/>
              <w:rPr>
                <w:rFonts w:ascii="Verdana" w:hAnsi="Verdana"/>
                <w:sz w:val="18"/>
                <w:szCs w:val="18"/>
              </w:rPr>
            </w:pPr>
            <w:r>
              <w:rPr>
                <w:rFonts w:ascii="Verdana" w:hAnsi="Verdana"/>
                <w:sz w:val="18"/>
                <w:szCs w:val="18"/>
              </w:rPr>
              <w:t>0,0</w:t>
            </w:r>
          </w:p>
        </w:tc>
      </w:tr>
      <w:tr w:rsidR="00051734" w:rsidTr="006D23DC">
        <w:tc>
          <w:tcPr>
            <w:tcW w:w="0" w:type="auto"/>
            <w:tcBorders>
              <w:left w:val="nil"/>
              <w:right w:val="nil"/>
            </w:tcBorders>
            <w:hideMark/>
          </w:tcPr>
          <w:p w:rsidR="00051734" w:rsidP="006D23DC" w:rsidRDefault="00051734">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051734" w:rsidP="006D23DC" w:rsidRDefault="00051734">
            <w:pPr>
              <w:jc w:val="right"/>
              <w:rPr>
                <w:rFonts w:ascii="Verdana" w:hAnsi="Verdana"/>
                <w:sz w:val="18"/>
                <w:szCs w:val="18"/>
              </w:rPr>
            </w:pPr>
            <w:r>
              <w:rPr>
                <w:rFonts w:ascii="Verdana" w:hAnsi="Verdana"/>
                <w:sz w:val="18"/>
                <w:szCs w:val="18"/>
              </w:rPr>
              <w:t>62,4</w:t>
            </w:r>
          </w:p>
        </w:tc>
      </w:tr>
    </w:tbl>
    <w:p w:rsidR="00051734" w:rsidRDefault="00051734">
      <w:pPr>
        <w:rPr>
          <w:rFonts w:ascii="Verdana" w:hAnsi="Verdana" w:cs="Verdana"/>
          <w:b/>
          <w:bCs/>
          <w:sz w:val="18"/>
          <w:szCs w:val="18"/>
          <w:lang w:val="en-US"/>
        </w:rPr>
      </w:pPr>
    </w:p>
    <w:p w:rsidR="00D6080B" w:rsidRDefault="00D6080B">
      <w:pPr>
        <w:rPr>
          <w:rFonts w:ascii="Verdana" w:hAnsi="Verdana" w:cs="Verdana"/>
          <w:b/>
          <w:bCs/>
          <w:sz w:val="18"/>
          <w:szCs w:val="18"/>
          <w:lang w:val="en-US"/>
        </w:rPr>
      </w:pPr>
    </w:p>
    <w:p w:rsidRPr="00D6080B" w:rsidR="00D6080B" w:rsidP="00D6080B" w:rsidRDefault="00D6080B">
      <w:pPr>
        <w:spacing w:line="240" w:lineRule="exact"/>
        <w:rPr>
          <w:rFonts w:ascii="Verdana" w:hAnsi="Verdana"/>
          <w:i/>
          <w:sz w:val="18"/>
          <w:szCs w:val="18"/>
        </w:rPr>
      </w:pPr>
      <w:r w:rsidRPr="00D6080B">
        <w:rPr>
          <w:rFonts w:ascii="Verdana" w:hAnsi="Verdana"/>
          <w:i/>
          <w:sz w:val="18"/>
          <w:szCs w:val="18"/>
        </w:rPr>
        <w:t>Diversen (uitgaven)</w:t>
      </w:r>
    </w:p>
    <w:p w:rsidRPr="00D6080B" w:rsidR="00D6080B" w:rsidP="00D6080B" w:rsidRDefault="00D6080B">
      <w:pPr>
        <w:spacing w:line="240" w:lineRule="exact"/>
        <w:rPr>
          <w:rFonts w:ascii="Verdana" w:hAnsi="Verdana"/>
          <w:sz w:val="18"/>
          <w:szCs w:val="18"/>
        </w:rPr>
      </w:pPr>
      <w:r w:rsidRPr="00D6080B">
        <w:rPr>
          <w:rFonts w:ascii="Verdana" w:hAnsi="Verdana"/>
          <w:sz w:val="18"/>
          <w:szCs w:val="18"/>
        </w:rPr>
        <w:t xml:space="preserve">In 2015 heeft overheveling plaatsgevonden van </w:t>
      </w:r>
      <w:proofErr w:type="spellStart"/>
      <w:r w:rsidRPr="00D6080B">
        <w:rPr>
          <w:rFonts w:ascii="Verdana" w:hAnsi="Verdana"/>
          <w:sz w:val="18"/>
          <w:szCs w:val="18"/>
        </w:rPr>
        <w:t>monitoringskosten</w:t>
      </w:r>
      <w:proofErr w:type="spellEnd"/>
      <w:r w:rsidRPr="00D6080B">
        <w:rPr>
          <w:rFonts w:ascii="Verdana" w:hAnsi="Verdana"/>
          <w:sz w:val="18"/>
          <w:szCs w:val="18"/>
        </w:rPr>
        <w:t xml:space="preserve"> (9,8 mln.) naar het DGF, deels uit de </w:t>
      </w:r>
      <w:proofErr w:type="spellStart"/>
      <w:r w:rsidRPr="00D6080B">
        <w:rPr>
          <w:rFonts w:ascii="Verdana" w:hAnsi="Verdana"/>
          <w:sz w:val="18"/>
          <w:szCs w:val="18"/>
        </w:rPr>
        <w:t>EZ-begroting</w:t>
      </w:r>
      <w:proofErr w:type="spellEnd"/>
      <w:r w:rsidRPr="00D6080B">
        <w:rPr>
          <w:rFonts w:ascii="Verdana" w:hAnsi="Verdana"/>
          <w:sz w:val="18"/>
          <w:szCs w:val="18"/>
        </w:rPr>
        <w:t xml:space="preserve"> en deels vanuit de sector. De kosten voor de bestrijding van dierziekten vallen 9,8 mln. hoger uit in verband met een aantal uitbraken eind 2014. </w:t>
      </w:r>
    </w:p>
    <w:p w:rsidRPr="00D6080B" w:rsidR="00D6080B" w:rsidP="00D6080B" w:rsidRDefault="00D6080B">
      <w:pPr>
        <w:spacing w:line="240" w:lineRule="exact"/>
        <w:rPr>
          <w:rFonts w:ascii="Verdana" w:hAnsi="Verdana"/>
          <w:sz w:val="18"/>
          <w:szCs w:val="18"/>
        </w:rPr>
      </w:pPr>
    </w:p>
    <w:p w:rsidRPr="007122F2" w:rsidR="00D6080B" w:rsidP="00D6080B" w:rsidRDefault="00D6080B">
      <w:pPr>
        <w:spacing w:line="240" w:lineRule="exact"/>
        <w:rPr>
          <w:rFonts w:ascii="Verdana" w:hAnsi="Verdana"/>
          <w:i/>
          <w:sz w:val="18"/>
          <w:szCs w:val="18"/>
        </w:rPr>
      </w:pPr>
      <w:r w:rsidRPr="007122F2">
        <w:rPr>
          <w:rFonts w:ascii="Verdana" w:hAnsi="Verdana"/>
          <w:i/>
          <w:sz w:val="18"/>
          <w:szCs w:val="18"/>
        </w:rPr>
        <w:t>Saldo</w:t>
      </w:r>
    </w:p>
    <w:p w:rsidR="007122F2" w:rsidP="007122F2" w:rsidRDefault="007122F2">
      <w:pPr>
        <w:rPr>
          <w:rFonts w:ascii="Verdana" w:hAnsi="Verdana"/>
          <w:sz w:val="18"/>
          <w:szCs w:val="18"/>
        </w:rPr>
      </w:pPr>
      <w:r w:rsidRPr="007122F2">
        <w:rPr>
          <w:rFonts w:ascii="Verdana" w:hAnsi="Verdana"/>
          <w:sz w:val="18"/>
          <w:szCs w:val="18"/>
        </w:rPr>
        <w:t>Door hogere uitgaven (19,6 mln.) en hogere ontvangsten (7,6 mln. zie volgende post) ontstaat een saldo van 12 mln. Het saldo ontstaat deels doordat 9,3 mln. die in 2015 zou worden ontvangen van de productschappen Zuivel en Pluimvee en eieren al in 2014 is ontvangen (in verband met opheffing van de productschappen eind 2014), deels doordat de EU-ontvangsten voor salmonella van 2,7 mln. niet in 2015 zullen worden ontvangen</w:t>
      </w:r>
      <w:r>
        <w:t>.</w:t>
      </w:r>
    </w:p>
    <w:p w:rsidRPr="00D6080B" w:rsidR="00D6080B" w:rsidP="00D6080B" w:rsidRDefault="00D6080B">
      <w:pPr>
        <w:spacing w:line="240" w:lineRule="exact"/>
        <w:rPr>
          <w:rFonts w:ascii="Verdana" w:hAnsi="Verdana"/>
          <w:i/>
          <w:sz w:val="18"/>
          <w:szCs w:val="18"/>
        </w:rPr>
      </w:pPr>
    </w:p>
    <w:p w:rsidRPr="00D6080B" w:rsidR="00D6080B" w:rsidP="00D6080B" w:rsidRDefault="00D6080B">
      <w:pPr>
        <w:spacing w:line="240" w:lineRule="exact"/>
        <w:rPr>
          <w:rFonts w:ascii="Verdana" w:hAnsi="Verdana"/>
          <w:i/>
          <w:sz w:val="18"/>
          <w:szCs w:val="18"/>
        </w:rPr>
      </w:pPr>
      <w:r w:rsidRPr="00D6080B">
        <w:rPr>
          <w:rFonts w:ascii="Verdana" w:hAnsi="Verdana"/>
          <w:i/>
          <w:sz w:val="18"/>
          <w:szCs w:val="18"/>
        </w:rPr>
        <w:t>Diversen (niet-belastingontvangsten)</w:t>
      </w:r>
    </w:p>
    <w:p w:rsidRPr="00D6080B" w:rsidR="00D6080B" w:rsidP="00D6080B" w:rsidRDefault="00D6080B">
      <w:pPr>
        <w:spacing w:line="240" w:lineRule="exact"/>
        <w:rPr>
          <w:rFonts w:ascii="Verdana" w:hAnsi="Verdana"/>
          <w:sz w:val="18"/>
          <w:szCs w:val="18"/>
        </w:rPr>
      </w:pPr>
      <w:r w:rsidRPr="00D6080B">
        <w:rPr>
          <w:rFonts w:ascii="Verdana" w:hAnsi="Verdana"/>
          <w:sz w:val="18"/>
          <w:szCs w:val="18"/>
        </w:rPr>
        <w:t xml:space="preserve">De ontvangsten voor de bewaking (preventie) van dierziekten waren 9,8 mln. hoger dan verwacht. Dit betreft een overheveling van middelen naar het DGF, deels uit de </w:t>
      </w:r>
      <w:proofErr w:type="spellStart"/>
      <w:r w:rsidRPr="00D6080B">
        <w:rPr>
          <w:rFonts w:ascii="Verdana" w:hAnsi="Verdana"/>
          <w:sz w:val="18"/>
          <w:szCs w:val="18"/>
        </w:rPr>
        <w:t>EZ-begroting</w:t>
      </w:r>
      <w:proofErr w:type="spellEnd"/>
      <w:r w:rsidRPr="00D6080B">
        <w:rPr>
          <w:rFonts w:ascii="Verdana" w:hAnsi="Verdana"/>
          <w:sz w:val="18"/>
          <w:szCs w:val="18"/>
        </w:rPr>
        <w:t xml:space="preserve"> en deels vanuit de sector (hiertegenover staan hogere uitgaven van dezelfde omvang, zie toelichting onder uitgaven). De ontvangsten voor de bestrijding van dierziekten waren 2,2 mln. lager dan verwacht doordat een deel van de ontvangsten reeds in 2014 is gerealiseerd. Dit leidt per saldo tot 7,6 mln. hogere ontvangsten. </w:t>
      </w:r>
    </w:p>
    <w:p w:rsidRPr="00D6080B" w:rsidR="00FD7153" w:rsidP="00D6080B" w:rsidRDefault="00FD7153">
      <w:pPr>
        <w:spacing w:line="240" w:lineRule="exact"/>
        <w:rPr>
          <w:rFonts w:ascii="Verdana" w:hAnsi="Verdana" w:cs="Verdana"/>
          <w:b/>
          <w:bCs/>
          <w:sz w:val="18"/>
          <w:szCs w:val="18"/>
          <w:lang w:val="en-US"/>
        </w:rPr>
      </w:pPr>
      <w:r w:rsidRPr="00D6080B">
        <w:rPr>
          <w:rFonts w:ascii="Verdana" w:hAnsi="Verdana" w:cs="Verdana"/>
          <w:b/>
          <w:bCs/>
          <w:sz w:val="18"/>
          <w:szCs w:val="18"/>
          <w:lang w:val="en-US"/>
        </w:rPr>
        <w:br w:type="page"/>
      </w:r>
    </w:p>
    <w:p w:rsidRPr="00533D5C" w:rsidR="004925F3" w:rsidP="00533D5C" w:rsidRDefault="005B5FE7">
      <w:pPr>
        <w:spacing w:line="240" w:lineRule="exact"/>
        <w:rPr>
          <w:rFonts w:ascii="Verdana" w:hAnsi="Verdana" w:cs="Verdana"/>
          <w:b/>
          <w:bCs/>
          <w:sz w:val="18"/>
          <w:szCs w:val="18"/>
          <w:lang w:val="en-US"/>
        </w:rPr>
      </w:pPr>
      <w:proofErr w:type="spellStart"/>
      <w:r w:rsidRPr="00533D5C">
        <w:rPr>
          <w:rFonts w:ascii="Verdana" w:hAnsi="Verdana" w:cs="Verdana"/>
          <w:b/>
          <w:bCs/>
          <w:sz w:val="18"/>
          <w:szCs w:val="18"/>
          <w:lang w:val="en-US"/>
        </w:rPr>
        <w:lastRenderedPageBreak/>
        <w:t>Accres</w:t>
      </w:r>
      <w:proofErr w:type="spellEnd"/>
      <w:r w:rsidRPr="00533D5C">
        <w:rPr>
          <w:rFonts w:ascii="Verdana" w:hAnsi="Verdana" w:cs="Verdana"/>
          <w:b/>
          <w:bCs/>
          <w:sz w:val="18"/>
          <w:szCs w:val="18"/>
          <w:lang w:val="en-US"/>
        </w:rPr>
        <w:t xml:space="preserve"> </w:t>
      </w:r>
      <w:proofErr w:type="spellStart"/>
      <w:r w:rsidRPr="00533D5C">
        <w:rPr>
          <w:rFonts w:ascii="Verdana" w:hAnsi="Verdana" w:cs="Verdana"/>
          <w:b/>
          <w:bCs/>
          <w:sz w:val="18"/>
          <w:szCs w:val="18"/>
          <w:lang w:val="en-US"/>
        </w:rPr>
        <w:t>Gemeentefonds</w:t>
      </w:r>
      <w:proofErr w:type="spellEnd"/>
    </w:p>
    <w:tbl>
      <w:tblPr>
        <w:tblW w:w="0" w:type="auto"/>
        <w:tblCellMar>
          <w:top w:w="15" w:type="dxa"/>
          <w:left w:w="15" w:type="dxa"/>
          <w:bottom w:w="15" w:type="dxa"/>
          <w:right w:w="15" w:type="dxa"/>
        </w:tblCellMar>
        <w:tblLook w:val="04A0"/>
      </w:tblPr>
      <w:tblGrid>
        <w:gridCol w:w="8245"/>
        <w:gridCol w:w="857"/>
      </w:tblGrid>
      <w:tr w:rsidR="00CB7408" w:rsidTr="00CB7408">
        <w:tc>
          <w:tcPr>
            <w:tcW w:w="8245" w:type="dxa"/>
            <w:tcBorders>
              <w:left w:val="nil"/>
              <w:right w:val="nil"/>
            </w:tcBorders>
            <w:hideMark/>
          </w:tcPr>
          <w:p w:rsidR="00CB7408" w:rsidP="006D23DC" w:rsidRDefault="00CB7408">
            <w:pPr>
              <w:rPr>
                <w:rFonts w:ascii="Verdana" w:hAnsi="Verdana"/>
                <w:sz w:val="18"/>
                <w:szCs w:val="18"/>
              </w:rPr>
            </w:pPr>
            <w:r>
              <w:rPr>
                <w:rFonts w:ascii="Verdana" w:hAnsi="Verdana"/>
                <w:sz w:val="18"/>
                <w:szCs w:val="18"/>
              </w:rPr>
              <w:t> </w:t>
            </w:r>
          </w:p>
        </w:tc>
        <w:tc>
          <w:tcPr>
            <w:tcW w:w="857" w:type="dxa"/>
            <w:tcBorders>
              <w:left w:val="nil"/>
              <w:right w:val="nil"/>
            </w:tcBorders>
            <w:hideMark/>
          </w:tcPr>
          <w:p w:rsidR="00CB7408" w:rsidP="006D23DC" w:rsidRDefault="00CB7408">
            <w:pPr>
              <w:rPr>
                <w:rFonts w:ascii="Verdana" w:hAnsi="Verdana"/>
                <w:sz w:val="18"/>
                <w:szCs w:val="18"/>
              </w:rPr>
            </w:pPr>
            <w:r>
              <w:rPr>
                <w:rFonts w:ascii="Verdana" w:hAnsi="Verdana"/>
                <w:sz w:val="18"/>
                <w:szCs w:val="18"/>
              </w:rPr>
              <w:t> </w:t>
            </w:r>
          </w:p>
        </w:tc>
      </w:tr>
      <w:tr w:rsidR="00CB7408" w:rsidTr="006D23DC">
        <w:tc>
          <w:tcPr>
            <w:tcW w:w="0" w:type="auto"/>
            <w:tcBorders>
              <w:left w:val="nil"/>
              <w:right w:val="nil"/>
            </w:tcBorders>
            <w:hideMark/>
          </w:tcPr>
          <w:p w:rsidR="00CB7408" w:rsidP="006D23DC" w:rsidRDefault="00CB7408">
            <w:pPr>
              <w:rPr>
                <w:rFonts w:ascii="Verdana" w:hAnsi="Verdana"/>
                <w:sz w:val="18"/>
                <w:szCs w:val="18"/>
              </w:rPr>
            </w:pPr>
            <w:r>
              <w:rPr>
                <w:rFonts w:ascii="Verdana" w:hAnsi="Verdana"/>
                <w:sz w:val="18"/>
                <w:szCs w:val="18"/>
              </w:rPr>
              <w:t>ACCRES GEMEENTEFONDS: UITGAVEN</w:t>
            </w:r>
          </w:p>
        </w:tc>
        <w:tc>
          <w:tcPr>
            <w:tcW w:w="0" w:type="auto"/>
            <w:hideMark/>
          </w:tcPr>
          <w:p w:rsidR="00CB7408" w:rsidP="006D23DC" w:rsidRDefault="00CB7408">
            <w:pPr>
              <w:rPr>
                <w:sz w:val="20"/>
                <w:szCs w:val="20"/>
              </w:rPr>
            </w:pPr>
          </w:p>
        </w:tc>
      </w:tr>
      <w:tr w:rsidR="00CB7408" w:rsidTr="006D23DC">
        <w:tc>
          <w:tcPr>
            <w:tcW w:w="0" w:type="auto"/>
            <w:tcBorders>
              <w:top w:val="single" w:color="000000" w:sz="6" w:space="0"/>
              <w:left w:val="nil"/>
              <w:bottom w:val="single" w:color="000000" w:sz="6" w:space="0"/>
              <w:right w:val="nil"/>
            </w:tcBorders>
            <w:hideMark/>
          </w:tcPr>
          <w:p w:rsidR="00CB7408" w:rsidP="006D23DC" w:rsidRDefault="00CB7408">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CB7408" w:rsidP="006D23DC" w:rsidRDefault="00CB7408">
            <w:pPr>
              <w:jc w:val="right"/>
              <w:rPr>
                <w:rFonts w:ascii="Verdana" w:hAnsi="Verdana"/>
                <w:sz w:val="18"/>
                <w:szCs w:val="18"/>
              </w:rPr>
            </w:pPr>
            <w:r>
              <w:rPr>
                <w:rFonts w:ascii="Verdana" w:hAnsi="Verdana"/>
                <w:sz w:val="18"/>
                <w:szCs w:val="18"/>
              </w:rPr>
              <w:t>2015</w:t>
            </w:r>
          </w:p>
        </w:tc>
      </w:tr>
      <w:tr w:rsidR="00CB7408" w:rsidTr="006D23DC">
        <w:tc>
          <w:tcPr>
            <w:tcW w:w="0" w:type="auto"/>
            <w:tcBorders>
              <w:left w:val="nil"/>
              <w:right w:val="nil"/>
            </w:tcBorders>
            <w:hideMark/>
          </w:tcPr>
          <w:p w:rsidR="00CB7408" w:rsidP="006D23DC" w:rsidRDefault="00CB7408">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CB7408" w:rsidP="006D23DC" w:rsidRDefault="00CB7408">
            <w:pPr>
              <w:jc w:val="right"/>
              <w:rPr>
                <w:rFonts w:ascii="Verdana" w:hAnsi="Verdana"/>
                <w:sz w:val="18"/>
                <w:szCs w:val="18"/>
              </w:rPr>
            </w:pPr>
            <w:r>
              <w:rPr>
                <w:rFonts w:ascii="Verdana" w:hAnsi="Verdana"/>
                <w:sz w:val="18"/>
                <w:szCs w:val="18"/>
              </w:rPr>
              <w:t>3,3</w:t>
            </w:r>
          </w:p>
        </w:tc>
      </w:tr>
      <w:tr w:rsidR="00CB7408" w:rsidTr="006D23DC">
        <w:tc>
          <w:tcPr>
            <w:tcW w:w="0" w:type="auto"/>
            <w:tcBorders>
              <w:left w:val="nil"/>
              <w:right w:val="nil"/>
            </w:tcBorders>
            <w:hideMark/>
          </w:tcPr>
          <w:p w:rsidR="00CB7408" w:rsidP="006D23DC" w:rsidRDefault="00CB7408">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CB7408" w:rsidP="006D23DC" w:rsidRDefault="00CB7408">
            <w:pPr>
              <w:jc w:val="right"/>
              <w:rPr>
                <w:rFonts w:ascii="Verdana" w:hAnsi="Verdana"/>
                <w:sz w:val="18"/>
                <w:szCs w:val="18"/>
              </w:rPr>
            </w:pPr>
            <w:r>
              <w:rPr>
                <w:rFonts w:ascii="Verdana" w:hAnsi="Verdana"/>
                <w:sz w:val="18"/>
                <w:szCs w:val="18"/>
              </w:rPr>
              <w:t>0,0</w:t>
            </w:r>
          </w:p>
        </w:tc>
      </w:tr>
      <w:tr w:rsidR="00CB7408" w:rsidTr="006D23DC">
        <w:tc>
          <w:tcPr>
            <w:tcW w:w="0" w:type="auto"/>
            <w:tcBorders>
              <w:left w:val="nil"/>
              <w:right w:val="nil"/>
            </w:tcBorders>
            <w:hideMark/>
          </w:tcPr>
          <w:p w:rsidR="00CB7408" w:rsidP="006D23DC" w:rsidRDefault="00CB7408">
            <w:pPr>
              <w:rPr>
                <w:rFonts w:ascii="Verdana" w:hAnsi="Verdana"/>
                <w:sz w:val="18"/>
                <w:szCs w:val="18"/>
              </w:rPr>
            </w:pPr>
            <w:r>
              <w:rPr>
                <w:rFonts w:ascii="Verdana" w:hAnsi="Verdana"/>
                <w:sz w:val="18"/>
                <w:szCs w:val="18"/>
              </w:rPr>
              <w:t> </w:t>
            </w:r>
          </w:p>
        </w:tc>
        <w:tc>
          <w:tcPr>
            <w:tcW w:w="0" w:type="auto"/>
            <w:hideMark/>
          </w:tcPr>
          <w:p w:rsidR="00CB7408" w:rsidP="006D23DC" w:rsidRDefault="00CB7408">
            <w:pPr>
              <w:rPr>
                <w:sz w:val="20"/>
                <w:szCs w:val="20"/>
              </w:rPr>
            </w:pPr>
          </w:p>
        </w:tc>
      </w:tr>
      <w:tr w:rsidR="00CB7408" w:rsidTr="006D23DC">
        <w:tc>
          <w:tcPr>
            <w:tcW w:w="0" w:type="auto"/>
            <w:tcBorders>
              <w:left w:val="nil"/>
              <w:right w:val="nil"/>
            </w:tcBorders>
            <w:hideMark/>
          </w:tcPr>
          <w:p w:rsidR="00CB7408" w:rsidP="006D23DC" w:rsidRDefault="00CB7408">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CB7408" w:rsidP="006D23DC" w:rsidRDefault="00CB7408">
            <w:pPr>
              <w:jc w:val="right"/>
              <w:rPr>
                <w:rFonts w:ascii="Verdana" w:hAnsi="Verdana"/>
                <w:sz w:val="18"/>
                <w:szCs w:val="18"/>
              </w:rPr>
            </w:pPr>
            <w:r>
              <w:rPr>
                <w:rFonts w:ascii="Verdana" w:hAnsi="Verdana"/>
                <w:sz w:val="18"/>
                <w:szCs w:val="18"/>
              </w:rPr>
              <w:t>3,3</w:t>
            </w:r>
          </w:p>
        </w:tc>
      </w:tr>
      <w:tr w:rsidR="00CB7408" w:rsidTr="006D23DC">
        <w:tc>
          <w:tcPr>
            <w:tcW w:w="0" w:type="auto"/>
            <w:tcBorders>
              <w:left w:val="nil"/>
              <w:right w:val="nil"/>
            </w:tcBorders>
            <w:hideMark/>
          </w:tcPr>
          <w:p w:rsidR="00CB7408" w:rsidP="006D23DC" w:rsidRDefault="00CB7408">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CB7408" w:rsidP="006D23DC" w:rsidRDefault="00CB7408">
            <w:pPr>
              <w:jc w:val="right"/>
              <w:rPr>
                <w:rFonts w:ascii="Verdana" w:hAnsi="Verdana"/>
                <w:sz w:val="18"/>
                <w:szCs w:val="18"/>
              </w:rPr>
            </w:pPr>
            <w:r>
              <w:rPr>
                <w:rFonts w:ascii="Verdana" w:hAnsi="Verdana"/>
                <w:sz w:val="18"/>
                <w:szCs w:val="18"/>
              </w:rPr>
              <w:t>0,0</w:t>
            </w:r>
          </w:p>
        </w:tc>
      </w:tr>
      <w:tr w:rsidR="00CB7408" w:rsidTr="006D23DC">
        <w:tc>
          <w:tcPr>
            <w:tcW w:w="0" w:type="auto"/>
            <w:tcBorders>
              <w:left w:val="nil"/>
              <w:right w:val="nil"/>
            </w:tcBorders>
            <w:hideMark/>
          </w:tcPr>
          <w:p w:rsidR="00CB7408" w:rsidP="006D23DC" w:rsidRDefault="00CB7408">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CB7408" w:rsidP="006D23DC" w:rsidRDefault="00CB7408">
            <w:pPr>
              <w:jc w:val="right"/>
              <w:rPr>
                <w:rFonts w:ascii="Verdana" w:hAnsi="Verdana"/>
                <w:sz w:val="18"/>
                <w:szCs w:val="18"/>
              </w:rPr>
            </w:pPr>
            <w:r>
              <w:rPr>
                <w:rFonts w:ascii="Verdana" w:hAnsi="Verdana"/>
                <w:sz w:val="18"/>
                <w:szCs w:val="18"/>
              </w:rPr>
              <w:t>3,3</w:t>
            </w:r>
          </w:p>
        </w:tc>
      </w:tr>
      <w:tr w:rsidR="00CB7408" w:rsidTr="00CB7408">
        <w:tc>
          <w:tcPr>
            <w:tcW w:w="8249" w:type="dxa"/>
            <w:tcBorders>
              <w:left w:val="nil"/>
              <w:right w:val="nil"/>
            </w:tcBorders>
            <w:hideMark/>
          </w:tcPr>
          <w:p w:rsidR="00CB7408" w:rsidP="006D23DC" w:rsidRDefault="00CB7408">
            <w:pPr>
              <w:rPr>
                <w:rFonts w:ascii="Verdana" w:hAnsi="Verdana"/>
                <w:sz w:val="18"/>
                <w:szCs w:val="18"/>
              </w:rPr>
            </w:pPr>
            <w:r>
              <w:rPr>
                <w:rFonts w:ascii="Verdana" w:hAnsi="Verdana"/>
                <w:sz w:val="18"/>
                <w:szCs w:val="18"/>
              </w:rPr>
              <w:t> </w:t>
            </w:r>
          </w:p>
        </w:tc>
        <w:tc>
          <w:tcPr>
            <w:tcW w:w="853" w:type="dxa"/>
            <w:tcBorders>
              <w:left w:val="nil"/>
              <w:right w:val="nil"/>
            </w:tcBorders>
            <w:hideMark/>
          </w:tcPr>
          <w:p w:rsidR="00CB7408" w:rsidP="006D23DC" w:rsidRDefault="00CB7408">
            <w:pPr>
              <w:rPr>
                <w:rFonts w:ascii="Verdana" w:hAnsi="Verdana"/>
                <w:sz w:val="18"/>
                <w:szCs w:val="18"/>
              </w:rPr>
            </w:pPr>
            <w:r>
              <w:rPr>
                <w:rFonts w:ascii="Verdana" w:hAnsi="Verdana"/>
                <w:sz w:val="18"/>
                <w:szCs w:val="18"/>
              </w:rPr>
              <w:t> </w:t>
            </w:r>
          </w:p>
        </w:tc>
      </w:tr>
      <w:tr w:rsidR="00CB7408" w:rsidTr="006D23DC">
        <w:tc>
          <w:tcPr>
            <w:tcW w:w="0" w:type="auto"/>
            <w:tcBorders>
              <w:left w:val="nil"/>
              <w:right w:val="nil"/>
            </w:tcBorders>
            <w:hideMark/>
          </w:tcPr>
          <w:p w:rsidR="00CB7408" w:rsidP="006D23DC" w:rsidRDefault="00CB7408">
            <w:pPr>
              <w:rPr>
                <w:rFonts w:ascii="Verdana" w:hAnsi="Verdana"/>
                <w:sz w:val="18"/>
                <w:szCs w:val="18"/>
              </w:rPr>
            </w:pPr>
            <w:r>
              <w:rPr>
                <w:rFonts w:ascii="Verdana" w:hAnsi="Verdana"/>
                <w:sz w:val="18"/>
                <w:szCs w:val="18"/>
              </w:rPr>
              <w:t>ACCRES GEMEENTEFONDS: NIET-BELASTINGONTVANGSTEN</w:t>
            </w:r>
          </w:p>
        </w:tc>
        <w:tc>
          <w:tcPr>
            <w:tcW w:w="0" w:type="auto"/>
            <w:hideMark/>
          </w:tcPr>
          <w:p w:rsidR="00CB7408" w:rsidP="006D23DC" w:rsidRDefault="00CB7408">
            <w:pPr>
              <w:rPr>
                <w:sz w:val="20"/>
                <w:szCs w:val="20"/>
              </w:rPr>
            </w:pPr>
          </w:p>
        </w:tc>
      </w:tr>
      <w:tr w:rsidR="00CB7408" w:rsidTr="006D23DC">
        <w:tc>
          <w:tcPr>
            <w:tcW w:w="0" w:type="auto"/>
            <w:tcBorders>
              <w:top w:val="single" w:color="000000" w:sz="6" w:space="0"/>
              <w:left w:val="nil"/>
              <w:bottom w:val="single" w:color="000000" w:sz="6" w:space="0"/>
              <w:right w:val="nil"/>
            </w:tcBorders>
            <w:hideMark/>
          </w:tcPr>
          <w:p w:rsidR="00CB7408" w:rsidP="006D23DC" w:rsidRDefault="00CB7408">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CB7408" w:rsidP="006D23DC" w:rsidRDefault="00CB7408">
            <w:pPr>
              <w:jc w:val="right"/>
              <w:rPr>
                <w:rFonts w:ascii="Verdana" w:hAnsi="Verdana"/>
                <w:sz w:val="18"/>
                <w:szCs w:val="18"/>
              </w:rPr>
            </w:pPr>
            <w:r>
              <w:rPr>
                <w:rFonts w:ascii="Verdana" w:hAnsi="Verdana"/>
                <w:sz w:val="18"/>
                <w:szCs w:val="18"/>
              </w:rPr>
              <w:t>2015</w:t>
            </w:r>
          </w:p>
        </w:tc>
      </w:tr>
      <w:tr w:rsidR="00CB7408" w:rsidTr="006D23DC">
        <w:tc>
          <w:tcPr>
            <w:tcW w:w="0" w:type="auto"/>
            <w:tcBorders>
              <w:left w:val="nil"/>
              <w:right w:val="nil"/>
            </w:tcBorders>
            <w:hideMark/>
          </w:tcPr>
          <w:p w:rsidR="00CB7408" w:rsidP="006D23DC" w:rsidRDefault="00CB7408">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CB7408" w:rsidP="006D23DC" w:rsidRDefault="00CB7408">
            <w:pPr>
              <w:jc w:val="right"/>
              <w:rPr>
                <w:rFonts w:ascii="Verdana" w:hAnsi="Verdana"/>
                <w:sz w:val="18"/>
                <w:szCs w:val="18"/>
              </w:rPr>
            </w:pPr>
            <w:r>
              <w:rPr>
                <w:rFonts w:ascii="Verdana" w:hAnsi="Verdana"/>
                <w:sz w:val="18"/>
                <w:szCs w:val="18"/>
              </w:rPr>
              <w:t>0,0</w:t>
            </w:r>
          </w:p>
        </w:tc>
      </w:tr>
      <w:tr w:rsidR="00CB7408" w:rsidTr="006D23DC">
        <w:tc>
          <w:tcPr>
            <w:tcW w:w="0" w:type="auto"/>
            <w:tcBorders>
              <w:left w:val="nil"/>
              <w:right w:val="nil"/>
            </w:tcBorders>
            <w:hideMark/>
          </w:tcPr>
          <w:p w:rsidR="00CB7408" w:rsidP="006D23DC" w:rsidRDefault="00CB7408">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CB7408" w:rsidP="006D23DC" w:rsidRDefault="00CB7408">
            <w:pPr>
              <w:jc w:val="right"/>
              <w:rPr>
                <w:rFonts w:ascii="Verdana" w:hAnsi="Verdana"/>
                <w:sz w:val="18"/>
                <w:szCs w:val="18"/>
              </w:rPr>
            </w:pPr>
            <w:r>
              <w:rPr>
                <w:rFonts w:ascii="Verdana" w:hAnsi="Verdana"/>
                <w:sz w:val="18"/>
                <w:szCs w:val="18"/>
              </w:rPr>
              <w:t>0,0</w:t>
            </w:r>
          </w:p>
        </w:tc>
      </w:tr>
      <w:tr w:rsidR="00CB7408" w:rsidTr="006D23DC">
        <w:tc>
          <w:tcPr>
            <w:tcW w:w="0" w:type="auto"/>
            <w:tcBorders>
              <w:left w:val="nil"/>
              <w:right w:val="nil"/>
            </w:tcBorders>
            <w:hideMark/>
          </w:tcPr>
          <w:p w:rsidR="00CB7408" w:rsidP="006D23DC" w:rsidRDefault="00CB7408">
            <w:pPr>
              <w:rPr>
                <w:rFonts w:ascii="Verdana" w:hAnsi="Verdana"/>
                <w:sz w:val="18"/>
                <w:szCs w:val="18"/>
              </w:rPr>
            </w:pPr>
            <w:r>
              <w:rPr>
                <w:rFonts w:ascii="Verdana" w:hAnsi="Verdana"/>
                <w:sz w:val="18"/>
                <w:szCs w:val="18"/>
              </w:rPr>
              <w:t> </w:t>
            </w:r>
          </w:p>
        </w:tc>
        <w:tc>
          <w:tcPr>
            <w:tcW w:w="0" w:type="auto"/>
            <w:hideMark/>
          </w:tcPr>
          <w:p w:rsidR="00CB7408" w:rsidP="006D23DC" w:rsidRDefault="00CB7408">
            <w:pPr>
              <w:rPr>
                <w:sz w:val="20"/>
                <w:szCs w:val="20"/>
              </w:rPr>
            </w:pPr>
          </w:p>
        </w:tc>
      </w:tr>
      <w:tr w:rsidR="00CB7408" w:rsidTr="006D23DC">
        <w:tc>
          <w:tcPr>
            <w:tcW w:w="0" w:type="auto"/>
            <w:tcBorders>
              <w:left w:val="nil"/>
              <w:right w:val="nil"/>
            </w:tcBorders>
            <w:hideMark/>
          </w:tcPr>
          <w:p w:rsidR="00CB7408" w:rsidP="006D23DC" w:rsidRDefault="00CB7408">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CB7408" w:rsidP="006D23DC" w:rsidRDefault="00CB7408">
            <w:pPr>
              <w:jc w:val="right"/>
              <w:rPr>
                <w:rFonts w:ascii="Verdana" w:hAnsi="Verdana"/>
                <w:sz w:val="18"/>
                <w:szCs w:val="18"/>
              </w:rPr>
            </w:pPr>
            <w:r>
              <w:rPr>
                <w:rFonts w:ascii="Verdana" w:hAnsi="Verdana"/>
                <w:sz w:val="18"/>
                <w:szCs w:val="18"/>
              </w:rPr>
              <w:t>0,0</w:t>
            </w:r>
          </w:p>
        </w:tc>
      </w:tr>
      <w:tr w:rsidR="00CB7408" w:rsidTr="006D23DC">
        <w:tc>
          <w:tcPr>
            <w:tcW w:w="0" w:type="auto"/>
            <w:tcBorders>
              <w:left w:val="nil"/>
              <w:right w:val="nil"/>
            </w:tcBorders>
            <w:hideMark/>
          </w:tcPr>
          <w:p w:rsidR="00CB7408" w:rsidP="006D23DC" w:rsidRDefault="00CB7408">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CB7408" w:rsidP="006D23DC" w:rsidRDefault="00CB7408">
            <w:pPr>
              <w:jc w:val="right"/>
              <w:rPr>
                <w:rFonts w:ascii="Verdana" w:hAnsi="Verdana"/>
                <w:sz w:val="18"/>
                <w:szCs w:val="18"/>
              </w:rPr>
            </w:pPr>
            <w:r>
              <w:rPr>
                <w:rFonts w:ascii="Verdana" w:hAnsi="Verdana"/>
                <w:sz w:val="18"/>
                <w:szCs w:val="18"/>
              </w:rPr>
              <w:t>0,0</w:t>
            </w:r>
          </w:p>
        </w:tc>
      </w:tr>
      <w:tr w:rsidR="00CB7408" w:rsidTr="006D23DC">
        <w:tc>
          <w:tcPr>
            <w:tcW w:w="0" w:type="auto"/>
            <w:tcBorders>
              <w:left w:val="nil"/>
              <w:right w:val="nil"/>
            </w:tcBorders>
            <w:hideMark/>
          </w:tcPr>
          <w:p w:rsidR="00CB7408" w:rsidP="006D23DC" w:rsidRDefault="00CB7408">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CB7408" w:rsidP="006D23DC" w:rsidRDefault="00CB7408">
            <w:pPr>
              <w:jc w:val="right"/>
              <w:rPr>
                <w:rFonts w:ascii="Verdana" w:hAnsi="Verdana"/>
                <w:sz w:val="18"/>
                <w:szCs w:val="18"/>
              </w:rPr>
            </w:pPr>
            <w:r>
              <w:rPr>
                <w:rFonts w:ascii="Verdana" w:hAnsi="Verdana"/>
                <w:sz w:val="18"/>
                <w:szCs w:val="18"/>
              </w:rPr>
              <w:t>0,0</w:t>
            </w:r>
          </w:p>
        </w:tc>
      </w:tr>
    </w:tbl>
    <w:p w:rsidR="00FD7153" w:rsidRDefault="00FD7153">
      <w:pPr>
        <w:rPr>
          <w:rFonts w:ascii="Verdana" w:hAnsi="Verdana" w:cs="Verdana"/>
          <w:b/>
          <w:bCs/>
          <w:sz w:val="18"/>
          <w:szCs w:val="18"/>
          <w:lang w:val="en-US"/>
        </w:rPr>
      </w:pPr>
      <w:r>
        <w:rPr>
          <w:rFonts w:ascii="Verdana" w:hAnsi="Verdana" w:cs="Verdana"/>
          <w:b/>
          <w:bCs/>
          <w:sz w:val="18"/>
          <w:szCs w:val="18"/>
          <w:lang w:val="en-US"/>
        </w:rPr>
        <w:br w:type="page"/>
      </w:r>
    </w:p>
    <w:p w:rsidRPr="00533D5C" w:rsidR="00BA6D14" w:rsidP="00533D5C" w:rsidRDefault="00BA6D14">
      <w:pPr>
        <w:spacing w:line="240" w:lineRule="exact"/>
        <w:rPr>
          <w:rFonts w:ascii="Verdana" w:hAnsi="Verdana" w:cs="Verdana"/>
          <w:b/>
          <w:bCs/>
          <w:sz w:val="18"/>
          <w:szCs w:val="18"/>
          <w:lang w:val="en-US"/>
        </w:rPr>
      </w:pPr>
      <w:proofErr w:type="spellStart"/>
      <w:r w:rsidRPr="00533D5C">
        <w:rPr>
          <w:rFonts w:ascii="Verdana" w:hAnsi="Verdana" w:cs="Verdana"/>
          <w:b/>
          <w:bCs/>
          <w:sz w:val="18"/>
          <w:szCs w:val="18"/>
          <w:lang w:val="en-US"/>
        </w:rPr>
        <w:lastRenderedPageBreak/>
        <w:t>Accres</w:t>
      </w:r>
      <w:proofErr w:type="spellEnd"/>
      <w:r w:rsidRPr="00533D5C">
        <w:rPr>
          <w:rFonts w:ascii="Verdana" w:hAnsi="Verdana" w:cs="Verdana"/>
          <w:b/>
          <w:bCs/>
          <w:sz w:val="18"/>
          <w:szCs w:val="18"/>
          <w:lang w:val="en-US"/>
        </w:rPr>
        <w:t xml:space="preserve"> </w:t>
      </w:r>
      <w:proofErr w:type="spellStart"/>
      <w:r w:rsidRPr="00533D5C">
        <w:rPr>
          <w:rFonts w:ascii="Verdana" w:hAnsi="Verdana" w:cs="Verdana"/>
          <w:b/>
          <w:bCs/>
          <w:sz w:val="18"/>
          <w:szCs w:val="18"/>
          <w:lang w:val="en-US"/>
        </w:rPr>
        <w:t>Provinciefonds</w:t>
      </w:r>
      <w:proofErr w:type="spellEnd"/>
    </w:p>
    <w:tbl>
      <w:tblPr>
        <w:tblW w:w="0" w:type="auto"/>
        <w:tblCellMar>
          <w:top w:w="15" w:type="dxa"/>
          <w:left w:w="15" w:type="dxa"/>
          <w:bottom w:w="15" w:type="dxa"/>
          <w:right w:w="15" w:type="dxa"/>
        </w:tblCellMar>
        <w:tblLook w:val="04A0"/>
      </w:tblPr>
      <w:tblGrid>
        <w:gridCol w:w="8245"/>
        <w:gridCol w:w="857"/>
      </w:tblGrid>
      <w:tr w:rsidR="00AE3E61" w:rsidTr="00AE3E61">
        <w:tc>
          <w:tcPr>
            <w:tcW w:w="8245" w:type="dxa"/>
            <w:tcBorders>
              <w:left w:val="nil"/>
              <w:right w:val="nil"/>
            </w:tcBorders>
            <w:hideMark/>
          </w:tcPr>
          <w:p w:rsidR="00AE3E61" w:rsidP="006D23DC" w:rsidRDefault="00AE3E61">
            <w:pPr>
              <w:rPr>
                <w:rFonts w:ascii="Verdana" w:hAnsi="Verdana"/>
                <w:sz w:val="18"/>
                <w:szCs w:val="18"/>
              </w:rPr>
            </w:pPr>
          </w:p>
        </w:tc>
        <w:tc>
          <w:tcPr>
            <w:tcW w:w="857" w:type="dxa"/>
            <w:tcBorders>
              <w:left w:val="nil"/>
              <w:right w:val="nil"/>
            </w:tcBorders>
            <w:hideMark/>
          </w:tcPr>
          <w:p w:rsidR="00AE3E61" w:rsidP="006D23DC" w:rsidRDefault="00AE3E61">
            <w:pPr>
              <w:rPr>
                <w:rFonts w:ascii="Verdana" w:hAnsi="Verdana"/>
                <w:sz w:val="18"/>
                <w:szCs w:val="18"/>
              </w:rPr>
            </w:pPr>
            <w:r>
              <w:rPr>
                <w:rFonts w:ascii="Verdana" w:hAnsi="Verdana"/>
                <w:sz w:val="18"/>
                <w:szCs w:val="18"/>
              </w:rPr>
              <w:t> </w:t>
            </w:r>
          </w:p>
        </w:tc>
      </w:tr>
      <w:tr w:rsidR="00AE3E61" w:rsidTr="006D23DC">
        <w:tc>
          <w:tcPr>
            <w:tcW w:w="0" w:type="auto"/>
            <w:tcBorders>
              <w:left w:val="nil"/>
              <w:right w:val="nil"/>
            </w:tcBorders>
            <w:hideMark/>
          </w:tcPr>
          <w:p w:rsidR="00AE3E61" w:rsidP="006D23DC" w:rsidRDefault="00AE3E61">
            <w:pPr>
              <w:rPr>
                <w:rFonts w:ascii="Verdana" w:hAnsi="Verdana"/>
                <w:sz w:val="18"/>
                <w:szCs w:val="18"/>
              </w:rPr>
            </w:pPr>
            <w:r>
              <w:rPr>
                <w:rFonts w:ascii="Verdana" w:hAnsi="Verdana"/>
                <w:sz w:val="18"/>
                <w:szCs w:val="18"/>
              </w:rPr>
              <w:t>ACCRES PROVINCIEFONDS: UITGAVEN</w:t>
            </w:r>
          </w:p>
        </w:tc>
        <w:tc>
          <w:tcPr>
            <w:tcW w:w="0" w:type="auto"/>
            <w:hideMark/>
          </w:tcPr>
          <w:p w:rsidR="00AE3E61" w:rsidP="006D23DC" w:rsidRDefault="00AE3E61">
            <w:pPr>
              <w:rPr>
                <w:sz w:val="20"/>
                <w:szCs w:val="20"/>
              </w:rPr>
            </w:pPr>
          </w:p>
        </w:tc>
      </w:tr>
      <w:tr w:rsidR="00AE3E61" w:rsidTr="006D23DC">
        <w:tc>
          <w:tcPr>
            <w:tcW w:w="0" w:type="auto"/>
            <w:tcBorders>
              <w:top w:val="single" w:color="000000" w:sz="6" w:space="0"/>
              <w:left w:val="nil"/>
              <w:bottom w:val="single" w:color="000000" w:sz="6" w:space="0"/>
              <w:right w:val="nil"/>
            </w:tcBorders>
            <w:hideMark/>
          </w:tcPr>
          <w:p w:rsidR="00AE3E61" w:rsidP="006D23DC" w:rsidRDefault="00AE3E61">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AE3E61" w:rsidP="006D23DC" w:rsidRDefault="00AE3E61">
            <w:pPr>
              <w:jc w:val="right"/>
              <w:rPr>
                <w:rFonts w:ascii="Verdana" w:hAnsi="Verdana"/>
                <w:sz w:val="18"/>
                <w:szCs w:val="18"/>
              </w:rPr>
            </w:pPr>
            <w:r>
              <w:rPr>
                <w:rFonts w:ascii="Verdana" w:hAnsi="Verdana"/>
                <w:sz w:val="18"/>
                <w:szCs w:val="18"/>
              </w:rPr>
              <w:t>2015</w:t>
            </w:r>
          </w:p>
        </w:tc>
      </w:tr>
      <w:tr w:rsidR="00AE3E61" w:rsidTr="006D23DC">
        <w:tc>
          <w:tcPr>
            <w:tcW w:w="0" w:type="auto"/>
            <w:tcBorders>
              <w:left w:val="nil"/>
              <w:right w:val="nil"/>
            </w:tcBorders>
            <w:hideMark/>
          </w:tcPr>
          <w:p w:rsidR="00AE3E61" w:rsidP="006D23DC" w:rsidRDefault="00AE3E61">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AE3E61" w:rsidP="006D23DC" w:rsidRDefault="00AE3E61">
            <w:pPr>
              <w:jc w:val="right"/>
              <w:rPr>
                <w:rFonts w:ascii="Verdana" w:hAnsi="Verdana"/>
                <w:sz w:val="18"/>
                <w:szCs w:val="18"/>
              </w:rPr>
            </w:pPr>
            <w:r>
              <w:rPr>
                <w:rFonts w:ascii="Verdana" w:hAnsi="Verdana"/>
                <w:sz w:val="18"/>
                <w:szCs w:val="18"/>
              </w:rPr>
              <w:t>-3,3</w:t>
            </w:r>
          </w:p>
        </w:tc>
      </w:tr>
      <w:tr w:rsidR="00AE3E61" w:rsidTr="006D23DC">
        <w:tc>
          <w:tcPr>
            <w:tcW w:w="0" w:type="auto"/>
            <w:tcBorders>
              <w:left w:val="nil"/>
              <w:right w:val="nil"/>
            </w:tcBorders>
            <w:hideMark/>
          </w:tcPr>
          <w:p w:rsidR="00AE3E61" w:rsidP="006D23DC" w:rsidRDefault="00AE3E61">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AE3E61" w:rsidP="006D23DC" w:rsidRDefault="00AE3E61">
            <w:pPr>
              <w:jc w:val="right"/>
              <w:rPr>
                <w:rFonts w:ascii="Verdana" w:hAnsi="Verdana"/>
                <w:sz w:val="18"/>
                <w:szCs w:val="18"/>
              </w:rPr>
            </w:pPr>
            <w:r>
              <w:rPr>
                <w:rFonts w:ascii="Verdana" w:hAnsi="Verdana"/>
                <w:sz w:val="18"/>
                <w:szCs w:val="18"/>
              </w:rPr>
              <w:t>0,0</w:t>
            </w:r>
          </w:p>
        </w:tc>
      </w:tr>
      <w:tr w:rsidR="00AE3E61" w:rsidTr="006D23DC">
        <w:tc>
          <w:tcPr>
            <w:tcW w:w="0" w:type="auto"/>
            <w:tcBorders>
              <w:left w:val="nil"/>
              <w:right w:val="nil"/>
            </w:tcBorders>
            <w:hideMark/>
          </w:tcPr>
          <w:p w:rsidR="00AE3E61" w:rsidP="006D23DC" w:rsidRDefault="00AE3E61">
            <w:pPr>
              <w:rPr>
                <w:rFonts w:ascii="Verdana" w:hAnsi="Verdana"/>
                <w:sz w:val="18"/>
                <w:szCs w:val="18"/>
              </w:rPr>
            </w:pPr>
            <w:r>
              <w:rPr>
                <w:rFonts w:ascii="Verdana" w:hAnsi="Verdana"/>
                <w:sz w:val="18"/>
                <w:szCs w:val="18"/>
              </w:rPr>
              <w:t> </w:t>
            </w:r>
          </w:p>
        </w:tc>
        <w:tc>
          <w:tcPr>
            <w:tcW w:w="0" w:type="auto"/>
            <w:hideMark/>
          </w:tcPr>
          <w:p w:rsidR="00AE3E61" w:rsidP="006D23DC" w:rsidRDefault="00AE3E61">
            <w:pPr>
              <w:rPr>
                <w:sz w:val="20"/>
                <w:szCs w:val="20"/>
              </w:rPr>
            </w:pPr>
          </w:p>
        </w:tc>
      </w:tr>
      <w:tr w:rsidR="00AE3E61" w:rsidTr="006D23DC">
        <w:tc>
          <w:tcPr>
            <w:tcW w:w="0" w:type="auto"/>
            <w:tcBorders>
              <w:left w:val="nil"/>
              <w:right w:val="nil"/>
            </w:tcBorders>
            <w:hideMark/>
          </w:tcPr>
          <w:p w:rsidR="00AE3E61" w:rsidP="006D23DC" w:rsidRDefault="00AE3E61">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AE3E61" w:rsidP="006D23DC" w:rsidRDefault="00AE3E61">
            <w:pPr>
              <w:jc w:val="right"/>
              <w:rPr>
                <w:rFonts w:ascii="Verdana" w:hAnsi="Verdana"/>
                <w:sz w:val="18"/>
                <w:szCs w:val="18"/>
              </w:rPr>
            </w:pPr>
            <w:r>
              <w:rPr>
                <w:rFonts w:ascii="Verdana" w:hAnsi="Verdana"/>
                <w:sz w:val="18"/>
                <w:szCs w:val="18"/>
              </w:rPr>
              <w:t>-3,3</w:t>
            </w:r>
          </w:p>
        </w:tc>
      </w:tr>
      <w:tr w:rsidR="00AE3E61" w:rsidTr="006D23DC">
        <w:tc>
          <w:tcPr>
            <w:tcW w:w="0" w:type="auto"/>
            <w:tcBorders>
              <w:left w:val="nil"/>
              <w:right w:val="nil"/>
            </w:tcBorders>
            <w:hideMark/>
          </w:tcPr>
          <w:p w:rsidR="00AE3E61" w:rsidP="006D23DC" w:rsidRDefault="00AE3E61">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AE3E61" w:rsidP="006D23DC" w:rsidRDefault="00AE3E61">
            <w:pPr>
              <w:jc w:val="right"/>
              <w:rPr>
                <w:rFonts w:ascii="Verdana" w:hAnsi="Verdana"/>
                <w:sz w:val="18"/>
                <w:szCs w:val="18"/>
              </w:rPr>
            </w:pPr>
            <w:r>
              <w:rPr>
                <w:rFonts w:ascii="Verdana" w:hAnsi="Verdana"/>
                <w:sz w:val="18"/>
                <w:szCs w:val="18"/>
              </w:rPr>
              <w:t>0,0</w:t>
            </w:r>
          </w:p>
        </w:tc>
      </w:tr>
      <w:tr w:rsidR="00AE3E61" w:rsidTr="006D23DC">
        <w:tc>
          <w:tcPr>
            <w:tcW w:w="0" w:type="auto"/>
            <w:tcBorders>
              <w:left w:val="nil"/>
              <w:right w:val="nil"/>
            </w:tcBorders>
            <w:hideMark/>
          </w:tcPr>
          <w:p w:rsidR="00AE3E61" w:rsidP="006D23DC" w:rsidRDefault="00AE3E61">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AE3E61" w:rsidP="006D23DC" w:rsidRDefault="00AE3E61">
            <w:pPr>
              <w:jc w:val="right"/>
              <w:rPr>
                <w:rFonts w:ascii="Verdana" w:hAnsi="Verdana"/>
                <w:sz w:val="18"/>
                <w:szCs w:val="18"/>
              </w:rPr>
            </w:pPr>
            <w:r>
              <w:rPr>
                <w:rFonts w:ascii="Verdana" w:hAnsi="Verdana"/>
                <w:sz w:val="18"/>
                <w:szCs w:val="18"/>
              </w:rPr>
              <w:t>-3,3</w:t>
            </w:r>
          </w:p>
        </w:tc>
      </w:tr>
      <w:tr w:rsidR="00AE3E61" w:rsidTr="00AE3E61">
        <w:tc>
          <w:tcPr>
            <w:tcW w:w="8249" w:type="dxa"/>
            <w:tcBorders>
              <w:left w:val="nil"/>
              <w:right w:val="nil"/>
            </w:tcBorders>
            <w:hideMark/>
          </w:tcPr>
          <w:p w:rsidR="00AE3E61" w:rsidP="006D23DC" w:rsidRDefault="00AE3E61">
            <w:pPr>
              <w:rPr>
                <w:rFonts w:ascii="Verdana" w:hAnsi="Verdana"/>
                <w:sz w:val="18"/>
                <w:szCs w:val="18"/>
              </w:rPr>
            </w:pPr>
            <w:r>
              <w:rPr>
                <w:rFonts w:ascii="Verdana" w:hAnsi="Verdana"/>
                <w:sz w:val="18"/>
                <w:szCs w:val="18"/>
              </w:rPr>
              <w:t> </w:t>
            </w:r>
          </w:p>
        </w:tc>
        <w:tc>
          <w:tcPr>
            <w:tcW w:w="853" w:type="dxa"/>
            <w:tcBorders>
              <w:left w:val="nil"/>
              <w:right w:val="nil"/>
            </w:tcBorders>
            <w:hideMark/>
          </w:tcPr>
          <w:p w:rsidR="00AE3E61" w:rsidP="006D23DC" w:rsidRDefault="00AE3E61">
            <w:pPr>
              <w:rPr>
                <w:rFonts w:ascii="Verdana" w:hAnsi="Verdana"/>
                <w:sz w:val="18"/>
                <w:szCs w:val="18"/>
              </w:rPr>
            </w:pPr>
            <w:r>
              <w:rPr>
                <w:rFonts w:ascii="Verdana" w:hAnsi="Verdana"/>
                <w:sz w:val="18"/>
                <w:szCs w:val="18"/>
              </w:rPr>
              <w:t> </w:t>
            </w:r>
          </w:p>
        </w:tc>
      </w:tr>
      <w:tr w:rsidR="00AE3E61" w:rsidTr="006D23DC">
        <w:tc>
          <w:tcPr>
            <w:tcW w:w="0" w:type="auto"/>
            <w:tcBorders>
              <w:left w:val="nil"/>
              <w:right w:val="nil"/>
            </w:tcBorders>
            <w:hideMark/>
          </w:tcPr>
          <w:p w:rsidR="00AE3E61" w:rsidP="006D23DC" w:rsidRDefault="00AE3E61">
            <w:pPr>
              <w:rPr>
                <w:rFonts w:ascii="Verdana" w:hAnsi="Verdana"/>
                <w:sz w:val="18"/>
                <w:szCs w:val="18"/>
              </w:rPr>
            </w:pPr>
            <w:r>
              <w:rPr>
                <w:rFonts w:ascii="Verdana" w:hAnsi="Verdana"/>
                <w:sz w:val="18"/>
                <w:szCs w:val="18"/>
              </w:rPr>
              <w:t>ACCRES PROVINCIEFONDS: NIET-BELASTINGONTVANGSTEN</w:t>
            </w:r>
          </w:p>
        </w:tc>
        <w:tc>
          <w:tcPr>
            <w:tcW w:w="0" w:type="auto"/>
            <w:hideMark/>
          </w:tcPr>
          <w:p w:rsidR="00AE3E61" w:rsidP="006D23DC" w:rsidRDefault="00AE3E61">
            <w:pPr>
              <w:rPr>
                <w:sz w:val="20"/>
                <w:szCs w:val="20"/>
              </w:rPr>
            </w:pPr>
          </w:p>
        </w:tc>
      </w:tr>
      <w:tr w:rsidR="00AE3E61" w:rsidTr="006D23DC">
        <w:tc>
          <w:tcPr>
            <w:tcW w:w="0" w:type="auto"/>
            <w:tcBorders>
              <w:top w:val="single" w:color="000000" w:sz="6" w:space="0"/>
              <w:left w:val="nil"/>
              <w:bottom w:val="single" w:color="000000" w:sz="6" w:space="0"/>
              <w:right w:val="nil"/>
            </w:tcBorders>
            <w:hideMark/>
          </w:tcPr>
          <w:p w:rsidR="00AE3E61" w:rsidP="006D23DC" w:rsidRDefault="00AE3E61">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AE3E61" w:rsidP="006D23DC" w:rsidRDefault="00AE3E61">
            <w:pPr>
              <w:jc w:val="right"/>
              <w:rPr>
                <w:rFonts w:ascii="Verdana" w:hAnsi="Verdana"/>
                <w:sz w:val="18"/>
                <w:szCs w:val="18"/>
              </w:rPr>
            </w:pPr>
            <w:r>
              <w:rPr>
                <w:rFonts w:ascii="Verdana" w:hAnsi="Verdana"/>
                <w:sz w:val="18"/>
                <w:szCs w:val="18"/>
              </w:rPr>
              <w:t>2015</w:t>
            </w:r>
          </w:p>
        </w:tc>
      </w:tr>
      <w:tr w:rsidR="00AE3E61" w:rsidTr="006D23DC">
        <w:tc>
          <w:tcPr>
            <w:tcW w:w="0" w:type="auto"/>
            <w:tcBorders>
              <w:left w:val="nil"/>
              <w:right w:val="nil"/>
            </w:tcBorders>
            <w:hideMark/>
          </w:tcPr>
          <w:p w:rsidR="00AE3E61" w:rsidP="006D23DC" w:rsidRDefault="00AE3E61">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AE3E61" w:rsidP="006D23DC" w:rsidRDefault="00AE3E61">
            <w:pPr>
              <w:jc w:val="right"/>
              <w:rPr>
                <w:rFonts w:ascii="Verdana" w:hAnsi="Verdana"/>
                <w:sz w:val="18"/>
                <w:szCs w:val="18"/>
              </w:rPr>
            </w:pPr>
            <w:r>
              <w:rPr>
                <w:rFonts w:ascii="Verdana" w:hAnsi="Verdana"/>
                <w:sz w:val="18"/>
                <w:szCs w:val="18"/>
              </w:rPr>
              <w:t>0,0</w:t>
            </w:r>
          </w:p>
        </w:tc>
      </w:tr>
      <w:tr w:rsidR="00AE3E61" w:rsidTr="006D23DC">
        <w:tc>
          <w:tcPr>
            <w:tcW w:w="0" w:type="auto"/>
            <w:tcBorders>
              <w:left w:val="nil"/>
              <w:right w:val="nil"/>
            </w:tcBorders>
            <w:hideMark/>
          </w:tcPr>
          <w:p w:rsidR="00AE3E61" w:rsidP="006D23DC" w:rsidRDefault="00AE3E61">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AE3E61" w:rsidP="006D23DC" w:rsidRDefault="00AE3E61">
            <w:pPr>
              <w:jc w:val="right"/>
              <w:rPr>
                <w:rFonts w:ascii="Verdana" w:hAnsi="Verdana"/>
                <w:sz w:val="18"/>
                <w:szCs w:val="18"/>
              </w:rPr>
            </w:pPr>
            <w:r>
              <w:rPr>
                <w:rFonts w:ascii="Verdana" w:hAnsi="Verdana"/>
                <w:sz w:val="18"/>
                <w:szCs w:val="18"/>
              </w:rPr>
              <w:t>0,0</w:t>
            </w:r>
          </w:p>
        </w:tc>
      </w:tr>
      <w:tr w:rsidR="00AE3E61" w:rsidTr="006D23DC">
        <w:tc>
          <w:tcPr>
            <w:tcW w:w="0" w:type="auto"/>
            <w:tcBorders>
              <w:left w:val="nil"/>
              <w:right w:val="nil"/>
            </w:tcBorders>
            <w:hideMark/>
          </w:tcPr>
          <w:p w:rsidR="00AE3E61" w:rsidP="006D23DC" w:rsidRDefault="00AE3E61">
            <w:pPr>
              <w:rPr>
                <w:rFonts w:ascii="Verdana" w:hAnsi="Verdana"/>
                <w:sz w:val="18"/>
                <w:szCs w:val="18"/>
              </w:rPr>
            </w:pPr>
            <w:r>
              <w:rPr>
                <w:rFonts w:ascii="Verdana" w:hAnsi="Verdana"/>
                <w:sz w:val="18"/>
                <w:szCs w:val="18"/>
              </w:rPr>
              <w:t> </w:t>
            </w:r>
          </w:p>
        </w:tc>
        <w:tc>
          <w:tcPr>
            <w:tcW w:w="0" w:type="auto"/>
            <w:hideMark/>
          </w:tcPr>
          <w:p w:rsidR="00AE3E61" w:rsidP="006D23DC" w:rsidRDefault="00AE3E61">
            <w:pPr>
              <w:rPr>
                <w:sz w:val="20"/>
                <w:szCs w:val="20"/>
              </w:rPr>
            </w:pPr>
          </w:p>
        </w:tc>
      </w:tr>
      <w:tr w:rsidR="00AE3E61" w:rsidTr="006D23DC">
        <w:tc>
          <w:tcPr>
            <w:tcW w:w="0" w:type="auto"/>
            <w:tcBorders>
              <w:left w:val="nil"/>
              <w:right w:val="nil"/>
            </w:tcBorders>
            <w:hideMark/>
          </w:tcPr>
          <w:p w:rsidR="00AE3E61" w:rsidP="006D23DC" w:rsidRDefault="00AE3E61">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AE3E61" w:rsidP="006D23DC" w:rsidRDefault="00AE3E61">
            <w:pPr>
              <w:jc w:val="right"/>
              <w:rPr>
                <w:rFonts w:ascii="Verdana" w:hAnsi="Verdana"/>
                <w:sz w:val="18"/>
                <w:szCs w:val="18"/>
              </w:rPr>
            </w:pPr>
            <w:r>
              <w:rPr>
                <w:rFonts w:ascii="Verdana" w:hAnsi="Verdana"/>
                <w:sz w:val="18"/>
                <w:szCs w:val="18"/>
              </w:rPr>
              <w:t>0,0</w:t>
            </w:r>
          </w:p>
        </w:tc>
      </w:tr>
      <w:tr w:rsidR="00AE3E61" w:rsidTr="006D23DC">
        <w:tc>
          <w:tcPr>
            <w:tcW w:w="0" w:type="auto"/>
            <w:tcBorders>
              <w:left w:val="nil"/>
              <w:right w:val="nil"/>
            </w:tcBorders>
            <w:hideMark/>
          </w:tcPr>
          <w:p w:rsidR="00AE3E61" w:rsidP="006D23DC" w:rsidRDefault="00AE3E61">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AE3E61" w:rsidP="006D23DC" w:rsidRDefault="00AE3E61">
            <w:pPr>
              <w:jc w:val="right"/>
              <w:rPr>
                <w:rFonts w:ascii="Verdana" w:hAnsi="Verdana"/>
                <w:sz w:val="18"/>
                <w:szCs w:val="18"/>
              </w:rPr>
            </w:pPr>
            <w:r>
              <w:rPr>
                <w:rFonts w:ascii="Verdana" w:hAnsi="Verdana"/>
                <w:sz w:val="18"/>
                <w:szCs w:val="18"/>
              </w:rPr>
              <w:t>0,0</w:t>
            </w:r>
          </w:p>
        </w:tc>
      </w:tr>
      <w:tr w:rsidR="00AE3E61" w:rsidTr="006D23DC">
        <w:tc>
          <w:tcPr>
            <w:tcW w:w="0" w:type="auto"/>
            <w:tcBorders>
              <w:left w:val="nil"/>
              <w:right w:val="nil"/>
            </w:tcBorders>
            <w:hideMark/>
          </w:tcPr>
          <w:p w:rsidR="00AE3E61" w:rsidP="006D23DC" w:rsidRDefault="00AE3E61">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AE3E61" w:rsidP="006D23DC" w:rsidRDefault="00AE3E61">
            <w:pPr>
              <w:jc w:val="right"/>
              <w:rPr>
                <w:rFonts w:ascii="Verdana" w:hAnsi="Verdana"/>
                <w:sz w:val="18"/>
                <w:szCs w:val="18"/>
              </w:rPr>
            </w:pPr>
            <w:r>
              <w:rPr>
                <w:rFonts w:ascii="Verdana" w:hAnsi="Verdana"/>
                <w:sz w:val="18"/>
                <w:szCs w:val="18"/>
              </w:rPr>
              <w:t>0,0</w:t>
            </w:r>
          </w:p>
        </w:tc>
      </w:tr>
    </w:tbl>
    <w:p w:rsidRPr="00533D5C" w:rsidR="005D154D" w:rsidP="00533D5C" w:rsidRDefault="00BA6D14">
      <w:pPr>
        <w:spacing w:line="240" w:lineRule="exact"/>
        <w:rPr>
          <w:rFonts w:ascii="Verdana" w:hAnsi="Verdana" w:cs="Verdana"/>
          <w:b/>
          <w:bCs/>
          <w:sz w:val="18"/>
          <w:szCs w:val="18"/>
          <w:lang w:val="en-US"/>
        </w:rPr>
      </w:pPr>
      <w:r w:rsidRPr="00533D5C">
        <w:rPr>
          <w:rFonts w:ascii="Verdana" w:hAnsi="Verdana" w:cs="Verdana"/>
          <w:b/>
          <w:bCs/>
          <w:sz w:val="18"/>
          <w:szCs w:val="18"/>
        </w:rPr>
        <w:br w:type="page"/>
      </w:r>
      <w:r w:rsidRPr="00533D5C" w:rsidR="005569FA">
        <w:rPr>
          <w:rFonts w:ascii="Verdana" w:hAnsi="Verdana" w:cs="Verdana"/>
          <w:b/>
          <w:bCs/>
          <w:sz w:val="18"/>
          <w:szCs w:val="18"/>
          <w:lang w:val="en-US"/>
        </w:rPr>
        <w:lastRenderedPageBreak/>
        <w:t>BES-</w:t>
      </w:r>
      <w:proofErr w:type="spellStart"/>
      <w:r w:rsidRPr="00533D5C" w:rsidR="005569FA">
        <w:rPr>
          <w:rFonts w:ascii="Verdana" w:hAnsi="Verdana" w:cs="Verdana"/>
          <w:b/>
          <w:bCs/>
          <w:sz w:val="18"/>
          <w:szCs w:val="18"/>
          <w:lang w:val="en-US"/>
        </w:rPr>
        <w:t>fonds</w:t>
      </w:r>
      <w:proofErr w:type="spellEnd"/>
    </w:p>
    <w:tbl>
      <w:tblPr>
        <w:tblW w:w="0" w:type="auto"/>
        <w:tblCellMar>
          <w:top w:w="15" w:type="dxa"/>
          <w:left w:w="15" w:type="dxa"/>
          <w:bottom w:w="15" w:type="dxa"/>
          <w:right w:w="15" w:type="dxa"/>
        </w:tblCellMar>
        <w:tblLook w:val="04A0"/>
      </w:tblPr>
      <w:tblGrid>
        <w:gridCol w:w="8244"/>
        <w:gridCol w:w="858"/>
      </w:tblGrid>
      <w:tr w:rsidR="002145D7" w:rsidTr="002145D7">
        <w:tc>
          <w:tcPr>
            <w:tcW w:w="8244" w:type="dxa"/>
            <w:tcBorders>
              <w:left w:val="nil"/>
              <w:right w:val="nil"/>
            </w:tcBorders>
            <w:hideMark/>
          </w:tcPr>
          <w:p w:rsidR="002145D7" w:rsidP="006D23DC" w:rsidRDefault="002145D7">
            <w:pPr>
              <w:rPr>
                <w:rFonts w:ascii="Verdana" w:hAnsi="Verdana"/>
                <w:sz w:val="18"/>
                <w:szCs w:val="18"/>
              </w:rPr>
            </w:pPr>
          </w:p>
        </w:tc>
        <w:tc>
          <w:tcPr>
            <w:tcW w:w="858" w:type="dxa"/>
            <w:tcBorders>
              <w:left w:val="nil"/>
              <w:right w:val="nil"/>
            </w:tcBorders>
            <w:hideMark/>
          </w:tcPr>
          <w:p w:rsidR="002145D7" w:rsidP="006D23DC" w:rsidRDefault="002145D7">
            <w:pPr>
              <w:rPr>
                <w:rFonts w:ascii="Verdana" w:hAnsi="Verdana"/>
                <w:sz w:val="18"/>
                <w:szCs w:val="18"/>
              </w:rPr>
            </w:pPr>
            <w:r>
              <w:rPr>
                <w:rFonts w:ascii="Verdana" w:hAnsi="Verdana"/>
                <w:sz w:val="18"/>
                <w:szCs w:val="18"/>
              </w:rPr>
              <w:t> </w:t>
            </w:r>
          </w:p>
        </w:tc>
      </w:tr>
      <w:tr w:rsidR="002145D7" w:rsidTr="006D23DC">
        <w:tc>
          <w:tcPr>
            <w:tcW w:w="0" w:type="auto"/>
            <w:tcBorders>
              <w:left w:val="nil"/>
              <w:right w:val="nil"/>
            </w:tcBorders>
            <w:hideMark/>
          </w:tcPr>
          <w:p w:rsidR="002145D7" w:rsidP="006D23DC" w:rsidRDefault="002145D7">
            <w:pPr>
              <w:rPr>
                <w:rFonts w:ascii="Verdana" w:hAnsi="Verdana"/>
                <w:sz w:val="18"/>
                <w:szCs w:val="18"/>
              </w:rPr>
            </w:pPr>
            <w:r>
              <w:rPr>
                <w:rFonts w:ascii="Verdana" w:hAnsi="Verdana"/>
                <w:sz w:val="18"/>
                <w:szCs w:val="18"/>
              </w:rPr>
              <w:t>H BES-FONDS: UITGAVEN</w:t>
            </w:r>
          </w:p>
        </w:tc>
        <w:tc>
          <w:tcPr>
            <w:tcW w:w="0" w:type="auto"/>
            <w:hideMark/>
          </w:tcPr>
          <w:p w:rsidR="002145D7" w:rsidP="006D23DC" w:rsidRDefault="002145D7">
            <w:pPr>
              <w:rPr>
                <w:sz w:val="20"/>
                <w:szCs w:val="20"/>
              </w:rPr>
            </w:pPr>
          </w:p>
        </w:tc>
      </w:tr>
      <w:tr w:rsidR="002145D7" w:rsidTr="006D23DC">
        <w:tc>
          <w:tcPr>
            <w:tcW w:w="0" w:type="auto"/>
            <w:tcBorders>
              <w:top w:val="single" w:color="000000" w:sz="6" w:space="0"/>
              <w:left w:val="nil"/>
              <w:bottom w:val="single" w:color="000000" w:sz="6" w:space="0"/>
              <w:right w:val="nil"/>
            </w:tcBorders>
            <w:hideMark/>
          </w:tcPr>
          <w:p w:rsidR="002145D7" w:rsidP="006D23DC" w:rsidRDefault="002145D7">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2145D7" w:rsidP="006D23DC" w:rsidRDefault="002145D7">
            <w:pPr>
              <w:jc w:val="right"/>
              <w:rPr>
                <w:rFonts w:ascii="Verdana" w:hAnsi="Verdana"/>
                <w:sz w:val="18"/>
                <w:szCs w:val="18"/>
              </w:rPr>
            </w:pPr>
            <w:r>
              <w:rPr>
                <w:rFonts w:ascii="Verdana" w:hAnsi="Verdana"/>
                <w:sz w:val="18"/>
                <w:szCs w:val="18"/>
              </w:rPr>
              <w:t>2015</w:t>
            </w:r>
          </w:p>
        </w:tc>
      </w:tr>
      <w:tr w:rsidR="002145D7" w:rsidTr="006D23DC">
        <w:tc>
          <w:tcPr>
            <w:tcW w:w="0" w:type="auto"/>
            <w:tcBorders>
              <w:left w:val="nil"/>
              <w:right w:val="nil"/>
            </w:tcBorders>
            <w:hideMark/>
          </w:tcPr>
          <w:p w:rsidR="002145D7" w:rsidP="006D23DC" w:rsidRDefault="002145D7">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2145D7" w:rsidP="006D23DC" w:rsidRDefault="002145D7">
            <w:pPr>
              <w:jc w:val="right"/>
              <w:rPr>
                <w:rFonts w:ascii="Verdana" w:hAnsi="Verdana"/>
                <w:sz w:val="18"/>
                <w:szCs w:val="18"/>
              </w:rPr>
            </w:pPr>
            <w:r>
              <w:rPr>
                <w:rFonts w:ascii="Verdana" w:hAnsi="Verdana"/>
                <w:sz w:val="18"/>
                <w:szCs w:val="18"/>
              </w:rPr>
              <w:t>34,0</w:t>
            </w:r>
          </w:p>
        </w:tc>
      </w:tr>
      <w:tr w:rsidR="002145D7" w:rsidTr="006D23DC">
        <w:tc>
          <w:tcPr>
            <w:tcW w:w="0" w:type="auto"/>
            <w:tcBorders>
              <w:left w:val="nil"/>
              <w:right w:val="nil"/>
            </w:tcBorders>
            <w:hideMark/>
          </w:tcPr>
          <w:p w:rsidR="002145D7" w:rsidP="006D23DC" w:rsidRDefault="002145D7">
            <w:pPr>
              <w:rPr>
                <w:rFonts w:ascii="Verdana" w:hAnsi="Verdana"/>
                <w:sz w:val="18"/>
                <w:szCs w:val="18"/>
              </w:rPr>
            </w:pPr>
            <w:r>
              <w:rPr>
                <w:rFonts w:ascii="Verdana" w:hAnsi="Verdana"/>
                <w:sz w:val="18"/>
                <w:szCs w:val="18"/>
              </w:rPr>
              <w:t>Technische mutaties</w:t>
            </w:r>
          </w:p>
        </w:tc>
        <w:tc>
          <w:tcPr>
            <w:tcW w:w="0" w:type="auto"/>
            <w:hideMark/>
          </w:tcPr>
          <w:p w:rsidR="002145D7" w:rsidP="006D23DC" w:rsidRDefault="002145D7">
            <w:pPr>
              <w:rPr>
                <w:sz w:val="20"/>
                <w:szCs w:val="20"/>
              </w:rPr>
            </w:pPr>
          </w:p>
        </w:tc>
      </w:tr>
      <w:tr w:rsidR="002145D7" w:rsidTr="006D23DC">
        <w:tc>
          <w:tcPr>
            <w:tcW w:w="0" w:type="auto"/>
            <w:tcBorders>
              <w:left w:val="nil"/>
              <w:right w:val="nil"/>
            </w:tcBorders>
            <w:tcMar>
              <w:top w:w="15" w:type="dxa"/>
              <w:left w:w="180" w:type="dxa"/>
              <w:bottom w:w="15" w:type="dxa"/>
              <w:right w:w="15" w:type="dxa"/>
            </w:tcMar>
            <w:vAlign w:val="both"/>
            <w:hideMark/>
          </w:tcPr>
          <w:p w:rsidR="002145D7" w:rsidP="006D23DC" w:rsidRDefault="002145D7">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2145D7" w:rsidP="006D23DC" w:rsidRDefault="002145D7">
            <w:pPr>
              <w:rPr>
                <w:sz w:val="20"/>
                <w:szCs w:val="20"/>
              </w:rPr>
            </w:pPr>
          </w:p>
        </w:tc>
      </w:tr>
      <w:tr w:rsidR="002145D7" w:rsidTr="006D23DC">
        <w:tc>
          <w:tcPr>
            <w:tcW w:w="0" w:type="auto"/>
            <w:tcBorders>
              <w:left w:val="nil"/>
              <w:right w:val="nil"/>
            </w:tcBorders>
            <w:tcMar>
              <w:top w:w="15" w:type="dxa"/>
              <w:left w:w="360" w:type="dxa"/>
              <w:bottom w:w="15" w:type="dxa"/>
              <w:right w:w="15" w:type="dxa"/>
            </w:tcMar>
            <w:vAlign w:val="both"/>
            <w:hideMark/>
          </w:tcPr>
          <w:p w:rsidR="002145D7" w:rsidP="006D23DC" w:rsidRDefault="002145D7">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2145D7" w:rsidP="006D23DC" w:rsidRDefault="002145D7">
            <w:pPr>
              <w:jc w:val="right"/>
              <w:rPr>
                <w:rFonts w:ascii="Verdana" w:hAnsi="Verdana"/>
                <w:sz w:val="18"/>
                <w:szCs w:val="18"/>
              </w:rPr>
            </w:pPr>
            <w:r>
              <w:rPr>
                <w:rFonts w:ascii="Verdana" w:hAnsi="Verdana"/>
                <w:sz w:val="18"/>
                <w:szCs w:val="18"/>
              </w:rPr>
              <w:t>8,5</w:t>
            </w:r>
          </w:p>
        </w:tc>
      </w:tr>
      <w:tr w:rsidR="002145D7" w:rsidTr="006D23DC">
        <w:tc>
          <w:tcPr>
            <w:tcW w:w="0" w:type="auto"/>
            <w:tcBorders>
              <w:left w:val="nil"/>
              <w:right w:val="nil"/>
            </w:tcBorders>
            <w:hideMark/>
          </w:tcPr>
          <w:p w:rsidR="002145D7" w:rsidP="006D23DC" w:rsidRDefault="002145D7">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2145D7" w:rsidP="006D23DC" w:rsidRDefault="002145D7">
            <w:pPr>
              <w:jc w:val="right"/>
              <w:rPr>
                <w:rFonts w:ascii="Verdana" w:hAnsi="Verdana"/>
                <w:sz w:val="18"/>
                <w:szCs w:val="18"/>
              </w:rPr>
            </w:pPr>
            <w:r>
              <w:rPr>
                <w:rFonts w:ascii="Verdana" w:hAnsi="Verdana"/>
                <w:sz w:val="18"/>
                <w:szCs w:val="18"/>
              </w:rPr>
              <w:t>8,5</w:t>
            </w:r>
          </w:p>
        </w:tc>
      </w:tr>
      <w:tr w:rsidR="002145D7" w:rsidTr="006D23DC">
        <w:tc>
          <w:tcPr>
            <w:tcW w:w="0" w:type="auto"/>
            <w:tcBorders>
              <w:left w:val="nil"/>
              <w:right w:val="nil"/>
            </w:tcBorders>
            <w:hideMark/>
          </w:tcPr>
          <w:p w:rsidR="002145D7" w:rsidP="006D23DC" w:rsidRDefault="002145D7">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2145D7" w:rsidP="006D23DC" w:rsidRDefault="002145D7">
            <w:pPr>
              <w:jc w:val="right"/>
              <w:rPr>
                <w:rFonts w:ascii="Verdana" w:hAnsi="Verdana"/>
                <w:sz w:val="18"/>
                <w:szCs w:val="18"/>
              </w:rPr>
            </w:pPr>
            <w:r>
              <w:rPr>
                <w:rFonts w:ascii="Verdana" w:hAnsi="Verdana"/>
                <w:sz w:val="18"/>
                <w:szCs w:val="18"/>
              </w:rPr>
              <w:t>8,5</w:t>
            </w:r>
          </w:p>
        </w:tc>
      </w:tr>
      <w:tr w:rsidR="002145D7" w:rsidTr="006D23DC">
        <w:tc>
          <w:tcPr>
            <w:tcW w:w="0" w:type="auto"/>
            <w:tcBorders>
              <w:left w:val="nil"/>
              <w:right w:val="nil"/>
            </w:tcBorders>
            <w:hideMark/>
          </w:tcPr>
          <w:p w:rsidR="002145D7" w:rsidP="006D23DC" w:rsidRDefault="002145D7">
            <w:pPr>
              <w:rPr>
                <w:rFonts w:ascii="Verdana" w:hAnsi="Verdana"/>
                <w:sz w:val="18"/>
                <w:szCs w:val="18"/>
              </w:rPr>
            </w:pPr>
            <w:r>
              <w:rPr>
                <w:rFonts w:ascii="Verdana" w:hAnsi="Verdana"/>
                <w:sz w:val="18"/>
                <w:szCs w:val="18"/>
              </w:rPr>
              <w:t> </w:t>
            </w:r>
          </w:p>
        </w:tc>
        <w:tc>
          <w:tcPr>
            <w:tcW w:w="0" w:type="auto"/>
            <w:hideMark/>
          </w:tcPr>
          <w:p w:rsidR="002145D7" w:rsidP="006D23DC" w:rsidRDefault="002145D7">
            <w:pPr>
              <w:rPr>
                <w:sz w:val="20"/>
                <w:szCs w:val="20"/>
              </w:rPr>
            </w:pPr>
          </w:p>
        </w:tc>
      </w:tr>
      <w:tr w:rsidR="002145D7" w:rsidTr="006D23DC">
        <w:tc>
          <w:tcPr>
            <w:tcW w:w="0" w:type="auto"/>
            <w:tcBorders>
              <w:left w:val="nil"/>
              <w:right w:val="nil"/>
            </w:tcBorders>
            <w:hideMark/>
          </w:tcPr>
          <w:p w:rsidR="002145D7" w:rsidP="006D23DC" w:rsidRDefault="002145D7">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2145D7" w:rsidP="006D23DC" w:rsidRDefault="002145D7">
            <w:pPr>
              <w:jc w:val="right"/>
              <w:rPr>
                <w:rFonts w:ascii="Verdana" w:hAnsi="Verdana"/>
                <w:sz w:val="18"/>
                <w:szCs w:val="18"/>
              </w:rPr>
            </w:pPr>
            <w:r>
              <w:rPr>
                <w:rFonts w:ascii="Verdana" w:hAnsi="Verdana"/>
                <w:sz w:val="18"/>
                <w:szCs w:val="18"/>
              </w:rPr>
              <w:t>42,5</w:t>
            </w:r>
          </w:p>
        </w:tc>
      </w:tr>
      <w:tr w:rsidR="002145D7" w:rsidTr="006D23DC">
        <w:tc>
          <w:tcPr>
            <w:tcW w:w="0" w:type="auto"/>
            <w:tcBorders>
              <w:left w:val="nil"/>
              <w:right w:val="nil"/>
            </w:tcBorders>
            <w:hideMark/>
          </w:tcPr>
          <w:p w:rsidR="002145D7" w:rsidP="006D23DC" w:rsidRDefault="002145D7">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2145D7" w:rsidP="006D23DC" w:rsidRDefault="002145D7">
            <w:pPr>
              <w:jc w:val="right"/>
              <w:rPr>
                <w:rFonts w:ascii="Verdana" w:hAnsi="Verdana"/>
                <w:sz w:val="18"/>
                <w:szCs w:val="18"/>
              </w:rPr>
            </w:pPr>
            <w:r>
              <w:rPr>
                <w:rFonts w:ascii="Verdana" w:hAnsi="Verdana"/>
                <w:sz w:val="18"/>
                <w:szCs w:val="18"/>
              </w:rPr>
              <w:t>0,0</w:t>
            </w:r>
          </w:p>
        </w:tc>
      </w:tr>
      <w:tr w:rsidR="002145D7" w:rsidTr="006D23DC">
        <w:tc>
          <w:tcPr>
            <w:tcW w:w="0" w:type="auto"/>
            <w:tcBorders>
              <w:left w:val="nil"/>
              <w:right w:val="nil"/>
            </w:tcBorders>
            <w:hideMark/>
          </w:tcPr>
          <w:p w:rsidR="002145D7" w:rsidP="006D23DC" w:rsidRDefault="002145D7">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2145D7" w:rsidP="006D23DC" w:rsidRDefault="002145D7">
            <w:pPr>
              <w:jc w:val="right"/>
              <w:rPr>
                <w:rFonts w:ascii="Verdana" w:hAnsi="Verdana"/>
                <w:sz w:val="18"/>
                <w:szCs w:val="18"/>
              </w:rPr>
            </w:pPr>
            <w:r>
              <w:rPr>
                <w:rFonts w:ascii="Verdana" w:hAnsi="Verdana"/>
                <w:sz w:val="18"/>
                <w:szCs w:val="18"/>
              </w:rPr>
              <w:t>42,5</w:t>
            </w:r>
          </w:p>
        </w:tc>
      </w:tr>
      <w:tr w:rsidR="002145D7" w:rsidTr="002145D7">
        <w:tc>
          <w:tcPr>
            <w:tcW w:w="8249" w:type="dxa"/>
            <w:tcBorders>
              <w:left w:val="nil"/>
              <w:right w:val="nil"/>
            </w:tcBorders>
            <w:hideMark/>
          </w:tcPr>
          <w:p w:rsidR="002145D7" w:rsidP="006D23DC" w:rsidRDefault="002145D7">
            <w:pPr>
              <w:rPr>
                <w:rFonts w:ascii="Verdana" w:hAnsi="Verdana"/>
                <w:sz w:val="18"/>
                <w:szCs w:val="18"/>
              </w:rPr>
            </w:pPr>
            <w:r>
              <w:rPr>
                <w:rFonts w:ascii="Verdana" w:hAnsi="Verdana"/>
                <w:sz w:val="18"/>
                <w:szCs w:val="18"/>
              </w:rPr>
              <w:t> </w:t>
            </w:r>
          </w:p>
        </w:tc>
        <w:tc>
          <w:tcPr>
            <w:tcW w:w="853" w:type="dxa"/>
            <w:tcBorders>
              <w:left w:val="nil"/>
              <w:right w:val="nil"/>
            </w:tcBorders>
            <w:hideMark/>
          </w:tcPr>
          <w:p w:rsidR="002145D7" w:rsidP="006D23DC" w:rsidRDefault="002145D7">
            <w:pPr>
              <w:rPr>
                <w:rFonts w:ascii="Verdana" w:hAnsi="Verdana"/>
                <w:sz w:val="18"/>
                <w:szCs w:val="18"/>
              </w:rPr>
            </w:pPr>
            <w:r>
              <w:rPr>
                <w:rFonts w:ascii="Verdana" w:hAnsi="Verdana"/>
                <w:sz w:val="18"/>
                <w:szCs w:val="18"/>
              </w:rPr>
              <w:t> </w:t>
            </w:r>
          </w:p>
        </w:tc>
      </w:tr>
      <w:tr w:rsidR="002145D7" w:rsidTr="006D23DC">
        <w:tc>
          <w:tcPr>
            <w:tcW w:w="0" w:type="auto"/>
            <w:tcBorders>
              <w:left w:val="nil"/>
              <w:right w:val="nil"/>
            </w:tcBorders>
            <w:hideMark/>
          </w:tcPr>
          <w:p w:rsidR="002145D7" w:rsidP="006D23DC" w:rsidRDefault="002145D7">
            <w:pPr>
              <w:rPr>
                <w:rFonts w:ascii="Verdana" w:hAnsi="Verdana"/>
                <w:sz w:val="18"/>
                <w:szCs w:val="18"/>
              </w:rPr>
            </w:pPr>
            <w:r>
              <w:rPr>
                <w:rFonts w:ascii="Verdana" w:hAnsi="Verdana"/>
                <w:sz w:val="18"/>
                <w:szCs w:val="18"/>
              </w:rPr>
              <w:t>H BES-FONDS: NIET-BELASTINGONTVANGSTEN</w:t>
            </w:r>
          </w:p>
        </w:tc>
        <w:tc>
          <w:tcPr>
            <w:tcW w:w="0" w:type="auto"/>
            <w:hideMark/>
          </w:tcPr>
          <w:p w:rsidR="002145D7" w:rsidP="006D23DC" w:rsidRDefault="002145D7">
            <w:pPr>
              <w:rPr>
                <w:sz w:val="20"/>
                <w:szCs w:val="20"/>
              </w:rPr>
            </w:pPr>
          </w:p>
        </w:tc>
      </w:tr>
      <w:tr w:rsidR="002145D7" w:rsidTr="006D23DC">
        <w:tc>
          <w:tcPr>
            <w:tcW w:w="0" w:type="auto"/>
            <w:tcBorders>
              <w:top w:val="single" w:color="000000" w:sz="6" w:space="0"/>
              <w:left w:val="nil"/>
              <w:bottom w:val="single" w:color="000000" w:sz="6" w:space="0"/>
              <w:right w:val="nil"/>
            </w:tcBorders>
            <w:hideMark/>
          </w:tcPr>
          <w:p w:rsidR="002145D7" w:rsidP="006D23DC" w:rsidRDefault="002145D7">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2145D7" w:rsidP="006D23DC" w:rsidRDefault="002145D7">
            <w:pPr>
              <w:jc w:val="right"/>
              <w:rPr>
                <w:rFonts w:ascii="Verdana" w:hAnsi="Verdana"/>
                <w:sz w:val="18"/>
                <w:szCs w:val="18"/>
              </w:rPr>
            </w:pPr>
            <w:r>
              <w:rPr>
                <w:rFonts w:ascii="Verdana" w:hAnsi="Verdana"/>
                <w:sz w:val="18"/>
                <w:szCs w:val="18"/>
              </w:rPr>
              <w:t>2015</w:t>
            </w:r>
          </w:p>
        </w:tc>
      </w:tr>
      <w:tr w:rsidR="002145D7" w:rsidTr="006D23DC">
        <w:tc>
          <w:tcPr>
            <w:tcW w:w="0" w:type="auto"/>
            <w:tcBorders>
              <w:left w:val="nil"/>
              <w:right w:val="nil"/>
            </w:tcBorders>
            <w:hideMark/>
          </w:tcPr>
          <w:p w:rsidR="002145D7" w:rsidP="006D23DC" w:rsidRDefault="002145D7">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2145D7" w:rsidP="006D23DC" w:rsidRDefault="002145D7">
            <w:pPr>
              <w:jc w:val="right"/>
              <w:rPr>
                <w:rFonts w:ascii="Verdana" w:hAnsi="Verdana"/>
                <w:sz w:val="18"/>
                <w:szCs w:val="18"/>
              </w:rPr>
            </w:pPr>
            <w:r>
              <w:rPr>
                <w:rFonts w:ascii="Verdana" w:hAnsi="Verdana"/>
                <w:sz w:val="18"/>
                <w:szCs w:val="18"/>
              </w:rPr>
              <w:t>0,0</w:t>
            </w:r>
          </w:p>
        </w:tc>
      </w:tr>
      <w:tr w:rsidR="002145D7" w:rsidTr="006D23DC">
        <w:tc>
          <w:tcPr>
            <w:tcW w:w="0" w:type="auto"/>
            <w:tcBorders>
              <w:left w:val="nil"/>
              <w:right w:val="nil"/>
            </w:tcBorders>
            <w:hideMark/>
          </w:tcPr>
          <w:p w:rsidR="002145D7" w:rsidP="006D23DC" w:rsidRDefault="002145D7">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2145D7" w:rsidP="006D23DC" w:rsidRDefault="002145D7">
            <w:pPr>
              <w:jc w:val="right"/>
              <w:rPr>
                <w:rFonts w:ascii="Verdana" w:hAnsi="Verdana"/>
                <w:sz w:val="18"/>
                <w:szCs w:val="18"/>
              </w:rPr>
            </w:pPr>
            <w:r>
              <w:rPr>
                <w:rFonts w:ascii="Verdana" w:hAnsi="Verdana"/>
                <w:sz w:val="18"/>
                <w:szCs w:val="18"/>
              </w:rPr>
              <w:t>0,0</w:t>
            </w:r>
          </w:p>
        </w:tc>
      </w:tr>
      <w:tr w:rsidR="002145D7" w:rsidTr="006D23DC">
        <w:tc>
          <w:tcPr>
            <w:tcW w:w="0" w:type="auto"/>
            <w:tcBorders>
              <w:left w:val="nil"/>
              <w:right w:val="nil"/>
            </w:tcBorders>
            <w:hideMark/>
          </w:tcPr>
          <w:p w:rsidR="002145D7" w:rsidP="006D23DC" w:rsidRDefault="002145D7">
            <w:pPr>
              <w:rPr>
                <w:rFonts w:ascii="Verdana" w:hAnsi="Verdana"/>
                <w:sz w:val="18"/>
                <w:szCs w:val="18"/>
              </w:rPr>
            </w:pPr>
            <w:r>
              <w:rPr>
                <w:rFonts w:ascii="Verdana" w:hAnsi="Verdana"/>
                <w:sz w:val="18"/>
                <w:szCs w:val="18"/>
              </w:rPr>
              <w:t> </w:t>
            </w:r>
          </w:p>
        </w:tc>
        <w:tc>
          <w:tcPr>
            <w:tcW w:w="0" w:type="auto"/>
            <w:hideMark/>
          </w:tcPr>
          <w:p w:rsidR="002145D7" w:rsidP="006D23DC" w:rsidRDefault="002145D7">
            <w:pPr>
              <w:rPr>
                <w:sz w:val="20"/>
                <w:szCs w:val="20"/>
              </w:rPr>
            </w:pPr>
          </w:p>
        </w:tc>
      </w:tr>
      <w:tr w:rsidR="002145D7" w:rsidTr="006D23DC">
        <w:tc>
          <w:tcPr>
            <w:tcW w:w="0" w:type="auto"/>
            <w:tcBorders>
              <w:left w:val="nil"/>
              <w:right w:val="nil"/>
            </w:tcBorders>
            <w:hideMark/>
          </w:tcPr>
          <w:p w:rsidR="002145D7" w:rsidP="006D23DC" w:rsidRDefault="002145D7">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2145D7" w:rsidP="006D23DC" w:rsidRDefault="002145D7">
            <w:pPr>
              <w:jc w:val="right"/>
              <w:rPr>
                <w:rFonts w:ascii="Verdana" w:hAnsi="Verdana"/>
                <w:sz w:val="18"/>
                <w:szCs w:val="18"/>
              </w:rPr>
            </w:pPr>
            <w:r>
              <w:rPr>
                <w:rFonts w:ascii="Verdana" w:hAnsi="Verdana"/>
                <w:sz w:val="18"/>
                <w:szCs w:val="18"/>
              </w:rPr>
              <w:t>0,0</w:t>
            </w:r>
          </w:p>
        </w:tc>
      </w:tr>
      <w:tr w:rsidR="002145D7" w:rsidTr="006D23DC">
        <w:tc>
          <w:tcPr>
            <w:tcW w:w="0" w:type="auto"/>
            <w:tcBorders>
              <w:left w:val="nil"/>
              <w:right w:val="nil"/>
            </w:tcBorders>
            <w:hideMark/>
          </w:tcPr>
          <w:p w:rsidR="002145D7" w:rsidP="006D23DC" w:rsidRDefault="002145D7">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2145D7" w:rsidP="006D23DC" w:rsidRDefault="002145D7">
            <w:pPr>
              <w:jc w:val="right"/>
              <w:rPr>
                <w:rFonts w:ascii="Verdana" w:hAnsi="Verdana"/>
                <w:sz w:val="18"/>
                <w:szCs w:val="18"/>
              </w:rPr>
            </w:pPr>
            <w:r>
              <w:rPr>
                <w:rFonts w:ascii="Verdana" w:hAnsi="Verdana"/>
                <w:sz w:val="18"/>
                <w:szCs w:val="18"/>
              </w:rPr>
              <w:t>0,0</w:t>
            </w:r>
          </w:p>
        </w:tc>
      </w:tr>
      <w:tr w:rsidR="002145D7" w:rsidTr="006D23DC">
        <w:tc>
          <w:tcPr>
            <w:tcW w:w="0" w:type="auto"/>
            <w:tcBorders>
              <w:left w:val="nil"/>
              <w:right w:val="nil"/>
            </w:tcBorders>
            <w:hideMark/>
          </w:tcPr>
          <w:p w:rsidR="002145D7" w:rsidP="006D23DC" w:rsidRDefault="002145D7">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2145D7" w:rsidP="006D23DC" w:rsidRDefault="002145D7">
            <w:pPr>
              <w:jc w:val="right"/>
              <w:rPr>
                <w:rFonts w:ascii="Verdana" w:hAnsi="Verdana"/>
                <w:sz w:val="18"/>
                <w:szCs w:val="18"/>
              </w:rPr>
            </w:pPr>
            <w:r>
              <w:rPr>
                <w:rFonts w:ascii="Verdana" w:hAnsi="Verdana"/>
                <w:sz w:val="18"/>
                <w:szCs w:val="18"/>
              </w:rPr>
              <w:t>0,0</w:t>
            </w:r>
          </w:p>
        </w:tc>
      </w:tr>
    </w:tbl>
    <w:p w:rsidR="002145D7" w:rsidRDefault="002145D7">
      <w:pPr>
        <w:rPr>
          <w:rFonts w:ascii="Verdana" w:hAnsi="Verdana" w:cs="Verdana"/>
          <w:b/>
          <w:bCs/>
          <w:sz w:val="18"/>
          <w:szCs w:val="18"/>
        </w:rPr>
      </w:pPr>
    </w:p>
    <w:p w:rsidRPr="008E1253" w:rsidR="008E1253" w:rsidP="008E1253" w:rsidRDefault="008E1253">
      <w:pPr>
        <w:spacing w:line="240" w:lineRule="exact"/>
        <w:rPr>
          <w:rFonts w:ascii="Verdana" w:hAnsi="Verdana" w:cs="Verdana"/>
          <w:b/>
          <w:bCs/>
          <w:sz w:val="18"/>
          <w:szCs w:val="18"/>
        </w:rPr>
      </w:pPr>
    </w:p>
    <w:p w:rsidRPr="008E1253" w:rsidR="008E1253" w:rsidP="008E1253" w:rsidRDefault="008E1253">
      <w:pPr>
        <w:spacing w:line="240" w:lineRule="exact"/>
        <w:rPr>
          <w:rFonts w:ascii="Verdana" w:hAnsi="Verdana"/>
          <w:i/>
          <w:sz w:val="18"/>
          <w:szCs w:val="18"/>
        </w:rPr>
      </w:pPr>
      <w:r w:rsidRPr="008E1253">
        <w:rPr>
          <w:rFonts w:ascii="Verdana" w:hAnsi="Verdana"/>
          <w:i/>
          <w:sz w:val="18"/>
          <w:szCs w:val="18"/>
        </w:rPr>
        <w:t>Diversen (uitgaven)</w:t>
      </w:r>
    </w:p>
    <w:p w:rsidRPr="008E1253" w:rsidR="008E1253" w:rsidP="008E1253" w:rsidRDefault="008E1253">
      <w:pPr>
        <w:spacing w:line="240" w:lineRule="exact"/>
        <w:rPr>
          <w:rFonts w:ascii="Verdana" w:hAnsi="Verdana"/>
          <w:sz w:val="18"/>
          <w:szCs w:val="18"/>
        </w:rPr>
      </w:pPr>
      <w:r w:rsidRPr="008E1253">
        <w:rPr>
          <w:rFonts w:ascii="Verdana" w:hAnsi="Verdana"/>
          <w:sz w:val="18"/>
          <w:szCs w:val="18"/>
        </w:rPr>
        <w:t xml:space="preserve">Dit betreffen een bijdrage van Koninkrijksrelaties ter opvang van wisselkoersverschillen en een bijdrage van I&amp;M ter verbetering van de kwaliteit van het drinkwater op Bonaire, Saba en Sint </w:t>
      </w:r>
      <w:proofErr w:type="spellStart"/>
      <w:r w:rsidRPr="008E1253">
        <w:rPr>
          <w:rFonts w:ascii="Verdana" w:hAnsi="Verdana"/>
          <w:sz w:val="18"/>
          <w:szCs w:val="18"/>
        </w:rPr>
        <w:t>Eustatius</w:t>
      </w:r>
      <w:proofErr w:type="spellEnd"/>
      <w:r w:rsidRPr="008E1253">
        <w:rPr>
          <w:rFonts w:ascii="Verdana" w:hAnsi="Verdana"/>
          <w:sz w:val="18"/>
          <w:szCs w:val="18"/>
        </w:rPr>
        <w:t xml:space="preserve">. </w:t>
      </w:r>
    </w:p>
    <w:p w:rsidR="00FD7153" w:rsidRDefault="00FD7153">
      <w:pPr>
        <w:rPr>
          <w:rFonts w:ascii="Verdana" w:hAnsi="Verdana" w:cs="Verdana"/>
          <w:b/>
          <w:bCs/>
          <w:sz w:val="18"/>
          <w:szCs w:val="18"/>
        </w:rPr>
      </w:pPr>
      <w:r>
        <w:rPr>
          <w:rFonts w:ascii="Verdana" w:hAnsi="Verdana" w:cs="Verdana"/>
          <w:b/>
          <w:bCs/>
          <w:sz w:val="18"/>
          <w:szCs w:val="18"/>
        </w:rPr>
        <w:br w:type="page"/>
      </w:r>
    </w:p>
    <w:p w:rsidRPr="00533D5C" w:rsidR="004925F3" w:rsidP="00533D5C" w:rsidRDefault="004925F3">
      <w:pPr>
        <w:spacing w:line="240" w:lineRule="exact"/>
        <w:rPr>
          <w:rFonts w:ascii="Verdana" w:hAnsi="Verdana" w:cs="Verdana"/>
          <w:b/>
          <w:bCs/>
          <w:sz w:val="18"/>
          <w:szCs w:val="18"/>
        </w:rPr>
      </w:pPr>
      <w:r w:rsidRPr="002C329A">
        <w:rPr>
          <w:rFonts w:ascii="Verdana" w:hAnsi="Verdana" w:cs="Verdana"/>
          <w:b/>
          <w:bCs/>
          <w:sz w:val="18"/>
          <w:szCs w:val="18"/>
        </w:rPr>
        <w:lastRenderedPageBreak/>
        <w:t>Deltafonds</w:t>
      </w:r>
    </w:p>
    <w:tbl>
      <w:tblPr>
        <w:tblW w:w="0" w:type="auto"/>
        <w:tblCellMar>
          <w:top w:w="15" w:type="dxa"/>
          <w:left w:w="15" w:type="dxa"/>
          <w:bottom w:w="15" w:type="dxa"/>
          <w:right w:w="15" w:type="dxa"/>
        </w:tblCellMar>
        <w:tblLook w:val="04A0"/>
      </w:tblPr>
      <w:tblGrid>
        <w:gridCol w:w="8220"/>
        <w:gridCol w:w="882"/>
      </w:tblGrid>
      <w:tr w:rsidR="004D4EE3" w:rsidTr="004D4EE3">
        <w:tc>
          <w:tcPr>
            <w:tcW w:w="8220" w:type="dxa"/>
            <w:tcBorders>
              <w:left w:val="nil"/>
              <w:right w:val="nil"/>
            </w:tcBorders>
            <w:hideMark/>
          </w:tcPr>
          <w:p w:rsidR="004D4EE3" w:rsidP="006D23DC" w:rsidRDefault="004D4EE3">
            <w:pPr>
              <w:rPr>
                <w:rFonts w:ascii="Verdana" w:hAnsi="Verdana"/>
                <w:sz w:val="18"/>
                <w:szCs w:val="18"/>
              </w:rPr>
            </w:pPr>
          </w:p>
        </w:tc>
        <w:tc>
          <w:tcPr>
            <w:tcW w:w="882" w:type="dxa"/>
            <w:tcBorders>
              <w:left w:val="nil"/>
              <w:right w:val="nil"/>
            </w:tcBorders>
            <w:hideMark/>
          </w:tcPr>
          <w:p w:rsidR="004D4EE3" w:rsidP="006D23DC" w:rsidRDefault="004D4EE3">
            <w:pPr>
              <w:rPr>
                <w:rFonts w:ascii="Verdana" w:hAnsi="Verdana"/>
                <w:sz w:val="18"/>
                <w:szCs w:val="18"/>
              </w:rPr>
            </w:pPr>
            <w:r>
              <w:rPr>
                <w:rFonts w:ascii="Verdana" w:hAnsi="Verdana"/>
                <w:sz w:val="18"/>
                <w:szCs w:val="18"/>
              </w:rPr>
              <w:t> </w:t>
            </w:r>
          </w:p>
        </w:tc>
      </w:tr>
      <w:tr w:rsidR="004D4EE3" w:rsidTr="006D23DC">
        <w:tc>
          <w:tcPr>
            <w:tcW w:w="0" w:type="auto"/>
            <w:tcBorders>
              <w:left w:val="nil"/>
              <w:right w:val="nil"/>
            </w:tcBorders>
            <w:hideMark/>
          </w:tcPr>
          <w:p w:rsidR="004D4EE3" w:rsidP="006D23DC" w:rsidRDefault="004D4EE3">
            <w:pPr>
              <w:rPr>
                <w:rFonts w:ascii="Verdana" w:hAnsi="Verdana"/>
                <w:sz w:val="18"/>
                <w:szCs w:val="18"/>
              </w:rPr>
            </w:pPr>
            <w:r>
              <w:rPr>
                <w:rFonts w:ascii="Verdana" w:hAnsi="Verdana"/>
                <w:sz w:val="18"/>
                <w:szCs w:val="18"/>
              </w:rPr>
              <w:t>J DELTAFONDS: UITGAVEN</w:t>
            </w:r>
          </w:p>
        </w:tc>
        <w:tc>
          <w:tcPr>
            <w:tcW w:w="0" w:type="auto"/>
            <w:hideMark/>
          </w:tcPr>
          <w:p w:rsidR="004D4EE3" w:rsidP="006D23DC" w:rsidRDefault="004D4EE3">
            <w:pPr>
              <w:rPr>
                <w:sz w:val="20"/>
                <w:szCs w:val="20"/>
              </w:rPr>
            </w:pPr>
          </w:p>
        </w:tc>
      </w:tr>
      <w:tr w:rsidR="004D4EE3" w:rsidTr="006D23DC">
        <w:tc>
          <w:tcPr>
            <w:tcW w:w="0" w:type="auto"/>
            <w:tcBorders>
              <w:top w:val="single" w:color="000000" w:sz="6" w:space="0"/>
              <w:left w:val="nil"/>
              <w:bottom w:val="single" w:color="000000" w:sz="6" w:space="0"/>
              <w:right w:val="nil"/>
            </w:tcBorders>
            <w:hideMark/>
          </w:tcPr>
          <w:p w:rsidR="004D4EE3" w:rsidP="006D23DC" w:rsidRDefault="004D4EE3">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4D4EE3" w:rsidP="006D23DC" w:rsidRDefault="004D4EE3">
            <w:pPr>
              <w:jc w:val="right"/>
              <w:rPr>
                <w:rFonts w:ascii="Verdana" w:hAnsi="Verdana"/>
                <w:sz w:val="18"/>
                <w:szCs w:val="18"/>
              </w:rPr>
            </w:pPr>
            <w:r>
              <w:rPr>
                <w:rFonts w:ascii="Verdana" w:hAnsi="Verdana"/>
                <w:sz w:val="18"/>
                <w:szCs w:val="18"/>
              </w:rPr>
              <w:t>2015</w:t>
            </w:r>
          </w:p>
        </w:tc>
      </w:tr>
      <w:tr w:rsidR="004D4EE3" w:rsidTr="006D23DC">
        <w:tc>
          <w:tcPr>
            <w:tcW w:w="0" w:type="auto"/>
            <w:tcBorders>
              <w:left w:val="nil"/>
              <w:right w:val="nil"/>
            </w:tcBorders>
            <w:hideMark/>
          </w:tcPr>
          <w:p w:rsidR="004D4EE3" w:rsidP="006D23DC" w:rsidRDefault="004D4EE3">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4D4EE3" w:rsidP="006D23DC" w:rsidRDefault="004D4EE3">
            <w:pPr>
              <w:jc w:val="right"/>
              <w:rPr>
                <w:rFonts w:ascii="Verdana" w:hAnsi="Verdana"/>
                <w:sz w:val="18"/>
                <w:szCs w:val="18"/>
              </w:rPr>
            </w:pPr>
            <w:r>
              <w:rPr>
                <w:rFonts w:ascii="Verdana" w:hAnsi="Verdana"/>
                <w:sz w:val="18"/>
                <w:szCs w:val="18"/>
              </w:rPr>
              <w:t>1.219,5</w:t>
            </w:r>
          </w:p>
        </w:tc>
      </w:tr>
      <w:tr w:rsidR="004D4EE3" w:rsidTr="006D23DC">
        <w:tc>
          <w:tcPr>
            <w:tcW w:w="0" w:type="auto"/>
            <w:tcBorders>
              <w:left w:val="nil"/>
              <w:right w:val="nil"/>
            </w:tcBorders>
            <w:hideMark/>
          </w:tcPr>
          <w:p w:rsidR="004D4EE3" w:rsidP="006D23DC" w:rsidRDefault="004D4EE3">
            <w:pPr>
              <w:rPr>
                <w:rFonts w:ascii="Verdana" w:hAnsi="Verdana"/>
                <w:sz w:val="18"/>
                <w:szCs w:val="18"/>
              </w:rPr>
            </w:pPr>
            <w:r>
              <w:rPr>
                <w:rFonts w:ascii="Verdana" w:hAnsi="Verdana"/>
                <w:sz w:val="18"/>
                <w:szCs w:val="18"/>
              </w:rPr>
              <w:t>Beleidsmatige mutaties</w:t>
            </w:r>
          </w:p>
        </w:tc>
        <w:tc>
          <w:tcPr>
            <w:tcW w:w="0" w:type="auto"/>
            <w:hideMark/>
          </w:tcPr>
          <w:p w:rsidR="004D4EE3" w:rsidP="006D23DC" w:rsidRDefault="004D4EE3">
            <w:pPr>
              <w:rPr>
                <w:sz w:val="20"/>
                <w:szCs w:val="20"/>
              </w:rPr>
            </w:pPr>
          </w:p>
        </w:tc>
      </w:tr>
      <w:tr w:rsidR="004D4EE3" w:rsidTr="006D23DC">
        <w:tc>
          <w:tcPr>
            <w:tcW w:w="0" w:type="auto"/>
            <w:tcBorders>
              <w:left w:val="nil"/>
              <w:right w:val="nil"/>
            </w:tcBorders>
            <w:tcMar>
              <w:top w:w="15" w:type="dxa"/>
              <w:left w:w="180" w:type="dxa"/>
              <w:bottom w:w="15" w:type="dxa"/>
              <w:right w:w="15" w:type="dxa"/>
            </w:tcMar>
            <w:vAlign w:val="both"/>
            <w:hideMark/>
          </w:tcPr>
          <w:p w:rsidR="004D4EE3" w:rsidP="006D23DC" w:rsidRDefault="004D4EE3">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4D4EE3" w:rsidP="006D23DC" w:rsidRDefault="004D4EE3">
            <w:pPr>
              <w:rPr>
                <w:sz w:val="20"/>
                <w:szCs w:val="20"/>
              </w:rPr>
            </w:pPr>
          </w:p>
        </w:tc>
      </w:tr>
      <w:tr w:rsidR="004D4EE3" w:rsidTr="006D23DC">
        <w:tc>
          <w:tcPr>
            <w:tcW w:w="0" w:type="auto"/>
            <w:tcBorders>
              <w:left w:val="nil"/>
              <w:right w:val="nil"/>
            </w:tcBorders>
            <w:tcMar>
              <w:top w:w="15" w:type="dxa"/>
              <w:left w:w="360" w:type="dxa"/>
              <w:bottom w:w="15" w:type="dxa"/>
              <w:right w:w="15" w:type="dxa"/>
            </w:tcMar>
            <w:vAlign w:val="both"/>
            <w:hideMark/>
          </w:tcPr>
          <w:p w:rsidR="004D4EE3" w:rsidP="006D23DC" w:rsidRDefault="004D4EE3">
            <w:pPr>
              <w:ind w:firstLine="360" w:firstLineChars="200"/>
              <w:rPr>
                <w:rFonts w:ascii="Verdana" w:hAnsi="Verdana"/>
                <w:sz w:val="18"/>
                <w:szCs w:val="18"/>
              </w:rPr>
            </w:pPr>
            <w:r>
              <w:rPr>
                <w:rFonts w:ascii="Verdana" w:hAnsi="Verdana"/>
                <w:sz w:val="18"/>
                <w:szCs w:val="18"/>
              </w:rPr>
              <w:t>Saldo 2015: waterveiligheid</w:t>
            </w:r>
          </w:p>
        </w:tc>
        <w:tc>
          <w:tcPr>
            <w:tcW w:w="0" w:type="auto"/>
            <w:tcBorders>
              <w:left w:val="nil"/>
              <w:right w:val="nil"/>
            </w:tcBorders>
            <w:hideMark/>
          </w:tcPr>
          <w:p w:rsidR="004D4EE3" w:rsidP="006D23DC" w:rsidRDefault="004D4EE3">
            <w:pPr>
              <w:jc w:val="right"/>
              <w:rPr>
                <w:rFonts w:ascii="Verdana" w:hAnsi="Verdana"/>
                <w:sz w:val="18"/>
                <w:szCs w:val="18"/>
              </w:rPr>
            </w:pPr>
            <w:r>
              <w:rPr>
                <w:rFonts w:ascii="Verdana" w:hAnsi="Verdana"/>
                <w:sz w:val="18"/>
                <w:szCs w:val="18"/>
              </w:rPr>
              <w:t>-20,5</w:t>
            </w:r>
          </w:p>
        </w:tc>
      </w:tr>
      <w:tr w:rsidR="004D4EE3" w:rsidTr="006D23DC">
        <w:tc>
          <w:tcPr>
            <w:tcW w:w="0" w:type="auto"/>
            <w:tcBorders>
              <w:left w:val="nil"/>
              <w:right w:val="nil"/>
            </w:tcBorders>
            <w:tcMar>
              <w:top w:w="15" w:type="dxa"/>
              <w:left w:w="360" w:type="dxa"/>
              <w:bottom w:w="15" w:type="dxa"/>
              <w:right w:w="15" w:type="dxa"/>
            </w:tcMar>
            <w:vAlign w:val="both"/>
            <w:hideMark/>
          </w:tcPr>
          <w:p w:rsidR="004D4EE3" w:rsidP="006D23DC" w:rsidRDefault="004D4EE3">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4D4EE3" w:rsidP="006D23DC" w:rsidRDefault="004D4EE3">
            <w:pPr>
              <w:jc w:val="right"/>
              <w:rPr>
                <w:rFonts w:ascii="Verdana" w:hAnsi="Verdana"/>
                <w:sz w:val="18"/>
                <w:szCs w:val="18"/>
              </w:rPr>
            </w:pPr>
            <w:r>
              <w:rPr>
                <w:rFonts w:ascii="Verdana" w:hAnsi="Verdana"/>
                <w:sz w:val="18"/>
                <w:szCs w:val="18"/>
              </w:rPr>
              <w:t>-29,5</w:t>
            </w:r>
          </w:p>
        </w:tc>
      </w:tr>
      <w:tr w:rsidR="004D4EE3" w:rsidTr="006D23DC">
        <w:tc>
          <w:tcPr>
            <w:tcW w:w="0" w:type="auto"/>
            <w:tcBorders>
              <w:left w:val="nil"/>
              <w:right w:val="nil"/>
            </w:tcBorders>
            <w:hideMark/>
          </w:tcPr>
          <w:p w:rsidR="004D4EE3" w:rsidP="006D23DC" w:rsidRDefault="004D4EE3">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4D4EE3" w:rsidP="006D23DC" w:rsidRDefault="004D4EE3">
            <w:pPr>
              <w:jc w:val="right"/>
              <w:rPr>
                <w:rFonts w:ascii="Verdana" w:hAnsi="Verdana"/>
                <w:sz w:val="18"/>
                <w:szCs w:val="18"/>
              </w:rPr>
            </w:pPr>
            <w:r>
              <w:rPr>
                <w:rFonts w:ascii="Verdana" w:hAnsi="Verdana"/>
                <w:sz w:val="18"/>
                <w:szCs w:val="18"/>
              </w:rPr>
              <w:t>-50,0</w:t>
            </w:r>
          </w:p>
        </w:tc>
      </w:tr>
      <w:tr w:rsidR="004D4EE3" w:rsidTr="006D23DC">
        <w:tc>
          <w:tcPr>
            <w:tcW w:w="0" w:type="auto"/>
            <w:tcBorders>
              <w:left w:val="nil"/>
              <w:right w:val="nil"/>
            </w:tcBorders>
            <w:hideMark/>
          </w:tcPr>
          <w:p w:rsidR="004D4EE3" w:rsidP="006D23DC" w:rsidRDefault="004D4EE3">
            <w:pPr>
              <w:rPr>
                <w:rFonts w:ascii="Verdana" w:hAnsi="Verdana"/>
                <w:sz w:val="18"/>
                <w:szCs w:val="18"/>
              </w:rPr>
            </w:pPr>
            <w:r>
              <w:rPr>
                <w:rFonts w:ascii="Verdana" w:hAnsi="Verdana"/>
                <w:sz w:val="18"/>
                <w:szCs w:val="18"/>
              </w:rPr>
              <w:t>Technische mutaties</w:t>
            </w:r>
          </w:p>
        </w:tc>
        <w:tc>
          <w:tcPr>
            <w:tcW w:w="0" w:type="auto"/>
            <w:hideMark/>
          </w:tcPr>
          <w:p w:rsidR="004D4EE3" w:rsidP="006D23DC" w:rsidRDefault="004D4EE3">
            <w:pPr>
              <w:rPr>
                <w:sz w:val="20"/>
                <w:szCs w:val="20"/>
              </w:rPr>
            </w:pPr>
          </w:p>
        </w:tc>
      </w:tr>
      <w:tr w:rsidR="004D4EE3" w:rsidTr="006D23DC">
        <w:tc>
          <w:tcPr>
            <w:tcW w:w="0" w:type="auto"/>
            <w:tcBorders>
              <w:left w:val="nil"/>
              <w:right w:val="nil"/>
            </w:tcBorders>
            <w:tcMar>
              <w:top w:w="15" w:type="dxa"/>
              <w:left w:w="180" w:type="dxa"/>
              <w:bottom w:w="15" w:type="dxa"/>
              <w:right w:w="15" w:type="dxa"/>
            </w:tcMar>
            <w:vAlign w:val="both"/>
            <w:hideMark/>
          </w:tcPr>
          <w:p w:rsidR="004D4EE3" w:rsidP="006D23DC" w:rsidRDefault="004D4EE3">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4D4EE3" w:rsidP="006D23DC" w:rsidRDefault="004D4EE3">
            <w:pPr>
              <w:rPr>
                <w:sz w:val="20"/>
                <w:szCs w:val="20"/>
              </w:rPr>
            </w:pPr>
          </w:p>
        </w:tc>
      </w:tr>
      <w:tr w:rsidR="004D4EE3" w:rsidTr="006D23DC">
        <w:tc>
          <w:tcPr>
            <w:tcW w:w="0" w:type="auto"/>
            <w:tcBorders>
              <w:left w:val="nil"/>
              <w:right w:val="nil"/>
            </w:tcBorders>
            <w:tcMar>
              <w:top w:w="15" w:type="dxa"/>
              <w:left w:w="360" w:type="dxa"/>
              <w:bottom w:w="15" w:type="dxa"/>
              <w:right w:w="15" w:type="dxa"/>
            </w:tcMar>
            <w:vAlign w:val="both"/>
            <w:hideMark/>
          </w:tcPr>
          <w:p w:rsidR="004D4EE3" w:rsidP="006D23DC" w:rsidRDefault="004D4EE3">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4D4EE3" w:rsidP="006D23DC" w:rsidRDefault="004D4EE3">
            <w:pPr>
              <w:jc w:val="right"/>
              <w:rPr>
                <w:rFonts w:ascii="Verdana" w:hAnsi="Verdana"/>
                <w:sz w:val="18"/>
                <w:szCs w:val="18"/>
              </w:rPr>
            </w:pPr>
            <w:r>
              <w:rPr>
                <w:rFonts w:ascii="Verdana" w:hAnsi="Verdana"/>
                <w:sz w:val="18"/>
                <w:szCs w:val="18"/>
              </w:rPr>
              <w:t>1,6</w:t>
            </w:r>
          </w:p>
        </w:tc>
      </w:tr>
      <w:tr w:rsidR="004D4EE3" w:rsidTr="006D23DC">
        <w:tc>
          <w:tcPr>
            <w:tcW w:w="0" w:type="auto"/>
            <w:tcBorders>
              <w:left w:val="nil"/>
              <w:right w:val="nil"/>
            </w:tcBorders>
            <w:hideMark/>
          </w:tcPr>
          <w:p w:rsidR="004D4EE3" w:rsidP="006D23DC" w:rsidRDefault="004D4EE3">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4D4EE3" w:rsidP="006D23DC" w:rsidRDefault="004D4EE3">
            <w:pPr>
              <w:jc w:val="right"/>
              <w:rPr>
                <w:rFonts w:ascii="Verdana" w:hAnsi="Verdana"/>
                <w:sz w:val="18"/>
                <w:szCs w:val="18"/>
              </w:rPr>
            </w:pPr>
            <w:r>
              <w:rPr>
                <w:rFonts w:ascii="Verdana" w:hAnsi="Verdana"/>
                <w:sz w:val="18"/>
                <w:szCs w:val="18"/>
              </w:rPr>
              <w:t>1,6</w:t>
            </w:r>
          </w:p>
        </w:tc>
      </w:tr>
      <w:tr w:rsidR="004D4EE3" w:rsidTr="006D23DC">
        <w:tc>
          <w:tcPr>
            <w:tcW w:w="0" w:type="auto"/>
            <w:tcBorders>
              <w:left w:val="nil"/>
              <w:right w:val="nil"/>
            </w:tcBorders>
            <w:hideMark/>
          </w:tcPr>
          <w:p w:rsidR="004D4EE3" w:rsidP="006D23DC" w:rsidRDefault="004D4EE3">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4D4EE3" w:rsidP="006D23DC" w:rsidRDefault="004D4EE3">
            <w:pPr>
              <w:jc w:val="right"/>
              <w:rPr>
                <w:rFonts w:ascii="Verdana" w:hAnsi="Verdana"/>
                <w:sz w:val="18"/>
                <w:szCs w:val="18"/>
              </w:rPr>
            </w:pPr>
            <w:r>
              <w:rPr>
                <w:rFonts w:ascii="Verdana" w:hAnsi="Verdana"/>
                <w:sz w:val="18"/>
                <w:szCs w:val="18"/>
              </w:rPr>
              <w:t>-48,3</w:t>
            </w:r>
          </w:p>
        </w:tc>
      </w:tr>
      <w:tr w:rsidR="004D4EE3" w:rsidTr="006D23DC">
        <w:tc>
          <w:tcPr>
            <w:tcW w:w="0" w:type="auto"/>
            <w:tcBorders>
              <w:left w:val="nil"/>
              <w:right w:val="nil"/>
            </w:tcBorders>
            <w:hideMark/>
          </w:tcPr>
          <w:p w:rsidR="004D4EE3" w:rsidP="006D23DC" w:rsidRDefault="004D4EE3">
            <w:pPr>
              <w:rPr>
                <w:rFonts w:ascii="Verdana" w:hAnsi="Verdana"/>
                <w:sz w:val="18"/>
                <w:szCs w:val="18"/>
              </w:rPr>
            </w:pPr>
            <w:r>
              <w:rPr>
                <w:rFonts w:ascii="Verdana" w:hAnsi="Verdana"/>
                <w:sz w:val="18"/>
                <w:szCs w:val="18"/>
              </w:rPr>
              <w:t> </w:t>
            </w:r>
          </w:p>
        </w:tc>
        <w:tc>
          <w:tcPr>
            <w:tcW w:w="0" w:type="auto"/>
            <w:hideMark/>
          </w:tcPr>
          <w:p w:rsidR="004D4EE3" w:rsidP="006D23DC" w:rsidRDefault="004D4EE3">
            <w:pPr>
              <w:rPr>
                <w:sz w:val="20"/>
                <w:szCs w:val="20"/>
              </w:rPr>
            </w:pPr>
          </w:p>
        </w:tc>
      </w:tr>
      <w:tr w:rsidR="004D4EE3" w:rsidTr="006D23DC">
        <w:tc>
          <w:tcPr>
            <w:tcW w:w="0" w:type="auto"/>
            <w:tcBorders>
              <w:left w:val="nil"/>
              <w:right w:val="nil"/>
            </w:tcBorders>
            <w:hideMark/>
          </w:tcPr>
          <w:p w:rsidR="004D4EE3" w:rsidP="006D23DC" w:rsidRDefault="004D4EE3">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4D4EE3" w:rsidP="006D23DC" w:rsidRDefault="004D4EE3">
            <w:pPr>
              <w:jc w:val="right"/>
              <w:rPr>
                <w:rFonts w:ascii="Verdana" w:hAnsi="Verdana"/>
                <w:sz w:val="18"/>
                <w:szCs w:val="18"/>
              </w:rPr>
            </w:pPr>
            <w:r>
              <w:rPr>
                <w:rFonts w:ascii="Verdana" w:hAnsi="Verdana"/>
                <w:sz w:val="18"/>
                <w:szCs w:val="18"/>
              </w:rPr>
              <w:t>1.171,2</w:t>
            </w:r>
          </w:p>
        </w:tc>
      </w:tr>
      <w:tr w:rsidR="004D4EE3" w:rsidTr="006D23DC">
        <w:tc>
          <w:tcPr>
            <w:tcW w:w="0" w:type="auto"/>
            <w:tcBorders>
              <w:left w:val="nil"/>
              <w:right w:val="nil"/>
            </w:tcBorders>
            <w:hideMark/>
          </w:tcPr>
          <w:p w:rsidR="004D4EE3" w:rsidP="006D23DC" w:rsidRDefault="004D4EE3">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4D4EE3" w:rsidP="006D23DC" w:rsidRDefault="004D4EE3">
            <w:pPr>
              <w:jc w:val="right"/>
              <w:rPr>
                <w:rFonts w:ascii="Verdana" w:hAnsi="Verdana"/>
                <w:sz w:val="18"/>
                <w:szCs w:val="18"/>
              </w:rPr>
            </w:pPr>
            <w:r>
              <w:rPr>
                <w:rFonts w:ascii="Verdana" w:hAnsi="Verdana"/>
                <w:sz w:val="18"/>
                <w:szCs w:val="18"/>
              </w:rPr>
              <w:t>0,0</w:t>
            </w:r>
          </w:p>
        </w:tc>
      </w:tr>
      <w:tr w:rsidR="004D4EE3" w:rsidTr="006D23DC">
        <w:tc>
          <w:tcPr>
            <w:tcW w:w="0" w:type="auto"/>
            <w:tcBorders>
              <w:left w:val="nil"/>
              <w:right w:val="nil"/>
            </w:tcBorders>
            <w:hideMark/>
          </w:tcPr>
          <w:p w:rsidR="004D4EE3" w:rsidP="006D23DC" w:rsidRDefault="004D4EE3">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4D4EE3" w:rsidP="006D23DC" w:rsidRDefault="004D4EE3">
            <w:pPr>
              <w:jc w:val="right"/>
              <w:rPr>
                <w:rFonts w:ascii="Verdana" w:hAnsi="Verdana"/>
                <w:sz w:val="18"/>
                <w:szCs w:val="18"/>
              </w:rPr>
            </w:pPr>
            <w:r>
              <w:rPr>
                <w:rFonts w:ascii="Verdana" w:hAnsi="Verdana"/>
                <w:sz w:val="18"/>
                <w:szCs w:val="18"/>
              </w:rPr>
              <w:t>1.171,2</w:t>
            </w:r>
          </w:p>
        </w:tc>
      </w:tr>
      <w:tr w:rsidR="004D4EE3" w:rsidTr="004D4EE3">
        <w:tc>
          <w:tcPr>
            <w:tcW w:w="8222" w:type="dxa"/>
            <w:tcBorders>
              <w:left w:val="nil"/>
              <w:right w:val="nil"/>
            </w:tcBorders>
            <w:hideMark/>
          </w:tcPr>
          <w:p w:rsidR="004D4EE3" w:rsidP="006D23DC" w:rsidRDefault="004D4EE3">
            <w:pPr>
              <w:rPr>
                <w:rFonts w:ascii="Verdana" w:hAnsi="Verdana"/>
                <w:sz w:val="18"/>
                <w:szCs w:val="18"/>
              </w:rPr>
            </w:pPr>
            <w:r>
              <w:rPr>
                <w:rFonts w:ascii="Verdana" w:hAnsi="Verdana"/>
                <w:sz w:val="18"/>
                <w:szCs w:val="18"/>
              </w:rPr>
              <w:t> </w:t>
            </w:r>
          </w:p>
        </w:tc>
        <w:tc>
          <w:tcPr>
            <w:tcW w:w="880" w:type="dxa"/>
            <w:tcBorders>
              <w:left w:val="nil"/>
              <w:right w:val="nil"/>
            </w:tcBorders>
            <w:hideMark/>
          </w:tcPr>
          <w:p w:rsidR="004D4EE3" w:rsidP="006D23DC" w:rsidRDefault="004D4EE3">
            <w:pPr>
              <w:rPr>
                <w:rFonts w:ascii="Verdana" w:hAnsi="Verdana"/>
                <w:sz w:val="18"/>
                <w:szCs w:val="18"/>
              </w:rPr>
            </w:pPr>
            <w:r>
              <w:rPr>
                <w:rFonts w:ascii="Verdana" w:hAnsi="Verdana"/>
                <w:sz w:val="18"/>
                <w:szCs w:val="18"/>
              </w:rPr>
              <w:t> </w:t>
            </w:r>
          </w:p>
        </w:tc>
      </w:tr>
      <w:tr w:rsidR="004D4EE3" w:rsidTr="006D23DC">
        <w:tc>
          <w:tcPr>
            <w:tcW w:w="0" w:type="auto"/>
            <w:tcBorders>
              <w:left w:val="nil"/>
              <w:right w:val="nil"/>
            </w:tcBorders>
            <w:hideMark/>
          </w:tcPr>
          <w:p w:rsidR="004D4EE3" w:rsidP="006D23DC" w:rsidRDefault="004D4EE3">
            <w:pPr>
              <w:rPr>
                <w:rFonts w:ascii="Verdana" w:hAnsi="Verdana"/>
                <w:sz w:val="18"/>
                <w:szCs w:val="18"/>
              </w:rPr>
            </w:pPr>
            <w:r>
              <w:rPr>
                <w:rFonts w:ascii="Verdana" w:hAnsi="Verdana"/>
                <w:sz w:val="18"/>
                <w:szCs w:val="18"/>
              </w:rPr>
              <w:t>J DELTAFONDS: NIET-BELASTINGONTVANGSTEN</w:t>
            </w:r>
          </w:p>
        </w:tc>
        <w:tc>
          <w:tcPr>
            <w:tcW w:w="0" w:type="auto"/>
            <w:hideMark/>
          </w:tcPr>
          <w:p w:rsidR="004D4EE3" w:rsidP="006D23DC" w:rsidRDefault="004D4EE3">
            <w:pPr>
              <w:rPr>
                <w:sz w:val="20"/>
                <w:szCs w:val="20"/>
              </w:rPr>
            </w:pPr>
          </w:p>
        </w:tc>
      </w:tr>
      <w:tr w:rsidR="004D4EE3" w:rsidTr="006D23DC">
        <w:tc>
          <w:tcPr>
            <w:tcW w:w="0" w:type="auto"/>
            <w:tcBorders>
              <w:top w:val="single" w:color="000000" w:sz="6" w:space="0"/>
              <w:left w:val="nil"/>
              <w:bottom w:val="single" w:color="000000" w:sz="6" w:space="0"/>
              <w:right w:val="nil"/>
            </w:tcBorders>
            <w:hideMark/>
          </w:tcPr>
          <w:p w:rsidR="004D4EE3" w:rsidP="006D23DC" w:rsidRDefault="004D4EE3">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4D4EE3" w:rsidP="006D23DC" w:rsidRDefault="004D4EE3">
            <w:pPr>
              <w:jc w:val="right"/>
              <w:rPr>
                <w:rFonts w:ascii="Verdana" w:hAnsi="Verdana"/>
                <w:sz w:val="18"/>
                <w:szCs w:val="18"/>
              </w:rPr>
            </w:pPr>
            <w:r>
              <w:rPr>
                <w:rFonts w:ascii="Verdana" w:hAnsi="Verdana"/>
                <w:sz w:val="18"/>
                <w:szCs w:val="18"/>
              </w:rPr>
              <w:t>2015</w:t>
            </w:r>
          </w:p>
        </w:tc>
      </w:tr>
      <w:tr w:rsidR="004D4EE3" w:rsidTr="006D23DC">
        <w:tc>
          <w:tcPr>
            <w:tcW w:w="0" w:type="auto"/>
            <w:tcBorders>
              <w:left w:val="nil"/>
              <w:right w:val="nil"/>
            </w:tcBorders>
            <w:hideMark/>
          </w:tcPr>
          <w:p w:rsidR="004D4EE3" w:rsidP="006D23DC" w:rsidRDefault="004D4EE3">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4D4EE3" w:rsidP="006D23DC" w:rsidRDefault="004D4EE3">
            <w:pPr>
              <w:jc w:val="right"/>
              <w:rPr>
                <w:rFonts w:ascii="Verdana" w:hAnsi="Verdana"/>
                <w:sz w:val="18"/>
                <w:szCs w:val="18"/>
              </w:rPr>
            </w:pPr>
            <w:r>
              <w:rPr>
                <w:rFonts w:ascii="Verdana" w:hAnsi="Verdana"/>
                <w:sz w:val="18"/>
                <w:szCs w:val="18"/>
              </w:rPr>
              <w:t>1.219,5</w:t>
            </w:r>
          </w:p>
        </w:tc>
      </w:tr>
      <w:tr w:rsidR="004D4EE3" w:rsidTr="006D23DC">
        <w:tc>
          <w:tcPr>
            <w:tcW w:w="0" w:type="auto"/>
            <w:tcBorders>
              <w:left w:val="nil"/>
              <w:right w:val="nil"/>
            </w:tcBorders>
            <w:hideMark/>
          </w:tcPr>
          <w:p w:rsidR="004D4EE3" w:rsidP="006D23DC" w:rsidRDefault="004D4EE3">
            <w:pPr>
              <w:rPr>
                <w:rFonts w:ascii="Verdana" w:hAnsi="Verdana"/>
                <w:sz w:val="18"/>
                <w:szCs w:val="18"/>
              </w:rPr>
            </w:pPr>
            <w:r>
              <w:rPr>
                <w:rFonts w:ascii="Verdana" w:hAnsi="Verdana"/>
                <w:sz w:val="18"/>
                <w:szCs w:val="18"/>
              </w:rPr>
              <w:t>Beleidsmatige mutaties</w:t>
            </w:r>
          </w:p>
        </w:tc>
        <w:tc>
          <w:tcPr>
            <w:tcW w:w="0" w:type="auto"/>
            <w:hideMark/>
          </w:tcPr>
          <w:p w:rsidR="004D4EE3" w:rsidP="006D23DC" w:rsidRDefault="004D4EE3">
            <w:pPr>
              <w:rPr>
                <w:sz w:val="20"/>
                <w:szCs w:val="20"/>
              </w:rPr>
            </w:pPr>
          </w:p>
        </w:tc>
      </w:tr>
      <w:tr w:rsidR="004D4EE3" w:rsidTr="006D23DC">
        <w:tc>
          <w:tcPr>
            <w:tcW w:w="0" w:type="auto"/>
            <w:tcBorders>
              <w:left w:val="nil"/>
              <w:right w:val="nil"/>
            </w:tcBorders>
            <w:tcMar>
              <w:top w:w="15" w:type="dxa"/>
              <w:left w:w="180" w:type="dxa"/>
              <w:bottom w:w="15" w:type="dxa"/>
              <w:right w:w="15" w:type="dxa"/>
            </w:tcMar>
            <w:vAlign w:val="both"/>
            <w:hideMark/>
          </w:tcPr>
          <w:p w:rsidR="004D4EE3" w:rsidP="006D23DC" w:rsidRDefault="004D4EE3">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4D4EE3" w:rsidP="006D23DC" w:rsidRDefault="004D4EE3">
            <w:pPr>
              <w:rPr>
                <w:sz w:val="20"/>
                <w:szCs w:val="20"/>
              </w:rPr>
            </w:pPr>
          </w:p>
        </w:tc>
      </w:tr>
      <w:tr w:rsidR="004D4EE3" w:rsidTr="006D23DC">
        <w:tc>
          <w:tcPr>
            <w:tcW w:w="0" w:type="auto"/>
            <w:tcBorders>
              <w:left w:val="nil"/>
              <w:right w:val="nil"/>
            </w:tcBorders>
            <w:tcMar>
              <w:top w:w="15" w:type="dxa"/>
              <w:left w:w="360" w:type="dxa"/>
              <w:bottom w:w="15" w:type="dxa"/>
              <w:right w:w="15" w:type="dxa"/>
            </w:tcMar>
            <w:vAlign w:val="both"/>
            <w:hideMark/>
          </w:tcPr>
          <w:p w:rsidR="004D4EE3" w:rsidP="006D23DC" w:rsidRDefault="004D4EE3">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4D4EE3" w:rsidP="006D23DC" w:rsidRDefault="004D4EE3">
            <w:pPr>
              <w:jc w:val="right"/>
              <w:rPr>
                <w:rFonts w:ascii="Verdana" w:hAnsi="Verdana"/>
                <w:sz w:val="18"/>
                <w:szCs w:val="18"/>
              </w:rPr>
            </w:pPr>
            <w:r>
              <w:rPr>
                <w:rFonts w:ascii="Verdana" w:hAnsi="Verdana"/>
                <w:sz w:val="18"/>
                <w:szCs w:val="18"/>
              </w:rPr>
              <w:t>0,0</w:t>
            </w:r>
          </w:p>
        </w:tc>
      </w:tr>
      <w:tr w:rsidR="004D4EE3" w:rsidTr="006D23DC">
        <w:tc>
          <w:tcPr>
            <w:tcW w:w="0" w:type="auto"/>
            <w:tcBorders>
              <w:left w:val="nil"/>
              <w:right w:val="nil"/>
            </w:tcBorders>
            <w:hideMark/>
          </w:tcPr>
          <w:p w:rsidR="004D4EE3" w:rsidP="006D23DC" w:rsidRDefault="004D4EE3">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4D4EE3" w:rsidP="006D23DC" w:rsidRDefault="004D4EE3">
            <w:pPr>
              <w:jc w:val="right"/>
              <w:rPr>
                <w:rFonts w:ascii="Verdana" w:hAnsi="Verdana"/>
                <w:sz w:val="18"/>
                <w:szCs w:val="18"/>
              </w:rPr>
            </w:pPr>
            <w:r>
              <w:rPr>
                <w:rFonts w:ascii="Verdana" w:hAnsi="Verdana"/>
                <w:sz w:val="18"/>
                <w:szCs w:val="18"/>
              </w:rPr>
              <w:t>0,0</w:t>
            </w:r>
          </w:p>
        </w:tc>
      </w:tr>
      <w:tr w:rsidR="004D4EE3" w:rsidTr="006D23DC">
        <w:tc>
          <w:tcPr>
            <w:tcW w:w="0" w:type="auto"/>
            <w:tcBorders>
              <w:left w:val="nil"/>
              <w:right w:val="nil"/>
            </w:tcBorders>
            <w:hideMark/>
          </w:tcPr>
          <w:p w:rsidR="004D4EE3" w:rsidP="006D23DC" w:rsidRDefault="004D4EE3">
            <w:pPr>
              <w:rPr>
                <w:rFonts w:ascii="Verdana" w:hAnsi="Verdana"/>
                <w:sz w:val="18"/>
                <w:szCs w:val="18"/>
              </w:rPr>
            </w:pPr>
            <w:r>
              <w:rPr>
                <w:rFonts w:ascii="Verdana" w:hAnsi="Verdana"/>
                <w:sz w:val="18"/>
                <w:szCs w:val="18"/>
              </w:rPr>
              <w:t>Technische mutaties</w:t>
            </w:r>
          </w:p>
        </w:tc>
        <w:tc>
          <w:tcPr>
            <w:tcW w:w="0" w:type="auto"/>
            <w:hideMark/>
          </w:tcPr>
          <w:p w:rsidR="004D4EE3" w:rsidP="006D23DC" w:rsidRDefault="004D4EE3">
            <w:pPr>
              <w:rPr>
                <w:sz w:val="20"/>
                <w:szCs w:val="20"/>
              </w:rPr>
            </w:pPr>
          </w:p>
        </w:tc>
      </w:tr>
      <w:tr w:rsidR="004D4EE3" w:rsidTr="006D23DC">
        <w:tc>
          <w:tcPr>
            <w:tcW w:w="0" w:type="auto"/>
            <w:tcBorders>
              <w:left w:val="nil"/>
              <w:right w:val="nil"/>
            </w:tcBorders>
            <w:tcMar>
              <w:top w:w="15" w:type="dxa"/>
              <w:left w:w="180" w:type="dxa"/>
              <w:bottom w:w="15" w:type="dxa"/>
              <w:right w:w="15" w:type="dxa"/>
            </w:tcMar>
            <w:vAlign w:val="both"/>
            <w:hideMark/>
          </w:tcPr>
          <w:p w:rsidR="004D4EE3" w:rsidP="006D23DC" w:rsidRDefault="004D4EE3">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4D4EE3" w:rsidP="006D23DC" w:rsidRDefault="004D4EE3">
            <w:pPr>
              <w:rPr>
                <w:sz w:val="20"/>
                <w:szCs w:val="20"/>
              </w:rPr>
            </w:pPr>
          </w:p>
        </w:tc>
      </w:tr>
      <w:tr w:rsidR="004D4EE3" w:rsidTr="006D23DC">
        <w:tc>
          <w:tcPr>
            <w:tcW w:w="0" w:type="auto"/>
            <w:tcBorders>
              <w:left w:val="nil"/>
              <w:right w:val="nil"/>
            </w:tcBorders>
            <w:tcMar>
              <w:top w:w="15" w:type="dxa"/>
              <w:left w:w="360" w:type="dxa"/>
              <w:bottom w:w="15" w:type="dxa"/>
              <w:right w:w="15" w:type="dxa"/>
            </w:tcMar>
            <w:vAlign w:val="both"/>
            <w:hideMark/>
          </w:tcPr>
          <w:p w:rsidR="004D4EE3" w:rsidP="006D23DC" w:rsidRDefault="004D4EE3">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4D4EE3" w:rsidP="006D23DC" w:rsidRDefault="004D4EE3">
            <w:pPr>
              <w:jc w:val="right"/>
              <w:rPr>
                <w:rFonts w:ascii="Verdana" w:hAnsi="Verdana"/>
                <w:sz w:val="18"/>
                <w:szCs w:val="18"/>
              </w:rPr>
            </w:pPr>
            <w:r>
              <w:rPr>
                <w:rFonts w:ascii="Verdana" w:hAnsi="Verdana"/>
                <w:sz w:val="18"/>
                <w:szCs w:val="18"/>
              </w:rPr>
              <w:t>1,6</w:t>
            </w:r>
          </w:p>
        </w:tc>
      </w:tr>
      <w:tr w:rsidR="004D4EE3" w:rsidTr="006D23DC">
        <w:tc>
          <w:tcPr>
            <w:tcW w:w="0" w:type="auto"/>
            <w:tcBorders>
              <w:left w:val="nil"/>
              <w:right w:val="nil"/>
            </w:tcBorders>
            <w:hideMark/>
          </w:tcPr>
          <w:p w:rsidR="004D4EE3" w:rsidP="006D23DC" w:rsidRDefault="004D4EE3">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4D4EE3" w:rsidP="006D23DC" w:rsidRDefault="004D4EE3">
            <w:pPr>
              <w:jc w:val="right"/>
              <w:rPr>
                <w:rFonts w:ascii="Verdana" w:hAnsi="Verdana"/>
                <w:sz w:val="18"/>
                <w:szCs w:val="18"/>
              </w:rPr>
            </w:pPr>
            <w:r>
              <w:rPr>
                <w:rFonts w:ascii="Verdana" w:hAnsi="Verdana"/>
                <w:sz w:val="18"/>
                <w:szCs w:val="18"/>
              </w:rPr>
              <w:t>1,6</w:t>
            </w:r>
          </w:p>
        </w:tc>
      </w:tr>
      <w:tr w:rsidR="004D4EE3" w:rsidTr="006D23DC">
        <w:tc>
          <w:tcPr>
            <w:tcW w:w="0" w:type="auto"/>
            <w:tcBorders>
              <w:left w:val="nil"/>
              <w:right w:val="nil"/>
            </w:tcBorders>
            <w:hideMark/>
          </w:tcPr>
          <w:p w:rsidR="004D4EE3" w:rsidP="006D23DC" w:rsidRDefault="004D4EE3">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4D4EE3" w:rsidP="006D23DC" w:rsidRDefault="004D4EE3">
            <w:pPr>
              <w:jc w:val="right"/>
              <w:rPr>
                <w:rFonts w:ascii="Verdana" w:hAnsi="Verdana"/>
                <w:sz w:val="18"/>
                <w:szCs w:val="18"/>
              </w:rPr>
            </w:pPr>
            <w:r>
              <w:rPr>
                <w:rFonts w:ascii="Verdana" w:hAnsi="Verdana"/>
                <w:sz w:val="18"/>
                <w:szCs w:val="18"/>
              </w:rPr>
              <w:t>1,7</w:t>
            </w:r>
          </w:p>
        </w:tc>
      </w:tr>
      <w:tr w:rsidR="004D4EE3" w:rsidTr="006D23DC">
        <w:tc>
          <w:tcPr>
            <w:tcW w:w="0" w:type="auto"/>
            <w:tcBorders>
              <w:left w:val="nil"/>
              <w:right w:val="nil"/>
            </w:tcBorders>
            <w:hideMark/>
          </w:tcPr>
          <w:p w:rsidR="004D4EE3" w:rsidP="006D23DC" w:rsidRDefault="004D4EE3">
            <w:pPr>
              <w:rPr>
                <w:rFonts w:ascii="Verdana" w:hAnsi="Verdana"/>
                <w:sz w:val="18"/>
                <w:szCs w:val="18"/>
              </w:rPr>
            </w:pPr>
            <w:r>
              <w:rPr>
                <w:rFonts w:ascii="Verdana" w:hAnsi="Verdana"/>
                <w:sz w:val="18"/>
                <w:szCs w:val="18"/>
              </w:rPr>
              <w:t> </w:t>
            </w:r>
          </w:p>
        </w:tc>
        <w:tc>
          <w:tcPr>
            <w:tcW w:w="0" w:type="auto"/>
            <w:hideMark/>
          </w:tcPr>
          <w:p w:rsidR="004D4EE3" w:rsidP="006D23DC" w:rsidRDefault="004D4EE3">
            <w:pPr>
              <w:rPr>
                <w:sz w:val="20"/>
                <w:szCs w:val="20"/>
              </w:rPr>
            </w:pPr>
          </w:p>
        </w:tc>
      </w:tr>
      <w:tr w:rsidR="004D4EE3" w:rsidTr="006D23DC">
        <w:tc>
          <w:tcPr>
            <w:tcW w:w="0" w:type="auto"/>
            <w:tcBorders>
              <w:left w:val="nil"/>
              <w:right w:val="nil"/>
            </w:tcBorders>
            <w:hideMark/>
          </w:tcPr>
          <w:p w:rsidR="004D4EE3" w:rsidP="006D23DC" w:rsidRDefault="004D4EE3">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4D4EE3" w:rsidP="006D23DC" w:rsidRDefault="004D4EE3">
            <w:pPr>
              <w:jc w:val="right"/>
              <w:rPr>
                <w:rFonts w:ascii="Verdana" w:hAnsi="Verdana"/>
                <w:sz w:val="18"/>
                <w:szCs w:val="18"/>
              </w:rPr>
            </w:pPr>
            <w:r>
              <w:rPr>
                <w:rFonts w:ascii="Verdana" w:hAnsi="Verdana"/>
                <w:sz w:val="18"/>
                <w:szCs w:val="18"/>
              </w:rPr>
              <w:t>1.221,2</w:t>
            </w:r>
          </w:p>
        </w:tc>
      </w:tr>
      <w:tr w:rsidR="004D4EE3" w:rsidTr="006D23DC">
        <w:tc>
          <w:tcPr>
            <w:tcW w:w="0" w:type="auto"/>
            <w:tcBorders>
              <w:left w:val="nil"/>
              <w:right w:val="nil"/>
            </w:tcBorders>
            <w:hideMark/>
          </w:tcPr>
          <w:p w:rsidR="004D4EE3" w:rsidP="006D23DC" w:rsidRDefault="004D4EE3">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4D4EE3" w:rsidP="006D23DC" w:rsidRDefault="004D4EE3">
            <w:pPr>
              <w:jc w:val="right"/>
              <w:rPr>
                <w:rFonts w:ascii="Verdana" w:hAnsi="Verdana"/>
                <w:sz w:val="18"/>
                <w:szCs w:val="18"/>
              </w:rPr>
            </w:pPr>
            <w:r>
              <w:rPr>
                <w:rFonts w:ascii="Verdana" w:hAnsi="Verdana"/>
                <w:sz w:val="18"/>
                <w:szCs w:val="18"/>
              </w:rPr>
              <w:t>0,0</w:t>
            </w:r>
          </w:p>
        </w:tc>
      </w:tr>
      <w:tr w:rsidR="004D4EE3" w:rsidTr="006D23DC">
        <w:tc>
          <w:tcPr>
            <w:tcW w:w="0" w:type="auto"/>
            <w:tcBorders>
              <w:left w:val="nil"/>
              <w:right w:val="nil"/>
            </w:tcBorders>
            <w:hideMark/>
          </w:tcPr>
          <w:p w:rsidR="004D4EE3" w:rsidP="006D23DC" w:rsidRDefault="004D4EE3">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4D4EE3" w:rsidP="006D23DC" w:rsidRDefault="004D4EE3">
            <w:pPr>
              <w:jc w:val="right"/>
              <w:rPr>
                <w:rFonts w:ascii="Verdana" w:hAnsi="Verdana"/>
                <w:sz w:val="18"/>
                <w:szCs w:val="18"/>
              </w:rPr>
            </w:pPr>
            <w:r>
              <w:rPr>
                <w:rFonts w:ascii="Verdana" w:hAnsi="Verdana"/>
                <w:sz w:val="18"/>
                <w:szCs w:val="18"/>
              </w:rPr>
              <w:t>1.221,2</w:t>
            </w:r>
          </w:p>
        </w:tc>
      </w:tr>
    </w:tbl>
    <w:p w:rsidR="004D4EE3" w:rsidP="003C1C66" w:rsidRDefault="004D4EE3">
      <w:pPr>
        <w:spacing w:line="240" w:lineRule="exact"/>
        <w:rPr>
          <w:rFonts w:ascii="Verdana" w:hAnsi="Verdana" w:cs="Verdana"/>
          <w:b/>
          <w:bCs/>
          <w:sz w:val="18"/>
          <w:szCs w:val="18"/>
        </w:rPr>
      </w:pPr>
    </w:p>
    <w:p w:rsidR="006A0765" w:rsidP="003C1C66" w:rsidRDefault="006A0765">
      <w:pPr>
        <w:spacing w:line="240" w:lineRule="exact"/>
        <w:rPr>
          <w:rFonts w:ascii="Verdana" w:hAnsi="Verdana"/>
          <w:i/>
          <w:sz w:val="18"/>
          <w:szCs w:val="18"/>
        </w:rPr>
      </w:pPr>
    </w:p>
    <w:p w:rsidRPr="00FD3762" w:rsidR="006A0765" w:rsidP="003C1C66" w:rsidRDefault="006A0765">
      <w:pPr>
        <w:spacing w:line="240" w:lineRule="exact"/>
        <w:rPr>
          <w:rFonts w:ascii="Verdana" w:hAnsi="Verdana"/>
          <w:i/>
          <w:sz w:val="18"/>
          <w:szCs w:val="18"/>
        </w:rPr>
      </w:pPr>
      <w:r w:rsidRPr="00FD3762">
        <w:rPr>
          <w:rFonts w:ascii="Verdana" w:hAnsi="Verdana"/>
          <w:i/>
          <w:sz w:val="18"/>
          <w:szCs w:val="18"/>
        </w:rPr>
        <w:t>Saldo 2015: waterveiligheid</w:t>
      </w:r>
    </w:p>
    <w:p w:rsidRPr="00FD3762" w:rsidR="006A0765" w:rsidP="003C1C66" w:rsidRDefault="006A0765">
      <w:pPr>
        <w:spacing w:line="240" w:lineRule="exact"/>
        <w:rPr>
          <w:rFonts w:ascii="Verdana" w:hAnsi="Verdana"/>
          <w:sz w:val="18"/>
          <w:szCs w:val="18"/>
        </w:rPr>
      </w:pPr>
      <w:r w:rsidRPr="00FD3762">
        <w:rPr>
          <w:rFonts w:ascii="Verdana" w:hAnsi="Verdana"/>
          <w:sz w:val="18"/>
          <w:szCs w:val="18"/>
        </w:rPr>
        <w:t xml:space="preserve">Per saldo is op het artikel waterveiligheid een onderuitputting van 20,5 mln. Dit bedrag bestaat uit drie componenten: </w:t>
      </w:r>
    </w:p>
    <w:p w:rsidRPr="006A0765" w:rsidR="006A0765" w:rsidP="003C1C66" w:rsidRDefault="006A0765">
      <w:pPr>
        <w:pStyle w:val="Lijstalinea"/>
        <w:numPr>
          <w:ilvl w:val="0"/>
          <w:numId w:val="28"/>
        </w:numPr>
        <w:spacing w:line="240" w:lineRule="exact"/>
        <w:rPr>
          <w:rFonts w:ascii="Verdana" w:hAnsi="Verdana"/>
          <w:sz w:val="18"/>
          <w:szCs w:val="18"/>
        </w:rPr>
      </w:pPr>
      <w:r>
        <w:rPr>
          <w:rFonts w:ascii="Verdana" w:hAnsi="Verdana"/>
          <w:sz w:val="18"/>
          <w:szCs w:val="18"/>
        </w:rPr>
        <w:t>O</w:t>
      </w:r>
      <w:r w:rsidRPr="006A0765">
        <w:rPr>
          <w:rFonts w:ascii="Verdana" w:hAnsi="Verdana"/>
          <w:sz w:val="18"/>
          <w:szCs w:val="18"/>
        </w:rPr>
        <w:t xml:space="preserve">p een aantal deelprojecten binnen het </w:t>
      </w:r>
      <w:proofErr w:type="spellStart"/>
      <w:r w:rsidRPr="006A0765">
        <w:rPr>
          <w:rFonts w:ascii="Verdana" w:hAnsi="Verdana"/>
          <w:sz w:val="18"/>
          <w:szCs w:val="18"/>
        </w:rPr>
        <w:t>Hoogwaterbeschermingsprogramma</w:t>
      </w:r>
      <w:proofErr w:type="spellEnd"/>
      <w:r w:rsidRPr="006A0765">
        <w:rPr>
          <w:rFonts w:ascii="Verdana" w:hAnsi="Verdana"/>
          <w:sz w:val="18"/>
          <w:szCs w:val="18"/>
        </w:rPr>
        <w:t xml:space="preserve"> is voor 38,5 mln. minder uitgegeven dan begroot. Er is onderuitputting doordat van twee projecten de maximale subsidiegrens is benaderd. Het maximale subsidiebedrag 2015 is een percentage van de hoofdsom. Die hoofdsom is lager uitgevallen dan begroot. Derhalve is het in 2015 uit te betalen subsidiebedrag lager dan voorzien. De onderuitputting werd verder versterkt door opgelopen vertraging binnen een derde project.</w:t>
      </w:r>
    </w:p>
    <w:p w:rsidRPr="006A0765" w:rsidR="006A0765" w:rsidP="003C1C66" w:rsidRDefault="006A0765">
      <w:pPr>
        <w:pStyle w:val="Lijstalinea"/>
        <w:numPr>
          <w:ilvl w:val="0"/>
          <w:numId w:val="28"/>
        </w:numPr>
        <w:spacing w:line="240" w:lineRule="exact"/>
        <w:rPr>
          <w:rFonts w:ascii="Verdana" w:hAnsi="Verdana"/>
          <w:sz w:val="18"/>
          <w:szCs w:val="18"/>
        </w:rPr>
      </w:pPr>
      <w:r>
        <w:rPr>
          <w:rFonts w:ascii="Verdana" w:hAnsi="Verdana"/>
          <w:sz w:val="18"/>
          <w:szCs w:val="18"/>
        </w:rPr>
        <w:t>O</w:t>
      </w:r>
      <w:r w:rsidRPr="006A0765">
        <w:rPr>
          <w:rFonts w:ascii="Verdana" w:hAnsi="Verdana"/>
          <w:sz w:val="18"/>
          <w:szCs w:val="18"/>
        </w:rPr>
        <w:t xml:space="preserve">p het artikelonderdeel overige projecten is sprake van een overschrijding van 19,8 mln. Dit is het gevolg van hogere uitgaven binnen de Project Overstijgende Verkenning Macrostabiliteit (17 mln.), de projecten </w:t>
      </w:r>
      <w:proofErr w:type="spellStart"/>
      <w:r w:rsidRPr="006A0765">
        <w:rPr>
          <w:rFonts w:ascii="Verdana" w:hAnsi="Verdana"/>
          <w:sz w:val="18"/>
          <w:szCs w:val="18"/>
        </w:rPr>
        <w:t>Opijnen-Ophemert</w:t>
      </w:r>
      <w:proofErr w:type="spellEnd"/>
      <w:r w:rsidRPr="006A0765">
        <w:rPr>
          <w:rFonts w:ascii="Verdana" w:hAnsi="Verdana"/>
          <w:sz w:val="18"/>
          <w:szCs w:val="18"/>
        </w:rPr>
        <w:t xml:space="preserve"> (5 mln.), Fort </w:t>
      </w:r>
      <w:proofErr w:type="spellStart"/>
      <w:r w:rsidRPr="006A0765">
        <w:rPr>
          <w:rFonts w:ascii="Verdana" w:hAnsi="Verdana"/>
          <w:sz w:val="18"/>
          <w:szCs w:val="18"/>
        </w:rPr>
        <w:t>Vuren-Waardenburg</w:t>
      </w:r>
      <w:proofErr w:type="spellEnd"/>
      <w:r w:rsidRPr="006A0765">
        <w:rPr>
          <w:rFonts w:ascii="Verdana" w:hAnsi="Verdana"/>
          <w:sz w:val="18"/>
          <w:szCs w:val="18"/>
        </w:rPr>
        <w:t xml:space="preserve"> (2,5 mln.) en diverse kleinere projecten (10 mln.). Tegelijkertijd zorgen vertragingen bij het project </w:t>
      </w:r>
      <w:proofErr w:type="spellStart"/>
      <w:r w:rsidRPr="006A0765">
        <w:rPr>
          <w:rFonts w:ascii="Verdana" w:hAnsi="Verdana"/>
          <w:sz w:val="18"/>
          <w:szCs w:val="18"/>
        </w:rPr>
        <w:t>Steenbestorting</w:t>
      </w:r>
      <w:proofErr w:type="spellEnd"/>
      <w:r w:rsidRPr="006A0765">
        <w:rPr>
          <w:rFonts w:ascii="Verdana" w:hAnsi="Verdana"/>
          <w:sz w:val="18"/>
          <w:szCs w:val="18"/>
        </w:rPr>
        <w:t xml:space="preserve"> Westerschelde (7 mln.) en onderprogrammering (7 mln.) voor lagere uitgaven; </w:t>
      </w:r>
    </w:p>
    <w:p w:rsidRPr="006A0765" w:rsidR="006A0765" w:rsidP="003C1C66" w:rsidRDefault="006A0765">
      <w:pPr>
        <w:pStyle w:val="Lijstalinea"/>
        <w:numPr>
          <w:ilvl w:val="0"/>
          <w:numId w:val="28"/>
        </w:numPr>
        <w:spacing w:line="240" w:lineRule="exact"/>
        <w:rPr>
          <w:rFonts w:ascii="Verdana" w:hAnsi="Verdana"/>
          <w:sz w:val="18"/>
          <w:szCs w:val="18"/>
        </w:rPr>
      </w:pPr>
      <w:r>
        <w:rPr>
          <w:rFonts w:ascii="Verdana" w:hAnsi="Verdana"/>
          <w:sz w:val="18"/>
          <w:szCs w:val="18"/>
        </w:rPr>
        <w:t>O</w:t>
      </w:r>
      <w:r w:rsidRPr="006A0765">
        <w:rPr>
          <w:rFonts w:ascii="Verdana" w:hAnsi="Verdana"/>
          <w:sz w:val="18"/>
          <w:szCs w:val="18"/>
        </w:rPr>
        <w:t>p het artikelonderdeel studie- en onderzoekskosten is 1,8 mln. minder uitgegeven. Dit komt met name door vertragingen in diverse kleinere onderzoeken.</w:t>
      </w:r>
    </w:p>
    <w:p w:rsidRPr="00FD3762" w:rsidR="006A0765" w:rsidP="003C1C66" w:rsidRDefault="006A0765">
      <w:pPr>
        <w:spacing w:line="240" w:lineRule="exact"/>
        <w:rPr>
          <w:rFonts w:ascii="Verdana" w:hAnsi="Verdana"/>
          <w:b/>
          <w:i/>
          <w:sz w:val="18"/>
          <w:szCs w:val="18"/>
        </w:rPr>
      </w:pPr>
    </w:p>
    <w:p w:rsidRPr="003C1C66" w:rsidR="006A0765" w:rsidP="003C1C66" w:rsidRDefault="006A0765">
      <w:pPr>
        <w:spacing w:line="240" w:lineRule="exact"/>
        <w:rPr>
          <w:rFonts w:ascii="Verdana" w:hAnsi="Verdana"/>
          <w:i/>
          <w:sz w:val="18"/>
          <w:szCs w:val="18"/>
        </w:rPr>
      </w:pPr>
      <w:r w:rsidRPr="003C1C66">
        <w:rPr>
          <w:rFonts w:ascii="Verdana" w:hAnsi="Verdana"/>
          <w:i/>
          <w:sz w:val="18"/>
          <w:szCs w:val="18"/>
        </w:rPr>
        <w:lastRenderedPageBreak/>
        <w:t>Diversen (beleidsmatige mutaties)</w:t>
      </w:r>
    </w:p>
    <w:p w:rsidRPr="00FD3762" w:rsidR="006A0765" w:rsidP="003C1C66" w:rsidRDefault="006A0765">
      <w:pPr>
        <w:spacing w:line="240" w:lineRule="exact"/>
        <w:rPr>
          <w:rFonts w:ascii="Verdana" w:hAnsi="Verdana"/>
          <w:sz w:val="18"/>
          <w:szCs w:val="18"/>
        </w:rPr>
      </w:pPr>
      <w:r w:rsidRPr="00FD3762">
        <w:rPr>
          <w:rFonts w:ascii="Verdana" w:hAnsi="Verdana"/>
          <w:sz w:val="18"/>
          <w:szCs w:val="18"/>
        </w:rPr>
        <w:t>Deze post bestaat onder andere uit de volgende mutaties.</w:t>
      </w:r>
    </w:p>
    <w:p w:rsidRPr="003C1C66" w:rsidR="006A0765" w:rsidP="003C1C66" w:rsidRDefault="003C1C66">
      <w:pPr>
        <w:pStyle w:val="Lijstalinea"/>
        <w:numPr>
          <w:ilvl w:val="0"/>
          <w:numId w:val="33"/>
        </w:numPr>
        <w:spacing w:line="240" w:lineRule="exact"/>
        <w:rPr>
          <w:rFonts w:ascii="Verdana" w:hAnsi="Verdana"/>
          <w:sz w:val="18"/>
          <w:szCs w:val="18"/>
        </w:rPr>
      </w:pPr>
      <w:r w:rsidRPr="003C1C66">
        <w:rPr>
          <w:rFonts w:ascii="Verdana" w:hAnsi="Verdana"/>
          <w:i/>
          <w:sz w:val="18"/>
          <w:szCs w:val="18"/>
        </w:rPr>
        <w:t>Saldo 2015</w:t>
      </w:r>
      <w:r w:rsidRPr="003C1C66" w:rsidR="006A0765">
        <w:rPr>
          <w:rFonts w:ascii="Verdana" w:hAnsi="Verdana"/>
          <w:i/>
          <w:sz w:val="18"/>
          <w:szCs w:val="18"/>
        </w:rPr>
        <w:t xml:space="preserve"> BOV</w:t>
      </w:r>
      <w:r w:rsidRPr="003C1C66">
        <w:rPr>
          <w:rFonts w:ascii="Verdana" w:hAnsi="Verdana"/>
          <w:i/>
          <w:sz w:val="18"/>
          <w:szCs w:val="18"/>
        </w:rPr>
        <w:t xml:space="preserve">: </w:t>
      </w:r>
      <w:r w:rsidRPr="003C1C66" w:rsidR="006A0765">
        <w:rPr>
          <w:rFonts w:ascii="Verdana" w:hAnsi="Verdana"/>
          <w:sz w:val="18"/>
          <w:szCs w:val="18"/>
        </w:rPr>
        <w:t xml:space="preserve">De onderuitputting van 5,9 mln. op dit artikel wordt enerzijds veroorzaakt door lagere uitgaven binnen het project Stroomlijn vanwege vertraging en </w:t>
      </w:r>
      <w:proofErr w:type="spellStart"/>
      <w:r w:rsidRPr="003C1C66" w:rsidR="006A0765">
        <w:rPr>
          <w:rFonts w:ascii="Verdana" w:hAnsi="Verdana"/>
          <w:sz w:val="18"/>
          <w:szCs w:val="18"/>
        </w:rPr>
        <w:t>scope-aanpassingen</w:t>
      </w:r>
      <w:proofErr w:type="spellEnd"/>
      <w:r w:rsidRPr="003C1C66" w:rsidR="006A0765">
        <w:rPr>
          <w:rFonts w:ascii="Verdana" w:hAnsi="Verdana"/>
          <w:sz w:val="18"/>
          <w:szCs w:val="18"/>
        </w:rPr>
        <w:t xml:space="preserve"> (11 mln.) en anderzijds door hogere uitgaven van het project Renovatie Stuwensemble </w:t>
      </w:r>
      <w:proofErr w:type="spellStart"/>
      <w:r w:rsidRPr="003C1C66" w:rsidR="006A0765">
        <w:rPr>
          <w:rFonts w:ascii="Verdana" w:hAnsi="Verdana"/>
          <w:sz w:val="18"/>
          <w:szCs w:val="18"/>
        </w:rPr>
        <w:t>Nederrijn</w:t>
      </w:r>
      <w:proofErr w:type="spellEnd"/>
      <w:r w:rsidRPr="003C1C66" w:rsidR="006A0765">
        <w:rPr>
          <w:rFonts w:ascii="Verdana" w:hAnsi="Verdana"/>
          <w:sz w:val="18"/>
          <w:szCs w:val="18"/>
        </w:rPr>
        <w:t xml:space="preserve"> vanwege eerdere gunning van het project (5 mln.). </w:t>
      </w:r>
    </w:p>
    <w:p w:rsidRPr="003C1C66" w:rsidR="006A0765" w:rsidP="003C1C66" w:rsidRDefault="003C1C66">
      <w:pPr>
        <w:pStyle w:val="Lijstalinea"/>
        <w:numPr>
          <w:ilvl w:val="0"/>
          <w:numId w:val="33"/>
        </w:numPr>
        <w:spacing w:line="240" w:lineRule="exact"/>
        <w:rPr>
          <w:rFonts w:ascii="Verdana" w:hAnsi="Verdana"/>
          <w:sz w:val="18"/>
          <w:szCs w:val="18"/>
        </w:rPr>
      </w:pPr>
      <w:r w:rsidRPr="003C1C66">
        <w:rPr>
          <w:rFonts w:ascii="Verdana" w:hAnsi="Verdana"/>
          <w:i/>
          <w:sz w:val="18"/>
          <w:szCs w:val="18"/>
        </w:rPr>
        <w:t>Saldo 2015</w:t>
      </w:r>
      <w:r w:rsidRPr="003C1C66" w:rsidR="006A0765">
        <w:rPr>
          <w:rFonts w:ascii="Verdana" w:hAnsi="Verdana"/>
          <w:i/>
          <w:sz w:val="18"/>
          <w:szCs w:val="18"/>
        </w:rPr>
        <w:t xml:space="preserve"> overige uitgaven</w:t>
      </w:r>
      <w:r w:rsidRPr="003C1C66">
        <w:rPr>
          <w:rFonts w:ascii="Verdana" w:hAnsi="Verdana"/>
          <w:i/>
          <w:sz w:val="18"/>
          <w:szCs w:val="18"/>
        </w:rPr>
        <w:t xml:space="preserve">: </w:t>
      </w:r>
      <w:r w:rsidRPr="003C1C66" w:rsidR="006A0765">
        <w:rPr>
          <w:rFonts w:ascii="Verdana" w:hAnsi="Verdana"/>
          <w:sz w:val="18"/>
          <w:szCs w:val="18"/>
        </w:rPr>
        <w:t>Dit betreft een kasschuif van een ontvangst van het ministerie van EZ naar 2016. IenM heeft 3,6 mln. uitgegeven voor de aankoop van gronden binnen het project de Kier. Ter compensatie van deze uitgave heeft IenM 3,6 mln. ontvangen van EZ. Deze gelden vloeien terug naar de programmaruimte waaruit de grondaankopen zijn voorgefinancierd en worden vervolgens doorgeschoven naar 2016.</w:t>
      </w:r>
    </w:p>
    <w:p w:rsidRPr="003C1C66" w:rsidR="006A0765" w:rsidP="003C1C66" w:rsidRDefault="006A0765">
      <w:pPr>
        <w:pStyle w:val="Lijstalinea"/>
        <w:numPr>
          <w:ilvl w:val="0"/>
          <w:numId w:val="33"/>
        </w:numPr>
        <w:spacing w:line="240" w:lineRule="exact"/>
        <w:rPr>
          <w:rFonts w:ascii="Verdana" w:hAnsi="Verdana"/>
          <w:sz w:val="18"/>
          <w:szCs w:val="18"/>
        </w:rPr>
      </w:pPr>
      <w:r w:rsidRPr="003C1C66">
        <w:rPr>
          <w:rFonts w:ascii="Verdana" w:hAnsi="Verdana"/>
          <w:i/>
          <w:sz w:val="18"/>
          <w:szCs w:val="18"/>
        </w:rPr>
        <w:t>Saldo 2015 waterkwaliteit</w:t>
      </w:r>
      <w:r w:rsidRPr="003C1C66" w:rsidR="003C1C66">
        <w:rPr>
          <w:rFonts w:ascii="Verdana" w:hAnsi="Verdana"/>
          <w:i/>
          <w:sz w:val="18"/>
          <w:szCs w:val="18"/>
        </w:rPr>
        <w:t xml:space="preserve">: </w:t>
      </w:r>
      <w:r w:rsidRPr="003C1C66">
        <w:rPr>
          <w:rFonts w:ascii="Verdana" w:hAnsi="Verdana"/>
          <w:sz w:val="18"/>
          <w:szCs w:val="18"/>
        </w:rPr>
        <w:t xml:space="preserve">De onderuitputting van 14 mln. op dit artikel kent twee oorzaken. Bij projecten binnen de Kaderrichtlijn Water is 12 mln. aan uitgaven uitgesteld als gevolg van vertraagde vergunningverlening en door het naar achteren verschuiven van een aantal werkzaamheden. De tweede oorzaak voor de onderuitputting is het doorschuiven van de reservering B&amp;O Moeras naar 2016 en een lagere reservering voor wijzigingsovereenkomsten (1,8 mln.). </w:t>
      </w:r>
    </w:p>
    <w:p w:rsidRPr="003C1C66" w:rsidR="006A0765" w:rsidP="003C1C66" w:rsidRDefault="003C1C66">
      <w:pPr>
        <w:pStyle w:val="Lijstalinea"/>
        <w:numPr>
          <w:ilvl w:val="0"/>
          <w:numId w:val="33"/>
        </w:numPr>
        <w:spacing w:line="240" w:lineRule="exact"/>
        <w:rPr>
          <w:rFonts w:ascii="Verdana" w:hAnsi="Verdana"/>
          <w:sz w:val="18"/>
          <w:szCs w:val="18"/>
        </w:rPr>
      </w:pPr>
      <w:r w:rsidRPr="003C1C66">
        <w:rPr>
          <w:rFonts w:ascii="Verdana" w:hAnsi="Verdana"/>
          <w:i/>
          <w:sz w:val="18"/>
          <w:szCs w:val="18"/>
        </w:rPr>
        <w:t>Saldo 2015</w:t>
      </w:r>
      <w:r w:rsidRPr="003C1C66" w:rsidR="006A0765">
        <w:rPr>
          <w:rFonts w:ascii="Verdana" w:hAnsi="Verdana"/>
          <w:i/>
          <w:sz w:val="18"/>
          <w:szCs w:val="18"/>
        </w:rPr>
        <w:t xml:space="preserve"> zoetwatervoorziening</w:t>
      </w:r>
      <w:r w:rsidRPr="003C1C66">
        <w:rPr>
          <w:rFonts w:ascii="Verdana" w:hAnsi="Verdana"/>
          <w:i/>
          <w:sz w:val="18"/>
          <w:szCs w:val="18"/>
        </w:rPr>
        <w:t xml:space="preserve">: </w:t>
      </w:r>
      <w:r w:rsidRPr="003C1C66" w:rsidR="006A0765">
        <w:rPr>
          <w:rFonts w:ascii="Verdana" w:hAnsi="Verdana"/>
          <w:sz w:val="18"/>
          <w:szCs w:val="18"/>
        </w:rPr>
        <w:t xml:space="preserve">Per saldo bedraagt de onderuitputting op dit artikel 5,1 mln. Dit bedrag bestaat uit de volgende componenten. De uitgaven binnen het project Haringvliet de Kier zijn 1,6 mln. hoger dan verwacht vanwege het eerder uitkeren van nadeelcompensatie. Er is 5 mln. minder uitgegeven voor de subsidieregeling Innovatie Kaderrichtlijn Water en heeft het project  Luwtemaatregelen  </w:t>
      </w:r>
      <w:proofErr w:type="spellStart"/>
      <w:r w:rsidRPr="003C1C66" w:rsidR="006A0765">
        <w:rPr>
          <w:rFonts w:ascii="Verdana" w:hAnsi="Verdana"/>
          <w:sz w:val="18"/>
          <w:szCs w:val="18"/>
        </w:rPr>
        <w:t>Hoornse</w:t>
      </w:r>
      <w:proofErr w:type="spellEnd"/>
      <w:r w:rsidRPr="003C1C66" w:rsidR="006A0765">
        <w:rPr>
          <w:rFonts w:ascii="Verdana" w:hAnsi="Verdana"/>
          <w:sz w:val="18"/>
          <w:szCs w:val="18"/>
        </w:rPr>
        <w:t xml:space="preserve"> Hop een onderuitputting van 1,6 mln.</w:t>
      </w:r>
    </w:p>
    <w:p w:rsidRPr="00FD3762" w:rsidR="006A0765" w:rsidP="003C1C66" w:rsidRDefault="006A0765">
      <w:pPr>
        <w:spacing w:line="240" w:lineRule="exact"/>
        <w:rPr>
          <w:rFonts w:ascii="Verdana" w:hAnsi="Verdana"/>
          <w:b/>
          <w:i/>
          <w:sz w:val="18"/>
          <w:szCs w:val="18"/>
        </w:rPr>
      </w:pPr>
    </w:p>
    <w:p w:rsidRPr="003C1C66" w:rsidR="006A0765" w:rsidP="003C1C66" w:rsidRDefault="006A0765">
      <w:pPr>
        <w:spacing w:line="240" w:lineRule="exact"/>
        <w:rPr>
          <w:rFonts w:ascii="Verdana" w:hAnsi="Verdana"/>
          <w:i/>
          <w:sz w:val="18"/>
          <w:szCs w:val="18"/>
        </w:rPr>
      </w:pPr>
      <w:r w:rsidRPr="003C1C66">
        <w:rPr>
          <w:rFonts w:ascii="Verdana" w:hAnsi="Verdana"/>
          <w:i/>
          <w:sz w:val="18"/>
          <w:szCs w:val="18"/>
        </w:rPr>
        <w:t>Diversen</w:t>
      </w:r>
      <w:r w:rsidRPr="003C1C66" w:rsidR="003C1C66">
        <w:rPr>
          <w:rFonts w:ascii="Verdana" w:hAnsi="Verdana"/>
          <w:i/>
          <w:sz w:val="18"/>
          <w:szCs w:val="18"/>
        </w:rPr>
        <w:t xml:space="preserve"> (technische mutaties - uitgaven)</w:t>
      </w:r>
    </w:p>
    <w:p w:rsidRPr="00FD3762" w:rsidR="006A0765" w:rsidP="003C1C66" w:rsidRDefault="006A0765">
      <w:pPr>
        <w:spacing w:line="240" w:lineRule="exact"/>
        <w:rPr>
          <w:rFonts w:ascii="Verdana" w:hAnsi="Verdana"/>
          <w:sz w:val="18"/>
          <w:szCs w:val="18"/>
        </w:rPr>
      </w:pPr>
      <w:r w:rsidRPr="00FD3762">
        <w:rPr>
          <w:rFonts w:ascii="Verdana" w:hAnsi="Verdana"/>
          <w:sz w:val="18"/>
          <w:szCs w:val="18"/>
        </w:rPr>
        <w:t>Deze post bestaat onder andere uit de volgende mutaties.</w:t>
      </w:r>
    </w:p>
    <w:p w:rsidRPr="003C1C66" w:rsidR="006A0765" w:rsidP="003C1C66" w:rsidRDefault="006A0765">
      <w:pPr>
        <w:pStyle w:val="Lijstalinea"/>
        <w:numPr>
          <w:ilvl w:val="0"/>
          <w:numId w:val="32"/>
        </w:numPr>
        <w:spacing w:line="240" w:lineRule="exact"/>
        <w:rPr>
          <w:rFonts w:ascii="Verdana" w:hAnsi="Verdana"/>
          <w:sz w:val="18"/>
          <w:szCs w:val="18"/>
        </w:rPr>
      </w:pPr>
      <w:r w:rsidRPr="003C1C66">
        <w:rPr>
          <w:rFonts w:ascii="Verdana" w:hAnsi="Verdana"/>
          <w:i/>
          <w:sz w:val="18"/>
          <w:szCs w:val="18"/>
        </w:rPr>
        <w:t>Project de Kier</w:t>
      </w:r>
      <w:r w:rsidRPr="003C1C66" w:rsidR="003C1C66">
        <w:rPr>
          <w:rFonts w:ascii="Verdana" w:hAnsi="Verdana"/>
          <w:i/>
          <w:sz w:val="18"/>
          <w:szCs w:val="18"/>
        </w:rPr>
        <w:t xml:space="preserve">: </w:t>
      </w:r>
      <w:r w:rsidRPr="003C1C66">
        <w:rPr>
          <w:rFonts w:ascii="Verdana" w:hAnsi="Verdana"/>
          <w:sz w:val="18"/>
          <w:szCs w:val="18"/>
        </w:rPr>
        <w:t>Dit betreft een kasschuif van een ontvangst van het ministerie van EZ naar 2016. IenM heeft 3,6 mln. uitgegeven voor de aankoop van gronden binnen het project de Kier. Ter compensatie van deze uitgave heeft IenM 3,6 mln. ontvangen van EZ. Deze gelden vloeien terug naar de programmaruimte waaruit de grondaankopen zijn voorgefinancierd en worden vervolgens doorgeschoven naar 2016.</w:t>
      </w:r>
    </w:p>
    <w:p w:rsidRPr="003C1C66" w:rsidR="006A0765" w:rsidP="003C1C66" w:rsidRDefault="003C1C66">
      <w:pPr>
        <w:pStyle w:val="Lijstalinea"/>
        <w:numPr>
          <w:ilvl w:val="0"/>
          <w:numId w:val="32"/>
        </w:numPr>
        <w:spacing w:line="240" w:lineRule="exact"/>
        <w:rPr>
          <w:rFonts w:ascii="Verdana" w:hAnsi="Verdana"/>
          <w:sz w:val="18"/>
          <w:szCs w:val="18"/>
        </w:rPr>
      </w:pPr>
      <w:r w:rsidRPr="003C1C66">
        <w:rPr>
          <w:rFonts w:ascii="Verdana" w:hAnsi="Verdana"/>
          <w:i/>
          <w:sz w:val="18"/>
          <w:szCs w:val="18"/>
        </w:rPr>
        <w:t>Provinciefonds</w:t>
      </w:r>
      <w:r w:rsidRPr="003C1C66" w:rsidR="006A0765">
        <w:rPr>
          <w:rFonts w:ascii="Verdana" w:hAnsi="Verdana"/>
          <w:i/>
          <w:sz w:val="18"/>
          <w:szCs w:val="18"/>
        </w:rPr>
        <w:t xml:space="preserve"> </w:t>
      </w:r>
      <w:proofErr w:type="spellStart"/>
      <w:r w:rsidRPr="003C1C66" w:rsidR="006A0765">
        <w:rPr>
          <w:rFonts w:ascii="Verdana" w:hAnsi="Verdana"/>
          <w:i/>
          <w:sz w:val="18"/>
          <w:szCs w:val="18"/>
        </w:rPr>
        <w:t>Ooijen-Wanssum</w:t>
      </w:r>
      <w:proofErr w:type="spellEnd"/>
      <w:r w:rsidRPr="003C1C66">
        <w:rPr>
          <w:rFonts w:ascii="Verdana" w:hAnsi="Verdana"/>
          <w:i/>
          <w:sz w:val="18"/>
          <w:szCs w:val="18"/>
        </w:rPr>
        <w:t xml:space="preserve">: </w:t>
      </w:r>
      <w:r w:rsidRPr="003C1C66" w:rsidR="006A0765">
        <w:rPr>
          <w:rFonts w:ascii="Verdana" w:hAnsi="Verdana"/>
          <w:sz w:val="18"/>
          <w:szCs w:val="18"/>
        </w:rPr>
        <w:t xml:space="preserve">Dit betreft een overboeking van 2,7 mln. naar het Provinciefonds voor de rijksbijdrage aan het project </w:t>
      </w:r>
      <w:proofErr w:type="spellStart"/>
      <w:r w:rsidRPr="003C1C66" w:rsidR="006A0765">
        <w:rPr>
          <w:rFonts w:ascii="Verdana" w:hAnsi="Verdana"/>
          <w:sz w:val="18"/>
          <w:szCs w:val="18"/>
        </w:rPr>
        <w:t>Ooijen-Wanssum</w:t>
      </w:r>
      <w:proofErr w:type="spellEnd"/>
      <w:r w:rsidRPr="003C1C66" w:rsidR="006A0765">
        <w:rPr>
          <w:rFonts w:ascii="Verdana" w:hAnsi="Verdana"/>
          <w:sz w:val="18"/>
          <w:szCs w:val="18"/>
        </w:rPr>
        <w:t>.</w:t>
      </w:r>
    </w:p>
    <w:p w:rsidRPr="00FD3762" w:rsidR="006A0765" w:rsidP="003C1C66" w:rsidRDefault="006A0765">
      <w:pPr>
        <w:spacing w:line="240" w:lineRule="exact"/>
        <w:rPr>
          <w:rFonts w:ascii="Verdana" w:hAnsi="Verdana"/>
          <w:b/>
          <w:i/>
          <w:sz w:val="18"/>
          <w:szCs w:val="18"/>
        </w:rPr>
      </w:pPr>
    </w:p>
    <w:p w:rsidRPr="003C1C66" w:rsidR="003C1C66" w:rsidP="003C1C66" w:rsidRDefault="003C1C66">
      <w:pPr>
        <w:spacing w:line="240" w:lineRule="exact"/>
        <w:rPr>
          <w:rFonts w:ascii="Verdana" w:hAnsi="Verdana"/>
          <w:i/>
          <w:sz w:val="18"/>
          <w:szCs w:val="18"/>
        </w:rPr>
      </w:pPr>
      <w:r w:rsidRPr="003C1C66">
        <w:rPr>
          <w:rFonts w:ascii="Verdana" w:hAnsi="Verdana"/>
          <w:i/>
          <w:sz w:val="18"/>
          <w:szCs w:val="18"/>
        </w:rPr>
        <w:t>Diversen (technische mutaties – niet-belastingontvangsten)</w:t>
      </w:r>
    </w:p>
    <w:p w:rsidRPr="00FD3762" w:rsidR="006A0765" w:rsidP="003C1C66" w:rsidRDefault="006A0765">
      <w:pPr>
        <w:spacing w:line="240" w:lineRule="exact"/>
        <w:rPr>
          <w:rFonts w:ascii="Verdana" w:hAnsi="Verdana"/>
          <w:sz w:val="18"/>
          <w:szCs w:val="18"/>
        </w:rPr>
      </w:pPr>
      <w:r w:rsidRPr="00FD3762">
        <w:rPr>
          <w:rFonts w:ascii="Verdana" w:hAnsi="Verdana"/>
          <w:sz w:val="18"/>
          <w:szCs w:val="18"/>
        </w:rPr>
        <w:t>Deze post bestaat onder andere uit de volgende mutaties.</w:t>
      </w:r>
    </w:p>
    <w:p w:rsidRPr="003C1C66" w:rsidR="006A0765" w:rsidP="003C1C66" w:rsidRDefault="006A0765">
      <w:pPr>
        <w:pStyle w:val="Lijstalinea"/>
        <w:numPr>
          <w:ilvl w:val="0"/>
          <w:numId w:val="31"/>
        </w:numPr>
        <w:spacing w:line="240" w:lineRule="exact"/>
        <w:rPr>
          <w:rFonts w:ascii="Verdana" w:hAnsi="Verdana"/>
          <w:sz w:val="18"/>
          <w:szCs w:val="18"/>
        </w:rPr>
      </w:pPr>
      <w:r w:rsidRPr="003C1C66">
        <w:rPr>
          <w:rFonts w:ascii="Verdana" w:hAnsi="Verdana"/>
          <w:i/>
          <w:sz w:val="18"/>
          <w:szCs w:val="18"/>
        </w:rPr>
        <w:t>Project de Kier</w:t>
      </w:r>
      <w:r w:rsidRPr="003C1C66" w:rsidR="003C1C66">
        <w:rPr>
          <w:rFonts w:ascii="Verdana" w:hAnsi="Verdana"/>
          <w:i/>
          <w:sz w:val="18"/>
          <w:szCs w:val="18"/>
        </w:rPr>
        <w:t xml:space="preserve">: </w:t>
      </w:r>
      <w:r w:rsidRPr="003C1C66">
        <w:rPr>
          <w:rFonts w:ascii="Verdana" w:hAnsi="Verdana"/>
          <w:sz w:val="18"/>
          <w:szCs w:val="18"/>
        </w:rPr>
        <w:t>Dit betreft een kasschuif van een ontvangst van het ministerie van EZ naar 2016. IenM heeft 3,6 mln. uitgegeven voor de aankoop van gronden binnen het project de Kier. Ter compensatie van deze uitgave heeft IenM 3,6 mln. ontvangen van EZ. Deze gelden vloeien terug naar de programmaruimte waaruit de grondaankopen zijn voorgefinancierd en worden vervolgens doorgeschoven naar 2016.</w:t>
      </w:r>
    </w:p>
    <w:p w:rsidRPr="003C1C66" w:rsidR="006A0765" w:rsidP="003C1C66" w:rsidRDefault="003C1C66">
      <w:pPr>
        <w:pStyle w:val="Lijstalinea"/>
        <w:numPr>
          <w:ilvl w:val="0"/>
          <w:numId w:val="31"/>
        </w:numPr>
        <w:spacing w:line="240" w:lineRule="exact"/>
        <w:rPr>
          <w:rFonts w:ascii="Verdana" w:hAnsi="Verdana"/>
          <w:sz w:val="18"/>
          <w:szCs w:val="18"/>
        </w:rPr>
      </w:pPr>
      <w:r w:rsidRPr="003C1C66">
        <w:rPr>
          <w:rFonts w:ascii="Verdana" w:hAnsi="Verdana"/>
          <w:i/>
          <w:sz w:val="18"/>
          <w:szCs w:val="18"/>
        </w:rPr>
        <w:t>Provinciefonds</w:t>
      </w:r>
      <w:r w:rsidRPr="003C1C66" w:rsidR="006A0765">
        <w:rPr>
          <w:rFonts w:ascii="Verdana" w:hAnsi="Verdana"/>
          <w:i/>
          <w:sz w:val="18"/>
          <w:szCs w:val="18"/>
        </w:rPr>
        <w:t xml:space="preserve"> </w:t>
      </w:r>
      <w:proofErr w:type="spellStart"/>
      <w:r w:rsidRPr="003C1C66" w:rsidR="006A0765">
        <w:rPr>
          <w:rFonts w:ascii="Verdana" w:hAnsi="Verdana"/>
          <w:i/>
          <w:sz w:val="18"/>
          <w:szCs w:val="18"/>
        </w:rPr>
        <w:t>Ooijen-Wanssum</w:t>
      </w:r>
      <w:proofErr w:type="spellEnd"/>
      <w:r w:rsidRPr="003C1C66">
        <w:rPr>
          <w:rFonts w:ascii="Verdana" w:hAnsi="Verdana"/>
          <w:i/>
          <w:sz w:val="18"/>
          <w:szCs w:val="18"/>
        </w:rPr>
        <w:t xml:space="preserve">: </w:t>
      </w:r>
      <w:r w:rsidRPr="003C1C66" w:rsidR="006A0765">
        <w:rPr>
          <w:rFonts w:ascii="Verdana" w:hAnsi="Verdana"/>
          <w:sz w:val="18"/>
          <w:szCs w:val="18"/>
        </w:rPr>
        <w:t xml:space="preserve">Dit betreft een overboeking van 2,7 mln. naar het Provinciefonds voor de rijksbijdrage aan het project </w:t>
      </w:r>
      <w:proofErr w:type="spellStart"/>
      <w:r w:rsidRPr="003C1C66" w:rsidR="006A0765">
        <w:rPr>
          <w:rFonts w:ascii="Verdana" w:hAnsi="Verdana"/>
          <w:sz w:val="18"/>
          <w:szCs w:val="18"/>
        </w:rPr>
        <w:t>Ooijen-Wanssum</w:t>
      </w:r>
      <w:proofErr w:type="spellEnd"/>
      <w:r w:rsidRPr="003C1C66" w:rsidR="006A0765">
        <w:rPr>
          <w:rFonts w:ascii="Verdana" w:hAnsi="Verdana"/>
          <w:sz w:val="18"/>
          <w:szCs w:val="18"/>
        </w:rPr>
        <w:t>.</w:t>
      </w:r>
    </w:p>
    <w:p w:rsidR="00FD7153" w:rsidP="003C1C66" w:rsidRDefault="00FD7153">
      <w:pPr>
        <w:spacing w:line="240" w:lineRule="exact"/>
        <w:rPr>
          <w:rFonts w:ascii="Verdana" w:hAnsi="Verdana" w:cs="Verdana"/>
          <w:b/>
          <w:bCs/>
          <w:sz w:val="18"/>
          <w:szCs w:val="18"/>
        </w:rPr>
      </w:pPr>
      <w:r>
        <w:rPr>
          <w:rFonts w:ascii="Verdana" w:hAnsi="Verdana" w:cs="Verdana"/>
          <w:b/>
          <w:bCs/>
          <w:sz w:val="18"/>
          <w:szCs w:val="18"/>
        </w:rPr>
        <w:br w:type="page"/>
      </w:r>
    </w:p>
    <w:p w:rsidRPr="00533D5C" w:rsidR="00BA1E17" w:rsidP="00533D5C" w:rsidRDefault="00BA1E17">
      <w:pPr>
        <w:spacing w:line="240" w:lineRule="exact"/>
        <w:rPr>
          <w:rFonts w:ascii="Verdana" w:hAnsi="Verdana" w:cs="Verdana"/>
          <w:b/>
          <w:bCs/>
          <w:sz w:val="18"/>
          <w:szCs w:val="18"/>
        </w:rPr>
      </w:pPr>
      <w:r w:rsidRPr="00533D5C">
        <w:rPr>
          <w:rFonts w:ascii="Verdana" w:hAnsi="Verdana" w:cs="Verdana"/>
          <w:b/>
          <w:bCs/>
          <w:sz w:val="18"/>
          <w:szCs w:val="18"/>
        </w:rPr>
        <w:lastRenderedPageBreak/>
        <w:t>Prijsbijstelling</w:t>
      </w:r>
    </w:p>
    <w:tbl>
      <w:tblPr>
        <w:tblW w:w="0" w:type="auto"/>
        <w:tblCellMar>
          <w:top w:w="15" w:type="dxa"/>
          <w:left w:w="15" w:type="dxa"/>
          <w:bottom w:w="15" w:type="dxa"/>
          <w:right w:w="15" w:type="dxa"/>
        </w:tblCellMar>
        <w:tblLook w:val="04A0"/>
      </w:tblPr>
      <w:tblGrid>
        <w:gridCol w:w="8245"/>
        <w:gridCol w:w="857"/>
      </w:tblGrid>
      <w:tr w:rsidR="00B61946" w:rsidTr="00B61946">
        <w:tc>
          <w:tcPr>
            <w:tcW w:w="8245" w:type="dxa"/>
            <w:tcBorders>
              <w:left w:val="nil"/>
              <w:right w:val="nil"/>
            </w:tcBorders>
            <w:hideMark/>
          </w:tcPr>
          <w:p w:rsidR="00B61946" w:rsidP="00E36E4F" w:rsidRDefault="00B61946">
            <w:pPr>
              <w:rPr>
                <w:rFonts w:ascii="Verdana" w:hAnsi="Verdana"/>
                <w:sz w:val="18"/>
                <w:szCs w:val="18"/>
              </w:rPr>
            </w:pPr>
          </w:p>
        </w:tc>
        <w:tc>
          <w:tcPr>
            <w:tcW w:w="857" w:type="dxa"/>
            <w:tcBorders>
              <w:left w:val="nil"/>
              <w:right w:val="nil"/>
            </w:tcBorders>
            <w:hideMark/>
          </w:tcPr>
          <w:p w:rsidR="00B61946" w:rsidP="00E36E4F" w:rsidRDefault="00B61946">
            <w:pPr>
              <w:rPr>
                <w:rFonts w:ascii="Verdana" w:hAnsi="Verdana"/>
                <w:sz w:val="18"/>
                <w:szCs w:val="18"/>
              </w:rPr>
            </w:pPr>
            <w:r>
              <w:rPr>
                <w:rFonts w:ascii="Verdana" w:hAnsi="Verdana"/>
                <w:sz w:val="18"/>
                <w:szCs w:val="18"/>
              </w:rPr>
              <w:t> </w:t>
            </w:r>
          </w:p>
        </w:tc>
      </w:tr>
      <w:tr w:rsidR="00B61946" w:rsidTr="00E36E4F">
        <w:tc>
          <w:tcPr>
            <w:tcW w:w="0" w:type="auto"/>
            <w:tcBorders>
              <w:left w:val="nil"/>
              <w:right w:val="nil"/>
            </w:tcBorders>
            <w:hideMark/>
          </w:tcPr>
          <w:p w:rsidR="00B61946" w:rsidP="00E36E4F" w:rsidRDefault="00B61946">
            <w:pPr>
              <w:rPr>
                <w:rFonts w:ascii="Verdana" w:hAnsi="Verdana"/>
                <w:sz w:val="18"/>
                <w:szCs w:val="18"/>
              </w:rPr>
            </w:pPr>
            <w:r>
              <w:rPr>
                <w:rFonts w:ascii="Verdana" w:hAnsi="Verdana"/>
                <w:sz w:val="18"/>
                <w:szCs w:val="18"/>
              </w:rPr>
              <w:t>PRIJSBIJSTELLING: UITGAVEN</w:t>
            </w:r>
          </w:p>
        </w:tc>
        <w:tc>
          <w:tcPr>
            <w:tcW w:w="0" w:type="auto"/>
            <w:hideMark/>
          </w:tcPr>
          <w:p w:rsidR="00B61946" w:rsidP="00E36E4F" w:rsidRDefault="00B61946">
            <w:pPr>
              <w:rPr>
                <w:sz w:val="20"/>
                <w:szCs w:val="20"/>
              </w:rPr>
            </w:pPr>
          </w:p>
        </w:tc>
      </w:tr>
      <w:tr w:rsidR="00B61946" w:rsidTr="00E36E4F">
        <w:tc>
          <w:tcPr>
            <w:tcW w:w="0" w:type="auto"/>
            <w:tcBorders>
              <w:top w:val="single" w:color="000000" w:sz="6" w:space="0"/>
              <w:left w:val="nil"/>
              <w:bottom w:val="single" w:color="000000" w:sz="6" w:space="0"/>
              <w:right w:val="nil"/>
            </w:tcBorders>
            <w:hideMark/>
          </w:tcPr>
          <w:p w:rsidR="00B61946" w:rsidP="00E36E4F" w:rsidRDefault="00B61946">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B61946" w:rsidP="00E36E4F" w:rsidRDefault="00B61946">
            <w:pPr>
              <w:jc w:val="right"/>
              <w:rPr>
                <w:rFonts w:ascii="Verdana" w:hAnsi="Verdana"/>
                <w:sz w:val="18"/>
                <w:szCs w:val="18"/>
              </w:rPr>
            </w:pPr>
            <w:r>
              <w:rPr>
                <w:rFonts w:ascii="Verdana" w:hAnsi="Verdana"/>
                <w:sz w:val="18"/>
                <w:szCs w:val="18"/>
              </w:rPr>
              <w:t>2015</w:t>
            </w:r>
          </w:p>
        </w:tc>
      </w:tr>
      <w:tr w:rsidR="00B61946" w:rsidTr="00E36E4F">
        <w:tc>
          <w:tcPr>
            <w:tcW w:w="0" w:type="auto"/>
            <w:tcBorders>
              <w:left w:val="nil"/>
              <w:right w:val="nil"/>
            </w:tcBorders>
            <w:hideMark/>
          </w:tcPr>
          <w:p w:rsidR="00B61946" w:rsidP="00E36E4F" w:rsidRDefault="00B61946">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B61946" w:rsidP="00E36E4F" w:rsidRDefault="00B61946">
            <w:pPr>
              <w:jc w:val="right"/>
              <w:rPr>
                <w:rFonts w:ascii="Verdana" w:hAnsi="Verdana"/>
                <w:sz w:val="18"/>
                <w:szCs w:val="18"/>
              </w:rPr>
            </w:pPr>
            <w:r>
              <w:rPr>
                <w:rFonts w:ascii="Verdana" w:hAnsi="Verdana"/>
                <w:sz w:val="18"/>
                <w:szCs w:val="18"/>
              </w:rPr>
              <w:t>0,0</w:t>
            </w:r>
          </w:p>
        </w:tc>
      </w:tr>
      <w:tr w:rsidR="00B61946" w:rsidTr="00E36E4F">
        <w:tc>
          <w:tcPr>
            <w:tcW w:w="0" w:type="auto"/>
            <w:tcBorders>
              <w:left w:val="nil"/>
              <w:right w:val="nil"/>
            </w:tcBorders>
            <w:hideMark/>
          </w:tcPr>
          <w:p w:rsidR="00B61946" w:rsidP="00E36E4F" w:rsidRDefault="00B61946">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B61946" w:rsidP="00E36E4F" w:rsidRDefault="00B61946">
            <w:pPr>
              <w:jc w:val="right"/>
              <w:rPr>
                <w:rFonts w:ascii="Verdana" w:hAnsi="Verdana"/>
                <w:sz w:val="18"/>
                <w:szCs w:val="18"/>
              </w:rPr>
            </w:pPr>
            <w:r>
              <w:rPr>
                <w:rFonts w:ascii="Verdana" w:hAnsi="Verdana"/>
                <w:sz w:val="18"/>
                <w:szCs w:val="18"/>
              </w:rPr>
              <w:t>0,0</w:t>
            </w:r>
          </w:p>
        </w:tc>
      </w:tr>
      <w:tr w:rsidR="00B61946" w:rsidTr="00E36E4F">
        <w:tc>
          <w:tcPr>
            <w:tcW w:w="0" w:type="auto"/>
            <w:tcBorders>
              <w:left w:val="nil"/>
              <w:right w:val="nil"/>
            </w:tcBorders>
            <w:hideMark/>
          </w:tcPr>
          <w:p w:rsidR="00B61946" w:rsidP="00E36E4F" w:rsidRDefault="00B61946">
            <w:pPr>
              <w:rPr>
                <w:rFonts w:ascii="Verdana" w:hAnsi="Verdana"/>
                <w:sz w:val="18"/>
                <w:szCs w:val="18"/>
              </w:rPr>
            </w:pPr>
            <w:r>
              <w:rPr>
                <w:rFonts w:ascii="Verdana" w:hAnsi="Verdana"/>
                <w:sz w:val="18"/>
                <w:szCs w:val="18"/>
              </w:rPr>
              <w:t> </w:t>
            </w:r>
          </w:p>
        </w:tc>
        <w:tc>
          <w:tcPr>
            <w:tcW w:w="0" w:type="auto"/>
            <w:hideMark/>
          </w:tcPr>
          <w:p w:rsidR="00B61946" w:rsidP="00E36E4F" w:rsidRDefault="00B61946">
            <w:pPr>
              <w:rPr>
                <w:sz w:val="20"/>
                <w:szCs w:val="20"/>
              </w:rPr>
            </w:pPr>
          </w:p>
        </w:tc>
      </w:tr>
      <w:tr w:rsidR="00B61946" w:rsidTr="00E36E4F">
        <w:tc>
          <w:tcPr>
            <w:tcW w:w="0" w:type="auto"/>
            <w:tcBorders>
              <w:left w:val="nil"/>
              <w:right w:val="nil"/>
            </w:tcBorders>
            <w:hideMark/>
          </w:tcPr>
          <w:p w:rsidR="00B61946" w:rsidP="00E36E4F" w:rsidRDefault="00B61946">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B61946" w:rsidP="00E36E4F" w:rsidRDefault="00B61946">
            <w:pPr>
              <w:jc w:val="right"/>
              <w:rPr>
                <w:rFonts w:ascii="Verdana" w:hAnsi="Verdana"/>
                <w:sz w:val="18"/>
                <w:szCs w:val="18"/>
              </w:rPr>
            </w:pPr>
            <w:r>
              <w:rPr>
                <w:rFonts w:ascii="Verdana" w:hAnsi="Verdana"/>
                <w:sz w:val="18"/>
                <w:szCs w:val="18"/>
              </w:rPr>
              <w:t>0,0</w:t>
            </w:r>
          </w:p>
        </w:tc>
      </w:tr>
      <w:tr w:rsidR="00B61946" w:rsidTr="00E36E4F">
        <w:tc>
          <w:tcPr>
            <w:tcW w:w="0" w:type="auto"/>
            <w:tcBorders>
              <w:left w:val="nil"/>
              <w:right w:val="nil"/>
            </w:tcBorders>
            <w:hideMark/>
          </w:tcPr>
          <w:p w:rsidR="00B61946" w:rsidP="00E36E4F" w:rsidRDefault="00B61946">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B61946" w:rsidP="00E36E4F" w:rsidRDefault="00B61946">
            <w:pPr>
              <w:jc w:val="right"/>
              <w:rPr>
                <w:rFonts w:ascii="Verdana" w:hAnsi="Verdana"/>
                <w:sz w:val="18"/>
                <w:szCs w:val="18"/>
              </w:rPr>
            </w:pPr>
            <w:r>
              <w:rPr>
                <w:rFonts w:ascii="Verdana" w:hAnsi="Verdana"/>
                <w:sz w:val="18"/>
                <w:szCs w:val="18"/>
              </w:rPr>
              <w:t>0,0</w:t>
            </w:r>
          </w:p>
        </w:tc>
      </w:tr>
      <w:tr w:rsidR="00B61946" w:rsidTr="00E36E4F">
        <w:tc>
          <w:tcPr>
            <w:tcW w:w="0" w:type="auto"/>
            <w:tcBorders>
              <w:left w:val="nil"/>
              <w:right w:val="nil"/>
            </w:tcBorders>
            <w:hideMark/>
          </w:tcPr>
          <w:p w:rsidR="00B61946" w:rsidP="00E36E4F" w:rsidRDefault="00B61946">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B61946" w:rsidP="00E36E4F" w:rsidRDefault="00B61946">
            <w:pPr>
              <w:jc w:val="right"/>
              <w:rPr>
                <w:rFonts w:ascii="Verdana" w:hAnsi="Verdana"/>
                <w:sz w:val="18"/>
                <w:szCs w:val="18"/>
              </w:rPr>
            </w:pPr>
            <w:r>
              <w:rPr>
                <w:rFonts w:ascii="Verdana" w:hAnsi="Verdana"/>
                <w:sz w:val="18"/>
                <w:szCs w:val="18"/>
              </w:rPr>
              <w:t>0,0</w:t>
            </w:r>
          </w:p>
        </w:tc>
      </w:tr>
      <w:tr w:rsidR="00B61946" w:rsidTr="00B61946">
        <w:tc>
          <w:tcPr>
            <w:tcW w:w="8249" w:type="dxa"/>
            <w:tcBorders>
              <w:left w:val="nil"/>
              <w:right w:val="nil"/>
            </w:tcBorders>
            <w:hideMark/>
          </w:tcPr>
          <w:p w:rsidR="00B61946" w:rsidP="00E36E4F" w:rsidRDefault="00B61946">
            <w:pPr>
              <w:rPr>
                <w:rFonts w:ascii="Verdana" w:hAnsi="Verdana"/>
                <w:sz w:val="18"/>
                <w:szCs w:val="18"/>
              </w:rPr>
            </w:pPr>
            <w:r>
              <w:rPr>
                <w:rFonts w:ascii="Verdana" w:hAnsi="Verdana"/>
                <w:sz w:val="18"/>
                <w:szCs w:val="18"/>
              </w:rPr>
              <w:t> </w:t>
            </w:r>
          </w:p>
        </w:tc>
        <w:tc>
          <w:tcPr>
            <w:tcW w:w="853" w:type="dxa"/>
            <w:tcBorders>
              <w:left w:val="nil"/>
              <w:right w:val="nil"/>
            </w:tcBorders>
            <w:hideMark/>
          </w:tcPr>
          <w:p w:rsidR="00B61946" w:rsidP="00E36E4F" w:rsidRDefault="00B61946">
            <w:pPr>
              <w:rPr>
                <w:rFonts w:ascii="Verdana" w:hAnsi="Verdana"/>
                <w:sz w:val="18"/>
                <w:szCs w:val="18"/>
              </w:rPr>
            </w:pPr>
            <w:r>
              <w:rPr>
                <w:rFonts w:ascii="Verdana" w:hAnsi="Verdana"/>
                <w:sz w:val="18"/>
                <w:szCs w:val="18"/>
              </w:rPr>
              <w:t> </w:t>
            </w:r>
          </w:p>
        </w:tc>
      </w:tr>
      <w:tr w:rsidR="00B61946" w:rsidTr="00E36E4F">
        <w:tc>
          <w:tcPr>
            <w:tcW w:w="0" w:type="auto"/>
            <w:tcBorders>
              <w:left w:val="nil"/>
              <w:right w:val="nil"/>
            </w:tcBorders>
            <w:hideMark/>
          </w:tcPr>
          <w:p w:rsidR="00B61946" w:rsidP="00E36E4F" w:rsidRDefault="00B61946">
            <w:pPr>
              <w:rPr>
                <w:rFonts w:ascii="Verdana" w:hAnsi="Verdana"/>
                <w:sz w:val="18"/>
                <w:szCs w:val="18"/>
              </w:rPr>
            </w:pPr>
            <w:r>
              <w:rPr>
                <w:rFonts w:ascii="Verdana" w:hAnsi="Verdana"/>
                <w:sz w:val="18"/>
                <w:szCs w:val="18"/>
              </w:rPr>
              <w:t>PRIJSBIJSTELLING: NIET-BELASTINGONTVANGSTEN</w:t>
            </w:r>
          </w:p>
        </w:tc>
        <w:tc>
          <w:tcPr>
            <w:tcW w:w="0" w:type="auto"/>
            <w:hideMark/>
          </w:tcPr>
          <w:p w:rsidR="00B61946" w:rsidP="00E36E4F" w:rsidRDefault="00B61946">
            <w:pPr>
              <w:rPr>
                <w:sz w:val="20"/>
                <w:szCs w:val="20"/>
              </w:rPr>
            </w:pPr>
          </w:p>
        </w:tc>
      </w:tr>
      <w:tr w:rsidR="00B61946" w:rsidTr="00E36E4F">
        <w:tc>
          <w:tcPr>
            <w:tcW w:w="0" w:type="auto"/>
            <w:tcBorders>
              <w:top w:val="single" w:color="000000" w:sz="6" w:space="0"/>
              <w:left w:val="nil"/>
              <w:bottom w:val="single" w:color="000000" w:sz="6" w:space="0"/>
              <w:right w:val="nil"/>
            </w:tcBorders>
            <w:hideMark/>
          </w:tcPr>
          <w:p w:rsidR="00B61946" w:rsidP="00E36E4F" w:rsidRDefault="00B61946">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B61946" w:rsidP="00E36E4F" w:rsidRDefault="00B61946">
            <w:pPr>
              <w:jc w:val="right"/>
              <w:rPr>
                <w:rFonts w:ascii="Verdana" w:hAnsi="Verdana"/>
                <w:sz w:val="18"/>
                <w:szCs w:val="18"/>
              </w:rPr>
            </w:pPr>
            <w:r>
              <w:rPr>
                <w:rFonts w:ascii="Verdana" w:hAnsi="Verdana"/>
                <w:sz w:val="18"/>
                <w:szCs w:val="18"/>
              </w:rPr>
              <w:t>2015</w:t>
            </w:r>
          </w:p>
        </w:tc>
      </w:tr>
      <w:tr w:rsidR="00B61946" w:rsidTr="00E36E4F">
        <w:tc>
          <w:tcPr>
            <w:tcW w:w="0" w:type="auto"/>
            <w:tcBorders>
              <w:left w:val="nil"/>
              <w:right w:val="nil"/>
            </w:tcBorders>
            <w:hideMark/>
          </w:tcPr>
          <w:p w:rsidR="00B61946" w:rsidP="00E36E4F" w:rsidRDefault="00B61946">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B61946" w:rsidP="00E36E4F" w:rsidRDefault="00B61946">
            <w:pPr>
              <w:jc w:val="right"/>
              <w:rPr>
                <w:rFonts w:ascii="Verdana" w:hAnsi="Verdana"/>
                <w:sz w:val="18"/>
                <w:szCs w:val="18"/>
              </w:rPr>
            </w:pPr>
            <w:r>
              <w:rPr>
                <w:rFonts w:ascii="Verdana" w:hAnsi="Verdana"/>
                <w:sz w:val="18"/>
                <w:szCs w:val="18"/>
              </w:rPr>
              <w:t>0,0</w:t>
            </w:r>
          </w:p>
        </w:tc>
      </w:tr>
      <w:tr w:rsidR="00B61946" w:rsidTr="00E36E4F">
        <w:tc>
          <w:tcPr>
            <w:tcW w:w="0" w:type="auto"/>
            <w:tcBorders>
              <w:left w:val="nil"/>
              <w:right w:val="nil"/>
            </w:tcBorders>
            <w:hideMark/>
          </w:tcPr>
          <w:p w:rsidR="00B61946" w:rsidP="00E36E4F" w:rsidRDefault="00B61946">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B61946" w:rsidP="00E36E4F" w:rsidRDefault="00B61946">
            <w:pPr>
              <w:jc w:val="right"/>
              <w:rPr>
                <w:rFonts w:ascii="Verdana" w:hAnsi="Verdana"/>
                <w:sz w:val="18"/>
                <w:szCs w:val="18"/>
              </w:rPr>
            </w:pPr>
            <w:r>
              <w:rPr>
                <w:rFonts w:ascii="Verdana" w:hAnsi="Verdana"/>
                <w:sz w:val="18"/>
                <w:szCs w:val="18"/>
              </w:rPr>
              <w:t>0,0</w:t>
            </w:r>
          </w:p>
        </w:tc>
      </w:tr>
      <w:tr w:rsidR="00B61946" w:rsidTr="00E36E4F">
        <w:tc>
          <w:tcPr>
            <w:tcW w:w="0" w:type="auto"/>
            <w:tcBorders>
              <w:left w:val="nil"/>
              <w:right w:val="nil"/>
            </w:tcBorders>
            <w:hideMark/>
          </w:tcPr>
          <w:p w:rsidR="00B61946" w:rsidP="00E36E4F" w:rsidRDefault="00B61946">
            <w:pPr>
              <w:rPr>
                <w:rFonts w:ascii="Verdana" w:hAnsi="Verdana"/>
                <w:sz w:val="18"/>
                <w:szCs w:val="18"/>
              </w:rPr>
            </w:pPr>
            <w:r>
              <w:rPr>
                <w:rFonts w:ascii="Verdana" w:hAnsi="Verdana"/>
                <w:sz w:val="18"/>
                <w:szCs w:val="18"/>
              </w:rPr>
              <w:t> </w:t>
            </w:r>
          </w:p>
        </w:tc>
        <w:tc>
          <w:tcPr>
            <w:tcW w:w="0" w:type="auto"/>
            <w:hideMark/>
          </w:tcPr>
          <w:p w:rsidR="00B61946" w:rsidP="00E36E4F" w:rsidRDefault="00B61946">
            <w:pPr>
              <w:rPr>
                <w:sz w:val="20"/>
                <w:szCs w:val="20"/>
              </w:rPr>
            </w:pPr>
          </w:p>
        </w:tc>
      </w:tr>
      <w:tr w:rsidR="00B61946" w:rsidTr="00E36E4F">
        <w:tc>
          <w:tcPr>
            <w:tcW w:w="0" w:type="auto"/>
            <w:tcBorders>
              <w:left w:val="nil"/>
              <w:right w:val="nil"/>
            </w:tcBorders>
            <w:hideMark/>
          </w:tcPr>
          <w:p w:rsidR="00B61946" w:rsidP="00E36E4F" w:rsidRDefault="00B61946">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B61946" w:rsidP="00E36E4F" w:rsidRDefault="00B61946">
            <w:pPr>
              <w:jc w:val="right"/>
              <w:rPr>
                <w:rFonts w:ascii="Verdana" w:hAnsi="Verdana"/>
                <w:sz w:val="18"/>
                <w:szCs w:val="18"/>
              </w:rPr>
            </w:pPr>
            <w:r>
              <w:rPr>
                <w:rFonts w:ascii="Verdana" w:hAnsi="Verdana"/>
                <w:sz w:val="18"/>
                <w:szCs w:val="18"/>
              </w:rPr>
              <w:t>0,0</w:t>
            </w:r>
          </w:p>
        </w:tc>
      </w:tr>
      <w:tr w:rsidR="00B61946" w:rsidTr="00E36E4F">
        <w:tc>
          <w:tcPr>
            <w:tcW w:w="0" w:type="auto"/>
            <w:tcBorders>
              <w:left w:val="nil"/>
              <w:right w:val="nil"/>
            </w:tcBorders>
            <w:hideMark/>
          </w:tcPr>
          <w:p w:rsidR="00B61946" w:rsidP="00E36E4F" w:rsidRDefault="00B61946">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B61946" w:rsidP="00E36E4F" w:rsidRDefault="00B61946">
            <w:pPr>
              <w:jc w:val="right"/>
              <w:rPr>
                <w:rFonts w:ascii="Verdana" w:hAnsi="Verdana"/>
                <w:sz w:val="18"/>
                <w:szCs w:val="18"/>
              </w:rPr>
            </w:pPr>
            <w:r>
              <w:rPr>
                <w:rFonts w:ascii="Verdana" w:hAnsi="Verdana"/>
                <w:sz w:val="18"/>
                <w:szCs w:val="18"/>
              </w:rPr>
              <w:t>0,0</w:t>
            </w:r>
          </w:p>
        </w:tc>
      </w:tr>
      <w:tr w:rsidR="00B61946" w:rsidTr="00E36E4F">
        <w:tc>
          <w:tcPr>
            <w:tcW w:w="0" w:type="auto"/>
            <w:tcBorders>
              <w:left w:val="nil"/>
              <w:right w:val="nil"/>
            </w:tcBorders>
            <w:hideMark/>
          </w:tcPr>
          <w:p w:rsidR="00B61946" w:rsidP="00E36E4F" w:rsidRDefault="00B61946">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B61946" w:rsidP="00E36E4F" w:rsidRDefault="00B61946">
            <w:pPr>
              <w:jc w:val="right"/>
              <w:rPr>
                <w:rFonts w:ascii="Verdana" w:hAnsi="Verdana"/>
                <w:sz w:val="18"/>
                <w:szCs w:val="18"/>
              </w:rPr>
            </w:pPr>
            <w:r>
              <w:rPr>
                <w:rFonts w:ascii="Verdana" w:hAnsi="Verdana"/>
                <w:sz w:val="18"/>
                <w:szCs w:val="18"/>
              </w:rPr>
              <w:t>0,0</w:t>
            </w:r>
          </w:p>
        </w:tc>
      </w:tr>
    </w:tbl>
    <w:p w:rsidRPr="00533D5C" w:rsidR="00BA1E17" w:rsidP="00533D5C" w:rsidRDefault="00BA1E17">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3A1C04" w:rsidP="00533D5C" w:rsidRDefault="003A1C04">
      <w:pPr>
        <w:spacing w:line="240" w:lineRule="exact"/>
        <w:rPr>
          <w:rFonts w:ascii="Verdana" w:hAnsi="Verdana" w:cs="Verdana"/>
          <w:b/>
          <w:bCs/>
          <w:sz w:val="18"/>
          <w:szCs w:val="18"/>
        </w:rPr>
      </w:pPr>
      <w:r w:rsidRPr="00533D5C">
        <w:rPr>
          <w:rFonts w:ascii="Verdana" w:hAnsi="Verdana" w:cs="Verdana"/>
          <w:b/>
          <w:bCs/>
          <w:sz w:val="18"/>
          <w:szCs w:val="18"/>
        </w:rPr>
        <w:lastRenderedPageBreak/>
        <w:t>Arbeidsvoorwaarden</w:t>
      </w:r>
    </w:p>
    <w:tbl>
      <w:tblPr>
        <w:tblW w:w="0" w:type="auto"/>
        <w:tblCellMar>
          <w:top w:w="15" w:type="dxa"/>
          <w:left w:w="15" w:type="dxa"/>
          <w:bottom w:w="15" w:type="dxa"/>
          <w:right w:w="15" w:type="dxa"/>
        </w:tblCellMar>
        <w:tblLook w:val="04A0"/>
      </w:tblPr>
      <w:tblGrid>
        <w:gridCol w:w="8249"/>
        <w:gridCol w:w="853"/>
      </w:tblGrid>
      <w:tr w:rsidR="00461238" w:rsidTr="00461238">
        <w:tc>
          <w:tcPr>
            <w:tcW w:w="8249" w:type="dxa"/>
            <w:tcBorders>
              <w:left w:val="nil"/>
              <w:right w:val="nil"/>
            </w:tcBorders>
            <w:hideMark/>
          </w:tcPr>
          <w:p w:rsidR="00461238" w:rsidP="00E36E4F" w:rsidRDefault="00461238">
            <w:pPr>
              <w:rPr>
                <w:rFonts w:ascii="Verdana" w:hAnsi="Verdana"/>
                <w:sz w:val="18"/>
                <w:szCs w:val="18"/>
              </w:rPr>
            </w:pPr>
          </w:p>
        </w:tc>
        <w:tc>
          <w:tcPr>
            <w:tcW w:w="853" w:type="dxa"/>
            <w:tcBorders>
              <w:left w:val="nil"/>
              <w:right w:val="nil"/>
            </w:tcBorders>
            <w:hideMark/>
          </w:tcPr>
          <w:p w:rsidR="00461238" w:rsidP="00E36E4F" w:rsidRDefault="00461238">
            <w:pPr>
              <w:rPr>
                <w:rFonts w:ascii="Verdana" w:hAnsi="Verdana"/>
                <w:sz w:val="18"/>
                <w:szCs w:val="18"/>
              </w:rPr>
            </w:pPr>
            <w:r>
              <w:rPr>
                <w:rFonts w:ascii="Verdana" w:hAnsi="Verdana"/>
                <w:sz w:val="18"/>
                <w:szCs w:val="18"/>
              </w:rPr>
              <w:t> </w:t>
            </w:r>
          </w:p>
        </w:tc>
      </w:tr>
      <w:tr w:rsidR="00461238" w:rsidTr="00E36E4F">
        <w:tc>
          <w:tcPr>
            <w:tcW w:w="0" w:type="auto"/>
            <w:tcBorders>
              <w:left w:val="nil"/>
              <w:right w:val="nil"/>
            </w:tcBorders>
            <w:hideMark/>
          </w:tcPr>
          <w:p w:rsidR="00461238" w:rsidP="00E36E4F" w:rsidRDefault="00461238">
            <w:pPr>
              <w:rPr>
                <w:rFonts w:ascii="Verdana" w:hAnsi="Verdana"/>
                <w:sz w:val="18"/>
                <w:szCs w:val="18"/>
              </w:rPr>
            </w:pPr>
            <w:r>
              <w:rPr>
                <w:rFonts w:ascii="Verdana" w:hAnsi="Verdana"/>
                <w:sz w:val="18"/>
                <w:szCs w:val="18"/>
              </w:rPr>
              <w:t>ARBEIDSVOORWAARDEN: UITGAVEN</w:t>
            </w:r>
          </w:p>
        </w:tc>
        <w:tc>
          <w:tcPr>
            <w:tcW w:w="0" w:type="auto"/>
            <w:hideMark/>
          </w:tcPr>
          <w:p w:rsidR="00461238" w:rsidP="00E36E4F" w:rsidRDefault="00461238">
            <w:pPr>
              <w:rPr>
                <w:sz w:val="20"/>
                <w:szCs w:val="20"/>
              </w:rPr>
            </w:pPr>
          </w:p>
        </w:tc>
      </w:tr>
      <w:tr w:rsidR="00461238" w:rsidTr="00E36E4F">
        <w:tc>
          <w:tcPr>
            <w:tcW w:w="0" w:type="auto"/>
            <w:tcBorders>
              <w:top w:val="single" w:color="000000" w:sz="6" w:space="0"/>
              <w:left w:val="nil"/>
              <w:bottom w:val="single" w:color="000000" w:sz="6" w:space="0"/>
              <w:right w:val="nil"/>
            </w:tcBorders>
            <w:hideMark/>
          </w:tcPr>
          <w:p w:rsidR="00461238" w:rsidP="00E36E4F" w:rsidRDefault="00461238">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461238" w:rsidP="00E36E4F" w:rsidRDefault="00461238">
            <w:pPr>
              <w:jc w:val="right"/>
              <w:rPr>
                <w:rFonts w:ascii="Verdana" w:hAnsi="Verdana"/>
                <w:sz w:val="18"/>
                <w:szCs w:val="18"/>
              </w:rPr>
            </w:pPr>
            <w:r>
              <w:rPr>
                <w:rFonts w:ascii="Verdana" w:hAnsi="Verdana"/>
                <w:sz w:val="18"/>
                <w:szCs w:val="18"/>
              </w:rPr>
              <w:t>2015</w:t>
            </w:r>
          </w:p>
        </w:tc>
      </w:tr>
      <w:tr w:rsidR="00461238" w:rsidTr="00E36E4F">
        <w:tc>
          <w:tcPr>
            <w:tcW w:w="0" w:type="auto"/>
            <w:tcBorders>
              <w:left w:val="nil"/>
              <w:right w:val="nil"/>
            </w:tcBorders>
            <w:hideMark/>
          </w:tcPr>
          <w:p w:rsidR="00461238" w:rsidP="00E36E4F" w:rsidRDefault="00461238">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461238" w:rsidP="00E36E4F" w:rsidRDefault="00461238">
            <w:pPr>
              <w:jc w:val="right"/>
              <w:rPr>
                <w:rFonts w:ascii="Verdana" w:hAnsi="Verdana"/>
                <w:sz w:val="18"/>
                <w:szCs w:val="18"/>
              </w:rPr>
            </w:pPr>
            <w:r>
              <w:rPr>
                <w:rFonts w:ascii="Verdana" w:hAnsi="Verdana"/>
                <w:sz w:val="18"/>
                <w:szCs w:val="18"/>
              </w:rPr>
              <w:t>0,0</w:t>
            </w:r>
          </w:p>
        </w:tc>
      </w:tr>
      <w:tr w:rsidR="00461238" w:rsidTr="00E36E4F">
        <w:tc>
          <w:tcPr>
            <w:tcW w:w="0" w:type="auto"/>
            <w:tcBorders>
              <w:left w:val="nil"/>
              <w:right w:val="nil"/>
            </w:tcBorders>
            <w:hideMark/>
          </w:tcPr>
          <w:p w:rsidR="00461238" w:rsidP="00E36E4F" w:rsidRDefault="00461238">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461238" w:rsidP="00E36E4F" w:rsidRDefault="00461238">
            <w:pPr>
              <w:jc w:val="right"/>
              <w:rPr>
                <w:rFonts w:ascii="Verdana" w:hAnsi="Verdana"/>
                <w:sz w:val="18"/>
                <w:szCs w:val="18"/>
              </w:rPr>
            </w:pPr>
            <w:r>
              <w:rPr>
                <w:rFonts w:ascii="Verdana" w:hAnsi="Verdana"/>
                <w:sz w:val="18"/>
                <w:szCs w:val="18"/>
              </w:rPr>
              <w:t>0,0</w:t>
            </w:r>
          </w:p>
        </w:tc>
      </w:tr>
      <w:tr w:rsidR="00461238" w:rsidTr="00E36E4F">
        <w:tc>
          <w:tcPr>
            <w:tcW w:w="0" w:type="auto"/>
            <w:tcBorders>
              <w:left w:val="nil"/>
              <w:right w:val="nil"/>
            </w:tcBorders>
            <w:hideMark/>
          </w:tcPr>
          <w:p w:rsidR="00461238" w:rsidP="00E36E4F" w:rsidRDefault="00461238">
            <w:pPr>
              <w:rPr>
                <w:rFonts w:ascii="Verdana" w:hAnsi="Verdana"/>
                <w:sz w:val="18"/>
                <w:szCs w:val="18"/>
              </w:rPr>
            </w:pPr>
            <w:r>
              <w:rPr>
                <w:rFonts w:ascii="Verdana" w:hAnsi="Verdana"/>
                <w:sz w:val="18"/>
                <w:szCs w:val="18"/>
              </w:rPr>
              <w:t> </w:t>
            </w:r>
          </w:p>
        </w:tc>
        <w:tc>
          <w:tcPr>
            <w:tcW w:w="0" w:type="auto"/>
            <w:hideMark/>
          </w:tcPr>
          <w:p w:rsidR="00461238" w:rsidP="00E36E4F" w:rsidRDefault="00461238">
            <w:pPr>
              <w:rPr>
                <w:sz w:val="20"/>
                <w:szCs w:val="20"/>
              </w:rPr>
            </w:pPr>
          </w:p>
        </w:tc>
      </w:tr>
      <w:tr w:rsidR="00461238" w:rsidTr="00E36E4F">
        <w:tc>
          <w:tcPr>
            <w:tcW w:w="0" w:type="auto"/>
            <w:tcBorders>
              <w:left w:val="nil"/>
              <w:right w:val="nil"/>
            </w:tcBorders>
            <w:hideMark/>
          </w:tcPr>
          <w:p w:rsidR="00461238" w:rsidP="00E36E4F" w:rsidRDefault="00461238">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461238" w:rsidP="00E36E4F" w:rsidRDefault="00461238">
            <w:pPr>
              <w:jc w:val="right"/>
              <w:rPr>
                <w:rFonts w:ascii="Verdana" w:hAnsi="Verdana"/>
                <w:sz w:val="18"/>
                <w:szCs w:val="18"/>
              </w:rPr>
            </w:pPr>
            <w:r>
              <w:rPr>
                <w:rFonts w:ascii="Verdana" w:hAnsi="Verdana"/>
                <w:sz w:val="18"/>
                <w:szCs w:val="18"/>
              </w:rPr>
              <w:t>0,0</w:t>
            </w:r>
          </w:p>
        </w:tc>
      </w:tr>
      <w:tr w:rsidR="00461238" w:rsidTr="00E36E4F">
        <w:tc>
          <w:tcPr>
            <w:tcW w:w="0" w:type="auto"/>
            <w:tcBorders>
              <w:left w:val="nil"/>
              <w:right w:val="nil"/>
            </w:tcBorders>
            <w:hideMark/>
          </w:tcPr>
          <w:p w:rsidR="00461238" w:rsidP="00E36E4F" w:rsidRDefault="00461238">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461238" w:rsidP="00E36E4F" w:rsidRDefault="00461238">
            <w:pPr>
              <w:jc w:val="right"/>
              <w:rPr>
                <w:rFonts w:ascii="Verdana" w:hAnsi="Verdana"/>
                <w:sz w:val="18"/>
                <w:szCs w:val="18"/>
              </w:rPr>
            </w:pPr>
            <w:r>
              <w:rPr>
                <w:rFonts w:ascii="Verdana" w:hAnsi="Verdana"/>
                <w:sz w:val="18"/>
                <w:szCs w:val="18"/>
              </w:rPr>
              <w:t>0,0</w:t>
            </w:r>
          </w:p>
        </w:tc>
      </w:tr>
      <w:tr w:rsidR="00461238" w:rsidTr="00E36E4F">
        <w:tc>
          <w:tcPr>
            <w:tcW w:w="0" w:type="auto"/>
            <w:tcBorders>
              <w:left w:val="nil"/>
              <w:right w:val="nil"/>
            </w:tcBorders>
            <w:hideMark/>
          </w:tcPr>
          <w:p w:rsidR="00461238" w:rsidP="00E36E4F" w:rsidRDefault="00461238">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461238" w:rsidP="00E36E4F" w:rsidRDefault="00461238">
            <w:pPr>
              <w:jc w:val="right"/>
              <w:rPr>
                <w:rFonts w:ascii="Verdana" w:hAnsi="Verdana"/>
                <w:sz w:val="18"/>
                <w:szCs w:val="18"/>
              </w:rPr>
            </w:pPr>
            <w:r>
              <w:rPr>
                <w:rFonts w:ascii="Verdana" w:hAnsi="Verdana"/>
                <w:sz w:val="18"/>
                <w:szCs w:val="18"/>
              </w:rPr>
              <w:t>0,0</w:t>
            </w:r>
          </w:p>
        </w:tc>
      </w:tr>
      <w:tr w:rsidR="00461238" w:rsidTr="00461238">
        <w:tc>
          <w:tcPr>
            <w:tcW w:w="8249" w:type="dxa"/>
            <w:tcBorders>
              <w:left w:val="nil"/>
              <w:right w:val="nil"/>
            </w:tcBorders>
            <w:hideMark/>
          </w:tcPr>
          <w:p w:rsidR="00461238" w:rsidP="00E36E4F" w:rsidRDefault="00461238">
            <w:pPr>
              <w:rPr>
                <w:rFonts w:ascii="Verdana" w:hAnsi="Verdana"/>
                <w:sz w:val="18"/>
                <w:szCs w:val="18"/>
              </w:rPr>
            </w:pPr>
            <w:r>
              <w:rPr>
                <w:rFonts w:ascii="Verdana" w:hAnsi="Verdana"/>
                <w:sz w:val="18"/>
                <w:szCs w:val="18"/>
              </w:rPr>
              <w:t> </w:t>
            </w:r>
          </w:p>
        </w:tc>
        <w:tc>
          <w:tcPr>
            <w:tcW w:w="853" w:type="dxa"/>
            <w:tcBorders>
              <w:left w:val="nil"/>
              <w:right w:val="nil"/>
            </w:tcBorders>
            <w:hideMark/>
          </w:tcPr>
          <w:p w:rsidR="00461238" w:rsidP="00E36E4F" w:rsidRDefault="00461238">
            <w:pPr>
              <w:rPr>
                <w:rFonts w:ascii="Verdana" w:hAnsi="Verdana"/>
                <w:sz w:val="18"/>
                <w:szCs w:val="18"/>
              </w:rPr>
            </w:pPr>
            <w:r>
              <w:rPr>
                <w:rFonts w:ascii="Verdana" w:hAnsi="Verdana"/>
                <w:sz w:val="18"/>
                <w:szCs w:val="18"/>
              </w:rPr>
              <w:t> </w:t>
            </w:r>
          </w:p>
        </w:tc>
      </w:tr>
      <w:tr w:rsidR="00461238" w:rsidTr="00E36E4F">
        <w:tc>
          <w:tcPr>
            <w:tcW w:w="0" w:type="auto"/>
            <w:tcBorders>
              <w:left w:val="nil"/>
              <w:right w:val="nil"/>
            </w:tcBorders>
            <w:hideMark/>
          </w:tcPr>
          <w:p w:rsidR="00461238" w:rsidP="00E36E4F" w:rsidRDefault="00461238">
            <w:pPr>
              <w:rPr>
                <w:rFonts w:ascii="Verdana" w:hAnsi="Verdana"/>
                <w:sz w:val="18"/>
                <w:szCs w:val="18"/>
              </w:rPr>
            </w:pPr>
            <w:r>
              <w:rPr>
                <w:rFonts w:ascii="Verdana" w:hAnsi="Verdana"/>
                <w:sz w:val="18"/>
                <w:szCs w:val="18"/>
              </w:rPr>
              <w:t>ARBEIDSVOORWAARDEN: NIET-BELASTINGONTVANGSTEN</w:t>
            </w:r>
          </w:p>
        </w:tc>
        <w:tc>
          <w:tcPr>
            <w:tcW w:w="0" w:type="auto"/>
            <w:hideMark/>
          </w:tcPr>
          <w:p w:rsidR="00461238" w:rsidP="00E36E4F" w:rsidRDefault="00461238">
            <w:pPr>
              <w:rPr>
                <w:sz w:val="20"/>
                <w:szCs w:val="20"/>
              </w:rPr>
            </w:pPr>
          </w:p>
        </w:tc>
      </w:tr>
      <w:tr w:rsidR="00461238" w:rsidTr="00E36E4F">
        <w:tc>
          <w:tcPr>
            <w:tcW w:w="0" w:type="auto"/>
            <w:tcBorders>
              <w:top w:val="single" w:color="000000" w:sz="6" w:space="0"/>
              <w:left w:val="nil"/>
              <w:bottom w:val="single" w:color="000000" w:sz="6" w:space="0"/>
              <w:right w:val="nil"/>
            </w:tcBorders>
            <w:hideMark/>
          </w:tcPr>
          <w:p w:rsidR="00461238" w:rsidP="00E36E4F" w:rsidRDefault="00461238">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461238" w:rsidP="00E36E4F" w:rsidRDefault="00461238">
            <w:pPr>
              <w:jc w:val="right"/>
              <w:rPr>
                <w:rFonts w:ascii="Verdana" w:hAnsi="Verdana"/>
                <w:sz w:val="18"/>
                <w:szCs w:val="18"/>
              </w:rPr>
            </w:pPr>
            <w:r>
              <w:rPr>
                <w:rFonts w:ascii="Verdana" w:hAnsi="Verdana"/>
                <w:sz w:val="18"/>
                <w:szCs w:val="18"/>
              </w:rPr>
              <w:t>2015</w:t>
            </w:r>
          </w:p>
        </w:tc>
      </w:tr>
      <w:tr w:rsidR="00461238" w:rsidTr="00E36E4F">
        <w:tc>
          <w:tcPr>
            <w:tcW w:w="0" w:type="auto"/>
            <w:tcBorders>
              <w:left w:val="nil"/>
              <w:right w:val="nil"/>
            </w:tcBorders>
            <w:hideMark/>
          </w:tcPr>
          <w:p w:rsidR="00461238" w:rsidP="00E36E4F" w:rsidRDefault="00461238">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461238" w:rsidP="00E36E4F" w:rsidRDefault="00461238">
            <w:pPr>
              <w:jc w:val="right"/>
              <w:rPr>
                <w:rFonts w:ascii="Verdana" w:hAnsi="Verdana"/>
                <w:sz w:val="18"/>
                <w:szCs w:val="18"/>
              </w:rPr>
            </w:pPr>
            <w:r>
              <w:rPr>
                <w:rFonts w:ascii="Verdana" w:hAnsi="Verdana"/>
                <w:sz w:val="18"/>
                <w:szCs w:val="18"/>
              </w:rPr>
              <w:t>0,0</w:t>
            </w:r>
          </w:p>
        </w:tc>
      </w:tr>
      <w:tr w:rsidR="00461238" w:rsidTr="00E36E4F">
        <w:tc>
          <w:tcPr>
            <w:tcW w:w="0" w:type="auto"/>
            <w:tcBorders>
              <w:left w:val="nil"/>
              <w:right w:val="nil"/>
            </w:tcBorders>
            <w:hideMark/>
          </w:tcPr>
          <w:p w:rsidR="00461238" w:rsidP="00E36E4F" w:rsidRDefault="00461238">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461238" w:rsidP="00E36E4F" w:rsidRDefault="00461238">
            <w:pPr>
              <w:jc w:val="right"/>
              <w:rPr>
                <w:rFonts w:ascii="Verdana" w:hAnsi="Verdana"/>
                <w:sz w:val="18"/>
                <w:szCs w:val="18"/>
              </w:rPr>
            </w:pPr>
            <w:r>
              <w:rPr>
                <w:rFonts w:ascii="Verdana" w:hAnsi="Verdana"/>
                <w:sz w:val="18"/>
                <w:szCs w:val="18"/>
              </w:rPr>
              <w:t>0,0</w:t>
            </w:r>
          </w:p>
        </w:tc>
      </w:tr>
      <w:tr w:rsidR="00461238" w:rsidTr="00E36E4F">
        <w:tc>
          <w:tcPr>
            <w:tcW w:w="0" w:type="auto"/>
            <w:tcBorders>
              <w:left w:val="nil"/>
              <w:right w:val="nil"/>
            </w:tcBorders>
            <w:hideMark/>
          </w:tcPr>
          <w:p w:rsidR="00461238" w:rsidP="00E36E4F" w:rsidRDefault="00461238">
            <w:pPr>
              <w:rPr>
                <w:rFonts w:ascii="Verdana" w:hAnsi="Verdana"/>
                <w:sz w:val="18"/>
                <w:szCs w:val="18"/>
              </w:rPr>
            </w:pPr>
            <w:r>
              <w:rPr>
                <w:rFonts w:ascii="Verdana" w:hAnsi="Verdana"/>
                <w:sz w:val="18"/>
                <w:szCs w:val="18"/>
              </w:rPr>
              <w:t> </w:t>
            </w:r>
          </w:p>
        </w:tc>
        <w:tc>
          <w:tcPr>
            <w:tcW w:w="0" w:type="auto"/>
            <w:hideMark/>
          </w:tcPr>
          <w:p w:rsidR="00461238" w:rsidP="00E36E4F" w:rsidRDefault="00461238">
            <w:pPr>
              <w:rPr>
                <w:sz w:val="20"/>
                <w:szCs w:val="20"/>
              </w:rPr>
            </w:pPr>
          </w:p>
        </w:tc>
      </w:tr>
      <w:tr w:rsidR="00461238" w:rsidTr="00E36E4F">
        <w:tc>
          <w:tcPr>
            <w:tcW w:w="0" w:type="auto"/>
            <w:tcBorders>
              <w:left w:val="nil"/>
              <w:right w:val="nil"/>
            </w:tcBorders>
            <w:hideMark/>
          </w:tcPr>
          <w:p w:rsidR="00461238" w:rsidP="00E36E4F" w:rsidRDefault="00461238">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461238" w:rsidP="00E36E4F" w:rsidRDefault="00461238">
            <w:pPr>
              <w:jc w:val="right"/>
              <w:rPr>
                <w:rFonts w:ascii="Verdana" w:hAnsi="Verdana"/>
                <w:sz w:val="18"/>
                <w:szCs w:val="18"/>
              </w:rPr>
            </w:pPr>
            <w:r>
              <w:rPr>
                <w:rFonts w:ascii="Verdana" w:hAnsi="Verdana"/>
                <w:sz w:val="18"/>
                <w:szCs w:val="18"/>
              </w:rPr>
              <w:t>0,0</w:t>
            </w:r>
          </w:p>
        </w:tc>
      </w:tr>
      <w:tr w:rsidR="00461238" w:rsidTr="00E36E4F">
        <w:tc>
          <w:tcPr>
            <w:tcW w:w="0" w:type="auto"/>
            <w:tcBorders>
              <w:left w:val="nil"/>
              <w:right w:val="nil"/>
            </w:tcBorders>
            <w:hideMark/>
          </w:tcPr>
          <w:p w:rsidR="00461238" w:rsidP="00E36E4F" w:rsidRDefault="00461238">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461238" w:rsidP="00E36E4F" w:rsidRDefault="00461238">
            <w:pPr>
              <w:jc w:val="right"/>
              <w:rPr>
                <w:rFonts w:ascii="Verdana" w:hAnsi="Verdana"/>
                <w:sz w:val="18"/>
                <w:szCs w:val="18"/>
              </w:rPr>
            </w:pPr>
            <w:r>
              <w:rPr>
                <w:rFonts w:ascii="Verdana" w:hAnsi="Verdana"/>
                <w:sz w:val="18"/>
                <w:szCs w:val="18"/>
              </w:rPr>
              <w:t>0,0</w:t>
            </w:r>
          </w:p>
        </w:tc>
      </w:tr>
      <w:tr w:rsidR="00461238" w:rsidTr="00E36E4F">
        <w:tc>
          <w:tcPr>
            <w:tcW w:w="0" w:type="auto"/>
            <w:tcBorders>
              <w:left w:val="nil"/>
              <w:right w:val="nil"/>
            </w:tcBorders>
            <w:hideMark/>
          </w:tcPr>
          <w:p w:rsidR="00461238" w:rsidP="00E36E4F" w:rsidRDefault="00461238">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461238" w:rsidP="00E36E4F" w:rsidRDefault="00461238">
            <w:pPr>
              <w:jc w:val="right"/>
              <w:rPr>
                <w:rFonts w:ascii="Verdana" w:hAnsi="Verdana"/>
                <w:sz w:val="18"/>
                <w:szCs w:val="18"/>
              </w:rPr>
            </w:pPr>
            <w:r>
              <w:rPr>
                <w:rFonts w:ascii="Verdana" w:hAnsi="Verdana"/>
                <w:sz w:val="18"/>
                <w:szCs w:val="18"/>
              </w:rPr>
              <w:t>0,0</w:t>
            </w:r>
          </w:p>
        </w:tc>
      </w:tr>
    </w:tbl>
    <w:p w:rsidRPr="00533D5C" w:rsidR="003A1C04" w:rsidP="00533D5C" w:rsidRDefault="003A1C04">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AA6932" w:rsidP="00533D5C" w:rsidRDefault="00AA6932">
      <w:pPr>
        <w:spacing w:line="240" w:lineRule="exact"/>
        <w:rPr>
          <w:rFonts w:ascii="Verdana" w:hAnsi="Verdana" w:cs="Verdana"/>
          <w:b/>
          <w:bCs/>
          <w:sz w:val="18"/>
          <w:szCs w:val="18"/>
        </w:rPr>
      </w:pPr>
      <w:r w:rsidRPr="00533D5C">
        <w:rPr>
          <w:rFonts w:ascii="Verdana" w:hAnsi="Verdana" w:cs="Verdana"/>
          <w:b/>
          <w:bCs/>
          <w:sz w:val="18"/>
          <w:szCs w:val="18"/>
        </w:rPr>
        <w:lastRenderedPageBreak/>
        <w:t>Koppeling Uitkeringen</w:t>
      </w:r>
    </w:p>
    <w:tbl>
      <w:tblPr>
        <w:tblW w:w="0" w:type="auto"/>
        <w:tblCellMar>
          <w:top w:w="15" w:type="dxa"/>
          <w:left w:w="15" w:type="dxa"/>
          <w:bottom w:w="15" w:type="dxa"/>
          <w:right w:w="15" w:type="dxa"/>
        </w:tblCellMar>
        <w:tblLook w:val="04A0"/>
      </w:tblPr>
      <w:tblGrid>
        <w:gridCol w:w="8243"/>
        <w:gridCol w:w="6"/>
        <w:gridCol w:w="853"/>
      </w:tblGrid>
      <w:tr w:rsidR="00C57FA4" w:rsidTr="00C57FA4">
        <w:tc>
          <w:tcPr>
            <w:tcW w:w="8243" w:type="dxa"/>
            <w:tcBorders>
              <w:left w:val="nil"/>
              <w:right w:val="nil"/>
            </w:tcBorders>
            <w:hideMark/>
          </w:tcPr>
          <w:p w:rsidR="00C57FA4" w:rsidP="00E36E4F" w:rsidRDefault="00C57FA4">
            <w:pPr>
              <w:rPr>
                <w:rFonts w:ascii="Verdana" w:hAnsi="Verdana"/>
                <w:sz w:val="18"/>
                <w:szCs w:val="18"/>
              </w:rPr>
            </w:pPr>
          </w:p>
        </w:tc>
        <w:tc>
          <w:tcPr>
            <w:tcW w:w="859" w:type="dxa"/>
            <w:gridSpan w:val="2"/>
            <w:tcBorders>
              <w:left w:val="nil"/>
              <w:right w:val="nil"/>
            </w:tcBorders>
            <w:hideMark/>
          </w:tcPr>
          <w:p w:rsidR="00C57FA4" w:rsidP="00E36E4F" w:rsidRDefault="00C57FA4">
            <w:pPr>
              <w:rPr>
                <w:rFonts w:ascii="Verdana" w:hAnsi="Verdana"/>
                <w:sz w:val="18"/>
                <w:szCs w:val="18"/>
              </w:rPr>
            </w:pPr>
            <w:r>
              <w:rPr>
                <w:rFonts w:ascii="Verdana" w:hAnsi="Verdana"/>
                <w:sz w:val="18"/>
                <w:szCs w:val="18"/>
              </w:rPr>
              <w:t> </w:t>
            </w:r>
          </w:p>
        </w:tc>
      </w:tr>
      <w:tr w:rsidR="00C57FA4" w:rsidTr="00E36E4F">
        <w:tc>
          <w:tcPr>
            <w:tcW w:w="0" w:type="auto"/>
            <w:tcBorders>
              <w:left w:val="nil"/>
              <w:right w:val="nil"/>
            </w:tcBorders>
            <w:hideMark/>
          </w:tcPr>
          <w:p w:rsidR="00C57FA4" w:rsidP="00E36E4F" w:rsidRDefault="00C57FA4">
            <w:pPr>
              <w:rPr>
                <w:rFonts w:ascii="Verdana" w:hAnsi="Verdana"/>
                <w:sz w:val="18"/>
                <w:szCs w:val="18"/>
              </w:rPr>
            </w:pPr>
            <w:r>
              <w:rPr>
                <w:rFonts w:ascii="Verdana" w:hAnsi="Verdana"/>
                <w:sz w:val="18"/>
                <w:szCs w:val="18"/>
              </w:rPr>
              <w:t>KOPPELING UITKERINGEN: UITGAVEN</w:t>
            </w:r>
          </w:p>
        </w:tc>
        <w:tc>
          <w:tcPr>
            <w:tcW w:w="0" w:type="auto"/>
            <w:gridSpan w:val="2"/>
            <w:hideMark/>
          </w:tcPr>
          <w:p w:rsidR="00C57FA4" w:rsidP="00E36E4F" w:rsidRDefault="00C57FA4">
            <w:pPr>
              <w:rPr>
                <w:sz w:val="20"/>
                <w:szCs w:val="20"/>
              </w:rPr>
            </w:pPr>
          </w:p>
        </w:tc>
      </w:tr>
      <w:tr w:rsidR="00C57FA4" w:rsidTr="00E36E4F">
        <w:tc>
          <w:tcPr>
            <w:tcW w:w="0" w:type="auto"/>
            <w:tcBorders>
              <w:top w:val="single" w:color="000000" w:sz="6" w:space="0"/>
              <w:left w:val="nil"/>
              <w:bottom w:val="single" w:color="000000" w:sz="6" w:space="0"/>
              <w:right w:val="nil"/>
            </w:tcBorders>
            <w:hideMark/>
          </w:tcPr>
          <w:p w:rsidR="00C57FA4" w:rsidP="00E36E4F" w:rsidRDefault="00C57FA4">
            <w:pPr>
              <w:jc w:val="right"/>
              <w:rPr>
                <w:rFonts w:ascii="Verdana" w:hAnsi="Verdana"/>
                <w:sz w:val="18"/>
                <w:szCs w:val="18"/>
              </w:rPr>
            </w:pPr>
          </w:p>
        </w:tc>
        <w:tc>
          <w:tcPr>
            <w:tcW w:w="0" w:type="auto"/>
            <w:gridSpan w:val="2"/>
            <w:tcBorders>
              <w:top w:val="single" w:color="000000" w:sz="6" w:space="0"/>
              <w:left w:val="nil"/>
              <w:bottom w:val="single" w:color="000000" w:sz="6" w:space="0"/>
              <w:right w:val="nil"/>
            </w:tcBorders>
            <w:hideMark/>
          </w:tcPr>
          <w:p w:rsidR="00C57FA4" w:rsidP="00E36E4F" w:rsidRDefault="00C57FA4">
            <w:pPr>
              <w:jc w:val="right"/>
              <w:rPr>
                <w:rFonts w:ascii="Verdana" w:hAnsi="Verdana"/>
                <w:sz w:val="18"/>
                <w:szCs w:val="18"/>
              </w:rPr>
            </w:pPr>
            <w:r>
              <w:rPr>
                <w:rFonts w:ascii="Verdana" w:hAnsi="Verdana"/>
                <w:sz w:val="18"/>
                <w:szCs w:val="18"/>
              </w:rPr>
              <w:t>2015</w:t>
            </w:r>
          </w:p>
        </w:tc>
      </w:tr>
      <w:tr w:rsidR="00C57FA4" w:rsidTr="00E36E4F">
        <w:tc>
          <w:tcPr>
            <w:tcW w:w="0" w:type="auto"/>
            <w:tcBorders>
              <w:left w:val="nil"/>
              <w:right w:val="nil"/>
            </w:tcBorders>
            <w:hideMark/>
          </w:tcPr>
          <w:p w:rsidR="00C57FA4" w:rsidP="00E36E4F" w:rsidRDefault="00C57FA4">
            <w:pPr>
              <w:rPr>
                <w:rFonts w:ascii="Verdana" w:hAnsi="Verdana"/>
                <w:sz w:val="18"/>
                <w:szCs w:val="18"/>
              </w:rPr>
            </w:pPr>
            <w:r>
              <w:rPr>
                <w:rFonts w:ascii="Verdana" w:hAnsi="Verdana"/>
                <w:sz w:val="18"/>
                <w:szCs w:val="18"/>
              </w:rPr>
              <w:t>Stand Miljoenennota 2016 (excl. IS)</w:t>
            </w:r>
          </w:p>
        </w:tc>
        <w:tc>
          <w:tcPr>
            <w:tcW w:w="0" w:type="auto"/>
            <w:gridSpan w:val="2"/>
            <w:tcBorders>
              <w:top w:val="single" w:color="000000" w:sz="6" w:space="0"/>
              <w:left w:val="nil"/>
              <w:right w:val="nil"/>
            </w:tcBorders>
            <w:hideMark/>
          </w:tcPr>
          <w:p w:rsidR="00C57FA4" w:rsidP="00E36E4F" w:rsidRDefault="00C57FA4">
            <w:pPr>
              <w:jc w:val="right"/>
              <w:rPr>
                <w:rFonts w:ascii="Verdana" w:hAnsi="Verdana"/>
                <w:sz w:val="18"/>
                <w:szCs w:val="18"/>
              </w:rPr>
            </w:pPr>
            <w:r>
              <w:rPr>
                <w:rFonts w:ascii="Verdana" w:hAnsi="Verdana"/>
                <w:sz w:val="18"/>
                <w:szCs w:val="18"/>
              </w:rPr>
              <w:t>0,0</w:t>
            </w:r>
          </w:p>
        </w:tc>
      </w:tr>
      <w:tr w:rsidR="00C57FA4" w:rsidTr="00E36E4F">
        <w:tc>
          <w:tcPr>
            <w:tcW w:w="0" w:type="auto"/>
            <w:tcBorders>
              <w:left w:val="nil"/>
              <w:right w:val="nil"/>
            </w:tcBorders>
            <w:hideMark/>
          </w:tcPr>
          <w:p w:rsidR="00C57FA4" w:rsidP="00E36E4F" w:rsidRDefault="00C57FA4">
            <w:pPr>
              <w:rPr>
                <w:rFonts w:ascii="Verdana" w:hAnsi="Verdana"/>
                <w:sz w:val="18"/>
                <w:szCs w:val="18"/>
              </w:rPr>
            </w:pPr>
            <w:r>
              <w:rPr>
                <w:rFonts w:ascii="Verdana" w:hAnsi="Verdana"/>
                <w:sz w:val="18"/>
                <w:szCs w:val="18"/>
              </w:rPr>
              <w:t>Totaal mutaties sinds Miljoenennota 2016</w:t>
            </w:r>
          </w:p>
        </w:tc>
        <w:tc>
          <w:tcPr>
            <w:tcW w:w="0" w:type="auto"/>
            <w:gridSpan w:val="2"/>
            <w:tcBorders>
              <w:left w:val="nil"/>
              <w:right w:val="nil"/>
            </w:tcBorders>
            <w:hideMark/>
          </w:tcPr>
          <w:p w:rsidR="00C57FA4" w:rsidP="00E36E4F" w:rsidRDefault="00C57FA4">
            <w:pPr>
              <w:jc w:val="right"/>
              <w:rPr>
                <w:rFonts w:ascii="Verdana" w:hAnsi="Verdana"/>
                <w:sz w:val="18"/>
                <w:szCs w:val="18"/>
              </w:rPr>
            </w:pPr>
            <w:r>
              <w:rPr>
                <w:rFonts w:ascii="Verdana" w:hAnsi="Verdana"/>
                <w:sz w:val="18"/>
                <w:szCs w:val="18"/>
              </w:rPr>
              <w:t>0,0</w:t>
            </w:r>
          </w:p>
        </w:tc>
      </w:tr>
      <w:tr w:rsidR="00C57FA4" w:rsidTr="00E36E4F">
        <w:tc>
          <w:tcPr>
            <w:tcW w:w="0" w:type="auto"/>
            <w:tcBorders>
              <w:left w:val="nil"/>
              <w:right w:val="nil"/>
            </w:tcBorders>
            <w:hideMark/>
          </w:tcPr>
          <w:p w:rsidR="00C57FA4" w:rsidP="00E36E4F" w:rsidRDefault="00C57FA4">
            <w:pPr>
              <w:rPr>
                <w:rFonts w:ascii="Verdana" w:hAnsi="Verdana"/>
                <w:sz w:val="18"/>
                <w:szCs w:val="18"/>
              </w:rPr>
            </w:pPr>
            <w:r>
              <w:rPr>
                <w:rFonts w:ascii="Verdana" w:hAnsi="Verdana"/>
                <w:sz w:val="18"/>
                <w:szCs w:val="18"/>
              </w:rPr>
              <w:t> </w:t>
            </w:r>
          </w:p>
        </w:tc>
        <w:tc>
          <w:tcPr>
            <w:tcW w:w="0" w:type="auto"/>
            <w:gridSpan w:val="2"/>
            <w:hideMark/>
          </w:tcPr>
          <w:p w:rsidR="00C57FA4" w:rsidP="00E36E4F" w:rsidRDefault="00C57FA4">
            <w:pPr>
              <w:rPr>
                <w:sz w:val="20"/>
                <w:szCs w:val="20"/>
              </w:rPr>
            </w:pPr>
          </w:p>
        </w:tc>
      </w:tr>
      <w:tr w:rsidR="00C57FA4" w:rsidTr="00E36E4F">
        <w:tc>
          <w:tcPr>
            <w:tcW w:w="0" w:type="auto"/>
            <w:tcBorders>
              <w:left w:val="nil"/>
              <w:right w:val="nil"/>
            </w:tcBorders>
            <w:hideMark/>
          </w:tcPr>
          <w:p w:rsidR="00C57FA4" w:rsidP="00E36E4F" w:rsidRDefault="00C57FA4">
            <w:pPr>
              <w:rPr>
                <w:rFonts w:ascii="Verdana" w:hAnsi="Verdana"/>
                <w:sz w:val="18"/>
                <w:szCs w:val="18"/>
              </w:rPr>
            </w:pPr>
            <w:r>
              <w:rPr>
                <w:rFonts w:ascii="Verdana" w:hAnsi="Verdana"/>
                <w:sz w:val="18"/>
                <w:szCs w:val="18"/>
              </w:rPr>
              <w:t>Stand Najaarsnota 2015 (subtotaal)</w:t>
            </w:r>
          </w:p>
        </w:tc>
        <w:tc>
          <w:tcPr>
            <w:tcW w:w="0" w:type="auto"/>
            <w:gridSpan w:val="2"/>
            <w:tcBorders>
              <w:top w:val="single" w:color="000000" w:sz="6" w:space="0"/>
              <w:left w:val="nil"/>
              <w:right w:val="nil"/>
            </w:tcBorders>
            <w:hideMark/>
          </w:tcPr>
          <w:p w:rsidR="00C57FA4" w:rsidP="00E36E4F" w:rsidRDefault="00C57FA4">
            <w:pPr>
              <w:jc w:val="right"/>
              <w:rPr>
                <w:rFonts w:ascii="Verdana" w:hAnsi="Verdana"/>
                <w:sz w:val="18"/>
                <w:szCs w:val="18"/>
              </w:rPr>
            </w:pPr>
            <w:r>
              <w:rPr>
                <w:rFonts w:ascii="Verdana" w:hAnsi="Verdana"/>
                <w:sz w:val="18"/>
                <w:szCs w:val="18"/>
              </w:rPr>
              <w:t>0,0</w:t>
            </w:r>
          </w:p>
        </w:tc>
      </w:tr>
      <w:tr w:rsidR="00C57FA4" w:rsidTr="00E36E4F">
        <w:tc>
          <w:tcPr>
            <w:tcW w:w="0" w:type="auto"/>
            <w:tcBorders>
              <w:left w:val="nil"/>
              <w:right w:val="nil"/>
            </w:tcBorders>
            <w:hideMark/>
          </w:tcPr>
          <w:p w:rsidR="00C57FA4" w:rsidP="00E36E4F" w:rsidRDefault="00C57FA4">
            <w:pPr>
              <w:rPr>
                <w:rFonts w:ascii="Verdana" w:hAnsi="Verdana"/>
                <w:sz w:val="18"/>
                <w:szCs w:val="18"/>
              </w:rPr>
            </w:pPr>
            <w:r>
              <w:rPr>
                <w:rFonts w:ascii="Verdana" w:hAnsi="Verdana"/>
                <w:sz w:val="18"/>
                <w:szCs w:val="18"/>
              </w:rPr>
              <w:t>Totaal Internationale samenwerking</w:t>
            </w:r>
          </w:p>
        </w:tc>
        <w:tc>
          <w:tcPr>
            <w:tcW w:w="0" w:type="auto"/>
            <w:gridSpan w:val="2"/>
            <w:tcBorders>
              <w:left w:val="nil"/>
              <w:right w:val="nil"/>
            </w:tcBorders>
            <w:hideMark/>
          </w:tcPr>
          <w:p w:rsidR="00C57FA4" w:rsidP="00E36E4F" w:rsidRDefault="00C57FA4">
            <w:pPr>
              <w:jc w:val="right"/>
              <w:rPr>
                <w:rFonts w:ascii="Verdana" w:hAnsi="Verdana"/>
                <w:sz w:val="18"/>
                <w:szCs w:val="18"/>
              </w:rPr>
            </w:pPr>
            <w:r>
              <w:rPr>
                <w:rFonts w:ascii="Verdana" w:hAnsi="Verdana"/>
                <w:sz w:val="18"/>
                <w:szCs w:val="18"/>
              </w:rPr>
              <w:t>0,0</w:t>
            </w:r>
          </w:p>
        </w:tc>
      </w:tr>
      <w:tr w:rsidR="00C57FA4" w:rsidTr="00E36E4F">
        <w:tc>
          <w:tcPr>
            <w:tcW w:w="0" w:type="auto"/>
            <w:tcBorders>
              <w:left w:val="nil"/>
              <w:right w:val="nil"/>
            </w:tcBorders>
            <w:hideMark/>
          </w:tcPr>
          <w:p w:rsidR="00C57FA4" w:rsidP="00E36E4F" w:rsidRDefault="00C57FA4">
            <w:pPr>
              <w:rPr>
                <w:rFonts w:ascii="Verdana" w:hAnsi="Verdana"/>
                <w:sz w:val="18"/>
                <w:szCs w:val="18"/>
              </w:rPr>
            </w:pPr>
            <w:r>
              <w:rPr>
                <w:rFonts w:ascii="Verdana" w:hAnsi="Verdana"/>
                <w:sz w:val="18"/>
                <w:szCs w:val="18"/>
              </w:rPr>
              <w:t>Stand Najaarsnota 2015</w:t>
            </w:r>
          </w:p>
        </w:tc>
        <w:tc>
          <w:tcPr>
            <w:tcW w:w="0" w:type="auto"/>
            <w:gridSpan w:val="2"/>
            <w:tcBorders>
              <w:top w:val="single" w:color="000000" w:sz="6" w:space="0"/>
              <w:left w:val="nil"/>
              <w:right w:val="nil"/>
            </w:tcBorders>
            <w:hideMark/>
          </w:tcPr>
          <w:p w:rsidR="00C57FA4" w:rsidP="00E36E4F" w:rsidRDefault="00C57FA4">
            <w:pPr>
              <w:jc w:val="right"/>
              <w:rPr>
                <w:rFonts w:ascii="Verdana" w:hAnsi="Verdana"/>
                <w:sz w:val="18"/>
                <w:szCs w:val="18"/>
              </w:rPr>
            </w:pPr>
            <w:r>
              <w:rPr>
                <w:rFonts w:ascii="Verdana" w:hAnsi="Verdana"/>
                <w:sz w:val="18"/>
                <w:szCs w:val="18"/>
              </w:rPr>
              <w:t>0,0</w:t>
            </w:r>
          </w:p>
        </w:tc>
      </w:tr>
      <w:tr w:rsidR="00C57FA4" w:rsidTr="00C57FA4">
        <w:tc>
          <w:tcPr>
            <w:tcW w:w="8249" w:type="dxa"/>
            <w:gridSpan w:val="2"/>
            <w:tcBorders>
              <w:left w:val="nil"/>
              <w:right w:val="nil"/>
            </w:tcBorders>
            <w:hideMark/>
          </w:tcPr>
          <w:p w:rsidR="00C57FA4" w:rsidP="00E36E4F" w:rsidRDefault="00C57FA4">
            <w:pPr>
              <w:rPr>
                <w:rFonts w:ascii="Verdana" w:hAnsi="Verdana"/>
                <w:sz w:val="18"/>
                <w:szCs w:val="18"/>
              </w:rPr>
            </w:pPr>
            <w:r>
              <w:rPr>
                <w:rFonts w:ascii="Verdana" w:hAnsi="Verdana"/>
                <w:sz w:val="18"/>
                <w:szCs w:val="18"/>
              </w:rPr>
              <w:t> </w:t>
            </w:r>
          </w:p>
        </w:tc>
        <w:tc>
          <w:tcPr>
            <w:tcW w:w="853" w:type="dxa"/>
            <w:tcBorders>
              <w:left w:val="nil"/>
              <w:right w:val="nil"/>
            </w:tcBorders>
            <w:hideMark/>
          </w:tcPr>
          <w:p w:rsidR="00C57FA4" w:rsidP="00E36E4F" w:rsidRDefault="00C57FA4">
            <w:pPr>
              <w:rPr>
                <w:rFonts w:ascii="Verdana" w:hAnsi="Verdana"/>
                <w:sz w:val="18"/>
                <w:szCs w:val="18"/>
              </w:rPr>
            </w:pPr>
            <w:r>
              <w:rPr>
                <w:rFonts w:ascii="Verdana" w:hAnsi="Verdana"/>
                <w:sz w:val="18"/>
                <w:szCs w:val="18"/>
              </w:rPr>
              <w:t> </w:t>
            </w:r>
          </w:p>
        </w:tc>
      </w:tr>
      <w:tr w:rsidR="00C57FA4" w:rsidTr="00E36E4F">
        <w:tc>
          <w:tcPr>
            <w:tcW w:w="0" w:type="auto"/>
            <w:gridSpan w:val="2"/>
            <w:tcBorders>
              <w:left w:val="nil"/>
              <w:right w:val="nil"/>
            </w:tcBorders>
            <w:hideMark/>
          </w:tcPr>
          <w:p w:rsidR="00C57FA4" w:rsidP="00E36E4F" w:rsidRDefault="00C57FA4">
            <w:pPr>
              <w:rPr>
                <w:rFonts w:ascii="Verdana" w:hAnsi="Verdana"/>
                <w:sz w:val="18"/>
                <w:szCs w:val="18"/>
              </w:rPr>
            </w:pPr>
            <w:r>
              <w:rPr>
                <w:rFonts w:ascii="Verdana" w:hAnsi="Verdana"/>
                <w:sz w:val="18"/>
                <w:szCs w:val="18"/>
              </w:rPr>
              <w:t>KOPPELING UITKERINGEN: NIET-BELASTINGONTVANGSTEN</w:t>
            </w:r>
          </w:p>
        </w:tc>
        <w:tc>
          <w:tcPr>
            <w:tcW w:w="0" w:type="auto"/>
            <w:hideMark/>
          </w:tcPr>
          <w:p w:rsidR="00C57FA4" w:rsidP="00E36E4F" w:rsidRDefault="00C57FA4">
            <w:pPr>
              <w:rPr>
                <w:sz w:val="20"/>
                <w:szCs w:val="20"/>
              </w:rPr>
            </w:pPr>
          </w:p>
        </w:tc>
      </w:tr>
      <w:tr w:rsidR="00C57FA4" w:rsidTr="00E36E4F">
        <w:tc>
          <w:tcPr>
            <w:tcW w:w="0" w:type="auto"/>
            <w:gridSpan w:val="2"/>
            <w:tcBorders>
              <w:top w:val="single" w:color="000000" w:sz="6" w:space="0"/>
              <w:left w:val="nil"/>
              <w:bottom w:val="single" w:color="000000" w:sz="6" w:space="0"/>
              <w:right w:val="nil"/>
            </w:tcBorders>
            <w:hideMark/>
          </w:tcPr>
          <w:p w:rsidR="00C57FA4" w:rsidP="00E36E4F" w:rsidRDefault="00C57FA4">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C57FA4" w:rsidP="00E36E4F" w:rsidRDefault="00C57FA4">
            <w:pPr>
              <w:jc w:val="right"/>
              <w:rPr>
                <w:rFonts w:ascii="Verdana" w:hAnsi="Verdana"/>
                <w:sz w:val="18"/>
                <w:szCs w:val="18"/>
              </w:rPr>
            </w:pPr>
            <w:r>
              <w:rPr>
                <w:rFonts w:ascii="Verdana" w:hAnsi="Verdana"/>
                <w:sz w:val="18"/>
                <w:szCs w:val="18"/>
              </w:rPr>
              <w:t>2015</w:t>
            </w:r>
          </w:p>
        </w:tc>
      </w:tr>
      <w:tr w:rsidR="00C57FA4" w:rsidTr="00E36E4F">
        <w:tc>
          <w:tcPr>
            <w:tcW w:w="0" w:type="auto"/>
            <w:gridSpan w:val="2"/>
            <w:tcBorders>
              <w:left w:val="nil"/>
              <w:right w:val="nil"/>
            </w:tcBorders>
            <w:hideMark/>
          </w:tcPr>
          <w:p w:rsidR="00C57FA4" w:rsidP="00E36E4F" w:rsidRDefault="00C57FA4">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C57FA4" w:rsidP="00E36E4F" w:rsidRDefault="00C57FA4">
            <w:pPr>
              <w:jc w:val="right"/>
              <w:rPr>
                <w:rFonts w:ascii="Verdana" w:hAnsi="Verdana"/>
                <w:sz w:val="18"/>
                <w:szCs w:val="18"/>
              </w:rPr>
            </w:pPr>
            <w:r>
              <w:rPr>
                <w:rFonts w:ascii="Verdana" w:hAnsi="Verdana"/>
                <w:sz w:val="18"/>
                <w:szCs w:val="18"/>
              </w:rPr>
              <w:t>0,0</w:t>
            </w:r>
          </w:p>
        </w:tc>
      </w:tr>
      <w:tr w:rsidR="00C57FA4" w:rsidTr="00E36E4F">
        <w:tc>
          <w:tcPr>
            <w:tcW w:w="0" w:type="auto"/>
            <w:gridSpan w:val="2"/>
            <w:tcBorders>
              <w:left w:val="nil"/>
              <w:right w:val="nil"/>
            </w:tcBorders>
            <w:hideMark/>
          </w:tcPr>
          <w:p w:rsidR="00C57FA4" w:rsidP="00E36E4F" w:rsidRDefault="00C57FA4">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C57FA4" w:rsidP="00E36E4F" w:rsidRDefault="00C57FA4">
            <w:pPr>
              <w:jc w:val="right"/>
              <w:rPr>
                <w:rFonts w:ascii="Verdana" w:hAnsi="Verdana"/>
                <w:sz w:val="18"/>
                <w:szCs w:val="18"/>
              </w:rPr>
            </w:pPr>
            <w:r>
              <w:rPr>
                <w:rFonts w:ascii="Verdana" w:hAnsi="Verdana"/>
                <w:sz w:val="18"/>
                <w:szCs w:val="18"/>
              </w:rPr>
              <w:t>0,0</w:t>
            </w:r>
          </w:p>
        </w:tc>
      </w:tr>
      <w:tr w:rsidR="00C57FA4" w:rsidTr="00E36E4F">
        <w:tc>
          <w:tcPr>
            <w:tcW w:w="0" w:type="auto"/>
            <w:gridSpan w:val="2"/>
            <w:tcBorders>
              <w:left w:val="nil"/>
              <w:right w:val="nil"/>
            </w:tcBorders>
            <w:hideMark/>
          </w:tcPr>
          <w:p w:rsidR="00C57FA4" w:rsidP="00E36E4F" w:rsidRDefault="00C57FA4">
            <w:pPr>
              <w:rPr>
                <w:rFonts w:ascii="Verdana" w:hAnsi="Verdana"/>
                <w:sz w:val="18"/>
                <w:szCs w:val="18"/>
              </w:rPr>
            </w:pPr>
            <w:r>
              <w:rPr>
                <w:rFonts w:ascii="Verdana" w:hAnsi="Verdana"/>
                <w:sz w:val="18"/>
                <w:szCs w:val="18"/>
              </w:rPr>
              <w:t> </w:t>
            </w:r>
          </w:p>
        </w:tc>
        <w:tc>
          <w:tcPr>
            <w:tcW w:w="0" w:type="auto"/>
            <w:hideMark/>
          </w:tcPr>
          <w:p w:rsidR="00C57FA4" w:rsidP="00E36E4F" w:rsidRDefault="00C57FA4">
            <w:pPr>
              <w:rPr>
                <w:sz w:val="20"/>
                <w:szCs w:val="20"/>
              </w:rPr>
            </w:pPr>
          </w:p>
        </w:tc>
      </w:tr>
      <w:tr w:rsidR="00C57FA4" w:rsidTr="00E36E4F">
        <w:tc>
          <w:tcPr>
            <w:tcW w:w="0" w:type="auto"/>
            <w:gridSpan w:val="2"/>
            <w:tcBorders>
              <w:left w:val="nil"/>
              <w:right w:val="nil"/>
            </w:tcBorders>
            <w:hideMark/>
          </w:tcPr>
          <w:p w:rsidR="00C57FA4" w:rsidP="00E36E4F" w:rsidRDefault="00C57FA4">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C57FA4" w:rsidP="00E36E4F" w:rsidRDefault="00C57FA4">
            <w:pPr>
              <w:jc w:val="right"/>
              <w:rPr>
                <w:rFonts w:ascii="Verdana" w:hAnsi="Verdana"/>
                <w:sz w:val="18"/>
                <w:szCs w:val="18"/>
              </w:rPr>
            </w:pPr>
            <w:r>
              <w:rPr>
                <w:rFonts w:ascii="Verdana" w:hAnsi="Verdana"/>
                <w:sz w:val="18"/>
                <w:szCs w:val="18"/>
              </w:rPr>
              <w:t>0,0</w:t>
            </w:r>
          </w:p>
        </w:tc>
      </w:tr>
      <w:tr w:rsidR="00C57FA4" w:rsidTr="00E36E4F">
        <w:tc>
          <w:tcPr>
            <w:tcW w:w="0" w:type="auto"/>
            <w:gridSpan w:val="2"/>
            <w:tcBorders>
              <w:left w:val="nil"/>
              <w:right w:val="nil"/>
            </w:tcBorders>
            <w:hideMark/>
          </w:tcPr>
          <w:p w:rsidR="00C57FA4" w:rsidP="00E36E4F" w:rsidRDefault="00C57FA4">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C57FA4" w:rsidP="00E36E4F" w:rsidRDefault="00C57FA4">
            <w:pPr>
              <w:jc w:val="right"/>
              <w:rPr>
                <w:rFonts w:ascii="Verdana" w:hAnsi="Verdana"/>
                <w:sz w:val="18"/>
                <w:szCs w:val="18"/>
              </w:rPr>
            </w:pPr>
            <w:r>
              <w:rPr>
                <w:rFonts w:ascii="Verdana" w:hAnsi="Verdana"/>
                <w:sz w:val="18"/>
                <w:szCs w:val="18"/>
              </w:rPr>
              <w:t>0,0</w:t>
            </w:r>
          </w:p>
        </w:tc>
      </w:tr>
      <w:tr w:rsidR="00C57FA4" w:rsidTr="00E36E4F">
        <w:tc>
          <w:tcPr>
            <w:tcW w:w="0" w:type="auto"/>
            <w:gridSpan w:val="2"/>
            <w:tcBorders>
              <w:left w:val="nil"/>
              <w:right w:val="nil"/>
            </w:tcBorders>
            <w:hideMark/>
          </w:tcPr>
          <w:p w:rsidR="00C57FA4" w:rsidP="00E36E4F" w:rsidRDefault="00C57FA4">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C57FA4" w:rsidP="00E36E4F" w:rsidRDefault="00C57FA4">
            <w:pPr>
              <w:jc w:val="right"/>
              <w:rPr>
                <w:rFonts w:ascii="Verdana" w:hAnsi="Verdana"/>
                <w:sz w:val="18"/>
                <w:szCs w:val="18"/>
              </w:rPr>
            </w:pPr>
            <w:r>
              <w:rPr>
                <w:rFonts w:ascii="Verdana" w:hAnsi="Verdana"/>
                <w:sz w:val="18"/>
                <w:szCs w:val="18"/>
              </w:rPr>
              <w:t>0,0</w:t>
            </w:r>
          </w:p>
        </w:tc>
      </w:tr>
    </w:tbl>
    <w:p w:rsidRPr="00533D5C" w:rsidR="00AA6932" w:rsidP="00533D5C" w:rsidRDefault="00AA6932">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515AF8" w:rsidP="00533D5C" w:rsidRDefault="00515AF8">
      <w:pPr>
        <w:spacing w:line="240" w:lineRule="exact"/>
        <w:rPr>
          <w:rFonts w:ascii="Verdana" w:hAnsi="Verdana" w:cs="Verdana"/>
          <w:b/>
          <w:bCs/>
          <w:sz w:val="18"/>
          <w:szCs w:val="18"/>
        </w:rPr>
      </w:pPr>
      <w:r w:rsidRPr="003F4E7D">
        <w:rPr>
          <w:rFonts w:ascii="Verdana" w:hAnsi="Verdana" w:cs="Verdana"/>
          <w:b/>
          <w:bCs/>
          <w:sz w:val="18"/>
          <w:szCs w:val="18"/>
        </w:rPr>
        <w:lastRenderedPageBreak/>
        <w:t>Aanvullende Post Algemeen</w:t>
      </w:r>
    </w:p>
    <w:tbl>
      <w:tblPr>
        <w:tblW w:w="0" w:type="auto"/>
        <w:tblCellMar>
          <w:top w:w="15" w:type="dxa"/>
          <w:left w:w="15" w:type="dxa"/>
          <w:bottom w:w="15" w:type="dxa"/>
          <w:right w:w="15" w:type="dxa"/>
        </w:tblCellMar>
        <w:tblLook w:val="04A0"/>
      </w:tblPr>
      <w:tblGrid>
        <w:gridCol w:w="8238"/>
        <w:gridCol w:w="11"/>
        <w:gridCol w:w="853"/>
      </w:tblGrid>
      <w:tr w:rsidR="00915C5A" w:rsidTr="00915C5A">
        <w:tc>
          <w:tcPr>
            <w:tcW w:w="8238" w:type="dxa"/>
            <w:tcBorders>
              <w:left w:val="nil"/>
              <w:right w:val="nil"/>
            </w:tcBorders>
            <w:hideMark/>
          </w:tcPr>
          <w:p w:rsidR="00915C5A" w:rsidP="006D23DC" w:rsidRDefault="00915C5A">
            <w:pPr>
              <w:rPr>
                <w:rFonts w:ascii="Verdana" w:hAnsi="Verdana"/>
                <w:sz w:val="18"/>
                <w:szCs w:val="18"/>
              </w:rPr>
            </w:pPr>
          </w:p>
        </w:tc>
        <w:tc>
          <w:tcPr>
            <w:tcW w:w="864" w:type="dxa"/>
            <w:gridSpan w:val="2"/>
            <w:tcBorders>
              <w:left w:val="nil"/>
              <w:right w:val="nil"/>
            </w:tcBorders>
            <w:hideMark/>
          </w:tcPr>
          <w:p w:rsidR="00915C5A" w:rsidP="006D23DC" w:rsidRDefault="00915C5A">
            <w:pPr>
              <w:rPr>
                <w:rFonts w:ascii="Verdana" w:hAnsi="Verdana"/>
                <w:sz w:val="18"/>
                <w:szCs w:val="18"/>
              </w:rPr>
            </w:pPr>
            <w:r>
              <w:rPr>
                <w:rFonts w:ascii="Verdana" w:hAnsi="Verdana"/>
                <w:sz w:val="18"/>
                <w:szCs w:val="18"/>
              </w:rPr>
              <w:t> </w:t>
            </w:r>
          </w:p>
        </w:tc>
      </w:tr>
      <w:tr w:rsidR="00915C5A" w:rsidTr="006D23DC">
        <w:tc>
          <w:tcPr>
            <w:tcW w:w="0" w:type="auto"/>
            <w:tcBorders>
              <w:left w:val="nil"/>
              <w:right w:val="nil"/>
            </w:tcBorders>
            <w:hideMark/>
          </w:tcPr>
          <w:p w:rsidR="00915C5A" w:rsidP="006D23DC" w:rsidRDefault="00915C5A">
            <w:pPr>
              <w:rPr>
                <w:rFonts w:ascii="Verdana" w:hAnsi="Verdana"/>
                <w:sz w:val="18"/>
                <w:szCs w:val="18"/>
              </w:rPr>
            </w:pPr>
            <w:r>
              <w:rPr>
                <w:rFonts w:ascii="Verdana" w:hAnsi="Verdana"/>
                <w:sz w:val="18"/>
                <w:szCs w:val="18"/>
              </w:rPr>
              <w:t>ALGEMEEN: UITGAVEN</w:t>
            </w:r>
          </w:p>
        </w:tc>
        <w:tc>
          <w:tcPr>
            <w:tcW w:w="0" w:type="auto"/>
            <w:gridSpan w:val="2"/>
            <w:hideMark/>
          </w:tcPr>
          <w:p w:rsidR="00915C5A" w:rsidP="006D23DC" w:rsidRDefault="00915C5A">
            <w:pPr>
              <w:rPr>
                <w:sz w:val="20"/>
                <w:szCs w:val="20"/>
              </w:rPr>
            </w:pPr>
          </w:p>
        </w:tc>
      </w:tr>
      <w:tr w:rsidR="00915C5A" w:rsidTr="006D23DC">
        <w:tc>
          <w:tcPr>
            <w:tcW w:w="0" w:type="auto"/>
            <w:tcBorders>
              <w:top w:val="single" w:color="000000" w:sz="6" w:space="0"/>
              <w:left w:val="nil"/>
              <w:bottom w:val="single" w:color="000000" w:sz="6" w:space="0"/>
              <w:right w:val="nil"/>
            </w:tcBorders>
            <w:hideMark/>
          </w:tcPr>
          <w:p w:rsidR="00915C5A" w:rsidP="006D23DC" w:rsidRDefault="00915C5A">
            <w:pPr>
              <w:jc w:val="right"/>
              <w:rPr>
                <w:rFonts w:ascii="Verdana" w:hAnsi="Verdana"/>
                <w:sz w:val="18"/>
                <w:szCs w:val="18"/>
              </w:rPr>
            </w:pPr>
          </w:p>
        </w:tc>
        <w:tc>
          <w:tcPr>
            <w:tcW w:w="0" w:type="auto"/>
            <w:gridSpan w:val="2"/>
            <w:tcBorders>
              <w:top w:val="single" w:color="000000" w:sz="6" w:space="0"/>
              <w:left w:val="nil"/>
              <w:bottom w:val="single" w:color="000000" w:sz="6" w:space="0"/>
              <w:right w:val="nil"/>
            </w:tcBorders>
            <w:hideMark/>
          </w:tcPr>
          <w:p w:rsidR="00915C5A" w:rsidP="006D23DC" w:rsidRDefault="00915C5A">
            <w:pPr>
              <w:jc w:val="right"/>
              <w:rPr>
                <w:rFonts w:ascii="Verdana" w:hAnsi="Verdana"/>
                <w:sz w:val="18"/>
                <w:szCs w:val="18"/>
              </w:rPr>
            </w:pPr>
            <w:r>
              <w:rPr>
                <w:rFonts w:ascii="Verdana" w:hAnsi="Verdana"/>
                <w:sz w:val="18"/>
                <w:szCs w:val="18"/>
              </w:rPr>
              <w:t>2015</w:t>
            </w:r>
          </w:p>
        </w:tc>
      </w:tr>
      <w:tr w:rsidR="00915C5A" w:rsidTr="006D23DC">
        <w:tc>
          <w:tcPr>
            <w:tcW w:w="0" w:type="auto"/>
            <w:tcBorders>
              <w:left w:val="nil"/>
              <w:right w:val="nil"/>
            </w:tcBorders>
            <w:hideMark/>
          </w:tcPr>
          <w:p w:rsidR="00915C5A" w:rsidP="006D23DC" w:rsidRDefault="00915C5A">
            <w:pPr>
              <w:rPr>
                <w:rFonts w:ascii="Verdana" w:hAnsi="Verdana"/>
                <w:sz w:val="18"/>
                <w:szCs w:val="18"/>
              </w:rPr>
            </w:pPr>
            <w:r>
              <w:rPr>
                <w:rFonts w:ascii="Verdana" w:hAnsi="Verdana"/>
                <w:sz w:val="18"/>
                <w:szCs w:val="18"/>
              </w:rPr>
              <w:t>Stand Miljoenennota 2016 (excl. IS)</w:t>
            </w:r>
          </w:p>
        </w:tc>
        <w:tc>
          <w:tcPr>
            <w:tcW w:w="0" w:type="auto"/>
            <w:gridSpan w:val="2"/>
            <w:tcBorders>
              <w:top w:val="single" w:color="000000" w:sz="6" w:space="0"/>
              <w:left w:val="nil"/>
              <w:right w:val="nil"/>
            </w:tcBorders>
            <w:hideMark/>
          </w:tcPr>
          <w:p w:rsidR="00915C5A" w:rsidP="006D23DC" w:rsidRDefault="00915C5A">
            <w:pPr>
              <w:jc w:val="right"/>
              <w:rPr>
                <w:rFonts w:ascii="Verdana" w:hAnsi="Verdana"/>
                <w:sz w:val="18"/>
                <w:szCs w:val="18"/>
              </w:rPr>
            </w:pPr>
            <w:r>
              <w:rPr>
                <w:rFonts w:ascii="Verdana" w:hAnsi="Verdana"/>
                <w:sz w:val="18"/>
                <w:szCs w:val="18"/>
              </w:rPr>
              <w:t>-310,7</w:t>
            </w:r>
          </w:p>
        </w:tc>
      </w:tr>
      <w:tr w:rsidR="00915C5A" w:rsidTr="006D23DC">
        <w:tc>
          <w:tcPr>
            <w:tcW w:w="0" w:type="auto"/>
            <w:tcBorders>
              <w:left w:val="nil"/>
              <w:right w:val="nil"/>
            </w:tcBorders>
            <w:hideMark/>
          </w:tcPr>
          <w:p w:rsidR="00915C5A" w:rsidP="006D23DC" w:rsidRDefault="00915C5A">
            <w:pPr>
              <w:rPr>
                <w:rFonts w:ascii="Verdana" w:hAnsi="Verdana"/>
                <w:sz w:val="18"/>
                <w:szCs w:val="18"/>
              </w:rPr>
            </w:pPr>
            <w:r>
              <w:rPr>
                <w:rFonts w:ascii="Verdana" w:hAnsi="Verdana"/>
                <w:sz w:val="18"/>
                <w:szCs w:val="18"/>
              </w:rPr>
              <w:t>Beleidsmatige mutaties</w:t>
            </w:r>
          </w:p>
        </w:tc>
        <w:tc>
          <w:tcPr>
            <w:tcW w:w="0" w:type="auto"/>
            <w:gridSpan w:val="2"/>
            <w:hideMark/>
          </w:tcPr>
          <w:p w:rsidR="00915C5A" w:rsidP="006D23DC" w:rsidRDefault="00915C5A">
            <w:pPr>
              <w:rPr>
                <w:sz w:val="20"/>
                <w:szCs w:val="20"/>
              </w:rPr>
            </w:pPr>
          </w:p>
        </w:tc>
      </w:tr>
      <w:tr w:rsidR="00915C5A" w:rsidTr="006D23DC">
        <w:tc>
          <w:tcPr>
            <w:tcW w:w="0" w:type="auto"/>
            <w:tcBorders>
              <w:left w:val="nil"/>
              <w:right w:val="nil"/>
            </w:tcBorders>
            <w:tcMar>
              <w:top w:w="15" w:type="dxa"/>
              <w:left w:w="180" w:type="dxa"/>
              <w:bottom w:w="15" w:type="dxa"/>
              <w:right w:w="15" w:type="dxa"/>
            </w:tcMar>
            <w:vAlign w:val="both"/>
            <w:hideMark/>
          </w:tcPr>
          <w:p w:rsidR="00915C5A" w:rsidP="006D23DC" w:rsidRDefault="00915C5A">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915C5A" w:rsidP="006D23DC" w:rsidRDefault="00915C5A">
            <w:pPr>
              <w:rPr>
                <w:sz w:val="20"/>
                <w:szCs w:val="20"/>
              </w:rPr>
            </w:pPr>
          </w:p>
        </w:tc>
      </w:tr>
      <w:tr w:rsidR="00915C5A" w:rsidTr="006D23DC">
        <w:tc>
          <w:tcPr>
            <w:tcW w:w="0" w:type="auto"/>
            <w:tcBorders>
              <w:left w:val="nil"/>
              <w:right w:val="nil"/>
            </w:tcBorders>
            <w:tcMar>
              <w:top w:w="15" w:type="dxa"/>
              <w:left w:w="360" w:type="dxa"/>
              <w:bottom w:w="15" w:type="dxa"/>
              <w:right w:w="15" w:type="dxa"/>
            </w:tcMar>
            <w:vAlign w:val="both"/>
            <w:hideMark/>
          </w:tcPr>
          <w:p w:rsidR="00915C5A" w:rsidP="006D23DC" w:rsidRDefault="00915C5A">
            <w:pPr>
              <w:ind w:firstLine="360" w:firstLineChars="200"/>
              <w:rPr>
                <w:rFonts w:ascii="Verdana" w:hAnsi="Verdana"/>
                <w:sz w:val="18"/>
                <w:szCs w:val="18"/>
              </w:rPr>
            </w:pPr>
            <w:r>
              <w:rPr>
                <w:rFonts w:ascii="Verdana" w:hAnsi="Verdana"/>
                <w:sz w:val="18"/>
                <w:szCs w:val="18"/>
              </w:rPr>
              <w:t xml:space="preserve">Afboeking </w:t>
            </w:r>
            <w:proofErr w:type="spellStart"/>
            <w:r>
              <w:rPr>
                <w:rFonts w:ascii="Verdana" w:hAnsi="Verdana"/>
                <w:sz w:val="18"/>
                <w:szCs w:val="18"/>
              </w:rPr>
              <w:t>eu</w:t>
            </w:r>
            <w:proofErr w:type="spellEnd"/>
            <w:r>
              <w:rPr>
                <w:rFonts w:ascii="Verdana" w:hAnsi="Verdana"/>
                <w:sz w:val="18"/>
                <w:szCs w:val="18"/>
              </w:rPr>
              <w:t xml:space="preserve"> reservering</w:t>
            </w:r>
          </w:p>
        </w:tc>
        <w:tc>
          <w:tcPr>
            <w:tcW w:w="0" w:type="auto"/>
            <w:gridSpan w:val="2"/>
            <w:tcBorders>
              <w:left w:val="nil"/>
              <w:right w:val="nil"/>
            </w:tcBorders>
            <w:hideMark/>
          </w:tcPr>
          <w:p w:rsidR="00915C5A" w:rsidP="006D23DC" w:rsidRDefault="00915C5A">
            <w:pPr>
              <w:jc w:val="right"/>
              <w:rPr>
                <w:rFonts w:ascii="Verdana" w:hAnsi="Verdana"/>
                <w:sz w:val="18"/>
                <w:szCs w:val="18"/>
              </w:rPr>
            </w:pPr>
            <w:r>
              <w:rPr>
                <w:rFonts w:ascii="Verdana" w:hAnsi="Verdana"/>
                <w:sz w:val="18"/>
                <w:szCs w:val="18"/>
              </w:rPr>
              <w:t>-612,0</w:t>
            </w:r>
          </w:p>
        </w:tc>
      </w:tr>
      <w:tr w:rsidR="00915C5A" w:rsidTr="006D23DC">
        <w:tc>
          <w:tcPr>
            <w:tcW w:w="0" w:type="auto"/>
            <w:tcBorders>
              <w:left w:val="nil"/>
              <w:right w:val="nil"/>
            </w:tcBorders>
            <w:tcMar>
              <w:top w:w="15" w:type="dxa"/>
              <w:left w:w="360" w:type="dxa"/>
              <w:bottom w:w="15" w:type="dxa"/>
              <w:right w:w="15" w:type="dxa"/>
            </w:tcMar>
            <w:vAlign w:val="both"/>
            <w:hideMark/>
          </w:tcPr>
          <w:p w:rsidR="00915C5A" w:rsidP="006D23DC" w:rsidRDefault="00915C5A">
            <w:pPr>
              <w:ind w:firstLine="360" w:firstLineChars="200"/>
              <w:rPr>
                <w:rFonts w:ascii="Verdana" w:hAnsi="Verdana"/>
                <w:sz w:val="18"/>
                <w:szCs w:val="18"/>
              </w:rPr>
            </w:pPr>
            <w:r>
              <w:rPr>
                <w:rFonts w:ascii="Verdana" w:hAnsi="Verdana"/>
                <w:sz w:val="18"/>
                <w:szCs w:val="18"/>
              </w:rPr>
              <w:t>Dekking middelen cao</w:t>
            </w:r>
          </w:p>
        </w:tc>
        <w:tc>
          <w:tcPr>
            <w:tcW w:w="0" w:type="auto"/>
            <w:gridSpan w:val="2"/>
            <w:tcBorders>
              <w:left w:val="nil"/>
              <w:right w:val="nil"/>
            </w:tcBorders>
            <w:hideMark/>
          </w:tcPr>
          <w:p w:rsidR="00915C5A" w:rsidP="006D23DC" w:rsidRDefault="00915C5A">
            <w:pPr>
              <w:jc w:val="right"/>
              <w:rPr>
                <w:rFonts w:ascii="Verdana" w:hAnsi="Verdana"/>
                <w:sz w:val="18"/>
                <w:szCs w:val="18"/>
              </w:rPr>
            </w:pPr>
            <w:r>
              <w:rPr>
                <w:rFonts w:ascii="Verdana" w:hAnsi="Verdana"/>
                <w:sz w:val="18"/>
                <w:szCs w:val="18"/>
              </w:rPr>
              <w:t>400,0</w:t>
            </w:r>
          </w:p>
        </w:tc>
      </w:tr>
      <w:tr w:rsidR="00915C5A" w:rsidTr="006D23DC">
        <w:tc>
          <w:tcPr>
            <w:tcW w:w="0" w:type="auto"/>
            <w:tcBorders>
              <w:left w:val="nil"/>
              <w:right w:val="nil"/>
            </w:tcBorders>
            <w:tcMar>
              <w:top w:w="15" w:type="dxa"/>
              <w:left w:w="360" w:type="dxa"/>
              <w:bottom w:w="15" w:type="dxa"/>
              <w:right w:w="15" w:type="dxa"/>
            </w:tcMar>
            <w:vAlign w:val="both"/>
            <w:hideMark/>
          </w:tcPr>
          <w:p w:rsidR="00915C5A" w:rsidP="006D23DC" w:rsidRDefault="00915C5A">
            <w:pPr>
              <w:ind w:firstLine="360" w:firstLineChars="200"/>
              <w:rPr>
                <w:rFonts w:ascii="Verdana" w:hAnsi="Verdana"/>
                <w:sz w:val="18"/>
                <w:szCs w:val="18"/>
              </w:rPr>
            </w:pPr>
            <w:r>
              <w:rPr>
                <w:rFonts w:ascii="Verdana" w:hAnsi="Verdana"/>
                <w:sz w:val="18"/>
                <w:szCs w:val="18"/>
              </w:rPr>
              <w:t>Invullen in=uit taakstelling</w:t>
            </w:r>
          </w:p>
        </w:tc>
        <w:tc>
          <w:tcPr>
            <w:tcW w:w="0" w:type="auto"/>
            <w:gridSpan w:val="2"/>
            <w:tcBorders>
              <w:left w:val="nil"/>
              <w:right w:val="nil"/>
            </w:tcBorders>
            <w:hideMark/>
          </w:tcPr>
          <w:p w:rsidR="00915C5A" w:rsidP="006D23DC" w:rsidRDefault="00A23B2E">
            <w:pPr>
              <w:jc w:val="right"/>
              <w:rPr>
                <w:rFonts w:ascii="Verdana" w:hAnsi="Verdana"/>
                <w:sz w:val="18"/>
                <w:szCs w:val="18"/>
              </w:rPr>
            </w:pPr>
            <w:r>
              <w:rPr>
                <w:rFonts w:ascii="Verdana" w:hAnsi="Verdana"/>
                <w:sz w:val="18"/>
                <w:szCs w:val="18"/>
              </w:rPr>
              <w:t>30</w:t>
            </w:r>
            <w:r w:rsidR="00915C5A">
              <w:rPr>
                <w:rFonts w:ascii="Verdana" w:hAnsi="Verdana"/>
                <w:sz w:val="18"/>
                <w:szCs w:val="18"/>
              </w:rPr>
              <w:t>9,0</w:t>
            </w:r>
          </w:p>
        </w:tc>
      </w:tr>
      <w:tr w:rsidR="00915C5A" w:rsidTr="006D23DC">
        <w:tc>
          <w:tcPr>
            <w:tcW w:w="0" w:type="auto"/>
            <w:tcBorders>
              <w:left w:val="nil"/>
              <w:right w:val="nil"/>
            </w:tcBorders>
            <w:tcMar>
              <w:top w:w="15" w:type="dxa"/>
              <w:left w:w="360" w:type="dxa"/>
              <w:bottom w:w="15" w:type="dxa"/>
              <w:right w:w="15" w:type="dxa"/>
            </w:tcMar>
            <w:vAlign w:val="both"/>
            <w:hideMark/>
          </w:tcPr>
          <w:p w:rsidR="00915C5A" w:rsidP="006D23DC" w:rsidRDefault="00915C5A">
            <w:pPr>
              <w:ind w:firstLine="360" w:firstLineChars="200"/>
              <w:rPr>
                <w:rFonts w:ascii="Verdana" w:hAnsi="Verdana"/>
                <w:sz w:val="18"/>
                <w:szCs w:val="18"/>
              </w:rPr>
            </w:pPr>
            <w:r>
              <w:rPr>
                <w:rFonts w:ascii="Verdana" w:hAnsi="Verdana"/>
                <w:sz w:val="18"/>
                <w:szCs w:val="18"/>
              </w:rPr>
              <w:t>Kasschuif belastingdienst</w:t>
            </w:r>
          </w:p>
        </w:tc>
        <w:tc>
          <w:tcPr>
            <w:tcW w:w="0" w:type="auto"/>
            <w:gridSpan w:val="2"/>
            <w:tcBorders>
              <w:left w:val="nil"/>
              <w:right w:val="nil"/>
            </w:tcBorders>
            <w:hideMark/>
          </w:tcPr>
          <w:p w:rsidR="00915C5A" w:rsidP="006D23DC" w:rsidRDefault="00915C5A">
            <w:pPr>
              <w:jc w:val="right"/>
              <w:rPr>
                <w:rFonts w:ascii="Verdana" w:hAnsi="Verdana"/>
                <w:sz w:val="18"/>
                <w:szCs w:val="18"/>
              </w:rPr>
            </w:pPr>
            <w:r>
              <w:rPr>
                <w:rFonts w:ascii="Verdana" w:hAnsi="Verdana"/>
                <w:sz w:val="18"/>
                <w:szCs w:val="18"/>
              </w:rPr>
              <w:t>-38,0</w:t>
            </w:r>
          </w:p>
        </w:tc>
      </w:tr>
      <w:tr w:rsidR="00915C5A" w:rsidTr="006D23DC">
        <w:tc>
          <w:tcPr>
            <w:tcW w:w="0" w:type="auto"/>
            <w:tcBorders>
              <w:left w:val="nil"/>
              <w:right w:val="nil"/>
            </w:tcBorders>
            <w:tcMar>
              <w:top w:w="15" w:type="dxa"/>
              <w:left w:w="360" w:type="dxa"/>
              <w:bottom w:w="15" w:type="dxa"/>
              <w:right w:w="15" w:type="dxa"/>
            </w:tcMar>
            <w:vAlign w:val="both"/>
            <w:hideMark/>
          </w:tcPr>
          <w:p w:rsidR="00915C5A" w:rsidP="006D23DC" w:rsidRDefault="00915C5A">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915C5A" w:rsidP="006D23DC" w:rsidRDefault="00915C5A">
            <w:pPr>
              <w:jc w:val="right"/>
              <w:rPr>
                <w:rFonts w:ascii="Verdana" w:hAnsi="Verdana"/>
                <w:sz w:val="18"/>
                <w:szCs w:val="18"/>
              </w:rPr>
            </w:pPr>
            <w:r>
              <w:rPr>
                <w:rFonts w:ascii="Verdana" w:hAnsi="Verdana"/>
                <w:sz w:val="18"/>
                <w:szCs w:val="18"/>
              </w:rPr>
              <w:t>-7,7</w:t>
            </w:r>
          </w:p>
        </w:tc>
      </w:tr>
      <w:tr w:rsidR="00915C5A" w:rsidTr="006D23DC">
        <w:tc>
          <w:tcPr>
            <w:tcW w:w="0" w:type="auto"/>
            <w:tcBorders>
              <w:left w:val="nil"/>
              <w:right w:val="nil"/>
            </w:tcBorders>
            <w:tcMar>
              <w:top w:w="15" w:type="dxa"/>
              <w:left w:w="180" w:type="dxa"/>
              <w:bottom w:w="15" w:type="dxa"/>
              <w:right w:w="15" w:type="dxa"/>
            </w:tcMar>
            <w:vAlign w:val="both"/>
            <w:hideMark/>
          </w:tcPr>
          <w:p w:rsidR="00915C5A" w:rsidP="006D23DC" w:rsidRDefault="00915C5A">
            <w:pPr>
              <w:ind w:firstLine="180" w:firstLineChars="100"/>
              <w:rPr>
                <w:rFonts w:ascii="Verdana" w:hAnsi="Verdana"/>
                <w:sz w:val="18"/>
                <w:szCs w:val="18"/>
              </w:rPr>
            </w:pPr>
            <w:r>
              <w:rPr>
                <w:rFonts w:ascii="Verdana" w:hAnsi="Verdana"/>
                <w:sz w:val="18"/>
                <w:szCs w:val="18"/>
              </w:rPr>
              <w:t>Sociale zekerheid</w:t>
            </w:r>
          </w:p>
        </w:tc>
        <w:tc>
          <w:tcPr>
            <w:tcW w:w="0" w:type="auto"/>
            <w:gridSpan w:val="2"/>
            <w:hideMark/>
          </w:tcPr>
          <w:p w:rsidR="00915C5A" w:rsidP="006D23DC" w:rsidRDefault="00915C5A">
            <w:pPr>
              <w:rPr>
                <w:sz w:val="20"/>
                <w:szCs w:val="20"/>
              </w:rPr>
            </w:pPr>
          </w:p>
        </w:tc>
      </w:tr>
      <w:tr w:rsidR="00915C5A" w:rsidTr="006D23DC">
        <w:tc>
          <w:tcPr>
            <w:tcW w:w="0" w:type="auto"/>
            <w:tcBorders>
              <w:left w:val="nil"/>
              <w:right w:val="nil"/>
            </w:tcBorders>
            <w:tcMar>
              <w:top w:w="15" w:type="dxa"/>
              <w:left w:w="360" w:type="dxa"/>
              <w:bottom w:w="15" w:type="dxa"/>
              <w:right w:w="15" w:type="dxa"/>
            </w:tcMar>
            <w:vAlign w:val="both"/>
            <w:hideMark/>
          </w:tcPr>
          <w:p w:rsidR="00915C5A" w:rsidP="006D23DC" w:rsidRDefault="00915C5A">
            <w:pPr>
              <w:ind w:firstLine="360" w:firstLineChars="200"/>
              <w:rPr>
                <w:rFonts w:ascii="Verdana" w:hAnsi="Verdana"/>
                <w:sz w:val="18"/>
                <w:szCs w:val="18"/>
              </w:rPr>
            </w:pPr>
            <w:r>
              <w:rPr>
                <w:rFonts w:ascii="Verdana" w:hAnsi="Verdana"/>
                <w:sz w:val="18"/>
                <w:szCs w:val="18"/>
              </w:rPr>
              <w:t>Invullen in=uit taakstelling</w:t>
            </w:r>
          </w:p>
        </w:tc>
        <w:tc>
          <w:tcPr>
            <w:tcW w:w="0" w:type="auto"/>
            <w:gridSpan w:val="2"/>
            <w:tcBorders>
              <w:left w:val="nil"/>
              <w:right w:val="nil"/>
            </w:tcBorders>
            <w:hideMark/>
          </w:tcPr>
          <w:p w:rsidR="00915C5A" w:rsidP="006D23DC" w:rsidRDefault="00915C5A">
            <w:pPr>
              <w:jc w:val="right"/>
              <w:rPr>
                <w:rFonts w:ascii="Verdana" w:hAnsi="Verdana"/>
                <w:sz w:val="18"/>
                <w:szCs w:val="18"/>
              </w:rPr>
            </w:pPr>
            <w:r>
              <w:rPr>
                <w:rFonts w:ascii="Verdana" w:hAnsi="Verdana"/>
                <w:sz w:val="18"/>
                <w:szCs w:val="18"/>
              </w:rPr>
              <w:t>48,5</w:t>
            </w:r>
          </w:p>
        </w:tc>
      </w:tr>
      <w:tr w:rsidR="00915C5A" w:rsidTr="006D23DC">
        <w:tc>
          <w:tcPr>
            <w:tcW w:w="0" w:type="auto"/>
            <w:tcBorders>
              <w:left w:val="nil"/>
              <w:right w:val="nil"/>
            </w:tcBorders>
            <w:hideMark/>
          </w:tcPr>
          <w:p w:rsidR="00915C5A" w:rsidP="006D23DC" w:rsidRDefault="00915C5A">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915C5A" w:rsidP="00A23B2E" w:rsidRDefault="00A23B2E">
            <w:pPr>
              <w:jc w:val="right"/>
              <w:rPr>
                <w:rFonts w:ascii="Verdana" w:hAnsi="Verdana"/>
                <w:sz w:val="18"/>
                <w:szCs w:val="18"/>
              </w:rPr>
            </w:pPr>
            <w:r>
              <w:rPr>
                <w:rFonts w:ascii="Verdana" w:hAnsi="Verdana"/>
                <w:sz w:val="18"/>
                <w:szCs w:val="18"/>
              </w:rPr>
              <w:t>99,8</w:t>
            </w:r>
          </w:p>
        </w:tc>
      </w:tr>
      <w:tr w:rsidR="00915C5A" w:rsidTr="006D23DC">
        <w:tc>
          <w:tcPr>
            <w:tcW w:w="0" w:type="auto"/>
            <w:tcBorders>
              <w:left w:val="nil"/>
              <w:right w:val="nil"/>
            </w:tcBorders>
            <w:hideMark/>
          </w:tcPr>
          <w:p w:rsidR="00915C5A" w:rsidP="006D23DC" w:rsidRDefault="00915C5A">
            <w:pPr>
              <w:rPr>
                <w:rFonts w:ascii="Verdana" w:hAnsi="Verdana"/>
                <w:sz w:val="18"/>
                <w:szCs w:val="18"/>
              </w:rPr>
            </w:pPr>
            <w:r>
              <w:rPr>
                <w:rFonts w:ascii="Verdana" w:hAnsi="Verdana"/>
                <w:sz w:val="18"/>
                <w:szCs w:val="18"/>
              </w:rPr>
              <w:t>Technische mutaties</w:t>
            </w:r>
          </w:p>
        </w:tc>
        <w:tc>
          <w:tcPr>
            <w:tcW w:w="0" w:type="auto"/>
            <w:gridSpan w:val="2"/>
            <w:hideMark/>
          </w:tcPr>
          <w:p w:rsidR="00915C5A" w:rsidP="006D23DC" w:rsidRDefault="00915C5A">
            <w:pPr>
              <w:rPr>
                <w:sz w:val="20"/>
                <w:szCs w:val="20"/>
              </w:rPr>
            </w:pPr>
          </w:p>
        </w:tc>
      </w:tr>
      <w:tr w:rsidR="00915C5A" w:rsidTr="006D23DC">
        <w:tc>
          <w:tcPr>
            <w:tcW w:w="0" w:type="auto"/>
            <w:tcBorders>
              <w:left w:val="nil"/>
              <w:right w:val="nil"/>
            </w:tcBorders>
            <w:tcMar>
              <w:top w:w="15" w:type="dxa"/>
              <w:left w:w="180" w:type="dxa"/>
              <w:bottom w:w="15" w:type="dxa"/>
              <w:right w:w="15" w:type="dxa"/>
            </w:tcMar>
            <w:vAlign w:val="both"/>
            <w:hideMark/>
          </w:tcPr>
          <w:p w:rsidR="00915C5A" w:rsidP="006D23DC" w:rsidRDefault="00915C5A">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915C5A" w:rsidP="006D23DC" w:rsidRDefault="00915C5A">
            <w:pPr>
              <w:rPr>
                <w:sz w:val="20"/>
                <w:szCs w:val="20"/>
              </w:rPr>
            </w:pPr>
          </w:p>
        </w:tc>
      </w:tr>
      <w:tr w:rsidR="00915C5A" w:rsidTr="006D23DC">
        <w:tc>
          <w:tcPr>
            <w:tcW w:w="0" w:type="auto"/>
            <w:tcBorders>
              <w:left w:val="nil"/>
              <w:right w:val="nil"/>
            </w:tcBorders>
            <w:tcMar>
              <w:top w:w="15" w:type="dxa"/>
              <w:left w:w="360" w:type="dxa"/>
              <w:bottom w:w="15" w:type="dxa"/>
              <w:right w:w="15" w:type="dxa"/>
            </w:tcMar>
            <w:vAlign w:val="both"/>
            <w:hideMark/>
          </w:tcPr>
          <w:p w:rsidR="00915C5A" w:rsidP="006D23DC" w:rsidRDefault="00915C5A">
            <w:pPr>
              <w:ind w:firstLine="360" w:firstLineChars="200"/>
              <w:rPr>
                <w:rFonts w:ascii="Verdana" w:hAnsi="Verdana"/>
                <w:sz w:val="18"/>
                <w:szCs w:val="18"/>
              </w:rPr>
            </w:pPr>
            <w:r>
              <w:rPr>
                <w:rFonts w:ascii="Verdana" w:hAnsi="Verdana"/>
                <w:sz w:val="18"/>
                <w:szCs w:val="18"/>
              </w:rPr>
              <w:t>Uitkeren cao middelen</w:t>
            </w:r>
          </w:p>
        </w:tc>
        <w:tc>
          <w:tcPr>
            <w:tcW w:w="0" w:type="auto"/>
            <w:gridSpan w:val="2"/>
            <w:tcBorders>
              <w:left w:val="nil"/>
              <w:right w:val="nil"/>
            </w:tcBorders>
            <w:hideMark/>
          </w:tcPr>
          <w:p w:rsidR="00915C5A" w:rsidP="006D23DC" w:rsidRDefault="00915C5A">
            <w:pPr>
              <w:jc w:val="right"/>
              <w:rPr>
                <w:rFonts w:ascii="Verdana" w:hAnsi="Verdana"/>
                <w:sz w:val="18"/>
                <w:szCs w:val="18"/>
              </w:rPr>
            </w:pPr>
            <w:r>
              <w:rPr>
                <w:rFonts w:ascii="Verdana" w:hAnsi="Verdana"/>
                <w:sz w:val="18"/>
                <w:szCs w:val="18"/>
              </w:rPr>
              <w:t>-400,0</w:t>
            </w:r>
          </w:p>
        </w:tc>
      </w:tr>
      <w:tr w:rsidR="00915C5A" w:rsidTr="006D23DC">
        <w:tc>
          <w:tcPr>
            <w:tcW w:w="0" w:type="auto"/>
            <w:tcBorders>
              <w:left w:val="nil"/>
              <w:right w:val="nil"/>
            </w:tcBorders>
            <w:tcMar>
              <w:top w:w="15" w:type="dxa"/>
              <w:left w:w="360" w:type="dxa"/>
              <w:bottom w:w="15" w:type="dxa"/>
              <w:right w:w="15" w:type="dxa"/>
            </w:tcMar>
            <w:vAlign w:val="both"/>
            <w:hideMark/>
          </w:tcPr>
          <w:p w:rsidR="00915C5A" w:rsidP="006D23DC" w:rsidRDefault="00915C5A">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915C5A" w:rsidP="006D23DC" w:rsidRDefault="00915C5A">
            <w:pPr>
              <w:jc w:val="right"/>
              <w:rPr>
                <w:rFonts w:ascii="Verdana" w:hAnsi="Verdana"/>
                <w:sz w:val="18"/>
                <w:szCs w:val="18"/>
              </w:rPr>
            </w:pPr>
            <w:r>
              <w:rPr>
                <w:rFonts w:ascii="Verdana" w:hAnsi="Verdana"/>
                <w:sz w:val="18"/>
                <w:szCs w:val="18"/>
              </w:rPr>
              <w:t>5,8</w:t>
            </w:r>
          </w:p>
        </w:tc>
      </w:tr>
      <w:tr w:rsidR="00915C5A" w:rsidTr="006D23DC">
        <w:tc>
          <w:tcPr>
            <w:tcW w:w="0" w:type="auto"/>
            <w:tcBorders>
              <w:left w:val="nil"/>
              <w:right w:val="nil"/>
            </w:tcBorders>
            <w:hideMark/>
          </w:tcPr>
          <w:p w:rsidR="00915C5A" w:rsidP="006D23DC" w:rsidRDefault="00915C5A">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915C5A" w:rsidP="006D23DC" w:rsidRDefault="00915C5A">
            <w:pPr>
              <w:jc w:val="right"/>
              <w:rPr>
                <w:rFonts w:ascii="Verdana" w:hAnsi="Verdana"/>
                <w:sz w:val="18"/>
                <w:szCs w:val="18"/>
              </w:rPr>
            </w:pPr>
            <w:r>
              <w:rPr>
                <w:rFonts w:ascii="Verdana" w:hAnsi="Verdana"/>
                <w:sz w:val="18"/>
                <w:szCs w:val="18"/>
              </w:rPr>
              <w:t>-394,2</w:t>
            </w:r>
          </w:p>
        </w:tc>
      </w:tr>
      <w:tr w:rsidR="00915C5A" w:rsidTr="006D23DC">
        <w:tc>
          <w:tcPr>
            <w:tcW w:w="0" w:type="auto"/>
            <w:tcBorders>
              <w:left w:val="nil"/>
              <w:right w:val="nil"/>
            </w:tcBorders>
            <w:hideMark/>
          </w:tcPr>
          <w:p w:rsidR="00915C5A" w:rsidP="006D23DC" w:rsidRDefault="00915C5A">
            <w:pPr>
              <w:rPr>
                <w:rFonts w:ascii="Verdana" w:hAnsi="Verdana"/>
                <w:sz w:val="18"/>
                <w:szCs w:val="18"/>
              </w:rPr>
            </w:pPr>
            <w:r>
              <w:rPr>
                <w:rFonts w:ascii="Verdana" w:hAnsi="Verdana"/>
                <w:sz w:val="18"/>
                <w:szCs w:val="18"/>
              </w:rPr>
              <w:t>Totaal mutaties sinds Miljoenennota 2016</w:t>
            </w:r>
          </w:p>
        </w:tc>
        <w:tc>
          <w:tcPr>
            <w:tcW w:w="0" w:type="auto"/>
            <w:gridSpan w:val="2"/>
            <w:tcBorders>
              <w:left w:val="nil"/>
              <w:right w:val="nil"/>
            </w:tcBorders>
            <w:hideMark/>
          </w:tcPr>
          <w:p w:rsidR="00915C5A" w:rsidP="00A23B2E" w:rsidRDefault="00A23B2E">
            <w:pPr>
              <w:jc w:val="right"/>
              <w:rPr>
                <w:rFonts w:ascii="Verdana" w:hAnsi="Verdana"/>
                <w:sz w:val="18"/>
                <w:szCs w:val="18"/>
              </w:rPr>
            </w:pPr>
            <w:r>
              <w:rPr>
                <w:rFonts w:ascii="Verdana" w:hAnsi="Verdana"/>
                <w:sz w:val="18"/>
                <w:szCs w:val="18"/>
              </w:rPr>
              <w:t>-294</w:t>
            </w:r>
            <w:r w:rsidR="00915C5A">
              <w:rPr>
                <w:rFonts w:ascii="Verdana" w:hAnsi="Verdana"/>
                <w:sz w:val="18"/>
                <w:szCs w:val="18"/>
              </w:rPr>
              <w:t>,</w:t>
            </w:r>
            <w:r>
              <w:rPr>
                <w:rFonts w:ascii="Verdana" w:hAnsi="Verdana"/>
                <w:sz w:val="18"/>
                <w:szCs w:val="18"/>
              </w:rPr>
              <w:t>4</w:t>
            </w:r>
          </w:p>
        </w:tc>
      </w:tr>
      <w:tr w:rsidR="00915C5A" w:rsidTr="006D23DC">
        <w:tc>
          <w:tcPr>
            <w:tcW w:w="0" w:type="auto"/>
            <w:tcBorders>
              <w:left w:val="nil"/>
              <w:right w:val="nil"/>
            </w:tcBorders>
            <w:hideMark/>
          </w:tcPr>
          <w:p w:rsidR="00915C5A" w:rsidP="006D23DC" w:rsidRDefault="00915C5A">
            <w:pPr>
              <w:rPr>
                <w:rFonts w:ascii="Verdana" w:hAnsi="Verdana"/>
                <w:sz w:val="18"/>
                <w:szCs w:val="18"/>
              </w:rPr>
            </w:pPr>
            <w:r>
              <w:rPr>
                <w:rFonts w:ascii="Verdana" w:hAnsi="Verdana"/>
                <w:sz w:val="18"/>
                <w:szCs w:val="18"/>
              </w:rPr>
              <w:t> </w:t>
            </w:r>
          </w:p>
        </w:tc>
        <w:tc>
          <w:tcPr>
            <w:tcW w:w="0" w:type="auto"/>
            <w:gridSpan w:val="2"/>
            <w:hideMark/>
          </w:tcPr>
          <w:p w:rsidR="00915C5A" w:rsidP="006D23DC" w:rsidRDefault="00915C5A">
            <w:pPr>
              <w:rPr>
                <w:sz w:val="20"/>
                <w:szCs w:val="20"/>
              </w:rPr>
            </w:pPr>
          </w:p>
        </w:tc>
      </w:tr>
      <w:tr w:rsidR="00915C5A" w:rsidTr="006D23DC">
        <w:tc>
          <w:tcPr>
            <w:tcW w:w="0" w:type="auto"/>
            <w:tcBorders>
              <w:left w:val="nil"/>
              <w:right w:val="nil"/>
            </w:tcBorders>
            <w:hideMark/>
          </w:tcPr>
          <w:p w:rsidR="00915C5A" w:rsidP="006D23DC" w:rsidRDefault="00915C5A">
            <w:pPr>
              <w:rPr>
                <w:rFonts w:ascii="Verdana" w:hAnsi="Verdana"/>
                <w:sz w:val="18"/>
                <w:szCs w:val="18"/>
              </w:rPr>
            </w:pPr>
            <w:r>
              <w:rPr>
                <w:rFonts w:ascii="Verdana" w:hAnsi="Verdana"/>
                <w:sz w:val="18"/>
                <w:szCs w:val="18"/>
              </w:rPr>
              <w:t>Stand Najaarsnota 2015 (subtotaal)</w:t>
            </w:r>
          </w:p>
        </w:tc>
        <w:tc>
          <w:tcPr>
            <w:tcW w:w="0" w:type="auto"/>
            <w:gridSpan w:val="2"/>
            <w:tcBorders>
              <w:top w:val="single" w:color="000000" w:sz="6" w:space="0"/>
              <w:left w:val="nil"/>
              <w:right w:val="nil"/>
            </w:tcBorders>
            <w:hideMark/>
          </w:tcPr>
          <w:p w:rsidR="00915C5A" w:rsidP="00A23B2E" w:rsidRDefault="00A23B2E">
            <w:pPr>
              <w:jc w:val="right"/>
              <w:rPr>
                <w:rFonts w:ascii="Verdana" w:hAnsi="Verdana"/>
                <w:sz w:val="18"/>
                <w:szCs w:val="18"/>
              </w:rPr>
            </w:pPr>
            <w:r>
              <w:rPr>
                <w:rFonts w:ascii="Verdana" w:hAnsi="Verdana"/>
                <w:sz w:val="18"/>
                <w:szCs w:val="18"/>
              </w:rPr>
              <w:t>-60</w:t>
            </w:r>
            <w:r w:rsidR="00915C5A">
              <w:rPr>
                <w:rFonts w:ascii="Verdana" w:hAnsi="Verdana"/>
                <w:sz w:val="18"/>
                <w:szCs w:val="18"/>
              </w:rPr>
              <w:t>5,1</w:t>
            </w:r>
          </w:p>
        </w:tc>
      </w:tr>
      <w:tr w:rsidR="00915C5A" w:rsidTr="006D23DC">
        <w:tc>
          <w:tcPr>
            <w:tcW w:w="0" w:type="auto"/>
            <w:tcBorders>
              <w:left w:val="nil"/>
              <w:right w:val="nil"/>
            </w:tcBorders>
            <w:hideMark/>
          </w:tcPr>
          <w:p w:rsidR="00915C5A" w:rsidP="006D23DC" w:rsidRDefault="00915C5A">
            <w:pPr>
              <w:rPr>
                <w:rFonts w:ascii="Verdana" w:hAnsi="Verdana"/>
                <w:sz w:val="18"/>
                <w:szCs w:val="18"/>
              </w:rPr>
            </w:pPr>
            <w:r>
              <w:rPr>
                <w:rFonts w:ascii="Verdana" w:hAnsi="Verdana"/>
                <w:sz w:val="18"/>
                <w:szCs w:val="18"/>
              </w:rPr>
              <w:t>Totaal Internationale samenwerking</w:t>
            </w:r>
          </w:p>
        </w:tc>
        <w:tc>
          <w:tcPr>
            <w:tcW w:w="0" w:type="auto"/>
            <w:gridSpan w:val="2"/>
            <w:tcBorders>
              <w:left w:val="nil"/>
              <w:right w:val="nil"/>
            </w:tcBorders>
            <w:hideMark/>
          </w:tcPr>
          <w:p w:rsidR="00915C5A" w:rsidP="006D23DC" w:rsidRDefault="00915C5A">
            <w:pPr>
              <w:jc w:val="right"/>
              <w:rPr>
                <w:rFonts w:ascii="Verdana" w:hAnsi="Verdana"/>
                <w:sz w:val="18"/>
                <w:szCs w:val="18"/>
              </w:rPr>
            </w:pPr>
            <w:r>
              <w:rPr>
                <w:rFonts w:ascii="Verdana" w:hAnsi="Verdana"/>
                <w:sz w:val="18"/>
                <w:szCs w:val="18"/>
              </w:rPr>
              <w:t>0,0</w:t>
            </w:r>
          </w:p>
        </w:tc>
      </w:tr>
      <w:tr w:rsidR="00915C5A" w:rsidTr="006D23DC">
        <w:tc>
          <w:tcPr>
            <w:tcW w:w="0" w:type="auto"/>
            <w:tcBorders>
              <w:left w:val="nil"/>
              <w:right w:val="nil"/>
            </w:tcBorders>
            <w:hideMark/>
          </w:tcPr>
          <w:p w:rsidR="00915C5A" w:rsidP="006D23DC" w:rsidRDefault="00915C5A">
            <w:pPr>
              <w:rPr>
                <w:rFonts w:ascii="Verdana" w:hAnsi="Verdana"/>
                <w:sz w:val="18"/>
                <w:szCs w:val="18"/>
              </w:rPr>
            </w:pPr>
            <w:r>
              <w:rPr>
                <w:rFonts w:ascii="Verdana" w:hAnsi="Verdana"/>
                <w:sz w:val="18"/>
                <w:szCs w:val="18"/>
              </w:rPr>
              <w:t>Stand Najaarsnota 2015</w:t>
            </w:r>
          </w:p>
        </w:tc>
        <w:tc>
          <w:tcPr>
            <w:tcW w:w="0" w:type="auto"/>
            <w:gridSpan w:val="2"/>
            <w:tcBorders>
              <w:top w:val="single" w:color="000000" w:sz="6" w:space="0"/>
              <w:left w:val="nil"/>
              <w:right w:val="nil"/>
            </w:tcBorders>
            <w:hideMark/>
          </w:tcPr>
          <w:p w:rsidR="00915C5A" w:rsidP="006D23DC" w:rsidRDefault="00A23B2E">
            <w:pPr>
              <w:jc w:val="right"/>
              <w:rPr>
                <w:rFonts w:ascii="Verdana" w:hAnsi="Verdana"/>
                <w:sz w:val="18"/>
                <w:szCs w:val="18"/>
              </w:rPr>
            </w:pPr>
            <w:r>
              <w:rPr>
                <w:rFonts w:ascii="Verdana" w:hAnsi="Verdana"/>
                <w:sz w:val="18"/>
                <w:szCs w:val="18"/>
              </w:rPr>
              <w:t>-60</w:t>
            </w:r>
            <w:r w:rsidR="00915C5A">
              <w:rPr>
                <w:rFonts w:ascii="Verdana" w:hAnsi="Verdana"/>
                <w:sz w:val="18"/>
                <w:szCs w:val="18"/>
              </w:rPr>
              <w:t>5,1</w:t>
            </w:r>
          </w:p>
        </w:tc>
      </w:tr>
      <w:tr w:rsidR="00915C5A" w:rsidTr="00915C5A">
        <w:tc>
          <w:tcPr>
            <w:tcW w:w="8249" w:type="dxa"/>
            <w:gridSpan w:val="2"/>
            <w:tcBorders>
              <w:left w:val="nil"/>
              <w:right w:val="nil"/>
            </w:tcBorders>
            <w:hideMark/>
          </w:tcPr>
          <w:p w:rsidR="00915C5A" w:rsidP="006D23DC" w:rsidRDefault="00915C5A">
            <w:pPr>
              <w:rPr>
                <w:rFonts w:ascii="Verdana" w:hAnsi="Verdana"/>
                <w:sz w:val="18"/>
                <w:szCs w:val="18"/>
              </w:rPr>
            </w:pPr>
            <w:r>
              <w:rPr>
                <w:rFonts w:ascii="Verdana" w:hAnsi="Verdana"/>
                <w:sz w:val="18"/>
                <w:szCs w:val="18"/>
              </w:rPr>
              <w:t> </w:t>
            </w:r>
          </w:p>
        </w:tc>
        <w:tc>
          <w:tcPr>
            <w:tcW w:w="853" w:type="dxa"/>
            <w:tcBorders>
              <w:left w:val="nil"/>
              <w:right w:val="nil"/>
            </w:tcBorders>
            <w:hideMark/>
          </w:tcPr>
          <w:p w:rsidR="00915C5A" w:rsidP="006D23DC" w:rsidRDefault="00915C5A">
            <w:pPr>
              <w:rPr>
                <w:rFonts w:ascii="Verdana" w:hAnsi="Verdana"/>
                <w:sz w:val="18"/>
                <w:szCs w:val="18"/>
              </w:rPr>
            </w:pPr>
            <w:r>
              <w:rPr>
                <w:rFonts w:ascii="Verdana" w:hAnsi="Verdana"/>
                <w:sz w:val="18"/>
                <w:szCs w:val="18"/>
              </w:rPr>
              <w:t> </w:t>
            </w:r>
          </w:p>
        </w:tc>
      </w:tr>
      <w:tr w:rsidR="00915C5A" w:rsidTr="006D23DC">
        <w:tc>
          <w:tcPr>
            <w:tcW w:w="0" w:type="auto"/>
            <w:gridSpan w:val="2"/>
            <w:tcBorders>
              <w:left w:val="nil"/>
              <w:right w:val="nil"/>
            </w:tcBorders>
            <w:hideMark/>
          </w:tcPr>
          <w:p w:rsidR="00915C5A" w:rsidP="006D23DC" w:rsidRDefault="00915C5A">
            <w:pPr>
              <w:rPr>
                <w:rFonts w:ascii="Verdana" w:hAnsi="Verdana"/>
                <w:sz w:val="18"/>
                <w:szCs w:val="18"/>
              </w:rPr>
            </w:pPr>
            <w:r>
              <w:rPr>
                <w:rFonts w:ascii="Verdana" w:hAnsi="Verdana"/>
                <w:sz w:val="18"/>
                <w:szCs w:val="18"/>
              </w:rPr>
              <w:t>ALGEMEEN: NIET-BELASTINGONTVANGSTEN</w:t>
            </w:r>
          </w:p>
        </w:tc>
        <w:tc>
          <w:tcPr>
            <w:tcW w:w="0" w:type="auto"/>
            <w:hideMark/>
          </w:tcPr>
          <w:p w:rsidR="00915C5A" w:rsidP="006D23DC" w:rsidRDefault="00915C5A">
            <w:pPr>
              <w:rPr>
                <w:sz w:val="20"/>
                <w:szCs w:val="20"/>
              </w:rPr>
            </w:pPr>
          </w:p>
        </w:tc>
      </w:tr>
      <w:tr w:rsidR="00915C5A" w:rsidTr="006D23DC">
        <w:tc>
          <w:tcPr>
            <w:tcW w:w="0" w:type="auto"/>
            <w:gridSpan w:val="2"/>
            <w:tcBorders>
              <w:top w:val="single" w:color="000000" w:sz="6" w:space="0"/>
              <w:left w:val="nil"/>
              <w:bottom w:val="single" w:color="000000" w:sz="6" w:space="0"/>
              <w:right w:val="nil"/>
            </w:tcBorders>
            <w:hideMark/>
          </w:tcPr>
          <w:p w:rsidR="00915C5A" w:rsidP="006D23DC" w:rsidRDefault="00915C5A">
            <w:pPr>
              <w:jc w:val="right"/>
              <w:rPr>
                <w:rFonts w:ascii="Verdana" w:hAnsi="Verdana"/>
                <w:sz w:val="18"/>
                <w:szCs w:val="18"/>
              </w:rPr>
            </w:pPr>
          </w:p>
        </w:tc>
        <w:tc>
          <w:tcPr>
            <w:tcW w:w="0" w:type="auto"/>
            <w:tcBorders>
              <w:top w:val="single" w:color="000000" w:sz="6" w:space="0"/>
              <w:left w:val="nil"/>
              <w:bottom w:val="single" w:color="000000" w:sz="6" w:space="0"/>
              <w:right w:val="nil"/>
            </w:tcBorders>
            <w:hideMark/>
          </w:tcPr>
          <w:p w:rsidR="00915C5A" w:rsidP="006D23DC" w:rsidRDefault="00915C5A">
            <w:pPr>
              <w:jc w:val="right"/>
              <w:rPr>
                <w:rFonts w:ascii="Verdana" w:hAnsi="Verdana"/>
                <w:sz w:val="18"/>
                <w:szCs w:val="18"/>
              </w:rPr>
            </w:pPr>
            <w:r>
              <w:rPr>
                <w:rFonts w:ascii="Verdana" w:hAnsi="Verdana"/>
                <w:sz w:val="18"/>
                <w:szCs w:val="18"/>
              </w:rPr>
              <w:t>2015</w:t>
            </w:r>
          </w:p>
        </w:tc>
      </w:tr>
      <w:tr w:rsidR="00915C5A" w:rsidTr="006D23DC">
        <w:tc>
          <w:tcPr>
            <w:tcW w:w="0" w:type="auto"/>
            <w:gridSpan w:val="2"/>
            <w:tcBorders>
              <w:left w:val="nil"/>
              <w:right w:val="nil"/>
            </w:tcBorders>
            <w:hideMark/>
          </w:tcPr>
          <w:p w:rsidR="00915C5A" w:rsidP="006D23DC" w:rsidRDefault="00915C5A">
            <w:pPr>
              <w:rPr>
                <w:rFonts w:ascii="Verdana" w:hAnsi="Verdana"/>
                <w:sz w:val="18"/>
                <w:szCs w:val="18"/>
              </w:rPr>
            </w:pPr>
            <w:r>
              <w:rPr>
                <w:rFonts w:ascii="Verdana" w:hAnsi="Verdana"/>
                <w:sz w:val="18"/>
                <w:szCs w:val="18"/>
              </w:rPr>
              <w:t>Stand Miljoenennota 2016 (excl. IS)</w:t>
            </w:r>
          </w:p>
        </w:tc>
        <w:tc>
          <w:tcPr>
            <w:tcW w:w="0" w:type="auto"/>
            <w:tcBorders>
              <w:top w:val="single" w:color="000000" w:sz="6" w:space="0"/>
              <w:left w:val="nil"/>
              <w:right w:val="nil"/>
            </w:tcBorders>
            <w:hideMark/>
          </w:tcPr>
          <w:p w:rsidR="00915C5A" w:rsidP="006D23DC" w:rsidRDefault="00915C5A">
            <w:pPr>
              <w:jc w:val="right"/>
              <w:rPr>
                <w:rFonts w:ascii="Verdana" w:hAnsi="Verdana"/>
                <w:sz w:val="18"/>
                <w:szCs w:val="18"/>
              </w:rPr>
            </w:pPr>
            <w:r>
              <w:rPr>
                <w:rFonts w:ascii="Verdana" w:hAnsi="Verdana"/>
                <w:sz w:val="18"/>
                <w:szCs w:val="18"/>
              </w:rPr>
              <w:t>0,0</w:t>
            </w:r>
          </w:p>
        </w:tc>
      </w:tr>
      <w:tr w:rsidR="00915C5A" w:rsidTr="006D23DC">
        <w:tc>
          <w:tcPr>
            <w:tcW w:w="0" w:type="auto"/>
            <w:gridSpan w:val="2"/>
            <w:tcBorders>
              <w:left w:val="nil"/>
              <w:right w:val="nil"/>
            </w:tcBorders>
            <w:hideMark/>
          </w:tcPr>
          <w:p w:rsidR="00915C5A" w:rsidP="006D23DC" w:rsidRDefault="00915C5A">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915C5A" w:rsidP="006D23DC" w:rsidRDefault="00915C5A">
            <w:pPr>
              <w:jc w:val="right"/>
              <w:rPr>
                <w:rFonts w:ascii="Verdana" w:hAnsi="Verdana"/>
                <w:sz w:val="18"/>
                <w:szCs w:val="18"/>
              </w:rPr>
            </w:pPr>
            <w:r>
              <w:rPr>
                <w:rFonts w:ascii="Verdana" w:hAnsi="Verdana"/>
                <w:sz w:val="18"/>
                <w:szCs w:val="18"/>
              </w:rPr>
              <w:t>0,0</w:t>
            </w:r>
          </w:p>
        </w:tc>
      </w:tr>
      <w:tr w:rsidR="00915C5A" w:rsidTr="006D23DC">
        <w:tc>
          <w:tcPr>
            <w:tcW w:w="0" w:type="auto"/>
            <w:gridSpan w:val="2"/>
            <w:tcBorders>
              <w:left w:val="nil"/>
              <w:right w:val="nil"/>
            </w:tcBorders>
            <w:hideMark/>
          </w:tcPr>
          <w:p w:rsidR="00915C5A" w:rsidP="006D23DC" w:rsidRDefault="00915C5A">
            <w:pPr>
              <w:rPr>
                <w:rFonts w:ascii="Verdana" w:hAnsi="Verdana"/>
                <w:sz w:val="18"/>
                <w:szCs w:val="18"/>
              </w:rPr>
            </w:pPr>
            <w:r>
              <w:rPr>
                <w:rFonts w:ascii="Verdana" w:hAnsi="Verdana"/>
                <w:sz w:val="18"/>
                <w:szCs w:val="18"/>
              </w:rPr>
              <w:t> </w:t>
            </w:r>
          </w:p>
        </w:tc>
        <w:tc>
          <w:tcPr>
            <w:tcW w:w="0" w:type="auto"/>
            <w:hideMark/>
          </w:tcPr>
          <w:p w:rsidR="00915C5A" w:rsidP="006D23DC" w:rsidRDefault="00915C5A">
            <w:pPr>
              <w:rPr>
                <w:sz w:val="20"/>
                <w:szCs w:val="20"/>
              </w:rPr>
            </w:pPr>
          </w:p>
        </w:tc>
      </w:tr>
      <w:tr w:rsidR="00915C5A" w:rsidTr="006D23DC">
        <w:tc>
          <w:tcPr>
            <w:tcW w:w="0" w:type="auto"/>
            <w:gridSpan w:val="2"/>
            <w:tcBorders>
              <w:left w:val="nil"/>
              <w:right w:val="nil"/>
            </w:tcBorders>
            <w:hideMark/>
          </w:tcPr>
          <w:p w:rsidR="00915C5A" w:rsidP="006D23DC" w:rsidRDefault="00915C5A">
            <w:pPr>
              <w:rPr>
                <w:rFonts w:ascii="Verdana" w:hAnsi="Verdana"/>
                <w:sz w:val="18"/>
                <w:szCs w:val="18"/>
              </w:rPr>
            </w:pPr>
            <w:r>
              <w:rPr>
                <w:rFonts w:ascii="Verdana" w:hAnsi="Verdana"/>
                <w:sz w:val="18"/>
                <w:szCs w:val="18"/>
              </w:rPr>
              <w:t>Stand Najaarsnota 2015 (subtotaal)</w:t>
            </w:r>
          </w:p>
        </w:tc>
        <w:tc>
          <w:tcPr>
            <w:tcW w:w="0" w:type="auto"/>
            <w:tcBorders>
              <w:top w:val="single" w:color="000000" w:sz="6" w:space="0"/>
              <w:left w:val="nil"/>
              <w:right w:val="nil"/>
            </w:tcBorders>
            <w:hideMark/>
          </w:tcPr>
          <w:p w:rsidR="00915C5A" w:rsidP="006D23DC" w:rsidRDefault="00915C5A">
            <w:pPr>
              <w:jc w:val="right"/>
              <w:rPr>
                <w:rFonts w:ascii="Verdana" w:hAnsi="Verdana"/>
                <w:sz w:val="18"/>
                <w:szCs w:val="18"/>
              </w:rPr>
            </w:pPr>
            <w:r>
              <w:rPr>
                <w:rFonts w:ascii="Verdana" w:hAnsi="Verdana"/>
                <w:sz w:val="18"/>
                <w:szCs w:val="18"/>
              </w:rPr>
              <w:t>0,0</w:t>
            </w:r>
          </w:p>
        </w:tc>
      </w:tr>
      <w:tr w:rsidR="00915C5A" w:rsidTr="006D23DC">
        <w:tc>
          <w:tcPr>
            <w:tcW w:w="0" w:type="auto"/>
            <w:gridSpan w:val="2"/>
            <w:tcBorders>
              <w:left w:val="nil"/>
              <w:right w:val="nil"/>
            </w:tcBorders>
            <w:hideMark/>
          </w:tcPr>
          <w:p w:rsidR="00915C5A" w:rsidP="006D23DC" w:rsidRDefault="00915C5A">
            <w:pPr>
              <w:rPr>
                <w:rFonts w:ascii="Verdana" w:hAnsi="Verdana"/>
                <w:sz w:val="18"/>
                <w:szCs w:val="18"/>
              </w:rPr>
            </w:pPr>
            <w:r>
              <w:rPr>
                <w:rFonts w:ascii="Verdana" w:hAnsi="Verdana"/>
                <w:sz w:val="18"/>
                <w:szCs w:val="18"/>
              </w:rPr>
              <w:t>Totaal Internationale samenwerking</w:t>
            </w:r>
          </w:p>
        </w:tc>
        <w:tc>
          <w:tcPr>
            <w:tcW w:w="0" w:type="auto"/>
            <w:tcBorders>
              <w:left w:val="nil"/>
              <w:right w:val="nil"/>
            </w:tcBorders>
            <w:hideMark/>
          </w:tcPr>
          <w:p w:rsidR="00915C5A" w:rsidP="006D23DC" w:rsidRDefault="00915C5A">
            <w:pPr>
              <w:jc w:val="right"/>
              <w:rPr>
                <w:rFonts w:ascii="Verdana" w:hAnsi="Verdana"/>
                <w:sz w:val="18"/>
                <w:szCs w:val="18"/>
              </w:rPr>
            </w:pPr>
            <w:r>
              <w:rPr>
                <w:rFonts w:ascii="Verdana" w:hAnsi="Verdana"/>
                <w:sz w:val="18"/>
                <w:szCs w:val="18"/>
              </w:rPr>
              <w:t>0,0</w:t>
            </w:r>
          </w:p>
        </w:tc>
      </w:tr>
      <w:tr w:rsidR="00915C5A" w:rsidTr="006D23DC">
        <w:tc>
          <w:tcPr>
            <w:tcW w:w="0" w:type="auto"/>
            <w:gridSpan w:val="2"/>
            <w:tcBorders>
              <w:left w:val="nil"/>
              <w:right w:val="nil"/>
            </w:tcBorders>
            <w:hideMark/>
          </w:tcPr>
          <w:p w:rsidR="00915C5A" w:rsidP="006D23DC" w:rsidRDefault="00915C5A">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915C5A" w:rsidP="006D23DC" w:rsidRDefault="00915C5A">
            <w:pPr>
              <w:jc w:val="right"/>
              <w:rPr>
                <w:rFonts w:ascii="Verdana" w:hAnsi="Verdana"/>
                <w:sz w:val="18"/>
                <w:szCs w:val="18"/>
              </w:rPr>
            </w:pPr>
            <w:r>
              <w:rPr>
                <w:rFonts w:ascii="Verdana" w:hAnsi="Verdana"/>
                <w:sz w:val="18"/>
                <w:szCs w:val="18"/>
              </w:rPr>
              <w:t>0,0</w:t>
            </w:r>
          </w:p>
        </w:tc>
      </w:tr>
    </w:tbl>
    <w:p w:rsidR="00915C5A" w:rsidRDefault="00915C5A">
      <w:pPr>
        <w:rPr>
          <w:rFonts w:ascii="Verdana" w:hAnsi="Verdana" w:cs="Verdana"/>
          <w:b/>
          <w:bCs/>
          <w:sz w:val="18"/>
          <w:szCs w:val="18"/>
        </w:rPr>
      </w:pPr>
    </w:p>
    <w:p w:rsidR="004030F2" w:rsidRDefault="004030F2">
      <w:pPr>
        <w:rPr>
          <w:rFonts w:ascii="Verdana" w:hAnsi="Verdana" w:cs="Verdana"/>
          <w:b/>
          <w:bCs/>
          <w:sz w:val="18"/>
          <w:szCs w:val="18"/>
        </w:rPr>
      </w:pPr>
    </w:p>
    <w:p w:rsidRPr="00553166" w:rsidR="004030F2" w:rsidP="00553166" w:rsidRDefault="004030F2">
      <w:pPr>
        <w:spacing w:line="240" w:lineRule="exact"/>
        <w:rPr>
          <w:rFonts w:ascii="Verdana" w:hAnsi="Verdana" w:cs="Courier New"/>
          <w:i/>
          <w:sz w:val="18"/>
          <w:szCs w:val="18"/>
        </w:rPr>
      </w:pPr>
      <w:r w:rsidRPr="00553166">
        <w:rPr>
          <w:rFonts w:ascii="Verdana" w:hAnsi="Verdana" w:cs="Courier New"/>
          <w:i/>
          <w:sz w:val="18"/>
          <w:szCs w:val="18"/>
        </w:rPr>
        <w:t>Afboeking EU reservering</w:t>
      </w:r>
    </w:p>
    <w:p w:rsidR="004030F2" w:rsidRDefault="00B6030F">
      <w:pPr>
        <w:rPr>
          <w:rFonts w:ascii="Verdana" w:hAnsi="Verdana" w:cs="Verdana"/>
          <w:color w:val="000000"/>
          <w:sz w:val="18"/>
          <w:szCs w:val="18"/>
        </w:rPr>
      </w:pPr>
      <w:r w:rsidRPr="00204E1C">
        <w:rPr>
          <w:rFonts w:ascii="Verdana" w:hAnsi="Verdana" w:cs="Verdana"/>
          <w:color w:val="000000"/>
          <w:sz w:val="18"/>
          <w:szCs w:val="18"/>
        </w:rPr>
        <w:t xml:space="preserve">Op maandag 19 oktober presenteerde de Europese Commissie de achtste aanvullende begroting voor 2015. In deze aanvullende begroting is de jaarlijkse nacalculatie van de grondslagen voor de btw- en </w:t>
      </w:r>
      <w:proofErr w:type="spellStart"/>
      <w:r w:rsidRPr="00204E1C">
        <w:rPr>
          <w:rFonts w:ascii="Verdana" w:hAnsi="Verdana" w:cs="Verdana"/>
          <w:color w:val="000000"/>
          <w:sz w:val="18"/>
          <w:szCs w:val="18"/>
        </w:rPr>
        <w:t>bni-afdrachten</w:t>
      </w:r>
      <w:proofErr w:type="spellEnd"/>
      <w:r w:rsidRPr="00204E1C">
        <w:rPr>
          <w:rFonts w:ascii="Verdana" w:hAnsi="Verdana" w:cs="Verdana"/>
          <w:color w:val="000000"/>
          <w:sz w:val="18"/>
          <w:szCs w:val="18"/>
        </w:rPr>
        <w:t xml:space="preserve"> opgenomen. Voor de budgettair</w:t>
      </w:r>
      <w:r>
        <w:rPr>
          <w:rFonts w:ascii="Verdana" w:hAnsi="Verdana" w:cs="Verdana"/>
          <w:color w:val="000000"/>
          <w:sz w:val="18"/>
          <w:szCs w:val="18"/>
        </w:rPr>
        <w:t>e effecten van de nacalculatie wa</w:t>
      </w:r>
      <w:r w:rsidRPr="00204E1C">
        <w:rPr>
          <w:rFonts w:ascii="Verdana" w:hAnsi="Verdana" w:cs="Verdana"/>
          <w:color w:val="000000"/>
          <w:sz w:val="18"/>
          <w:szCs w:val="18"/>
        </w:rPr>
        <w:t>s een reservering opgenomen op de Aanvullende Post bij het ministerie van Financiën</w:t>
      </w:r>
      <w:r>
        <w:rPr>
          <w:rFonts w:ascii="Verdana" w:hAnsi="Verdana" w:cs="Verdana"/>
          <w:color w:val="000000"/>
          <w:sz w:val="18"/>
          <w:szCs w:val="18"/>
        </w:rPr>
        <w:t>. Deze reservering valt nu vrij. Zie voor een nadere toelichting van de effecten van de EU-afdrachten de toelichting bij hoofdstuk 5 Buitenlandse Zaken.</w:t>
      </w:r>
    </w:p>
    <w:p w:rsidRPr="00333539" w:rsidR="00B6030F" w:rsidRDefault="00B6030F">
      <w:pPr>
        <w:rPr>
          <w:rFonts w:ascii="Verdana" w:hAnsi="Verdana" w:cs="Courier New"/>
          <w:i/>
          <w:sz w:val="18"/>
          <w:szCs w:val="18"/>
        </w:rPr>
      </w:pPr>
    </w:p>
    <w:p w:rsidRPr="00333539" w:rsidR="004030F2" w:rsidRDefault="004030F2">
      <w:pPr>
        <w:rPr>
          <w:rFonts w:ascii="Verdana" w:hAnsi="Verdana" w:cs="Courier New"/>
          <w:i/>
          <w:sz w:val="18"/>
          <w:szCs w:val="18"/>
        </w:rPr>
      </w:pPr>
      <w:r w:rsidRPr="00333539">
        <w:rPr>
          <w:rFonts w:ascii="Verdana" w:hAnsi="Verdana" w:cs="Courier New"/>
          <w:i/>
          <w:sz w:val="18"/>
          <w:szCs w:val="18"/>
        </w:rPr>
        <w:t>Dekking middelen CAO &amp; Uitkeren CAO middelen</w:t>
      </w:r>
    </w:p>
    <w:p w:rsidRPr="00333539" w:rsidR="00333539" w:rsidP="00333539" w:rsidRDefault="00333539">
      <w:pPr>
        <w:rPr>
          <w:rFonts w:ascii="Verdana" w:hAnsi="Verdana" w:cs="Courier New"/>
          <w:sz w:val="18"/>
          <w:szCs w:val="18"/>
        </w:rPr>
      </w:pPr>
      <w:r w:rsidRPr="00333539">
        <w:rPr>
          <w:rFonts w:ascii="Verdana" w:hAnsi="Verdana" w:cs="Courier New"/>
          <w:sz w:val="18"/>
          <w:szCs w:val="18"/>
        </w:rPr>
        <w:t>Dit betreft de uitkering van de aanvullende middelen ten behoeve van de uitvoering van de loonruimteovereenkomst publieke sector van de Aanvullende Post naar de departementale begrotingen. Deze middelen zijn gedekt met onderuitputting op de departementale begrotingen.</w:t>
      </w:r>
    </w:p>
    <w:p w:rsidR="004030F2" w:rsidRDefault="004030F2">
      <w:pPr>
        <w:rPr>
          <w:rFonts w:ascii="Verdana" w:hAnsi="Verdana" w:cs="Verdana"/>
          <w:b/>
          <w:bCs/>
          <w:sz w:val="18"/>
          <w:szCs w:val="18"/>
        </w:rPr>
      </w:pPr>
    </w:p>
    <w:p w:rsidR="00A66E02" w:rsidP="00A66E02" w:rsidRDefault="00A66E02">
      <w:pPr>
        <w:rPr>
          <w:rFonts w:ascii="Verdana" w:hAnsi="Verdana" w:cs="Courier New"/>
          <w:sz w:val="18"/>
          <w:szCs w:val="18"/>
        </w:rPr>
      </w:pPr>
      <w:r w:rsidRPr="00C60380">
        <w:rPr>
          <w:rFonts w:ascii="Verdana" w:hAnsi="Verdana" w:cs="Courier New"/>
          <w:i/>
          <w:sz w:val="18"/>
          <w:szCs w:val="18"/>
        </w:rPr>
        <w:t xml:space="preserve">Invullen in=uit </w:t>
      </w:r>
      <w:r w:rsidRPr="00CA6955">
        <w:rPr>
          <w:rFonts w:ascii="Verdana" w:hAnsi="Verdana" w:cs="Courier New"/>
          <w:i/>
          <w:sz w:val="18"/>
          <w:szCs w:val="18"/>
        </w:rPr>
        <w:t>taakstelling (</w:t>
      </w:r>
      <w:proofErr w:type="spellStart"/>
      <w:r w:rsidRPr="00CA6955">
        <w:rPr>
          <w:rFonts w:ascii="Verdana" w:hAnsi="Verdana" w:cs="Courier New"/>
          <w:i/>
          <w:sz w:val="18"/>
          <w:szCs w:val="18"/>
        </w:rPr>
        <w:t>Rbg-eng</w:t>
      </w:r>
      <w:proofErr w:type="spellEnd"/>
      <w:r>
        <w:rPr>
          <w:rFonts w:ascii="Verdana" w:hAnsi="Verdana" w:cs="Courier New"/>
          <w:i/>
          <w:sz w:val="18"/>
          <w:szCs w:val="18"/>
        </w:rPr>
        <w:t xml:space="preserve"> &amp; SZA)</w:t>
      </w:r>
    </w:p>
    <w:p w:rsidR="00A66E02" w:rsidP="00A66E02" w:rsidRDefault="00A66E02">
      <w:pPr>
        <w:pStyle w:val="Geenafstand"/>
        <w:spacing w:line="276" w:lineRule="auto"/>
        <w:rPr>
          <w:rFonts w:ascii="Verdana" w:hAnsi="Verdana"/>
          <w:sz w:val="18"/>
          <w:szCs w:val="18"/>
        </w:rPr>
      </w:pPr>
      <w:r>
        <w:rPr>
          <w:rFonts w:ascii="Verdana" w:hAnsi="Verdana"/>
          <w:sz w:val="18"/>
          <w:szCs w:val="18"/>
        </w:rPr>
        <w:t xml:space="preserve">Departementen mogen onderuitputting tot maximaal 1 procent van hun gecorrigeerde begrotingstotaal meenemen naar volgend jaar (via de zogenoemde eindejaarsmarge). Daarbij wordt de technische veronderstelling gehanteerd dat in het volgende jaar een gelijk bedrag aan onderuitputting zal optreden (in=uit taakstelling). Hiermee leidt de systematiek van de eindejaarsmarge niet tot </w:t>
      </w:r>
      <w:proofErr w:type="spellStart"/>
      <w:r>
        <w:rPr>
          <w:rFonts w:ascii="Verdana" w:hAnsi="Verdana"/>
          <w:sz w:val="18"/>
          <w:szCs w:val="18"/>
        </w:rPr>
        <w:t>EMU-saldobelasting</w:t>
      </w:r>
      <w:proofErr w:type="spellEnd"/>
      <w:r>
        <w:rPr>
          <w:rFonts w:ascii="Verdana" w:hAnsi="Verdana"/>
          <w:sz w:val="18"/>
          <w:szCs w:val="18"/>
        </w:rPr>
        <w:t>. Bij Najaarsnota wordt een deel van de in=uittaakstelling voor 2015 ingevuld.</w:t>
      </w:r>
    </w:p>
    <w:p w:rsidR="00A66E02" w:rsidP="004030F2" w:rsidRDefault="00A66E02">
      <w:pPr>
        <w:rPr>
          <w:rFonts w:ascii="Verdana" w:hAnsi="Verdana" w:cs="Courier New"/>
          <w:i/>
          <w:sz w:val="18"/>
          <w:szCs w:val="18"/>
        </w:rPr>
      </w:pPr>
    </w:p>
    <w:p w:rsidR="004030F2" w:rsidP="004030F2" w:rsidRDefault="004030F2">
      <w:pPr>
        <w:rPr>
          <w:rFonts w:ascii="Verdana" w:hAnsi="Verdana" w:cs="Courier New"/>
          <w:i/>
          <w:sz w:val="18"/>
          <w:szCs w:val="18"/>
        </w:rPr>
      </w:pPr>
      <w:r>
        <w:rPr>
          <w:rFonts w:ascii="Verdana" w:hAnsi="Verdana" w:cs="Courier New"/>
          <w:i/>
          <w:sz w:val="18"/>
          <w:szCs w:val="18"/>
        </w:rPr>
        <w:lastRenderedPageBreak/>
        <w:t>Kasschuif b</w:t>
      </w:r>
      <w:r w:rsidRPr="00D5258E">
        <w:rPr>
          <w:rFonts w:ascii="Verdana" w:hAnsi="Verdana" w:cs="Courier New"/>
          <w:i/>
          <w:sz w:val="18"/>
          <w:szCs w:val="18"/>
        </w:rPr>
        <w:t>elastingdienst</w:t>
      </w:r>
    </w:p>
    <w:p w:rsidRPr="000210F9" w:rsidR="004030F2" w:rsidP="004030F2" w:rsidRDefault="004030F2">
      <w:pPr>
        <w:rPr>
          <w:rFonts w:ascii="Verdana" w:hAnsi="Verdana" w:cs="Courier New"/>
          <w:sz w:val="18"/>
          <w:szCs w:val="18"/>
        </w:rPr>
      </w:pPr>
      <w:r w:rsidRPr="000210F9">
        <w:rPr>
          <w:rFonts w:ascii="Verdana" w:hAnsi="Verdana" w:cs="Courier New"/>
          <w:sz w:val="18"/>
          <w:szCs w:val="18"/>
        </w:rPr>
        <w:t>De middelen voor de Investeringsagenda Belastingdienst word</w:t>
      </w:r>
      <w:r w:rsidR="00770608">
        <w:rPr>
          <w:rFonts w:ascii="Verdana" w:hAnsi="Verdana" w:cs="Courier New"/>
          <w:sz w:val="18"/>
          <w:szCs w:val="18"/>
        </w:rPr>
        <w:t>en</w:t>
      </w:r>
      <w:r w:rsidRPr="000210F9">
        <w:rPr>
          <w:rFonts w:ascii="Verdana" w:hAnsi="Verdana" w:cs="Courier New"/>
          <w:sz w:val="18"/>
          <w:szCs w:val="18"/>
        </w:rPr>
        <w:t xml:space="preserve"> doorgeschoven naar 2016. De investeringen in de eerste noodzakelijke randvoorwaarden voor de uitvoering van de investeringsagenda waren voorzien voor 2015 en 2016. Het merendeel van deze middelen zal in 2016 tot besteding komen. Dit houdt onder meer verband met de verplichting en wens te voldoen aan regels ten behoeve van aanbesteding.</w:t>
      </w:r>
    </w:p>
    <w:p w:rsidRPr="000210F9" w:rsidR="004030F2" w:rsidP="004030F2" w:rsidRDefault="004030F2">
      <w:pPr>
        <w:rPr>
          <w:rFonts w:ascii="Verdana" w:hAnsi="Verdana" w:cs="Courier New"/>
          <w:sz w:val="18"/>
          <w:szCs w:val="18"/>
          <w:highlight w:val="yellow"/>
        </w:rPr>
      </w:pPr>
    </w:p>
    <w:p w:rsidR="00A66E02" w:rsidP="004030F2" w:rsidRDefault="00A66E02">
      <w:pPr>
        <w:rPr>
          <w:rFonts w:ascii="Verdana" w:hAnsi="Verdana" w:cs="Courier New"/>
          <w:i/>
          <w:sz w:val="18"/>
          <w:szCs w:val="18"/>
        </w:rPr>
      </w:pPr>
    </w:p>
    <w:p w:rsidR="00A66E02" w:rsidP="004030F2" w:rsidRDefault="00A66E02">
      <w:pPr>
        <w:rPr>
          <w:rFonts w:ascii="Verdana" w:hAnsi="Verdana" w:cs="Courier New"/>
          <w:i/>
          <w:sz w:val="18"/>
          <w:szCs w:val="18"/>
        </w:rPr>
      </w:pPr>
    </w:p>
    <w:p w:rsidR="00693F38" w:rsidRDefault="00693F38">
      <w:pPr>
        <w:rPr>
          <w:rFonts w:ascii="Verdana" w:hAnsi="Verdana" w:cs="Verdana"/>
          <w:b/>
          <w:bCs/>
          <w:sz w:val="18"/>
          <w:szCs w:val="18"/>
          <w:highlight w:val="yellow"/>
        </w:rPr>
      </w:pPr>
      <w:r>
        <w:rPr>
          <w:rFonts w:ascii="Verdana" w:hAnsi="Verdana" w:cs="Verdana"/>
          <w:b/>
          <w:bCs/>
          <w:sz w:val="18"/>
          <w:szCs w:val="18"/>
          <w:highlight w:val="yellow"/>
        </w:rPr>
        <w:br w:type="page"/>
      </w:r>
    </w:p>
    <w:p w:rsidRPr="00533D5C" w:rsidR="00512EDB" w:rsidP="00533D5C" w:rsidRDefault="00C05141">
      <w:pPr>
        <w:spacing w:line="240" w:lineRule="exact"/>
        <w:rPr>
          <w:rFonts w:ascii="Verdana" w:hAnsi="Verdana" w:cs="Verdana"/>
          <w:b/>
          <w:bCs/>
          <w:sz w:val="18"/>
          <w:szCs w:val="18"/>
        </w:rPr>
      </w:pPr>
      <w:r w:rsidRPr="00C11899">
        <w:rPr>
          <w:rFonts w:ascii="Verdana" w:hAnsi="Verdana" w:cs="Verdana"/>
          <w:b/>
          <w:bCs/>
          <w:sz w:val="18"/>
          <w:szCs w:val="18"/>
        </w:rPr>
        <w:lastRenderedPageBreak/>
        <w:t>Homogene Groep Internationale Samenwerking</w:t>
      </w:r>
      <w:r w:rsidR="00565D35">
        <w:rPr>
          <w:rFonts w:ascii="Verdana" w:hAnsi="Verdana" w:cs="Verdana"/>
          <w:b/>
          <w:bCs/>
          <w:sz w:val="18"/>
          <w:szCs w:val="18"/>
        </w:rPr>
        <w:t xml:space="preserve"> </w:t>
      </w:r>
    </w:p>
    <w:tbl>
      <w:tblPr>
        <w:tblW w:w="0" w:type="auto"/>
        <w:tblCellMar>
          <w:top w:w="15" w:type="dxa"/>
          <w:left w:w="15" w:type="dxa"/>
          <w:bottom w:w="15" w:type="dxa"/>
          <w:right w:w="15" w:type="dxa"/>
        </w:tblCellMar>
        <w:tblLook w:val="04A0"/>
      </w:tblPr>
      <w:tblGrid>
        <w:gridCol w:w="8223"/>
        <w:gridCol w:w="13"/>
        <w:gridCol w:w="866"/>
      </w:tblGrid>
      <w:tr w:rsidR="00D31CB6" w:rsidTr="00D31CB6">
        <w:tc>
          <w:tcPr>
            <w:tcW w:w="8223" w:type="dxa"/>
            <w:tcBorders>
              <w:left w:val="nil"/>
              <w:right w:val="nil"/>
            </w:tcBorders>
            <w:hideMark/>
          </w:tcPr>
          <w:p w:rsidR="00D31CB6" w:rsidP="006D23DC" w:rsidRDefault="00D31CB6">
            <w:pPr>
              <w:rPr>
                <w:rFonts w:ascii="Verdana" w:hAnsi="Verdana"/>
                <w:sz w:val="18"/>
                <w:szCs w:val="18"/>
              </w:rPr>
            </w:pPr>
          </w:p>
        </w:tc>
        <w:tc>
          <w:tcPr>
            <w:tcW w:w="879" w:type="dxa"/>
            <w:gridSpan w:val="2"/>
            <w:tcBorders>
              <w:left w:val="nil"/>
              <w:right w:val="nil"/>
            </w:tcBorders>
            <w:hideMark/>
          </w:tcPr>
          <w:p w:rsidR="00D31CB6" w:rsidP="006D23DC" w:rsidRDefault="00D31CB6">
            <w:pPr>
              <w:rPr>
                <w:rFonts w:ascii="Verdana" w:hAnsi="Verdana"/>
                <w:sz w:val="18"/>
                <w:szCs w:val="18"/>
              </w:rPr>
            </w:pPr>
            <w:r>
              <w:rPr>
                <w:rFonts w:ascii="Verdana" w:hAnsi="Verdana"/>
                <w:sz w:val="18"/>
                <w:szCs w:val="18"/>
              </w:rPr>
              <w:t> </w:t>
            </w:r>
          </w:p>
        </w:tc>
      </w:tr>
      <w:tr w:rsidR="00D31CB6" w:rsidTr="006D23DC">
        <w:tc>
          <w:tcPr>
            <w:tcW w:w="0" w:type="auto"/>
            <w:gridSpan w:val="3"/>
            <w:tcBorders>
              <w:left w:val="nil"/>
              <w:right w:val="nil"/>
            </w:tcBorders>
            <w:hideMark/>
          </w:tcPr>
          <w:p w:rsidR="00D31CB6" w:rsidP="006D23DC" w:rsidRDefault="00D31CB6">
            <w:pPr>
              <w:rPr>
                <w:rFonts w:ascii="Verdana" w:hAnsi="Verdana"/>
                <w:sz w:val="18"/>
                <w:szCs w:val="18"/>
              </w:rPr>
            </w:pPr>
            <w:r>
              <w:rPr>
                <w:rFonts w:ascii="Verdana" w:hAnsi="Verdana"/>
                <w:sz w:val="18"/>
                <w:szCs w:val="18"/>
              </w:rPr>
              <w:t>HOMOGENE GROEP INTERNATIONALE SAMENWERKING: UITGAVEN</w:t>
            </w:r>
          </w:p>
        </w:tc>
      </w:tr>
      <w:tr w:rsidR="00D31CB6" w:rsidTr="006D23DC">
        <w:tc>
          <w:tcPr>
            <w:tcW w:w="0" w:type="auto"/>
            <w:tcBorders>
              <w:top w:val="single" w:color="000000" w:sz="6" w:space="0"/>
              <w:left w:val="nil"/>
              <w:bottom w:val="single" w:color="000000" w:sz="6" w:space="0"/>
              <w:right w:val="nil"/>
            </w:tcBorders>
            <w:hideMark/>
          </w:tcPr>
          <w:p w:rsidR="00D31CB6" w:rsidP="006D23DC" w:rsidRDefault="00D31CB6">
            <w:pPr>
              <w:jc w:val="right"/>
              <w:rPr>
                <w:rFonts w:ascii="Verdana" w:hAnsi="Verdana"/>
                <w:sz w:val="18"/>
                <w:szCs w:val="18"/>
              </w:rPr>
            </w:pPr>
            <w:r>
              <w:rPr>
                <w:rFonts w:ascii="Verdana" w:hAnsi="Verdana"/>
                <w:sz w:val="18"/>
                <w:szCs w:val="18"/>
              </w:rPr>
              <w:t> </w:t>
            </w:r>
          </w:p>
        </w:tc>
        <w:tc>
          <w:tcPr>
            <w:tcW w:w="0" w:type="auto"/>
            <w:gridSpan w:val="2"/>
            <w:tcBorders>
              <w:top w:val="single" w:color="000000" w:sz="6" w:space="0"/>
              <w:left w:val="nil"/>
              <w:bottom w:val="single" w:color="000000" w:sz="6" w:space="0"/>
              <w:right w:val="nil"/>
            </w:tcBorders>
            <w:hideMark/>
          </w:tcPr>
          <w:p w:rsidR="00D31CB6" w:rsidP="006D23DC" w:rsidRDefault="00D31CB6">
            <w:pPr>
              <w:jc w:val="right"/>
              <w:rPr>
                <w:rFonts w:ascii="Verdana" w:hAnsi="Verdana"/>
                <w:sz w:val="18"/>
                <w:szCs w:val="18"/>
              </w:rPr>
            </w:pPr>
            <w:r>
              <w:rPr>
                <w:rFonts w:ascii="Verdana" w:hAnsi="Verdana"/>
                <w:sz w:val="18"/>
                <w:szCs w:val="18"/>
              </w:rPr>
              <w:t>2015</w:t>
            </w:r>
          </w:p>
        </w:tc>
      </w:tr>
      <w:tr w:rsidR="00D31CB6" w:rsidTr="006D23DC">
        <w:tc>
          <w:tcPr>
            <w:tcW w:w="0" w:type="auto"/>
            <w:tcBorders>
              <w:left w:val="nil"/>
              <w:right w:val="nil"/>
            </w:tcBorders>
            <w:hideMark/>
          </w:tcPr>
          <w:p w:rsidR="00D31CB6" w:rsidP="006D23DC" w:rsidRDefault="00D31CB6">
            <w:pPr>
              <w:rPr>
                <w:rFonts w:ascii="Verdana" w:hAnsi="Verdana"/>
                <w:sz w:val="18"/>
                <w:szCs w:val="18"/>
              </w:rPr>
            </w:pPr>
            <w:r>
              <w:rPr>
                <w:rFonts w:ascii="Verdana" w:hAnsi="Verdana"/>
                <w:sz w:val="18"/>
                <w:szCs w:val="18"/>
              </w:rPr>
              <w:t>Stand Miljoenennota 2016</w:t>
            </w:r>
          </w:p>
        </w:tc>
        <w:tc>
          <w:tcPr>
            <w:tcW w:w="0" w:type="auto"/>
            <w:gridSpan w:val="2"/>
            <w:tcBorders>
              <w:top w:val="single" w:color="000000" w:sz="6" w:space="0"/>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5.064,3</w:t>
            </w:r>
          </w:p>
        </w:tc>
      </w:tr>
      <w:tr w:rsidR="00D31CB6" w:rsidTr="006D23DC">
        <w:tc>
          <w:tcPr>
            <w:tcW w:w="0" w:type="auto"/>
            <w:tcBorders>
              <w:left w:val="nil"/>
              <w:right w:val="nil"/>
            </w:tcBorders>
            <w:hideMark/>
          </w:tcPr>
          <w:p w:rsidR="00D31CB6" w:rsidP="006D23DC" w:rsidRDefault="00D31CB6">
            <w:pPr>
              <w:rPr>
                <w:rFonts w:ascii="Verdana" w:hAnsi="Verdana"/>
                <w:sz w:val="18"/>
                <w:szCs w:val="18"/>
              </w:rPr>
            </w:pPr>
            <w:r>
              <w:rPr>
                <w:rFonts w:ascii="Verdana" w:hAnsi="Verdana"/>
                <w:sz w:val="18"/>
                <w:szCs w:val="18"/>
              </w:rPr>
              <w:t>Mee- en tegenvallers</w:t>
            </w:r>
          </w:p>
        </w:tc>
        <w:tc>
          <w:tcPr>
            <w:tcW w:w="0" w:type="auto"/>
            <w:gridSpan w:val="2"/>
            <w:hideMark/>
          </w:tcPr>
          <w:p w:rsidR="00D31CB6" w:rsidP="006D23DC" w:rsidRDefault="00D31CB6">
            <w:pPr>
              <w:rPr>
                <w:sz w:val="20"/>
                <w:szCs w:val="20"/>
              </w:rPr>
            </w:pPr>
          </w:p>
        </w:tc>
      </w:tr>
      <w:tr w:rsidR="00D31CB6" w:rsidTr="006D23DC">
        <w:tc>
          <w:tcPr>
            <w:tcW w:w="0" w:type="auto"/>
            <w:tcBorders>
              <w:left w:val="nil"/>
              <w:right w:val="nil"/>
            </w:tcBorders>
            <w:tcMar>
              <w:top w:w="15" w:type="dxa"/>
              <w:left w:w="180" w:type="dxa"/>
              <w:bottom w:w="15" w:type="dxa"/>
              <w:right w:w="15" w:type="dxa"/>
            </w:tcMar>
            <w:vAlign w:val="both"/>
            <w:hideMark/>
          </w:tcPr>
          <w:p w:rsidR="00D31CB6" w:rsidP="006D23DC" w:rsidRDefault="00D31CB6">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D31CB6" w:rsidP="006D23DC" w:rsidRDefault="00D31CB6">
            <w:pPr>
              <w:rPr>
                <w:sz w:val="20"/>
                <w:szCs w:val="20"/>
              </w:rPr>
            </w:pPr>
          </w:p>
        </w:tc>
      </w:tr>
      <w:tr w:rsidR="00D31CB6" w:rsidTr="006D23DC">
        <w:tc>
          <w:tcPr>
            <w:tcW w:w="0" w:type="auto"/>
            <w:tcBorders>
              <w:left w:val="nil"/>
              <w:right w:val="nil"/>
            </w:tcBorders>
            <w:tcMar>
              <w:top w:w="15" w:type="dxa"/>
              <w:left w:w="360" w:type="dxa"/>
              <w:bottom w:w="15" w:type="dxa"/>
              <w:right w:w="15" w:type="dxa"/>
            </w:tcMar>
            <w:vAlign w:val="both"/>
            <w:hideMark/>
          </w:tcPr>
          <w:p w:rsidR="00D31CB6" w:rsidP="006D23DC" w:rsidRDefault="00D31CB6">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-3,0</w:t>
            </w:r>
          </w:p>
        </w:tc>
      </w:tr>
      <w:tr w:rsidR="00D31CB6" w:rsidTr="006D23DC">
        <w:tc>
          <w:tcPr>
            <w:tcW w:w="0" w:type="auto"/>
            <w:tcBorders>
              <w:left w:val="nil"/>
              <w:right w:val="nil"/>
            </w:tcBorders>
            <w:hideMark/>
          </w:tcPr>
          <w:p w:rsidR="00D31CB6" w:rsidP="006D23DC" w:rsidRDefault="00D31CB6">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-3,0</w:t>
            </w:r>
          </w:p>
        </w:tc>
      </w:tr>
      <w:tr w:rsidR="00D31CB6" w:rsidTr="006D23DC">
        <w:tc>
          <w:tcPr>
            <w:tcW w:w="0" w:type="auto"/>
            <w:tcBorders>
              <w:left w:val="nil"/>
              <w:right w:val="nil"/>
            </w:tcBorders>
            <w:hideMark/>
          </w:tcPr>
          <w:p w:rsidR="00D31CB6" w:rsidP="006D23DC" w:rsidRDefault="00D31CB6">
            <w:pPr>
              <w:rPr>
                <w:rFonts w:ascii="Verdana" w:hAnsi="Verdana"/>
                <w:sz w:val="18"/>
                <w:szCs w:val="18"/>
              </w:rPr>
            </w:pPr>
            <w:r>
              <w:rPr>
                <w:rFonts w:ascii="Verdana" w:hAnsi="Verdana"/>
                <w:sz w:val="18"/>
                <w:szCs w:val="18"/>
              </w:rPr>
              <w:t>Beleidsmatige mutaties</w:t>
            </w:r>
          </w:p>
        </w:tc>
        <w:tc>
          <w:tcPr>
            <w:tcW w:w="0" w:type="auto"/>
            <w:gridSpan w:val="2"/>
            <w:hideMark/>
          </w:tcPr>
          <w:p w:rsidR="00D31CB6" w:rsidP="006D23DC" w:rsidRDefault="00D31CB6">
            <w:pPr>
              <w:rPr>
                <w:sz w:val="20"/>
                <w:szCs w:val="20"/>
              </w:rPr>
            </w:pPr>
          </w:p>
        </w:tc>
      </w:tr>
      <w:tr w:rsidR="00D31CB6" w:rsidTr="006D23DC">
        <w:tc>
          <w:tcPr>
            <w:tcW w:w="0" w:type="auto"/>
            <w:tcBorders>
              <w:left w:val="nil"/>
              <w:right w:val="nil"/>
            </w:tcBorders>
            <w:tcMar>
              <w:top w:w="15" w:type="dxa"/>
              <w:left w:w="180" w:type="dxa"/>
              <w:bottom w:w="15" w:type="dxa"/>
              <w:right w:w="15" w:type="dxa"/>
            </w:tcMar>
            <w:vAlign w:val="both"/>
            <w:hideMark/>
          </w:tcPr>
          <w:p w:rsidR="00D31CB6" w:rsidP="006D23DC" w:rsidRDefault="00D31CB6">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D31CB6" w:rsidP="006D23DC" w:rsidRDefault="00D31CB6">
            <w:pPr>
              <w:rPr>
                <w:sz w:val="20"/>
                <w:szCs w:val="20"/>
              </w:rPr>
            </w:pPr>
          </w:p>
        </w:tc>
      </w:tr>
      <w:tr w:rsidR="00D31CB6" w:rsidTr="006D23DC">
        <w:tc>
          <w:tcPr>
            <w:tcW w:w="0" w:type="auto"/>
            <w:tcBorders>
              <w:left w:val="nil"/>
              <w:right w:val="nil"/>
            </w:tcBorders>
            <w:tcMar>
              <w:top w:w="15" w:type="dxa"/>
              <w:left w:w="360" w:type="dxa"/>
              <w:bottom w:w="15" w:type="dxa"/>
              <w:right w:w="15" w:type="dxa"/>
            </w:tcMar>
            <w:vAlign w:val="both"/>
            <w:hideMark/>
          </w:tcPr>
          <w:p w:rsidR="00D31CB6" w:rsidP="006D23DC" w:rsidRDefault="00D31CB6">
            <w:pPr>
              <w:ind w:firstLine="360" w:firstLineChars="200"/>
              <w:rPr>
                <w:rFonts w:ascii="Verdana" w:hAnsi="Verdana"/>
                <w:sz w:val="18"/>
                <w:szCs w:val="18"/>
              </w:rPr>
            </w:pPr>
            <w:r>
              <w:rPr>
                <w:rFonts w:ascii="Verdana" w:hAnsi="Verdana"/>
                <w:sz w:val="18"/>
                <w:szCs w:val="18"/>
              </w:rPr>
              <w:t>Asielproblematiek 2015 uit onderuitputting</w:t>
            </w:r>
          </w:p>
        </w:tc>
        <w:tc>
          <w:tcPr>
            <w:tcW w:w="0" w:type="auto"/>
            <w:gridSpan w:val="2"/>
            <w:tcBorders>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350,0</w:t>
            </w:r>
          </w:p>
        </w:tc>
      </w:tr>
      <w:tr w:rsidR="00D31CB6" w:rsidTr="006D23DC">
        <w:tc>
          <w:tcPr>
            <w:tcW w:w="0" w:type="auto"/>
            <w:tcBorders>
              <w:left w:val="nil"/>
              <w:right w:val="nil"/>
            </w:tcBorders>
            <w:tcMar>
              <w:top w:w="15" w:type="dxa"/>
              <w:left w:w="360" w:type="dxa"/>
              <w:bottom w:w="15" w:type="dxa"/>
              <w:right w:w="15" w:type="dxa"/>
            </w:tcMar>
            <w:vAlign w:val="both"/>
            <w:hideMark/>
          </w:tcPr>
          <w:p w:rsidR="00D31CB6" w:rsidP="006D23DC" w:rsidRDefault="00D31CB6">
            <w:pPr>
              <w:ind w:firstLine="360" w:firstLineChars="200"/>
              <w:rPr>
                <w:rFonts w:ascii="Verdana" w:hAnsi="Verdana"/>
                <w:sz w:val="18"/>
                <w:szCs w:val="18"/>
              </w:rPr>
            </w:pPr>
            <w:proofErr w:type="spellStart"/>
            <w:r>
              <w:rPr>
                <w:rFonts w:ascii="Verdana" w:hAnsi="Verdana"/>
                <w:sz w:val="18"/>
                <w:szCs w:val="18"/>
              </w:rPr>
              <w:t>Dggf</w:t>
            </w:r>
            <w:proofErr w:type="spellEnd"/>
          </w:p>
        </w:tc>
        <w:tc>
          <w:tcPr>
            <w:tcW w:w="0" w:type="auto"/>
            <w:gridSpan w:val="2"/>
            <w:tcBorders>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-73,6</w:t>
            </w:r>
          </w:p>
        </w:tc>
      </w:tr>
      <w:tr w:rsidR="00D31CB6" w:rsidTr="006D23DC">
        <w:tc>
          <w:tcPr>
            <w:tcW w:w="0" w:type="auto"/>
            <w:tcBorders>
              <w:left w:val="nil"/>
              <w:right w:val="nil"/>
            </w:tcBorders>
            <w:tcMar>
              <w:top w:w="15" w:type="dxa"/>
              <w:left w:w="360" w:type="dxa"/>
              <w:bottom w:w="15" w:type="dxa"/>
              <w:right w:w="15" w:type="dxa"/>
            </w:tcMar>
            <w:vAlign w:val="both"/>
            <w:hideMark/>
          </w:tcPr>
          <w:p w:rsidR="00D31CB6" w:rsidP="006D23DC" w:rsidRDefault="00D31CB6">
            <w:pPr>
              <w:ind w:firstLine="360" w:firstLineChars="200"/>
              <w:rPr>
                <w:rFonts w:ascii="Verdana" w:hAnsi="Verdana"/>
                <w:sz w:val="18"/>
                <w:szCs w:val="18"/>
              </w:rPr>
            </w:pPr>
            <w:r>
              <w:rPr>
                <w:rFonts w:ascii="Verdana" w:hAnsi="Verdana"/>
                <w:sz w:val="18"/>
                <w:szCs w:val="18"/>
              </w:rPr>
              <w:t>Infrastructuurontwikkeling</w:t>
            </w:r>
          </w:p>
        </w:tc>
        <w:tc>
          <w:tcPr>
            <w:tcW w:w="0" w:type="auto"/>
            <w:gridSpan w:val="2"/>
            <w:tcBorders>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-32,8</w:t>
            </w:r>
          </w:p>
        </w:tc>
      </w:tr>
      <w:tr w:rsidR="00D31CB6" w:rsidTr="006D23DC">
        <w:tc>
          <w:tcPr>
            <w:tcW w:w="0" w:type="auto"/>
            <w:tcBorders>
              <w:left w:val="nil"/>
              <w:right w:val="nil"/>
            </w:tcBorders>
            <w:tcMar>
              <w:top w:w="15" w:type="dxa"/>
              <w:left w:w="360" w:type="dxa"/>
              <w:bottom w:w="15" w:type="dxa"/>
              <w:right w:w="15" w:type="dxa"/>
            </w:tcMar>
            <w:vAlign w:val="both"/>
            <w:hideMark/>
          </w:tcPr>
          <w:p w:rsidR="00D31CB6" w:rsidP="006D23DC" w:rsidRDefault="00D31CB6">
            <w:pPr>
              <w:ind w:firstLine="360" w:firstLineChars="200"/>
              <w:rPr>
                <w:rFonts w:ascii="Verdana" w:hAnsi="Verdana"/>
                <w:sz w:val="18"/>
                <w:szCs w:val="18"/>
              </w:rPr>
            </w:pPr>
            <w:r>
              <w:rPr>
                <w:rFonts w:ascii="Verdana" w:hAnsi="Verdana"/>
                <w:sz w:val="18"/>
                <w:szCs w:val="18"/>
              </w:rPr>
              <w:t>Overboeking v&amp;j asiel</w:t>
            </w:r>
          </w:p>
        </w:tc>
        <w:tc>
          <w:tcPr>
            <w:tcW w:w="0" w:type="auto"/>
            <w:gridSpan w:val="2"/>
            <w:tcBorders>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-350,0</w:t>
            </w:r>
          </w:p>
        </w:tc>
      </w:tr>
      <w:tr w:rsidR="00D31CB6" w:rsidTr="006D23DC">
        <w:tc>
          <w:tcPr>
            <w:tcW w:w="0" w:type="auto"/>
            <w:tcBorders>
              <w:left w:val="nil"/>
              <w:right w:val="nil"/>
            </w:tcBorders>
            <w:tcMar>
              <w:top w:w="15" w:type="dxa"/>
              <w:left w:w="360" w:type="dxa"/>
              <w:bottom w:w="15" w:type="dxa"/>
              <w:right w:w="15" w:type="dxa"/>
            </w:tcMar>
            <w:vAlign w:val="both"/>
            <w:hideMark/>
          </w:tcPr>
          <w:p w:rsidR="00D31CB6" w:rsidP="006D23DC" w:rsidRDefault="00D31CB6">
            <w:pPr>
              <w:ind w:firstLine="360" w:firstLineChars="200"/>
              <w:rPr>
                <w:rFonts w:ascii="Verdana" w:hAnsi="Verdana"/>
                <w:sz w:val="18"/>
                <w:szCs w:val="18"/>
              </w:rPr>
            </w:pPr>
            <w:r>
              <w:rPr>
                <w:rFonts w:ascii="Verdana" w:hAnsi="Verdana"/>
                <w:sz w:val="18"/>
                <w:szCs w:val="18"/>
              </w:rPr>
              <w:t>Overig armoedebeleid</w:t>
            </w:r>
          </w:p>
        </w:tc>
        <w:tc>
          <w:tcPr>
            <w:tcW w:w="0" w:type="auto"/>
            <w:gridSpan w:val="2"/>
            <w:tcBorders>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172,4</w:t>
            </w:r>
          </w:p>
        </w:tc>
      </w:tr>
      <w:tr w:rsidR="00D31CB6" w:rsidTr="006D23DC">
        <w:tc>
          <w:tcPr>
            <w:tcW w:w="0" w:type="auto"/>
            <w:tcBorders>
              <w:left w:val="nil"/>
              <w:right w:val="nil"/>
            </w:tcBorders>
            <w:tcMar>
              <w:top w:w="15" w:type="dxa"/>
              <w:left w:w="360" w:type="dxa"/>
              <w:bottom w:w="15" w:type="dxa"/>
              <w:right w:w="15" w:type="dxa"/>
            </w:tcMar>
            <w:vAlign w:val="both"/>
            <w:hideMark/>
          </w:tcPr>
          <w:p w:rsidR="00D31CB6" w:rsidP="006D23DC" w:rsidRDefault="00D31CB6">
            <w:pPr>
              <w:ind w:firstLine="360" w:firstLineChars="200"/>
              <w:rPr>
                <w:rFonts w:ascii="Verdana" w:hAnsi="Verdana"/>
                <w:sz w:val="18"/>
                <w:szCs w:val="18"/>
              </w:rPr>
            </w:pPr>
            <w:r>
              <w:rPr>
                <w:rFonts w:ascii="Verdana" w:hAnsi="Verdana"/>
                <w:sz w:val="18"/>
                <w:szCs w:val="18"/>
              </w:rPr>
              <w:t>Rechtstaatontwikkeling, wederopbouw, vrede</w:t>
            </w:r>
          </w:p>
        </w:tc>
        <w:tc>
          <w:tcPr>
            <w:tcW w:w="0" w:type="auto"/>
            <w:gridSpan w:val="2"/>
            <w:tcBorders>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-20,9</w:t>
            </w:r>
          </w:p>
        </w:tc>
      </w:tr>
      <w:tr w:rsidR="00D31CB6" w:rsidTr="006D23DC">
        <w:tc>
          <w:tcPr>
            <w:tcW w:w="0" w:type="auto"/>
            <w:tcBorders>
              <w:left w:val="nil"/>
              <w:right w:val="nil"/>
            </w:tcBorders>
            <w:tcMar>
              <w:top w:w="15" w:type="dxa"/>
              <w:left w:w="360" w:type="dxa"/>
              <w:bottom w:w="15" w:type="dxa"/>
              <w:right w:w="15" w:type="dxa"/>
            </w:tcMar>
            <w:vAlign w:val="both"/>
            <w:hideMark/>
          </w:tcPr>
          <w:p w:rsidR="00D31CB6" w:rsidP="006D23DC" w:rsidRDefault="00D31CB6">
            <w:pPr>
              <w:ind w:firstLine="360" w:firstLineChars="200"/>
              <w:rPr>
                <w:rFonts w:ascii="Verdana" w:hAnsi="Verdana"/>
                <w:sz w:val="18"/>
                <w:szCs w:val="18"/>
              </w:rPr>
            </w:pPr>
            <w:proofErr w:type="spellStart"/>
            <w:r>
              <w:rPr>
                <w:rFonts w:ascii="Verdana" w:hAnsi="Verdana"/>
                <w:sz w:val="18"/>
                <w:szCs w:val="18"/>
              </w:rPr>
              <w:t>Vn</w:t>
            </w:r>
            <w:proofErr w:type="spellEnd"/>
            <w:r>
              <w:rPr>
                <w:rFonts w:ascii="Verdana" w:hAnsi="Verdana"/>
                <w:sz w:val="18"/>
                <w:szCs w:val="18"/>
              </w:rPr>
              <w:t xml:space="preserve"> crisisbeheersingsoperaties</w:t>
            </w:r>
          </w:p>
        </w:tc>
        <w:tc>
          <w:tcPr>
            <w:tcW w:w="0" w:type="auto"/>
            <w:gridSpan w:val="2"/>
            <w:tcBorders>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-24,0</w:t>
            </w:r>
          </w:p>
        </w:tc>
      </w:tr>
      <w:tr w:rsidR="00D31CB6" w:rsidTr="006D23DC">
        <w:tc>
          <w:tcPr>
            <w:tcW w:w="0" w:type="auto"/>
            <w:tcBorders>
              <w:left w:val="nil"/>
              <w:right w:val="nil"/>
            </w:tcBorders>
            <w:tcMar>
              <w:top w:w="15" w:type="dxa"/>
              <w:left w:w="360" w:type="dxa"/>
              <w:bottom w:w="15" w:type="dxa"/>
              <w:right w:w="15" w:type="dxa"/>
            </w:tcMar>
            <w:vAlign w:val="both"/>
            <w:hideMark/>
          </w:tcPr>
          <w:p w:rsidR="00D31CB6" w:rsidP="006D23DC" w:rsidRDefault="00D31CB6">
            <w:pPr>
              <w:ind w:firstLine="360" w:firstLineChars="200"/>
              <w:rPr>
                <w:rFonts w:ascii="Verdana" w:hAnsi="Verdana"/>
                <w:sz w:val="18"/>
                <w:szCs w:val="18"/>
              </w:rPr>
            </w:pPr>
            <w:r>
              <w:rPr>
                <w:rFonts w:ascii="Verdana" w:hAnsi="Verdana"/>
                <w:sz w:val="18"/>
                <w:szCs w:val="18"/>
              </w:rPr>
              <w:t xml:space="preserve">Vrijgave ontvangsten </w:t>
            </w:r>
            <w:proofErr w:type="spellStart"/>
            <w:r>
              <w:rPr>
                <w:rFonts w:ascii="Verdana" w:hAnsi="Verdana"/>
                <w:sz w:val="18"/>
                <w:szCs w:val="18"/>
              </w:rPr>
              <w:t>minusma</w:t>
            </w:r>
            <w:proofErr w:type="spellEnd"/>
          </w:p>
        </w:tc>
        <w:tc>
          <w:tcPr>
            <w:tcW w:w="0" w:type="auto"/>
            <w:gridSpan w:val="2"/>
            <w:tcBorders>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-17,5</w:t>
            </w:r>
          </w:p>
        </w:tc>
      </w:tr>
      <w:tr w:rsidR="00D31CB6" w:rsidTr="006D23DC">
        <w:tc>
          <w:tcPr>
            <w:tcW w:w="0" w:type="auto"/>
            <w:tcBorders>
              <w:left w:val="nil"/>
              <w:right w:val="nil"/>
            </w:tcBorders>
            <w:tcMar>
              <w:top w:w="15" w:type="dxa"/>
              <w:left w:w="360" w:type="dxa"/>
              <w:bottom w:w="15" w:type="dxa"/>
              <w:right w:w="15" w:type="dxa"/>
            </w:tcMar>
            <w:vAlign w:val="both"/>
            <w:hideMark/>
          </w:tcPr>
          <w:p w:rsidR="00D31CB6" w:rsidP="006D23DC" w:rsidRDefault="00D31CB6">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-75,6</w:t>
            </w:r>
          </w:p>
        </w:tc>
      </w:tr>
      <w:tr w:rsidR="00D31CB6" w:rsidTr="006D23DC">
        <w:tc>
          <w:tcPr>
            <w:tcW w:w="0" w:type="auto"/>
            <w:tcBorders>
              <w:left w:val="nil"/>
              <w:right w:val="nil"/>
            </w:tcBorders>
            <w:hideMark/>
          </w:tcPr>
          <w:p w:rsidR="00D31CB6" w:rsidP="006D23DC" w:rsidRDefault="00D31CB6">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-72,0</w:t>
            </w:r>
          </w:p>
        </w:tc>
      </w:tr>
      <w:tr w:rsidR="00D31CB6" w:rsidTr="006D23DC">
        <w:tc>
          <w:tcPr>
            <w:tcW w:w="0" w:type="auto"/>
            <w:tcBorders>
              <w:left w:val="nil"/>
              <w:right w:val="nil"/>
            </w:tcBorders>
            <w:hideMark/>
          </w:tcPr>
          <w:p w:rsidR="00D31CB6" w:rsidP="006D23DC" w:rsidRDefault="00D31CB6">
            <w:pPr>
              <w:rPr>
                <w:rFonts w:ascii="Verdana" w:hAnsi="Verdana"/>
                <w:sz w:val="18"/>
                <w:szCs w:val="18"/>
              </w:rPr>
            </w:pPr>
            <w:r>
              <w:rPr>
                <w:rFonts w:ascii="Verdana" w:hAnsi="Verdana"/>
                <w:sz w:val="18"/>
                <w:szCs w:val="18"/>
              </w:rPr>
              <w:t>Technische mutaties</w:t>
            </w:r>
          </w:p>
        </w:tc>
        <w:tc>
          <w:tcPr>
            <w:tcW w:w="0" w:type="auto"/>
            <w:gridSpan w:val="2"/>
            <w:hideMark/>
          </w:tcPr>
          <w:p w:rsidR="00D31CB6" w:rsidP="006D23DC" w:rsidRDefault="00D31CB6">
            <w:pPr>
              <w:rPr>
                <w:sz w:val="20"/>
                <w:szCs w:val="20"/>
              </w:rPr>
            </w:pPr>
          </w:p>
        </w:tc>
      </w:tr>
      <w:tr w:rsidR="00D31CB6" w:rsidTr="006D23DC">
        <w:tc>
          <w:tcPr>
            <w:tcW w:w="0" w:type="auto"/>
            <w:tcBorders>
              <w:left w:val="nil"/>
              <w:right w:val="nil"/>
            </w:tcBorders>
            <w:tcMar>
              <w:top w:w="15" w:type="dxa"/>
              <w:left w:w="180" w:type="dxa"/>
              <w:bottom w:w="15" w:type="dxa"/>
              <w:right w:w="15" w:type="dxa"/>
            </w:tcMar>
            <w:vAlign w:val="both"/>
            <w:hideMark/>
          </w:tcPr>
          <w:p w:rsidR="00D31CB6" w:rsidP="006D23DC" w:rsidRDefault="00D31CB6">
            <w:pPr>
              <w:ind w:firstLine="180" w:firstLineChars="100"/>
              <w:rPr>
                <w:rFonts w:ascii="Verdana" w:hAnsi="Verdana"/>
                <w:sz w:val="18"/>
                <w:szCs w:val="18"/>
              </w:rPr>
            </w:pPr>
            <w:r>
              <w:rPr>
                <w:rFonts w:ascii="Verdana" w:hAnsi="Verdana"/>
                <w:sz w:val="18"/>
                <w:szCs w:val="18"/>
              </w:rPr>
              <w:t>Rijksbegroting in enge zin</w:t>
            </w:r>
          </w:p>
        </w:tc>
        <w:tc>
          <w:tcPr>
            <w:tcW w:w="0" w:type="auto"/>
            <w:gridSpan w:val="2"/>
            <w:hideMark/>
          </w:tcPr>
          <w:p w:rsidR="00D31CB6" w:rsidP="006D23DC" w:rsidRDefault="00D31CB6">
            <w:pPr>
              <w:rPr>
                <w:sz w:val="20"/>
                <w:szCs w:val="20"/>
              </w:rPr>
            </w:pPr>
          </w:p>
        </w:tc>
      </w:tr>
      <w:tr w:rsidR="00D31CB6" w:rsidTr="006D23DC">
        <w:tc>
          <w:tcPr>
            <w:tcW w:w="0" w:type="auto"/>
            <w:tcBorders>
              <w:left w:val="nil"/>
              <w:right w:val="nil"/>
            </w:tcBorders>
            <w:tcMar>
              <w:top w:w="15" w:type="dxa"/>
              <w:left w:w="360" w:type="dxa"/>
              <w:bottom w:w="15" w:type="dxa"/>
              <w:right w:w="15" w:type="dxa"/>
            </w:tcMar>
            <w:vAlign w:val="both"/>
            <w:hideMark/>
          </w:tcPr>
          <w:p w:rsidR="00D31CB6" w:rsidP="006D23DC" w:rsidRDefault="00D31CB6">
            <w:pPr>
              <w:ind w:firstLine="360" w:firstLineChars="200"/>
              <w:rPr>
                <w:rFonts w:ascii="Verdana" w:hAnsi="Verdana"/>
                <w:sz w:val="18"/>
                <w:szCs w:val="18"/>
              </w:rPr>
            </w:pPr>
            <w:r>
              <w:rPr>
                <w:rFonts w:ascii="Verdana" w:hAnsi="Verdana"/>
                <w:sz w:val="18"/>
                <w:szCs w:val="18"/>
              </w:rPr>
              <w:t>Diversen</w:t>
            </w:r>
          </w:p>
        </w:tc>
        <w:tc>
          <w:tcPr>
            <w:tcW w:w="0" w:type="auto"/>
            <w:gridSpan w:val="2"/>
            <w:tcBorders>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14,2</w:t>
            </w:r>
          </w:p>
        </w:tc>
      </w:tr>
      <w:tr w:rsidR="00D31CB6" w:rsidTr="006D23DC">
        <w:tc>
          <w:tcPr>
            <w:tcW w:w="0" w:type="auto"/>
            <w:tcBorders>
              <w:left w:val="nil"/>
              <w:right w:val="nil"/>
            </w:tcBorders>
            <w:hideMark/>
          </w:tcPr>
          <w:p w:rsidR="00D31CB6" w:rsidP="006D23DC" w:rsidRDefault="00D31CB6">
            <w:pPr>
              <w:rPr>
                <w:rFonts w:ascii="Verdana" w:hAnsi="Verdana"/>
                <w:sz w:val="18"/>
                <w:szCs w:val="18"/>
              </w:rPr>
            </w:pPr>
            <w:r>
              <w:rPr>
                <w:rFonts w:ascii="Verdana" w:hAnsi="Verdana"/>
                <w:sz w:val="18"/>
                <w:szCs w:val="18"/>
              </w:rPr>
              <w:t> </w:t>
            </w:r>
          </w:p>
        </w:tc>
        <w:tc>
          <w:tcPr>
            <w:tcW w:w="0" w:type="auto"/>
            <w:gridSpan w:val="2"/>
            <w:tcBorders>
              <w:top w:val="single" w:color="000000" w:sz="6" w:space="0"/>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14,2</w:t>
            </w:r>
          </w:p>
        </w:tc>
      </w:tr>
      <w:tr w:rsidR="00D31CB6" w:rsidTr="006D23DC">
        <w:tc>
          <w:tcPr>
            <w:tcW w:w="0" w:type="auto"/>
            <w:tcBorders>
              <w:left w:val="nil"/>
              <w:right w:val="nil"/>
            </w:tcBorders>
            <w:hideMark/>
          </w:tcPr>
          <w:p w:rsidR="00D31CB6" w:rsidP="006D23DC" w:rsidRDefault="00D31CB6">
            <w:pPr>
              <w:rPr>
                <w:rFonts w:ascii="Verdana" w:hAnsi="Verdana"/>
                <w:sz w:val="18"/>
                <w:szCs w:val="18"/>
              </w:rPr>
            </w:pPr>
            <w:r>
              <w:rPr>
                <w:rFonts w:ascii="Verdana" w:hAnsi="Verdana"/>
                <w:sz w:val="18"/>
                <w:szCs w:val="18"/>
              </w:rPr>
              <w:t>Totaal mutaties sinds Miljoenennota 2016</w:t>
            </w:r>
          </w:p>
        </w:tc>
        <w:tc>
          <w:tcPr>
            <w:tcW w:w="0" w:type="auto"/>
            <w:gridSpan w:val="2"/>
            <w:tcBorders>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-60,8</w:t>
            </w:r>
          </w:p>
        </w:tc>
      </w:tr>
      <w:tr w:rsidR="00D31CB6" w:rsidTr="006D23DC">
        <w:tc>
          <w:tcPr>
            <w:tcW w:w="0" w:type="auto"/>
            <w:tcBorders>
              <w:left w:val="nil"/>
              <w:right w:val="nil"/>
            </w:tcBorders>
            <w:hideMark/>
          </w:tcPr>
          <w:p w:rsidR="00D31CB6" w:rsidP="006D23DC" w:rsidRDefault="00D31CB6">
            <w:pPr>
              <w:rPr>
                <w:rFonts w:ascii="Verdana" w:hAnsi="Verdana"/>
                <w:sz w:val="18"/>
                <w:szCs w:val="18"/>
              </w:rPr>
            </w:pPr>
            <w:r>
              <w:rPr>
                <w:rFonts w:ascii="Verdana" w:hAnsi="Verdana"/>
                <w:sz w:val="18"/>
                <w:szCs w:val="18"/>
              </w:rPr>
              <w:t>Stand Najaarsnota 2015</w:t>
            </w:r>
          </w:p>
        </w:tc>
        <w:tc>
          <w:tcPr>
            <w:tcW w:w="0" w:type="auto"/>
            <w:gridSpan w:val="2"/>
            <w:tcBorders>
              <w:top w:val="single" w:color="000000" w:sz="6" w:space="0"/>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5.003,5</w:t>
            </w:r>
          </w:p>
        </w:tc>
      </w:tr>
      <w:tr w:rsidR="00D31CB6" w:rsidTr="00D31CB6">
        <w:tc>
          <w:tcPr>
            <w:tcW w:w="8236" w:type="dxa"/>
            <w:gridSpan w:val="2"/>
            <w:tcBorders>
              <w:left w:val="nil"/>
              <w:right w:val="nil"/>
            </w:tcBorders>
            <w:hideMark/>
          </w:tcPr>
          <w:p w:rsidR="00D31CB6" w:rsidP="006D23DC" w:rsidRDefault="00D31CB6">
            <w:pPr>
              <w:rPr>
                <w:rFonts w:ascii="Verdana" w:hAnsi="Verdana"/>
                <w:sz w:val="18"/>
                <w:szCs w:val="18"/>
              </w:rPr>
            </w:pPr>
            <w:r>
              <w:rPr>
                <w:rFonts w:ascii="Verdana" w:hAnsi="Verdana"/>
                <w:sz w:val="18"/>
                <w:szCs w:val="18"/>
              </w:rPr>
              <w:t> </w:t>
            </w:r>
          </w:p>
        </w:tc>
        <w:tc>
          <w:tcPr>
            <w:tcW w:w="866" w:type="dxa"/>
            <w:tcBorders>
              <w:left w:val="nil"/>
              <w:right w:val="nil"/>
            </w:tcBorders>
            <w:hideMark/>
          </w:tcPr>
          <w:p w:rsidR="00D31CB6" w:rsidP="006D23DC" w:rsidRDefault="00D31CB6">
            <w:pPr>
              <w:rPr>
                <w:rFonts w:ascii="Verdana" w:hAnsi="Verdana"/>
                <w:sz w:val="18"/>
                <w:szCs w:val="18"/>
              </w:rPr>
            </w:pPr>
            <w:r>
              <w:rPr>
                <w:rFonts w:ascii="Verdana" w:hAnsi="Verdana"/>
                <w:sz w:val="18"/>
                <w:szCs w:val="18"/>
              </w:rPr>
              <w:t> </w:t>
            </w:r>
          </w:p>
        </w:tc>
      </w:tr>
      <w:tr w:rsidR="00D31CB6" w:rsidTr="006D23DC">
        <w:tc>
          <w:tcPr>
            <w:tcW w:w="0" w:type="auto"/>
            <w:gridSpan w:val="3"/>
            <w:tcBorders>
              <w:left w:val="nil"/>
              <w:right w:val="nil"/>
            </w:tcBorders>
            <w:hideMark/>
          </w:tcPr>
          <w:p w:rsidR="00D31CB6" w:rsidP="006D23DC" w:rsidRDefault="00D31CB6">
            <w:pPr>
              <w:rPr>
                <w:rFonts w:ascii="Verdana" w:hAnsi="Verdana"/>
                <w:sz w:val="18"/>
                <w:szCs w:val="18"/>
              </w:rPr>
            </w:pPr>
            <w:r>
              <w:rPr>
                <w:rFonts w:ascii="Verdana" w:hAnsi="Verdana"/>
                <w:sz w:val="18"/>
                <w:szCs w:val="18"/>
              </w:rPr>
              <w:t>HOMOGENE GROEP INTERNATIONALE SAMENWERKING: NIET-BELASTINGONTVANGSTEN</w:t>
            </w:r>
          </w:p>
        </w:tc>
      </w:tr>
      <w:tr w:rsidR="00D31CB6" w:rsidTr="006D23DC">
        <w:tc>
          <w:tcPr>
            <w:tcW w:w="0" w:type="auto"/>
            <w:gridSpan w:val="2"/>
            <w:tcBorders>
              <w:top w:val="single" w:color="000000" w:sz="6" w:space="0"/>
              <w:left w:val="nil"/>
              <w:bottom w:val="single" w:color="000000" w:sz="6" w:space="0"/>
              <w:right w:val="nil"/>
            </w:tcBorders>
            <w:hideMark/>
          </w:tcPr>
          <w:p w:rsidR="00D31CB6" w:rsidP="006D23DC" w:rsidRDefault="00D31CB6">
            <w:pPr>
              <w:jc w:val="right"/>
              <w:rPr>
                <w:rFonts w:ascii="Verdana" w:hAnsi="Verdana"/>
                <w:sz w:val="18"/>
                <w:szCs w:val="18"/>
              </w:rPr>
            </w:pPr>
            <w:r>
              <w:rPr>
                <w:rFonts w:ascii="Verdana" w:hAnsi="Verdana"/>
                <w:sz w:val="18"/>
                <w:szCs w:val="18"/>
              </w:rPr>
              <w:t> </w:t>
            </w:r>
          </w:p>
        </w:tc>
        <w:tc>
          <w:tcPr>
            <w:tcW w:w="0" w:type="auto"/>
            <w:tcBorders>
              <w:top w:val="single" w:color="000000" w:sz="6" w:space="0"/>
              <w:left w:val="nil"/>
              <w:bottom w:val="single" w:color="000000" w:sz="6" w:space="0"/>
              <w:right w:val="nil"/>
            </w:tcBorders>
            <w:hideMark/>
          </w:tcPr>
          <w:p w:rsidR="00D31CB6" w:rsidP="006D23DC" w:rsidRDefault="00D31CB6">
            <w:pPr>
              <w:jc w:val="right"/>
              <w:rPr>
                <w:rFonts w:ascii="Verdana" w:hAnsi="Verdana"/>
                <w:sz w:val="18"/>
                <w:szCs w:val="18"/>
              </w:rPr>
            </w:pPr>
            <w:r>
              <w:rPr>
                <w:rFonts w:ascii="Verdana" w:hAnsi="Verdana"/>
                <w:sz w:val="18"/>
                <w:szCs w:val="18"/>
              </w:rPr>
              <w:t>2015</w:t>
            </w:r>
          </w:p>
        </w:tc>
      </w:tr>
      <w:tr w:rsidR="00D31CB6" w:rsidTr="006D23DC">
        <w:tc>
          <w:tcPr>
            <w:tcW w:w="0" w:type="auto"/>
            <w:gridSpan w:val="2"/>
            <w:tcBorders>
              <w:left w:val="nil"/>
              <w:right w:val="nil"/>
            </w:tcBorders>
            <w:hideMark/>
          </w:tcPr>
          <w:p w:rsidR="00D31CB6" w:rsidP="006D23DC" w:rsidRDefault="00D31CB6">
            <w:pPr>
              <w:rPr>
                <w:rFonts w:ascii="Verdana" w:hAnsi="Verdana"/>
                <w:sz w:val="18"/>
                <w:szCs w:val="18"/>
              </w:rPr>
            </w:pPr>
            <w:r>
              <w:rPr>
                <w:rFonts w:ascii="Verdana" w:hAnsi="Verdana"/>
                <w:sz w:val="18"/>
                <w:szCs w:val="18"/>
              </w:rPr>
              <w:t>Stand Miljoenennota 2016</w:t>
            </w:r>
          </w:p>
        </w:tc>
        <w:tc>
          <w:tcPr>
            <w:tcW w:w="0" w:type="auto"/>
            <w:tcBorders>
              <w:top w:val="single" w:color="000000" w:sz="6" w:space="0"/>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149,3</w:t>
            </w:r>
          </w:p>
        </w:tc>
      </w:tr>
      <w:tr w:rsidR="00D31CB6" w:rsidTr="006D23DC">
        <w:tc>
          <w:tcPr>
            <w:tcW w:w="0" w:type="auto"/>
            <w:gridSpan w:val="2"/>
            <w:tcBorders>
              <w:left w:val="nil"/>
              <w:right w:val="nil"/>
            </w:tcBorders>
            <w:hideMark/>
          </w:tcPr>
          <w:p w:rsidR="00D31CB6" w:rsidP="006D23DC" w:rsidRDefault="00D31CB6">
            <w:pPr>
              <w:rPr>
                <w:rFonts w:ascii="Verdana" w:hAnsi="Verdana"/>
                <w:sz w:val="18"/>
                <w:szCs w:val="18"/>
              </w:rPr>
            </w:pPr>
            <w:r>
              <w:rPr>
                <w:rFonts w:ascii="Verdana" w:hAnsi="Verdana"/>
                <w:sz w:val="18"/>
                <w:szCs w:val="18"/>
              </w:rPr>
              <w:t>Mee- en tegenvallers</w:t>
            </w:r>
          </w:p>
        </w:tc>
        <w:tc>
          <w:tcPr>
            <w:tcW w:w="0" w:type="auto"/>
            <w:hideMark/>
          </w:tcPr>
          <w:p w:rsidR="00D31CB6" w:rsidP="006D23DC" w:rsidRDefault="00D31CB6">
            <w:pPr>
              <w:rPr>
                <w:sz w:val="20"/>
                <w:szCs w:val="20"/>
              </w:rPr>
            </w:pPr>
          </w:p>
        </w:tc>
      </w:tr>
      <w:tr w:rsidR="00D31CB6" w:rsidTr="006D23DC">
        <w:tc>
          <w:tcPr>
            <w:tcW w:w="0" w:type="auto"/>
            <w:gridSpan w:val="2"/>
            <w:tcBorders>
              <w:left w:val="nil"/>
              <w:right w:val="nil"/>
            </w:tcBorders>
            <w:tcMar>
              <w:top w:w="15" w:type="dxa"/>
              <w:left w:w="180" w:type="dxa"/>
              <w:bottom w:w="15" w:type="dxa"/>
              <w:right w:w="15" w:type="dxa"/>
            </w:tcMar>
            <w:vAlign w:val="both"/>
            <w:hideMark/>
          </w:tcPr>
          <w:p w:rsidR="00D31CB6" w:rsidP="006D23DC" w:rsidRDefault="00D31CB6">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D31CB6" w:rsidP="006D23DC" w:rsidRDefault="00D31CB6">
            <w:pPr>
              <w:rPr>
                <w:sz w:val="20"/>
                <w:szCs w:val="20"/>
              </w:rPr>
            </w:pPr>
          </w:p>
        </w:tc>
      </w:tr>
      <w:tr w:rsidR="00D31CB6" w:rsidTr="006D23DC">
        <w:tc>
          <w:tcPr>
            <w:tcW w:w="0" w:type="auto"/>
            <w:gridSpan w:val="2"/>
            <w:tcBorders>
              <w:left w:val="nil"/>
              <w:right w:val="nil"/>
            </w:tcBorders>
            <w:tcMar>
              <w:top w:w="15" w:type="dxa"/>
              <w:left w:w="360" w:type="dxa"/>
              <w:bottom w:w="15" w:type="dxa"/>
              <w:right w:w="15" w:type="dxa"/>
            </w:tcMar>
            <w:vAlign w:val="both"/>
            <w:hideMark/>
          </w:tcPr>
          <w:p w:rsidR="00D31CB6" w:rsidP="006D23DC" w:rsidRDefault="00D31CB6">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0,0</w:t>
            </w:r>
          </w:p>
        </w:tc>
      </w:tr>
      <w:tr w:rsidR="00D31CB6" w:rsidTr="006D23DC">
        <w:tc>
          <w:tcPr>
            <w:tcW w:w="0" w:type="auto"/>
            <w:gridSpan w:val="2"/>
            <w:tcBorders>
              <w:left w:val="nil"/>
              <w:right w:val="nil"/>
            </w:tcBorders>
            <w:hideMark/>
          </w:tcPr>
          <w:p w:rsidR="00D31CB6" w:rsidP="006D23DC" w:rsidRDefault="00D31CB6">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0,0</w:t>
            </w:r>
          </w:p>
        </w:tc>
      </w:tr>
      <w:tr w:rsidR="00D31CB6" w:rsidTr="006D23DC">
        <w:tc>
          <w:tcPr>
            <w:tcW w:w="0" w:type="auto"/>
            <w:gridSpan w:val="2"/>
            <w:tcBorders>
              <w:left w:val="nil"/>
              <w:right w:val="nil"/>
            </w:tcBorders>
            <w:hideMark/>
          </w:tcPr>
          <w:p w:rsidR="00D31CB6" w:rsidP="006D23DC" w:rsidRDefault="00D31CB6">
            <w:pPr>
              <w:rPr>
                <w:rFonts w:ascii="Verdana" w:hAnsi="Verdana"/>
                <w:sz w:val="18"/>
                <w:szCs w:val="18"/>
              </w:rPr>
            </w:pPr>
            <w:r>
              <w:rPr>
                <w:rFonts w:ascii="Verdana" w:hAnsi="Verdana"/>
                <w:sz w:val="18"/>
                <w:szCs w:val="18"/>
              </w:rPr>
              <w:t>Beleidsmatige mutaties</w:t>
            </w:r>
          </w:p>
        </w:tc>
        <w:tc>
          <w:tcPr>
            <w:tcW w:w="0" w:type="auto"/>
            <w:hideMark/>
          </w:tcPr>
          <w:p w:rsidR="00D31CB6" w:rsidP="006D23DC" w:rsidRDefault="00D31CB6">
            <w:pPr>
              <w:rPr>
                <w:sz w:val="20"/>
                <w:szCs w:val="20"/>
              </w:rPr>
            </w:pPr>
          </w:p>
        </w:tc>
      </w:tr>
      <w:tr w:rsidR="00D31CB6" w:rsidTr="006D23DC">
        <w:tc>
          <w:tcPr>
            <w:tcW w:w="0" w:type="auto"/>
            <w:gridSpan w:val="2"/>
            <w:tcBorders>
              <w:left w:val="nil"/>
              <w:right w:val="nil"/>
            </w:tcBorders>
            <w:tcMar>
              <w:top w:w="15" w:type="dxa"/>
              <w:left w:w="180" w:type="dxa"/>
              <w:bottom w:w="15" w:type="dxa"/>
              <w:right w:w="15" w:type="dxa"/>
            </w:tcMar>
            <w:vAlign w:val="both"/>
            <w:hideMark/>
          </w:tcPr>
          <w:p w:rsidR="00D31CB6" w:rsidP="006D23DC" w:rsidRDefault="00D31CB6">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D31CB6" w:rsidP="006D23DC" w:rsidRDefault="00D31CB6">
            <w:pPr>
              <w:rPr>
                <w:sz w:val="20"/>
                <w:szCs w:val="20"/>
              </w:rPr>
            </w:pPr>
          </w:p>
        </w:tc>
      </w:tr>
      <w:tr w:rsidR="00D31CB6" w:rsidTr="006D23DC">
        <w:tc>
          <w:tcPr>
            <w:tcW w:w="0" w:type="auto"/>
            <w:gridSpan w:val="2"/>
            <w:tcBorders>
              <w:left w:val="nil"/>
              <w:right w:val="nil"/>
            </w:tcBorders>
            <w:tcMar>
              <w:top w:w="15" w:type="dxa"/>
              <w:left w:w="360" w:type="dxa"/>
              <w:bottom w:w="15" w:type="dxa"/>
              <w:right w:w="15" w:type="dxa"/>
            </w:tcMar>
            <w:vAlign w:val="both"/>
            <w:hideMark/>
          </w:tcPr>
          <w:p w:rsidR="00D31CB6" w:rsidP="006D23DC" w:rsidRDefault="00D31CB6">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16,9</w:t>
            </w:r>
          </w:p>
        </w:tc>
      </w:tr>
      <w:tr w:rsidR="00D31CB6" w:rsidTr="006D23DC">
        <w:tc>
          <w:tcPr>
            <w:tcW w:w="0" w:type="auto"/>
            <w:gridSpan w:val="2"/>
            <w:tcBorders>
              <w:left w:val="nil"/>
              <w:right w:val="nil"/>
            </w:tcBorders>
            <w:hideMark/>
          </w:tcPr>
          <w:p w:rsidR="00D31CB6" w:rsidP="006D23DC" w:rsidRDefault="00D31CB6">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16,9</w:t>
            </w:r>
          </w:p>
        </w:tc>
      </w:tr>
      <w:tr w:rsidR="00D31CB6" w:rsidTr="006D23DC">
        <w:tc>
          <w:tcPr>
            <w:tcW w:w="0" w:type="auto"/>
            <w:gridSpan w:val="2"/>
            <w:tcBorders>
              <w:left w:val="nil"/>
              <w:right w:val="nil"/>
            </w:tcBorders>
            <w:hideMark/>
          </w:tcPr>
          <w:p w:rsidR="00D31CB6" w:rsidP="006D23DC" w:rsidRDefault="00D31CB6">
            <w:pPr>
              <w:rPr>
                <w:rFonts w:ascii="Verdana" w:hAnsi="Verdana"/>
                <w:sz w:val="18"/>
                <w:szCs w:val="18"/>
              </w:rPr>
            </w:pPr>
            <w:r>
              <w:rPr>
                <w:rFonts w:ascii="Verdana" w:hAnsi="Verdana"/>
                <w:sz w:val="18"/>
                <w:szCs w:val="18"/>
              </w:rPr>
              <w:t>Technische mutaties</w:t>
            </w:r>
          </w:p>
        </w:tc>
        <w:tc>
          <w:tcPr>
            <w:tcW w:w="0" w:type="auto"/>
            <w:hideMark/>
          </w:tcPr>
          <w:p w:rsidR="00D31CB6" w:rsidP="006D23DC" w:rsidRDefault="00D31CB6">
            <w:pPr>
              <w:rPr>
                <w:sz w:val="20"/>
                <w:szCs w:val="20"/>
              </w:rPr>
            </w:pPr>
          </w:p>
        </w:tc>
      </w:tr>
      <w:tr w:rsidR="00D31CB6" w:rsidTr="006D23DC">
        <w:tc>
          <w:tcPr>
            <w:tcW w:w="0" w:type="auto"/>
            <w:gridSpan w:val="2"/>
            <w:tcBorders>
              <w:left w:val="nil"/>
              <w:right w:val="nil"/>
            </w:tcBorders>
            <w:tcMar>
              <w:top w:w="15" w:type="dxa"/>
              <w:left w:w="180" w:type="dxa"/>
              <w:bottom w:w="15" w:type="dxa"/>
              <w:right w:w="15" w:type="dxa"/>
            </w:tcMar>
            <w:vAlign w:val="both"/>
            <w:hideMark/>
          </w:tcPr>
          <w:p w:rsidR="00D31CB6" w:rsidP="006D23DC" w:rsidRDefault="00D31CB6">
            <w:pPr>
              <w:ind w:firstLine="180" w:firstLineChars="100"/>
              <w:rPr>
                <w:rFonts w:ascii="Verdana" w:hAnsi="Verdana"/>
                <w:sz w:val="18"/>
                <w:szCs w:val="18"/>
              </w:rPr>
            </w:pPr>
            <w:r>
              <w:rPr>
                <w:rFonts w:ascii="Verdana" w:hAnsi="Verdana"/>
                <w:sz w:val="18"/>
                <w:szCs w:val="18"/>
              </w:rPr>
              <w:t>Rijksbegroting in enge zin</w:t>
            </w:r>
          </w:p>
        </w:tc>
        <w:tc>
          <w:tcPr>
            <w:tcW w:w="0" w:type="auto"/>
            <w:hideMark/>
          </w:tcPr>
          <w:p w:rsidR="00D31CB6" w:rsidP="006D23DC" w:rsidRDefault="00D31CB6">
            <w:pPr>
              <w:rPr>
                <w:sz w:val="20"/>
                <w:szCs w:val="20"/>
              </w:rPr>
            </w:pPr>
          </w:p>
        </w:tc>
      </w:tr>
      <w:tr w:rsidR="00D31CB6" w:rsidTr="006D23DC">
        <w:tc>
          <w:tcPr>
            <w:tcW w:w="0" w:type="auto"/>
            <w:gridSpan w:val="2"/>
            <w:tcBorders>
              <w:left w:val="nil"/>
              <w:right w:val="nil"/>
            </w:tcBorders>
            <w:tcMar>
              <w:top w:w="15" w:type="dxa"/>
              <w:left w:w="360" w:type="dxa"/>
              <w:bottom w:w="15" w:type="dxa"/>
              <w:right w:w="15" w:type="dxa"/>
            </w:tcMar>
            <w:vAlign w:val="both"/>
            <w:hideMark/>
          </w:tcPr>
          <w:p w:rsidR="00D31CB6" w:rsidP="006D23DC" w:rsidRDefault="00D31CB6">
            <w:pPr>
              <w:ind w:firstLine="360" w:firstLineChars="200"/>
              <w:rPr>
                <w:rFonts w:ascii="Verdana" w:hAnsi="Verdana"/>
                <w:sz w:val="18"/>
                <w:szCs w:val="18"/>
              </w:rPr>
            </w:pPr>
            <w:r>
              <w:rPr>
                <w:rFonts w:ascii="Verdana" w:hAnsi="Verdana"/>
                <w:sz w:val="18"/>
                <w:szCs w:val="18"/>
              </w:rPr>
              <w:t>Diversen</w:t>
            </w:r>
          </w:p>
        </w:tc>
        <w:tc>
          <w:tcPr>
            <w:tcW w:w="0" w:type="auto"/>
            <w:tcBorders>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14,2</w:t>
            </w:r>
          </w:p>
        </w:tc>
      </w:tr>
      <w:tr w:rsidR="00D31CB6" w:rsidTr="006D23DC">
        <w:tc>
          <w:tcPr>
            <w:tcW w:w="0" w:type="auto"/>
            <w:gridSpan w:val="2"/>
            <w:tcBorders>
              <w:left w:val="nil"/>
              <w:right w:val="nil"/>
            </w:tcBorders>
            <w:hideMark/>
          </w:tcPr>
          <w:p w:rsidR="00D31CB6" w:rsidP="006D23DC" w:rsidRDefault="00D31CB6">
            <w:pPr>
              <w:rPr>
                <w:rFonts w:ascii="Verdana" w:hAnsi="Verdana"/>
                <w:sz w:val="18"/>
                <w:szCs w:val="18"/>
              </w:rPr>
            </w:pPr>
            <w:r>
              <w:rPr>
                <w:rFonts w:ascii="Verdana" w:hAnsi="Verdana"/>
                <w:sz w:val="18"/>
                <w:szCs w:val="18"/>
              </w:rPr>
              <w:t> </w:t>
            </w:r>
          </w:p>
        </w:tc>
        <w:tc>
          <w:tcPr>
            <w:tcW w:w="0" w:type="auto"/>
            <w:tcBorders>
              <w:top w:val="single" w:color="000000" w:sz="6" w:space="0"/>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14,2</w:t>
            </w:r>
          </w:p>
        </w:tc>
      </w:tr>
      <w:tr w:rsidR="00D31CB6" w:rsidTr="006D23DC">
        <w:tc>
          <w:tcPr>
            <w:tcW w:w="0" w:type="auto"/>
            <w:gridSpan w:val="2"/>
            <w:tcBorders>
              <w:left w:val="nil"/>
              <w:right w:val="nil"/>
            </w:tcBorders>
            <w:hideMark/>
          </w:tcPr>
          <w:p w:rsidR="00D31CB6" w:rsidP="006D23DC" w:rsidRDefault="00D31CB6">
            <w:pPr>
              <w:rPr>
                <w:rFonts w:ascii="Verdana" w:hAnsi="Verdana"/>
                <w:sz w:val="18"/>
                <w:szCs w:val="18"/>
              </w:rPr>
            </w:pPr>
            <w:r>
              <w:rPr>
                <w:rFonts w:ascii="Verdana" w:hAnsi="Verdana"/>
                <w:sz w:val="18"/>
                <w:szCs w:val="18"/>
              </w:rPr>
              <w:t>Totaal mutaties sinds Miljoenennota 2016</w:t>
            </w:r>
          </w:p>
        </w:tc>
        <w:tc>
          <w:tcPr>
            <w:tcW w:w="0" w:type="auto"/>
            <w:tcBorders>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31,1</w:t>
            </w:r>
          </w:p>
        </w:tc>
      </w:tr>
      <w:tr w:rsidR="00D31CB6" w:rsidTr="006D23DC">
        <w:tc>
          <w:tcPr>
            <w:tcW w:w="0" w:type="auto"/>
            <w:gridSpan w:val="2"/>
            <w:tcBorders>
              <w:left w:val="nil"/>
              <w:right w:val="nil"/>
            </w:tcBorders>
            <w:hideMark/>
          </w:tcPr>
          <w:p w:rsidR="00D31CB6" w:rsidP="006D23DC" w:rsidRDefault="00D31CB6">
            <w:pPr>
              <w:rPr>
                <w:rFonts w:ascii="Verdana" w:hAnsi="Verdana"/>
                <w:sz w:val="18"/>
                <w:szCs w:val="18"/>
              </w:rPr>
            </w:pPr>
            <w:r>
              <w:rPr>
                <w:rFonts w:ascii="Verdana" w:hAnsi="Verdana"/>
                <w:sz w:val="18"/>
                <w:szCs w:val="18"/>
              </w:rPr>
              <w:t>Stand Najaarsnota 2015</w:t>
            </w:r>
          </w:p>
        </w:tc>
        <w:tc>
          <w:tcPr>
            <w:tcW w:w="0" w:type="auto"/>
            <w:tcBorders>
              <w:top w:val="single" w:color="000000" w:sz="6" w:space="0"/>
              <w:left w:val="nil"/>
              <w:right w:val="nil"/>
            </w:tcBorders>
            <w:hideMark/>
          </w:tcPr>
          <w:p w:rsidR="00D31CB6" w:rsidP="006D23DC" w:rsidRDefault="00D31CB6">
            <w:pPr>
              <w:jc w:val="right"/>
              <w:rPr>
                <w:rFonts w:ascii="Verdana" w:hAnsi="Verdana"/>
                <w:sz w:val="18"/>
                <w:szCs w:val="18"/>
              </w:rPr>
            </w:pPr>
            <w:r>
              <w:rPr>
                <w:rFonts w:ascii="Verdana" w:hAnsi="Verdana"/>
                <w:sz w:val="18"/>
                <w:szCs w:val="18"/>
              </w:rPr>
              <w:t>180,5</w:t>
            </w:r>
          </w:p>
        </w:tc>
      </w:tr>
    </w:tbl>
    <w:p w:rsidR="00D31CB6" w:rsidP="00533D5C" w:rsidRDefault="00D31CB6">
      <w:pPr>
        <w:spacing w:line="240" w:lineRule="exact"/>
        <w:rPr>
          <w:rFonts w:ascii="Verdana" w:hAnsi="Verdana" w:cs="Courier New"/>
          <w:sz w:val="18"/>
          <w:szCs w:val="18"/>
        </w:rPr>
      </w:pPr>
    </w:p>
    <w:p w:rsidR="00693F38" w:rsidP="00693F38" w:rsidRDefault="00693F38">
      <w:pPr>
        <w:spacing w:line="240" w:lineRule="exact"/>
        <w:rPr>
          <w:rFonts w:ascii="Verdana" w:hAnsi="Verdana" w:cs="Courier New"/>
          <w:sz w:val="18"/>
          <w:szCs w:val="18"/>
        </w:rPr>
      </w:pPr>
    </w:p>
    <w:p w:rsidRPr="006D5B70" w:rsidR="006D5B70" w:rsidP="006D5B70" w:rsidRDefault="006D5B70">
      <w:pPr>
        <w:spacing w:line="240" w:lineRule="exact"/>
        <w:rPr>
          <w:rFonts w:ascii="Verdana" w:hAnsi="Verdana"/>
          <w:i/>
          <w:sz w:val="18"/>
          <w:szCs w:val="18"/>
        </w:rPr>
      </w:pPr>
      <w:r w:rsidRPr="006D5B70">
        <w:rPr>
          <w:rFonts w:ascii="Verdana" w:hAnsi="Verdana"/>
          <w:i/>
          <w:sz w:val="18"/>
          <w:szCs w:val="18"/>
        </w:rPr>
        <w:t>Asielproblematiek 2015 uit onderuitputting &amp; Overboeking V&amp;J asiel</w:t>
      </w:r>
    </w:p>
    <w:p w:rsidRPr="006D5B70" w:rsidR="006D5B70" w:rsidP="006D5B70" w:rsidRDefault="006D5B70">
      <w:pPr>
        <w:spacing w:line="240" w:lineRule="exact"/>
        <w:rPr>
          <w:rFonts w:ascii="Verdana" w:hAnsi="Verdana"/>
          <w:sz w:val="18"/>
          <w:szCs w:val="18"/>
        </w:rPr>
      </w:pPr>
      <w:r w:rsidRPr="006D5B70">
        <w:rPr>
          <w:rFonts w:ascii="Verdana" w:hAnsi="Verdana"/>
          <w:sz w:val="18"/>
          <w:szCs w:val="18"/>
        </w:rPr>
        <w:t xml:space="preserve">De raming voor de asielinstroom is naar boven bijgesteld. Dit leidt tot hogere opvangkosten bij het COA voor de opvang van asielzoekers. De kosten voor de eerstejaarsopvang van asielzoekers uit </w:t>
      </w:r>
      <w:proofErr w:type="spellStart"/>
      <w:r w:rsidRPr="006D5B70">
        <w:rPr>
          <w:rFonts w:ascii="Verdana" w:hAnsi="Verdana"/>
          <w:sz w:val="18"/>
          <w:szCs w:val="18"/>
        </w:rPr>
        <w:t>DAC-laden</w:t>
      </w:r>
      <w:proofErr w:type="spellEnd"/>
      <w:r w:rsidRPr="006D5B70">
        <w:rPr>
          <w:rFonts w:ascii="Verdana" w:hAnsi="Verdana"/>
          <w:sz w:val="18"/>
          <w:szCs w:val="18"/>
        </w:rPr>
        <w:t xml:space="preserve"> worden toegerekend aan ODA. Door de verhoogde raming van de asielinstroom neemt de toerekening aan ODA in 2015 toe. Onderuitputting op verschillende begrotingen wordt ingezet als dekking.</w:t>
      </w:r>
    </w:p>
    <w:p w:rsidRPr="006D5B70" w:rsidR="006D5B70" w:rsidP="00693F38" w:rsidRDefault="006D5B70">
      <w:pPr>
        <w:spacing w:line="240" w:lineRule="exact"/>
        <w:rPr>
          <w:rFonts w:ascii="Verdana" w:hAnsi="Verdana" w:cs="Courier New"/>
          <w:b/>
          <w:sz w:val="18"/>
          <w:szCs w:val="18"/>
        </w:rPr>
      </w:pPr>
    </w:p>
    <w:p w:rsidRPr="00693F38" w:rsidR="006D5B70" w:rsidP="00693F38" w:rsidRDefault="006D5B70">
      <w:pPr>
        <w:spacing w:line="240" w:lineRule="exact"/>
        <w:rPr>
          <w:rFonts w:ascii="Verdana" w:hAnsi="Verdana" w:cs="Courier New"/>
          <w:sz w:val="18"/>
          <w:szCs w:val="18"/>
        </w:rPr>
      </w:pPr>
    </w:p>
    <w:p w:rsidRPr="00693F38" w:rsidR="00693F38" w:rsidP="00693F38" w:rsidRDefault="00693F38">
      <w:pPr>
        <w:spacing w:line="240" w:lineRule="exact"/>
        <w:rPr>
          <w:rFonts w:ascii="Verdana" w:hAnsi="Verdana"/>
          <w:i/>
          <w:sz w:val="18"/>
          <w:szCs w:val="18"/>
        </w:rPr>
      </w:pPr>
      <w:r w:rsidRPr="00693F38">
        <w:rPr>
          <w:rFonts w:ascii="Verdana" w:hAnsi="Verdana"/>
          <w:i/>
          <w:sz w:val="18"/>
          <w:szCs w:val="18"/>
        </w:rPr>
        <w:lastRenderedPageBreak/>
        <w:t>DGGF</w:t>
      </w:r>
    </w:p>
    <w:p w:rsidRPr="00693F38" w:rsidR="00693F38" w:rsidP="00693F38" w:rsidRDefault="00693F38">
      <w:pPr>
        <w:spacing w:line="240" w:lineRule="exact"/>
        <w:rPr>
          <w:rFonts w:ascii="Verdana" w:hAnsi="Verdana"/>
          <w:sz w:val="18"/>
          <w:szCs w:val="18"/>
        </w:rPr>
      </w:pPr>
      <w:r w:rsidRPr="00693F38">
        <w:rPr>
          <w:rFonts w:ascii="Verdana" w:hAnsi="Verdana"/>
          <w:sz w:val="18"/>
          <w:szCs w:val="18"/>
        </w:rPr>
        <w:t xml:space="preserve">Het Dutch </w:t>
      </w:r>
      <w:proofErr w:type="spellStart"/>
      <w:r w:rsidRPr="00693F38">
        <w:rPr>
          <w:rFonts w:ascii="Verdana" w:hAnsi="Verdana"/>
          <w:sz w:val="18"/>
          <w:szCs w:val="18"/>
        </w:rPr>
        <w:t>Good</w:t>
      </w:r>
      <w:proofErr w:type="spellEnd"/>
      <w:r w:rsidRPr="00693F38">
        <w:rPr>
          <w:rFonts w:ascii="Verdana" w:hAnsi="Verdana"/>
          <w:sz w:val="18"/>
          <w:szCs w:val="18"/>
        </w:rPr>
        <w:t xml:space="preserve"> </w:t>
      </w:r>
      <w:proofErr w:type="spellStart"/>
      <w:r w:rsidRPr="00693F38">
        <w:rPr>
          <w:rFonts w:ascii="Verdana" w:hAnsi="Verdana"/>
          <w:sz w:val="18"/>
          <w:szCs w:val="18"/>
        </w:rPr>
        <w:t>Growth</w:t>
      </w:r>
      <w:proofErr w:type="spellEnd"/>
      <w:r w:rsidRPr="00693F38">
        <w:rPr>
          <w:rFonts w:ascii="Verdana" w:hAnsi="Verdana"/>
          <w:sz w:val="18"/>
          <w:szCs w:val="18"/>
        </w:rPr>
        <w:t xml:space="preserve"> </w:t>
      </w:r>
      <w:proofErr w:type="spellStart"/>
      <w:r w:rsidRPr="00693F38">
        <w:rPr>
          <w:rFonts w:ascii="Verdana" w:hAnsi="Verdana"/>
          <w:sz w:val="18"/>
          <w:szCs w:val="18"/>
        </w:rPr>
        <w:t>Fund</w:t>
      </w:r>
      <w:proofErr w:type="spellEnd"/>
      <w:r w:rsidRPr="00693F38">
        <w:rPr>
          <w:rFonts w:ascii="Verdana" w:hAnsi="Verdana"/>
          <w:sz w:val="18"/>
          <w:szCs w:val="18"/>
        </w:rPr>
        <w:t xml:space="preserve"> (DGGF) heeft als doel het bevorderen van handel en investeringen van het MKB in ontwikkelingslanden en Nederlandse bedrijven die in ontwikkelingslanden willen investeren. Tussen de jaren 2014-2017 is 700 mln. beschikbaar om het fonds te voeden, waarna het DGGF moet </w:t>
      </w:r>
      <w:proofErr w:type="spellStart"/>
      <w:r w:rsidRPr="00693F38">
        <w:rPr>
          <w:rFonts w:ascii="Verdana" w:hAnsi="Verdana"/>
          <w:sz w:val="18"/>
          <w:szCs w:val="18"/>
        </w:rPr>
        <w:t>revolveren</w:t>
      </w:r>
      <w:proofErr w:type="spellEnd"/>
      <w:r w:rsidRPr="00693F38">
        <w:rPr>
          <w:rFonts w:ascii="Verdana" w:hAnsi="Verdana"/>
          <w:sz w:val="18"/>
          <w:szCs w:val="18"/>
        </w:rPr>
        <w:t>. Een deel van de middelen beschikbaar voor het jaar 2015 is niet volledig uitgeput, dit budget wordt meegenomen naar volgende jaren.</w:t>
      </w:r>
    </w:p>
    <w:p w:rsidR="00D31CB6" w:rsidP="00693F38" w:rsidRDefault="00D31CB6">
      <w:pPr>
        <w:spacing w:line="240" w:lineRule="exact"/>
        <w:rPr>
          <w:rFonts w:ascii="Verdana" w:hAnsi="Verdana"/>
          <w:i/>
          <w:sz w:val="18"/>
          <w:szCs w:val="18"/>
        </w:rPr>
      </w:pPr>
    </w:p>
    <w:p w:rsidRPr="00693F38" w:rsidR="00693F38" w:rsidP="00693F38" w:rsidRDefault="00693F38">
      <w:pPr>
        <w:spacing w:line="240" w:lineRule="exact"/>
        <w:rPr>
          <w:rFonts w:ascii="Verdana" w:hAnsi="Verdana"/>
          <w:i/>
          <w:sz w:val="18"/>
          <w:szCs w:val="18"/>
        </w:rPr>
      </w:pPr>
      <w:r w:rsidRPr="00693F38">
        <w:rPr>
          <w:rFonts w:ascii="Verdana" w:hAnsi="Verdana"/>
          <w:i/>
          <w:sz w:val="18"/>
          <w:szCs w:val="18"/>
        </w:rPr>
        <w:t>Infrastructuurontwikkeling</w:t>
      </w:r>
    </w:p>
    <w:p w:rsidRPr="00693F38" w:rsidR="00693F38" w:rsidP="00693F38" w:rsidRDefault="00693F38">
      <w:pPr>
        <w:spacing w:line="240" w:lineRule="exact"/>
        <w:rPr>
          <w:rFonts w:ascii="Verdana" w:hAnsi="Verdana"/>
          <w:sz w:val="18"/>
          <w:szCs w:val="18"/>
        </w:rPr>
      </w:pPr>
      <w:r w:rsidRPr="00693F38">
        <w:rPr>
          <w:rFonts w:ascii="Verdana" w:hAnsi="Verdana"/>
          <w:sz w:val="18"/>
          <w:szCs w:val="18"/>
        </w:rPr>
        <w:t>De programma’s ORIO en DRIVE hebben als doel publieke infrastructuurprojecten in ontwikkelingslanden te stimuleren. Vanwege de opstartfase is een deel van de middelen niet volledig uitgeput, dit budget wordt meegenomen naar volgende jaren.</w:t>
      </w:r>
    </w:p>
    <w:p w:rsidR="006D5B70" w:rsidP="00693F38" w:rsidRDefault="006D5B70">
      <w:pPr>
        <w:spacing w:line="240" w:lineRule="exact"/>
        <w:rPr>
          <w:rFonts w:ascii="Verdana" w:hAnsi="Verdana"/>
          <w:i/>
          <w:sz w:val="18"/>
          <w:szCs w:val="18"/>
        </w:rPr>
      </w:pPr>
    </w:p>
    <w:p w:rsidRPr="00693F38" w:rsidR="00693F38" w:rsidP="00693F38" w:rsidRDefault="00693F38">
      <w:pPr>
        <w:spacing w:line="240" w:lineRule="exact"/>
        <w:rPr>
          <w:rFonts w:ascii="Verdana" w:hAnsi="Verdana"/>
          <w:i/>
          <w:sz w:val="18"/>
          <w:szCs w:val="18"/>
        </w:rPr>
      </w:pPr>
      <w:r w:rsidRPr="00693F38">
        <w:rPr>
          <w:rFonts w:ascii="Verdana" w:hAnsi="Verdana"/>
          <w:i/>
          <w:sz w:val="18"/>
          <w:szCs w:val="18"/>
        </w:rPr>
        <w:t>Overig armoedebeleid</w:t>
      </w:r>
    </w:p>
    <w:p w:rsidRPr="00693F38" w:rsidR="00B6030F" w:rsidP="00B6030F" w:rsidRDefault="00B6030F">
      <w:pPr>
        <w:spacing w:line="240" w:lineRule="exact"/>
        <w:rPr>
          <w:rFonts w:ascii="Verdana" w:hAnsi="Verdana"/>
          <w:sz w:val="18"/>
          <w:szCs w:val="18"/>
        </w:rPr>
      </w:pPr>
      <w:r w:rsidRPr="003536A1">
        <w:rPr>
          <w:rFonts w:ascii="Verdana" w:hAnsi="Verdana"/>
          <w:sz w:val="18"/>
          <w:szCs w:val="18"/>
        </w:rPr>
        <w:t xml:space="preserve">De omvang van ODA is gekoppeld aan de omvang van de economie (het BNI). In het verleden zijn de negatieve </w:t>
      </w:r>
      <w:proofErr w:type="spellStart"/>
      <w:r w:rsidRPr="003536A1">
        <w:rPr>
          <w:rFonts w:ascii="Verdana" w:hAnsi="Verdana"/>
          <w:sz w:val="18"/>
          <w:szCs w:val="18"/>
        </w:rPr>
        <w:t>BNI-aanpassingen</w:t>
      </w:r>
      <w:proofErr w:type="spellEnd"/>
      <w:r w:rsidRPr="003536A1">
        <w:rPr>
          <w:rFonts w:ascii="Verdana" w:hAnsi="Verdana"/>
          <w:sz w:val="18"/>
          <w:szCs w:val="18"/>
        </w:rPr>
        <w:t xml:space="preserve"> als gevolg van de krimpende economie in eerste instantie geparkeerd op artikel 5 (parkeer- en verdeelartikel begroting BHOS), en vervolgens verdeeld over andere artikelen van de </w:t>
      </w:r>
      <w:proofErr w:type="spellStart"/>
      <w:r w:rsidRPr="003536A1">
        <w:rPr>
          <w:rFonts w:ascii="Verdana" w:hAnsi="Verdana"/>
          <w:sz w:val="18"/>
          <w:szCs w:val="18"/>
        </w:rPr>
        <w:t>BHOS-begroting</w:t>
      </w:r>
      <w:proofErr w:type="spellEnd"/>
      <w:r w:rsidRPr="003536A1">
        <w:rPr>
          <w:rFonts w:ascii="Verdana" w:hAnsi="Verdana"/>
          <w:sz w:val="18"/>
          <w:szCs w:val="18"/>
        </w:rPr>
        <w:t xml:space="preserve">. Deze mutatie is het resultaat van de invulling van deze zogenaamde </w:t>
      </w:r>
      <w:proofErr w:type="spellStart"/>
      <w:r w:rsidRPr="003536A1">
        <w:rPr>
          <w:rFonts w:ascii="Verdana" w:hAnsi="Verdana"/>
          <w:sz w:val="18"/>
          <w:szCs w:val="18"/>
        </w:rPr>
        <w:t>BNI-korting</w:t>
      </w:r>
      <w:proofErr w:type="spellEnd"/>
      <w:r w:rsidRPr="003536A1">
        <w:rPr>
          <w:rFonts w:ascii="Verdana" w:hAnsi="Verdana"/>
          <w:sz w:val="18"/>
          <w:szCs w:val="18"/>
        </w:rPr>
        <w:t xml:space="preserve"> op het </w:t>
      </w:r>
      <w:proofErr w:type="spellStart"/>
      <w:r w:rsidRPr="003536A1">
        <w:rPr>
          <w:rFonts w:ascii="Verdana" w:hAnsi="Verdana"/>
          <w:sz w:val="18"/>
          <w:szCs w:val="18"/>
        </w:rPr>
        <w:t>ODA-budget</w:t>
      </w:r>
      <w:proofErr w:type="spellEnd"/>
      <w:r w:rsidRPr="003536A1">
        <w:rPr>
          <w:rFonts w:ascii="Verdana" w:hAnsi="Verdana"/>
          <w:sz w:val="18"/>
          <w:szCs w:val="18"/>
        </w:rPr>
        <w:t xml:space="preserve"> op de verschillende artikelen van de </w:t>
      </w:r>
      <w:proofErr w:type="spellStart"/>
      <w:r w:rsidRPr="003536A1">
        <w:rPr>
          <w:rFonts w:ascii="Verdana" w:hAnsi="Verdana"/>
          <w:sz w:val="18"/>
          <w:szCs w:val="18"/>
        </w:rPr>
        <w:t>BHOS-begroting</w:t>
      </w:r>
      <w:proofErr w:type="spellEnd"/>
      <w:r w:rsidRPr="003536A1">
        <w:rPr>
          <w:rFonts w:ascii="Verdana" w:hAnsi="Verdana"/>
          <w:sz w:val="18"/>
          <w:szCs w:val="18"/>
        </w:rPr>
        <w:t>. De minregel op artikel 5 wordt daarmee kleiner.</w:t>
      </w:r>
    </w:p>
    <w:p w:rsidRPr="00693F38" w:rsidR="00B6030F" w:rsidP="00B6030F" w:rsidRDefault="00B6030F">
      <w:pPr>
        <w:spacing w:line="240" w:lineRule="exact"/>
        <w:rPr>
          <w:rFonts w:ascii="Verdana" w:hAnsi="Verdana"/>
          <w:sz w:val="18"/>
          <w:szCs w:val="18"/>
        </w:rPr>
      </w:pPr>
    </w:p>
    <w:p w:rsidRPr="00693F38" w:rsidR="00693F38" w:rsidP="00693F38" w:rsidRDefault="00693F38">
      <w:pPr>
        <w:spacing w:line="240" w:lineRule="exact"/>
        <w:rPr>
          <w:rFonts w:ascii="Verdana" w:hAnsi="Verdana"/>
          <w:i/>
          <w:sz w:val="18"/>
          <w:szCs w:val="18"/>
        </w:rPr>
      </w:pPr>
      <w:r w:rsidRPr="00693F38">
        <w:rPr>
          <w:rFonts w:ascii="Verdana" w:hAnsi="Verdana"/>
          <w:i/>
          <w:sz w:val="18"/>
          <w:szCs w:val="18"/>
        </w:rPr>
        <w:t>Rechtstaatontwikkeling, wederopbouw, vrede</w:t>
      </w:r>
    </w:p>
    <w:p w:rsidRPr="00693F38" w:rsidR="00693F38" w:rsidP="00693F38" w:rsidRDefault="00693F38">
      <w:pPr>
        <w:spacing w:line="240" w:lineRule="exact"/>
        <w:rPr>
          <w:rFonts w:ascii="Verdana" w:hAnsi="Verdana"/>
          <w:sz w:val="18"/>
          <w:szCs w:val="18"/>
        </w:rPr>
      </w:pPr>
      <w:r w:rsidRPr="00693F38">
        <w:rPr>
          <w:rFonts w:ascii="Verdana" w:hAnsi="Verdana"/>
          <w:sz w:val="18"/>
          <w:szCs w:val="18"/>
        </w:rPr>
        <w:t xml:space="preserve">Het </w:t>
      </w:r>
      <w:proofErr w:type="spellStart"/>
      <w:r w:rsidRPr="00693F38">
        <w:rPr>
          <w:rFonts w:ascii="Verdana" w:hAnsi="Verdana"/>
          <w:sz w:val="18"/>
          <w:szCs w:val="18"/>
        </w:rPr>
        <w:t>UNICEF-programma</w:t>
      </w:r>
      <w:proofErr w:type="spellEnd"/>
      <w:r w:rsidRPr="00693F38">
        <w:rPr>
          <w:rFonts w:ascii="Verdana" w:hAnsi="Verdana"/>
          <w:sz w:val="18"/>
          <w:szCs w:val="18"/>
        </w:rPr>
        <w:t xml:space="preserve"> </w:t>
      </w:r>
      <w:proofErr w:type="spellStart"/>
      <w:r w:rsidRPr="00693F38">
        <w:rPr>
          <w:rFonts w:ascii="Verdana" w:hAnsi="Verdana"/>
          <w:sz w:val="18"/>
          <w:szCs w:val="18"/>
        </w:rPr>
        <w:t>Education</w:t>
      </w:r>
      <w:proofErr w:type="spellEnd"/>
      <w:r w:rsidRPr="00693F38">
        <w:rPr>
          <w:rFonts w:ascii="Verdana" w:hAnsi="Verdana"/>
          <w:sz w:val="18"/>
          <w:szCs w:val="18"/>
        </w:rPr>
        <w:t xml:space="preserve"> and </w:t>
      </w:r>
      <w:proofErr w:type="spellStart"/>
      <w:r w:rsidRPr="00693F38">
        <w:rPr>
          <w:rFonts w:ascii="Verdana" w:hAnsi="Verdana"/>
          <w:sz w:val="18"/>
          <w:szCs w:val="18"/>
        </w:rPr>
        <w:t>Peacebuilding</w:t>
      </w:r>
      <w:proofErr w:type="spellEnd"/>
      <w:r w:rsidRPr="00693F38">
        <w:rPr>
          <w:rFonts w:ascii="Verdana" w:hAnsi="Verdana"/>
          <w:sz w:val="18"/>
          <w:szCs w:val="18"/>
        </w:rPr>
        <w:t xml:space="preserve"> heeft minder budget nodig dan gepland.</w:t>
      </w:r>
    </w:p>
    <w:p w:rsidRPr="00693F38" w:rsidR="00693F38" w:rsidP="00693F38" w:rsidRDefault="00693F38">
      <w:pPr>
        <w:spacing w:line="240" w:lineRule="exact"/>
        <w:rPr>
          <w:rFonts w:ascii="Verdana" w:hAnsi="Verdana"/>
          <w:b/>
          <w:sz w:val="18"/>
          <w:szCs w:val="18"/>
        </w:rPr>
      </w:pPr>
    </w:p>
    <w:p w:rsidRPr="00693F38" w:rsidR="00693F38" w:rsidP="00693F38" w:rsidRDefault="00693F38">
      <w:pPr>
        <w:spacing w:line="240" w:lineRule="exact"/>
        <w:rPr>
          <w:rFonts w:ascii="Verdana" w:hAnsi="Verdana"/>
          <w:i/>
          <w:sz w:val="18"/>
          <w:szCs w:val="18"/>
        </w:rPr>
      </w:pPr>
      <w:r w:rsidRPr="00693F38">
        <w:rPr>
          <w:rFonts w:ascii="Verdana" w:hAnsi="Verdana"/>
          <w:i/>
          <w:sz w:val="18"/>
          <w:szCs w:val="18"/>
        </w:rPr>
        <w:t>VN crisisbeheersingsoperaties</w:t>
      </w:r>
    </w:p>
    <w:p w:rsidRPr="00693F38" w:rsidR="00693F38" w:rsidP="00693F38" w:rsidRDefault="00693F38">
      <w:pPr>
        <w:pStyle w:val="Geenafstand"/>
        <w:spacing w:line="240" w:lineRule="exact"/>
        <w:rPr>
          <w:rFonts w:ascii="Verdana" w:hAnsi="Verdana"/>
          <w:sz w:val="18"/>
          <w:szCs w:val="18"/>
        </w:rPr>
      </w:pPr>
      <w:r w:rsidRPr="00693F38">
        <w:rPr>
          <w:rFonts w:ascii="Verdana" w:hAnsi="Verdana"/>
          <w:sz w:val="18"/>
          <w:szCs w:val="18"/>
        </w:rPr>
        <w:t xml:space="preserve">De verlaging van het budget is het gevolg van een vertraging van een deel van de Nederlandse contributie aan </w:t>
      </w:r>
      <w:proofErr w:type="spellStart"/>
      <w:r w:rsidRPr="00693F38">
        <w:rPr>
          <w:rFonts w:ascii="Verdana" w:hAnsi="Verdana"/>
          <w:sz w:val="18"/>
          <w:szCs w:val="18"/>
        </w:rPr>
        <w:t>VN-crisisbeheersingsoperaties</w:t>
      </w:r>
      <w:proofErr w:type="spellEnd"/>
      <w:r w:rsidRPr="00693F38">
        <w:rPr>
          <w:rFonts w:ascii="Verdana" w:hAnsi="Verdana"/>
          <w:sz w:val="18"/>
          <w:szCs w:val="18"/>
        </w:rPr>
        <w:t>. Deze uitgaven vinden plaats na afroep door de VN en zijn gebaseerd op de kosten van de verschillende operaties, de geldende afspraken over het Nederlandse aandeel in de totale kosten, en de liquiditeitsbehoefte in enig jaar.</w:t>
      </w:r>
    </w:p>
    <w:p w:rsidRPr="00693F38" w:rsidR="00693F38" w:rsidP="00693F38" w:rsidRDefault="00693F38">
      <w:pPr>
        <w:pStyle w:val="Geenafstand"/>
        <w:spacing w:line="240" w:lineRule="exact"/>
        <w:rPr>
          <w:rFonts w:ascii="Verdana" w:hAnsi="Verdana"/>
          <w:i/>
          <w:sz w:val="18"/>
          <w:szCs w:val="18"/>
        </w:rPr>
      </w:pPr>
    </w:p>
    <w:p w:rsidRPr="00693F38" w:rsidR="00693F38" w:rsidP="00693F38" w:rsidRDefault="00693F38">
      <w:pPr>
        <w:pStyle w:val="Geenafstand"/>
        <w:spacing w:line="240" w:lineRule="exact"/>
        <w:rPr>
          <w:rFonts w:ascii="Verdana" w:hAnsi="Verdana"/>
          <w:i/>
          <w:sz w:val="18"/>
          <w:szCs w:val="18"/>
        </w:rPr>
      </w:pPr>
      <w:r w:rsidRPr="00693F38">
        <w:rPr>
          <w:rFonts w:ascii="Verdana" w:hAnsi="Verdana"/>
          <w:i/>
          <w:sz w:val="18"/>
          <w:szCs w:val="18"/>
        </w:rPr>
        <w:t>Vrijgave ontvangsten MINUSMA</w:t>
      </w:r>
    </w:p>
    <w:p w:rsidRPr="00693F38" w:rsidR="00693F38" w:rsidP="00693F38" w:rsidRDefault="00693F38">
      <w:pPr>
        <w:pStyle w:val="Geenafstand"/>
        <w:spacing w:line="240" w:lineRule="exact"/>
        <w:rPr>
          <w:rFonts w:ascii="Verdana" w:hAnsi="Verdana"/>
          <w:sz w:val="18"/>
          <w:szCs w:val="18"/>
        </w:rPr>
      </w:pPr>
      <w:r w:rsidRPr="00693F38">
        <w:rPr>
          <w:rFonts w:ascii="Verdana" w:hAnsi="Verdana"/>
          <w:sz w:val="18"/>
          <w:szCs w:val="18"/>
        </w:rPr>
        <w:t xml:space="preserve">De Verenigde Naties hanteren een vergoedingensysteem voor landen die een bijdrage leveren aan </w:t>
      </w:r>
      <w:proofErr w:type="spellStart"/>
      <w:r w:rsidRPr="00693F38">
        <w:rPr>
          <w:rFonts w:ascii="Verdana" w:hAnsi="Verdana"/>
          <w:sz w:val="18"/>
          <w:szCs w:val="18"/>
        </w:rPr>
        <w:t>VN-missies</w:t>
      </w:r>
      <w:proofErr w:type="spellEnd"/>
      <w:r w:rsidRPr="00693F38">
        <w:rPr>
          <w:rFonts w:ascii="Verdana" w:hAnsi="Verdana"/>
          <w:sz w:val="18"/>
          <w:szCs w:val="18"/>
        </w:rPr>
        <w:t>, zoals MINUSMA. Ontvangsten die voor volgend jaar verwacht werden zijn dit jaar reeds binnengekomen. Met de vrijgave wordt voorgesteld deze ontvangsten via de eindejaarsmarge mee te nemen naar 2016.</w:t>
      </w:r>
    </w:p>
    <w:p w:rsidRPr="00693F38" w:rsidR="00693F38" w:rsidP="00693F38" w:rsidRDefault="00693F38">
      <w:pPr>
        <w:pStyle w:val="Geenafstand"/>
        <w:spacing w:line="240" w:lineRule="exact"/>
        <w:rPr>
          <w:rFonts w:ascii="Verdana" w:hAnsi="Verdana"/>
          <w:i/>
          <w:sz w:val="18"/>
          <w:szCs w:val="18"/>
        </w:rPr>
      </w:pPr>
    </w:p>
    <w:p w:rsidRPr="00693F38" w:rsidR="00693F38" w:rsidP="00693F38" w:rsidRDefault="00CA362E">
      <w:pPr>
        <w:spacing w:line="240" w:lineRule="exact"/>
        <w:rPr>
          <w:rFonts w:ascii="Verdana" w:hAnsi="Verdana"/>
          <w:i/>
          <w:sz w:val="18"/>
          <w:szCs w:val="18"/>
        </w:rPr>
      </w:pPr>
      <w:r>
        <w:rPr>
          <w:rFonts w:ascii="Verdana" w:hAnsi="Verdana"/>
          <w:i/>
          <w:sz w:val="18"/>
          <w:szCs w:val="18"/>
        </w:rPr>
        <w:t>Diversen (</w:t>
      </w:r>
      <w:r w:rsidRPr="00693F38" w:rsidR="00693F38">
        <w:rPr>
          <w:rFonts w:ascii="Verdana" w:hAnsi="Verdana"/>
          <w:i/>
          <w:sz w:val="18"/>
          <w:szCs w:val="18"/>
        </w:rPr>
        <w:t>Beleidsmatige mutaties</w:t>
      </w:r>
      <w:r>
        <w:rPr>
          <w:rFonts w:ascii="Verdana" w:hAnsi="Verdana"/>
          <w:i/>
          <w:sz w:val="18"/>
          <w:szCs w:val="18"/>
        </w:rPr>
        <w:t xml:space="preserve"> - uitgaven)</w:t>
      </w:r>
    </w:p>
    <w:p w:rsidRPr="00693F38" w:rsidR="00693F38" w:rsidP="00693F38" w:rsidRDefault="00693F38">
      <w:pPr>
        <w:spacing w:line="240" w:lineRule="exact"/>
        <w:rPr>
          <w:rFonts w:ascii="Verdana" w:hAnsi="Verdana"/>
          <w:sz w:val="18"/>
          <w:szCs w:val="18"/>
        </w:rPr>
      </w:pPr>
      <w:r w:rsidRPr="00693F38">
        <w:rPr>
          <w:rFonts w:ascii="Verdana" w:hAnsi="Verdana"/>
          <w:sz w:val="18"/>
          <w:szCs w:val="18"/>
        </w:rPr>
        <w:t xml:space="preserve">De post bevat een aantal mutaties waarvan de belangrijkste zich voordoen op de begrotingen van Buitenlandse Zaken, Buitenlandse Handel en Ontwikkelingssamenwerking en Veiligheid en Justitie. De apparaatuitgaven van het ministerie van Buitenlandse Zaken worden per saldo verlaagd omdat een deel van de uitgaven op het terrein van ICT en huisvesting pas begin 2016 gerealiseerd wordt. Daarnaast dalen de </w:t>
      </w:r>
      <w:proofErr w:type="spellStart"/>
      <w:r w:rsidRPr="00693F38">
        <w:rPr>
          <w:rFonts w:ascii="Verdana" w:hAnsi="Verdana"/>
          <w:sz w:val="18"/>
          <w:szCs w:val="18"/>
        </w:rPr>
        <w:t>HGIS-uitgaven</w:t>
      </w:r>
      <w:proofErr w:type="spellEnd"/>
      <w:r w:rsidRPr="00693F38">
        <w:rPr>
          <w:rFonts w:ascii="Verdana" w:hAnsi="Verdana"/>
          <w:sz w:val="18"/>
          <w:szCs w:val="18"/>
        </w:rPr>
        <w:t xml:space="preserve"> op de begroting van Veiligheid en Justitie omdat in 2015 de bijdrage aan </w:t>
      </w:r>
      <w:proofErr w:type="spellStart"/>
      <w:r w:rsidRPr="00693F38">
        <w:rPr>
          <w:rFonts w:ascii="Verdana" w:hAnsi="Verdana"/>
          <w:sz w:val="18"/>
          <w:szCs w:val="18"/>
        </w:rPr>
        <w:t>Eurojust</w:t>
      </w:r>
      <w:proofErr w:type="spellEnd"/>
      <w:r w:rsidRPr="00693F38">
        <w:rPr>
          <w:rFonts w:ascii="Verdana" w:hAnsi="Verdana"/>
          <w:sz w:val="18"/>
          <w:szCs w:val="18"/>
        </w:rPr>
        <w:t xml:space="preserve"> lager is uitgevallen. Een deel hiervan wordt in 2016 verwacht. Ten slotte dalen de uitgaven, op de begroting van Buitenlandse Handel en Ontwikkelingssamenwerking voor programma’s op het terrein van handelsbevordering (art. 1.2), vanwege een lagere liquiditeitsbehoefte bij uitvoerder RVO.</w:t>
      </w:r>
    </w:p>
    <w:p w:rsidRPr="00693F38" w:rsidR="00693F38" w:rsidP="00693F38" w:rsidRDefault="00693F38">
      <w:pPr>
        <w:spacing w:line="240" w:lineRule="exact"/>
        <w:rPr>
          <w:rFonts w:ascii="Verdana" w:hAnsi="Verdana"/>
          <w:i/>
          <w:sz w:val="18"/>
          <w:szCs w:val="18"/>
        </w:rPr>
      </w:pPr>
    </w:p>
    <w:p w:rsidRPr="00693F38" w:rsidR="00693F38" w:rsidP="00693F38" w:rsidRDefault="00CA362E">
      <w:pPr>
        <w:spacing w:line="240" w:lineRule="exact"/>
        <w:rPr>
          <w:rFonts w:ascii="Verdana" w:hAnsi="Verdana"/>
          <w:i/>
          <w:sz w:val="18"/>
          <w:szCs w:val="18"/>
        </w:rPr>
      </w:pPr>
      <w:r>
        <w:rPr>
          <w:rFonts w:ascii="Verdana" w:hAnsi="Verdana"/>
          <w:i/>
          <w:sz w:val="18"/>
          <w:szCs w:val="18"/>
        </w:rPr>
        <w:t>Diversen (Beleidsmatige mutaties - n</w:t>
      </w:r>
      <w:r w:rsidRPr="00693F38" w:rsidR="00693F38">
        <w:rPr>
          <w:rFonts w:ascii="Verdana" w:hAnsi="Verdana"/>
          <w:i/>
          <w:sz w:val="18"/>
          <w:szCs w:val="18"/>
        </w:rPr>
        <w:t>iet-belastingontvangsten</w:t>
      </w:r>
      <w:r>
        <w:rPr>
          <w:rFonts w:ascii="Verdana" w:hAnsi="Verdana"/>
          <w:i/>
          <w:sz w:val="18"/>
          <w:szCs w:val="18"/>
        </w:rPr>
        <w:t>)</w:t>
      </w:r>
    </w:p>
    <w:p w:rsidRPr="00693F38" w:rsidR="00693F38" w:rsidP="00693F38" w:rsidRDefault="00693F38">
      <w:pPr>
        <w:spacing w:line="240" w:lineRule="exact"/>
        <w:rPr>
          <w:rFonts w:ascii="Verdana" w:hAnsi="Verdana"/>
          <w:i/>
          <w:sz w:val="18"/>
          <w:szCs w:val="18"/>
        </w:rPr>
      </w:pPr>
      <w:r w:rsidRPr="00693F38">
        <w:rPr>
          <w:rFonts w:ascii="Verdana" w:hAnsi="Verdana" w:cs="Courier New"/>
          <w:sz w:val="18"/>
          <w:szCs w:val="18"/>
        </w:rPr>
        <w:t xml:space="preserve">Deze post bevat verschillende mutaties, waarvan de belangrijkste zich voordoet op het apparaatartikel van het ministerie van Buitenlandse Zaken. In 2015 zijn enkele panden in het buitenland verkocht, deze onroerend goed ontvangsten worden door het ministerie van Buitenlandse Zaken gereserveerd. Hiermee kunnen de </w:t>
      </w:r>
      <w:r w:rsidRPr="00693F38">
        <w:rPr>
          <w:rFonts w:ascii="Verdana" w:hAnsi="Verdana" w:cs="Arial"/>
          <w:snapToGrid w:val="0"/>
          <w:sz w:val="18"/>
          <w:szCs w:val="18"/>
        </w:rPr>
        <w:t xml:space="preserve">jaarlijks geplande investeringen van de huisvesting in het buitenland gefinancierd worden, met als doel de </w:t>
      </w:r>
      <w:proofErr w:type="spellStart"/>
      <w:r w:rsidRPr="00693F38">
        <w:rPr>
          <w:rFonts w:ascii="Verdana" w:hAnsi="Verdana" w:cs="Arial"/>
          <w:snapToGrid w:val="0"/>
          <w:sz w:val="18"/>
          <w:szCs w:val="18"/>
        </w:rPr>
        <w:t>huisvestingsportefuille</w:t>
      </w:r>
      <w:proofErr w:type="spellEnd"/>
      <w:r w:rsidRPr="00693F38">
        <w:rPr>
          <w:rFonts w:ascii="Verdana" w:hAnsi="Verdana" w:cs="Arial"/>
          <w:snapToGrid w:val="0"/>
          <w:sz w:val="18"/>
          <w:szCs w:val="18"/>
        </w:rPr>
        <w:t xml:space="preserve"> te rationaliseren en in lijn te brengen met de nieuwe behoeften. Daarbij zijn de sleutelwoorden: soberder, functioneler en mogelijke samenwerking met andere landen door middel van </w:t>
      </w:r>
      <w:proofErr w:type="spellStart"/>
      <w:r w:rsidRPr="00693F38">
        <w:rPr>
          <w:rFonts w:ascii="Verdana" w:hAnsi="Verdana" w:cs="Arial"/>
          <w:snapToGrid w:val="0"/>
          <w:sz w:val="18"/>
          <w:szCs w:val="18"/>
        </w:rPr>
        <w:t>co-locaties</w:t>
      </w:r>
      <w:proofErr w:type="spellEnd"/>
      <w:r w:rsidRPr="00693F38">
        <w:rPr>
          <w:rFonts w:ascii="Verdana" w:hAnsi="Verdana" w:cs="Arial"/>
          <w:snapToGrid w:val="0"/>
          <w:sz w:val="18"/>
          <w:szCs w:val="18"/>
        </w:rPr>
        <w:t>. Op deze wijze is Buitenlandse Zaken in staat om de taakstelling op het apparaat en postennet te realiseren.</w:t>
      </w:r>
    </w:p>
    <w:p w:rsidRPr="00533D5C" w:rsidR="00693F38" w:rsidP="00533D5C" w:rsidRDefault="00693F38">
      <w:pPr>
        <w:spacing w:line="240" w:lineRule="exact"/>
        <w:rPr>
          <w:rFonts w:ascii="Verdana" w:hAnsi="Verdana" w:cs="Courier New"/>
          <w:sz w:val="18"/>
          <w:szCs w:val="18"/>
        </w:rPr>
      </w:pPr>
    </w:p>
    <w:sectPr w:rsidRPr="00533D5C" w:rsidR="00693F38" w:rsidSect="00D4270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53A" w:rsidRDefault="0011453A" w:rsidP="00821E67">
      <w:r>
        <w:separator/>
      </w:r>
    </w:p>
  </w:endnote>
  <w:endnote w:type="continuationSeparator" w:id="0">
    <w:p w:rsidR="0011453A" w:rsidRDefault="0011453A" w:rsidP="00821E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w:altName w:val="Arial Narrow"/>
    <w:charset w:val="00"/>
    <w:family w:val="swiss"/>
    <w:pitch w:val="variable"/>
    <w:sig w:usb0="8000002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53A" w:rsidRDefault="0011453A">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53A" w:rsidRDefault="0011453A">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53A" w:rsidRDefault="0011453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53A" w:rsidRDefault="0011453A" w:rsidP="00821E67">
      <w:r>
        <w:separator/>
      </w:r>
    </w:p>
  </w:footnote>
  <w:footnote w:type="continuationSeparator" w:id="0">
    <w:p w:rsidR="0011453A" w:rsidRDefault="0011453A" w:rsidP="00821E67">
      <w:r>
        <w:continuationSeparator/>
      </w:r>
    </w:p>
  </w:footnote>
  <w:footnote w:id="1">
    <w:p w:rsidR="0011453A" w:rsidRPr="00B4777B" w:rsidRDefault="0011453A" w:rsidP="00AA4A16">
      <w:pPr>
        <w:pStyle w:val="Voetnoottekst"/>
        <w:rPr>
          <w:rFonts w:ascii="Verdana" w:hAnsi="Verdana"/>
          <w:sz w:val="16"/>
          <w:szCs w:val="16"/>
        </w:rPr>
      </w:pPr>
      <w:r w:rsidRPr="00B4777B">
        <w:rPr>
          <w:rStyle w:val="Voetnootmarkering"/>
          <w:rFonts w:ascii="Verdana" w:hAnsi="Verdana"/>
          <w:sz w:val="16"/>
          <w:szCs w:val="16"/>
        </w:rPr>
        <w:footnoteRef/>
      </w:r>
      <w:r w:rsidRPr="00B4777B">
        <w:rPr>
          <w:rFonts w:ascii="Verdana" w:hAnsi="Verdana"/>
          <w:sz w:val="16"/>
          <w:szCs w:val="16"/>
        </w:rPr>
        <w:t xml:space="preserve"> Brief Zevende aanvullende EU-begroting voor 2015; kenmerk BFB 2015-2099M</w:t>
      </w:r>
    </w:p>
  </w:footnote>
  <w:footnote w:id="2">
    <w:p w:rsidR="0011453A" w:rsidRDefault="0011453A" w:rsidP="00AA4A16">
      <w:pPr>
        <w:pStyle w:val="Voetnoottekst"/>
      </w:pPr>
      <w:r w:rsidRPr="00B4777B">
        <w:rPr>
          <w:rStyle w:val="Voetnootmarkering"/>
          <w:rFonts w:ascii="Verdana" w:hAnsi="Verdana"/>
          <w:sz w:val="16"/>
          <w:szCs w:val="16"/>
        </w:rPr>
        <w:footnoteRef/>
      </w:r>
      <w:r w:rsidRPr="00B4777B">
        <w:rPr>
          <w:rFonts w:ascii="Verdana" w:hAnsi="Verdana"/>
          <w:sz w:val="16"/>
          <w:szCs w:val="16"/>
        </w:rPr>
        <w:t xml:space="preserve"> Brief Achtste aanvullende EU-begroting voor 2015; kenmerk BFB 2015-2228M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53A" w:rsidRDefault="0011453A">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53A" w:rsidRDefault="0011453A">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53A" w:rsidRDefault="0011453A">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05C1"/>
    <w:multiLevelType w:val="hybridMultilevel"/>
    <w:tmpl w:val="0986BD64"/>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F321837"/>
    <w:multiLevelType w:val="hybridMultilevel"/>
    <w:tmpl w:val="62CA341A"/>
    <w:lvl w:ilvl="0" w:tplc="E6168158">
      <w:start w:val="15"/>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cs="Wingdings" w:hint="default"/>
      </w:rPr>
    </w:lvl>
    <w:lvl w:ilvl="3" w:tplc="04130001" w:tentative="1">
      <w:start w:val="1"/>
      <w:numFmt w:val="bullet"/>
      <w:lvlText w:val=""/>
      <w:lvlJc w:val="left"/>
      <w:pPr>
        <w:tabs>
          <w:tab w:val="num" w:pos="1800"/>
        </w:tabs>
        <w:ind w:left="1800" w:hanging="360"/>
      </w:pPr>
      <w:rPr>
        <w:rFonts w:ascii="Symbol" w:hAnsi="Symbol" w:cs="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cs="Wingdings" w:hint="default"/>
      </w:rPr>
    </w:lvl>
    <w:lvl w:ilvl="6" w:tplc="04130001" w:tentative="1">
      <w:start w:val="1"/>
      <w:numFmt w:val="bullet"/>
      <w:lvlText w:val=""/>
      <w:lvlJc w:val="left"/>
      <w:pPr>
        <w:tabs>
          <w:tab w:val="num" w:pos="3960"/>
        </w:tabs>
        <w:ind w:left="3960" w:hanging="360"/>
      </w:pPr>
      <w:rPr>
        <w:rFonts w:ascii="Symbol" w:hAnsi="Symbol" w:cs="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cs="Wingdings" w:hint="default"/>
      </w:rPr>
    </w:lvl>
  </w:abstractNum>
  <w:abstractNum w:abstractNumId="2">
    <w:nsid w:val="10210231"/>
    <w:multiLevelType w:val="hybridMultilevel"/>
    <w:tmpl w:val="3750566C"/>
    <w:lvl w:ilvl="0" w:tplc="04130001">
      <w:start w:val="1"/>
      <w:numFmt w:val="bullet"/>
      <w:lvlText w:val=""/>
      <w:lvlJc w:val="left"/>
      <w:pPr>
        <w:ind w:left="24" w:hanging="360"/>
      </w:pPr>
      <w:rPr>
        <w:rFonts w:ascii="Symbol" w:hAnsi="Symbol" w:hint="default"/>
      </w:rPr>
    </w:lvl>
    <w:lvl w:ilvl="1" w:tplc="04130003" w:tentative="1">
      <w:start w:val="1"/>
      <w:numFmt w:val="bullet"/>
      <w:lvlText w:val="o"/>
      <w:lvlJc w:val="left"/>
      <w:pPr>
        <w:ind w:left="744" w:hanging="360"/>
      </w:pPr>
      <w:rPr>
        <w:rFonts w:ascii="Courier New" w:hAnsi="Courier New" w:cs="Courier New" w:hint="default"/>
      </w:rPr>
    </w:lvl>
    <w:lvl w:ilvl="2" w:tplc="04130005" w:tentative="1">
      <w:start w:val="1"/>
      <w:numFmt w:val="bullet"/>
      <w:lvlText w:val=""/>
      <w:lvlJc w:val="left"/>
      <w:pPr>
        <w:ind w:left="1464" w:hanging="360"/>
      </w:pPr>
      <w:rPr>
        <w:rFonts w:ascii="Wingdings" w:hAnsi="Wingdings" w:hint="default"/>
      </w:rPr>
    </w:lvl>
    <w:lvl w:ilvl="3" w:tplc="04130001" w:tentative="1">
      <w:start w:val="1"/>
      <w:numFmt w:val="bullet"/>
      <w:lvlText w:val=""/>
      <w:lvlJc w:val="left"/>
      <w:pPr>
        <w:ind w:left="2184" w:hanging="360"/>
      </w:pPr>
      <w:rPr>
        <w:rFonts w:ascii="Symbol" w:hAnsi="Symbol" w:hint="default"/>
      </w:rPr>
    </w:lvl>
    <w:lvl w:ilvl="4" w:tplc="04130003" w:tentative="1">
      <w:start w:val="1"/>
      <w:numFmt w:val="bullet"/>
      <w:lvlText w:val="o"/>
      <w:lvlJc w:val="left"/>
      <w:pPr>
        <w:ind w:left="2904" w:hanging="360"/>
      </w:pPr>
      <w:rPr>
        <w:rFonts w:ascii="Courier New" w:hAnsi="Courier New" w:cs="Courier New" w:hint="default"/>
      </w:rPr>
    </w:lvl>
    <w:lvl w:ilvl="5" w:tplc="04130005" w:tentative="1">
      <w:start w:val="1"/>
      <w:numFmt w:val="bullet"/>
      <w:lvlText w:val=""/>
      <w:lvlJc w:val="left"/>
      <w:pPr>
        <w:ind w:left="3624" w:hanging="360"/>
      </w:pPr>
      <w:rPr>
        <w:rFonts w:ascii="Wingdings" w:hAnsi="Wingdings" w:hint="default"/>
      </w:rPr>
    </w:lvl>
    <w:lvl w:ilvl="6" w:tplc="04130001" w:tentative="1">
      <w:start w:val="1"/>
      <w:numFmt w:val="bullet"/>
      <w:lvlText w:val=""/>
      <w:lvlJc w:val="left"/>
      <w:pPr>
        <w:ind w:left="4344" w:hanging="360"/>
      </w:pPr>
      <w:rPr>
        <w:rFonts w:ascii="Symbol" w:hAnsi="Symbol" w:hint="default"/>
      </w:rPr>
    </w:lvl>
    <w:lvl w:ilvl="7" w:tplc="04130003" w:tentative="1">
      <w:start w:val="1"/>
      <w:numFmt w:val="bullet"/>
      <w:lvlText w:val="o"/>
      <w:lvlJc w:val="left"/>
      <w:pPr>
        <w:ind w:left="5064" w:hanging="360"/>
      </w:pPr>
      <w:rPr>
        <w:rFonts w:ascii="Courier New" w:hAnsi="Courier New" w:cs="Courier New" w:hint="default"/>
      </w:rPr>
    </w:lvl>
    <w:lvl w:ilvl="8" w:tplc="04130005" w:tentative="1">
      <w:start w:val="1"/>
      <w:numFmt w:val="bullet"/>
      <w:lvlText w:val=""/>
      <w:lvlJc w:val="left"/>
      <w:pPr>
        <w:ind w:left="5784" w:hanging="360"/>
      </w:pPr>
      <w:rPr>
        <w:rFonts w:ascii="Wingdings" w:hAnsi="Wingdings" w:hint="default"/>
      </w:rPr>
    </w:lvl>
  </w:abstractNum>
  <w:abstractNum w:abstractNumId="3">
    <w:nsid w:val="11BD36C2"/>
    <w:multiLevelType w:val="hybridMultilevel"/>
    <w:tmpl w:val="5C5801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39A2193"/>
    <w:multiLevelType w:val="hybridMultilevel"/>
    <w:tmpl w:val="56C8C7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4FC3930"/>
    <w:multiLevelType w:val="hybridMultilevel"/>
    <w:tmpl w:val="485C60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56750DF"/>
    <w:multiLevelType w:val="hybridMultilevel"/>
    <w:tmpl w:val="04D4B5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8F9503D"/>
    <w:multiLevelType w:val="hybridMultilevel"/>
    <w:tmpl w:val="F198F3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18FE7143"/>
    <w:multiLevelType w:val="hybridMultilevel"/>
    <w:tmpl w:val="D7DA7C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1B4566B4"/>
    <w:multiLevelType w:val="hybridMultilevel"/>
    <w:tmpl w:val="B39C0E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1E832F57"/>
    <w:multiLevelType w:val="hybridMultilevel"/>
    <w:tmpl w:val="E91428A2"/>
    <w:lvl w:ilvl="0" w:tplc="04130011">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FA64E57"/>
    <w:multiLevelType w:val="hybridMultilevel"/>
    <w:tmpl w:val="3AFE8A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6B656F7"/>
    <w:multiLevelType w:val="hybridMultilevel"/>
    <w:tmpl w:val="B456EFF8"/>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28226B79"/>
    <w:multiLevelType w:val="hybridMultilevel"/>
    <w:tmpl w:val="B7A6DF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28D05EA4"/>
    <w:multiLevelType w:val="hybridMultilevel"/>
    <w:tmpl w:val="2B06CED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90F5413"/>
    <w:multiLevelType w:val="hybridMultilevel"/>
    <w:tmpl w:val="4B903F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33451935"/>
    <w:multiLevelType w:val="hybridMultilevel"/>
    <w:tmpl w:val="6204AB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55F3082"/>
    <w:multiLevelType w:val="hybridMultilevel"/>
    <w:tmpl w:val="6F4E6C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35E421D6"/>
    <w:multiLevelType w:val="hybridMultilevel"/>
    <w:tmpl w:val="CD0E3B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6BB6B3D"/>
    <w:multiLevelType w:val="hybridMultilevel"/>
    <w:tmpl w:val="B67EB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85C51CD"/>
    <w:multiLevelType w:val="hybridMultilevel"/>
    <w:tmpl w:val="6592F17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3B101A1F"/>
    <w:multiLevelType w:val="hybridMultilevel"/>
    <w:tmpl w:val="21121574"/>
    <w:lvl w:ilvl="0" w:tplc="04130011">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5CB4F7A"/>
    <w:multiLevelType w:val="hybridMultilevel"/>
    <w:tmpl w:val="82988B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460A2F86"/>
    <w:multiLevelType w:val="hybridMultilevel"/>
    <w:tmpl w:val="CCA0BABA"/>
    <w:lvl w:ilvl="0" w:tplc="CA22EFFE">
      <w:start w:val="1"/>
      <w:numFmt w:val="bullet"/>
      <w:pStyle w:val="Lijstopsomteken"/>
      <w:lvlText w:val="•"/>
      <w:lvlJc w:val="left"/>
      <w:pPr>
        <w:tabs>
          <w:tab w:val="num" w:pos="227"/>
        </w:tabs>
        <w:ind w:left="227" w:hanging="227"/>
      </w:pPr>
      <w:rPr>
        <w:rFonts w:ascii="Verdana" w:hAnsi="Verdana"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536E5F32"/>
    <w:multiLevelType w:val="hybridMultilevel"/>
    <w:tmpl w:val="644E7C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54C97C58"/>
    <w:multiLevelType w:val="hybridMultilevel"/>
    <w:tmpl w:val="21CC0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5A56BFB"/>
    <w:multiLevelType w:val="hybridMultilevel"/>
    <w:tmpl w:val="A65215A8"/>
    <w:lvl w:ilvl="0" w:tplc="04130001">
      <w:start w:val="1"/>
      <w:numFmt w:val="bullet"/>
      <w:lvlText w:val=""/>
      <w:lvlJc w:val="left"/>
      <w:pPr>
        <w:ind w:left="360" w:hanging="360"/>
      </w:pPr>
      <w:rPr>
        <w:rFonts w:ascii="Symbol" w:hAnsi="Symbol" w:cs="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5854695A"/>
    <w:multiLevelType w:val="hybridMultilevel"/>
    <w:tmpl w:val="BBA08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D63618B"/>
    <w:multiLevelType w:val="hybridMultilevel"/>
    <w:tmpl w:val="DC565952"/>
    <w:lvl w:ilvl="0" w:tplc="DD14E788">
      <w:numFmt w:val="bullet"/>
      <w:lvlText w:val="-"/>
      <w:lvlJc w:val="left"/>
      <w:pPr>
        <w:ind w:left="720" w:hanging="360"/>
      </w:pPr>
      <w:rPr>
        <w:rFonts w:ascii="Verdana" w:eastAsia="Times New Roman" w:hAnsi="Verdana"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F482595"/>
    <w:multiLevelType w:val="hybridMultilevel"/>
    <w:tmpl w:val="0450BA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F237378"/>
    <w:multiLevelType w:val="hybridMultilevel"/>
    <w:tmpl w:val="2E3AD7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7944634"/>
    <w:multiLevelType w:val="hybridMultilevel"/>
    <w:tmpl w:val="13BC716E"/>
    <w:lvl w:ilvl="0" w:tplc="DD14E788">
      <w:numFmt w:val="bullet"/>
      <w:lvlText w:val="-"/>
      <w:lvlJc w:val="left"/>
      <w:pPr>
        <w:ind w:left="720" w:hanging="360"/>
      </w:pPr>
      <w:rPr>
        <w:rFonts w:ascii="Verdana" w:eastAsia="Times New Roman" w:hAnsi="Verdana"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8"/>
  </w:num>
  <w:num w:numId="7">
    <w:abstractNumId w:val="27"/>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30"/>
  </w:num>
  <w:num w:numId="12">
    <w:abstractNumId w:val="19"/>
  </w:num>
  <w:num w:numId="13">
    <w:abstractNumId w:val="16"/>
  </w:num>
  <w:num w:numId="14">
    <w:abstractNumId w:val="3"/>
  </w:num>
  <w:num w:numId="15">
    <w:abstractNumId w:val="25"/>
  </w:num>
  <w:num w:numId="16">
    <w:abstractNumId w:val="23"/>
  </w:num>
  <w:num w:numId="17">
    <w:abstractNumId w:val="28"/>
  </w:num>
  <w:num w:numId="18">
    <w:abstractNumId w:val="31"/>
  </w:num>
  <w:num w:numId="19">
    <w:abstractNumId w:val="29"/>
  </w:num>
  <w:num w:numId="20">
    <w:abstractNumId w:val="9"/>
  </w:num>
  <w:num w:numId="21">
    <w:abstractNumId w:val="20"/>
  </w:num>
  <w:num w:numId="22">
    <w:abstractNumId w:val="22"/>
  </w:num>
  <w:num w:numId="23">
    <w:abstractNumId w:val="10"/>
  </w:num>
  <w:num w:numId="24">
    <w:abstractNumId w:val="17"/>
  </w:num>
  <w:num w:numId="25">
    <w:abstractNumId w:val="14"/>
  </w:num>
  <w:num w:numId="26">
    <w:abstractNumId w:val="5"/>
  </w:num>
  <w:num w:numId="27">
    <w:abstractNumId w:val="21"/>
  </w:num>
  <w:num w:numId="28">
    <w:abstractNumId w:val="7"/>
  </w:num>
  <w:num w:numId="29">
    <w:abstractNumId w:val="4"/>
  </w:num>
  <w:num w:numId="30">
    <w:abstractNumId w:val="11"/>
  </w:num>
  <w:num w:numId="31">
    <w:abstractNumId w:val="13"/>
  </w:num>
  <w:num w:numId="32">
    <w:abstractNumId w:val="8"/>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stylePaneFormatFilter w:val="3F01"/>
  <w:defaultTabStop w:val="708"/>
  <w:hyphenationZone w:val="425"/>
  <w:characterSpacingControl w:val="doNotCompress"/>
  <w:doNotValidateAgainstSchema/>
  <w:doNotDemarcateInvalidXml/>
  <w:footnotePr>
    <w:footnote w:id="-1"/>
    <w:footnote w:id="0"/>
  </w:footnotePr>
  <w:endnotePr>
    <w:endnote w:id="-1"/>
    <w:endnote w:id="0"/>
  </w:endnotePr>
  <w:compat/>
  <w:rsids>
    <w:rsidRoot w:val="00F861FB"/>
    <w:rsid w:val="00000F84"/>
    <w:rsid w:val="00011820"/>
    <w:rsid w:val="00013134"/>
    <w:rsid w:val="000173D9"/>
    <w:rsid w:val="0002077F"/>
    <w:rsid w:val="00025873"/>
    <w:rsid w:val="00025DE6"/>
    <w:rsid w:val="0002681C"/>
    <w:rsid w:val="0003055D"/>
    <w:rsid w:val="00030989"/>
    <w:rsid w:val="00030C55"/>
    <w:rsid w:val="00031D51"/>
    <w:rsid w:val="00036B76"/>
    <w:rsid w:val="00037170"/>
    <w:rsid w:val="00041F1A"/>
    <w:rsid w:val="00043F7C"/>
    <w:rsid w:val="00046212"/>
    <w:rsid w:val="000474E6"/>
    <w:rsid w:val="00047E63"/>
    <w:rsid w:val="00051734"/>
    <w:rsid w:val="00062699"/>
    <w:rsid w:val="00063DB4"/>
    <w:rsid w:val="00066F87"/>
    <w:rsid w:val="00067A6C"/>
    <w:rsid w:val="00072E43"/>
    <w:rsid w:val="000938DA"/>
    <w:rsid w:val="00096AA1"/>
    <w:rsid w:val="000979AC"/>
    <w:rsid w:val="000A0997"/>
    <w:rsid w:val="000A3DC4"/>
    <w:rsid w:val="000B205A"/>
    <w:rsid w:val="000B65CE"/>
    <w:rsid w:val="000C14C9"/>
    <w:rsid w:val="000C3550"/>
    <w:rsid w:val="000C46AF"/>
    <w:rsid w:val="000C60C8"/>
    <w:rsid w:val="000D015C"/>
    <w:rsid w:val="000D0216"/>
    <w:rsid w:val="000D228F"/>
    <w:rsid w:val="000D3459"/>
    <w:rsid w:val="000D3E92"/>
    <w:rsid w:val="000D419B"/>
    <w:rsid w:val="000D52AF"/>
    <w:rsid w:val="000D79F1"/>
    <w:rsid w:val="000E13FD"/>
    <w:rsid w:val="000E3C51"/>
    <w:rsid w:val="000E5DCF"/>
    <w:rsid w:val="000E759E"/>
    <w:rsid w:val="000E7ED3"/>
    <w:rsid w:val="000F0468"/>
    <w:rsid w:val="000F327A"/>
    <w:rsid w:val="000F3F33"/>
    <w:rsid w:val="000F46C3"/>
    <w:rsid w:val="000F5E96"/>
    <w:rsid w:val="000F6E74"/>
    <w:rsid w:val="00100172"/>
    <w:rsid w:val="001008F1"/>
    <w:rsid w:val="0010245E"/>
    <w:rsid w:val="00104C2E"/>
    <w:rsid w:val="00104F23"/>
    <w:rsid w:val="001073C1"/>
    <w:rsid w:val="00107BD1"/>
    <w:rsid w:val="0011334B"/>
    <w:rsid w:val="0011453A"/>
    <w:rsid w:val="00116473"/>
    <w:rsid w:val="0011658D"/>
    <w:rsid w:val="00126EC5"/>
    <w:rsid w:val="001325A9"/>
    <w:rsid w:val="0015059B"/>
    <w:rsid w:val="00150B59"/>
    <w:rsid w:val="00150F96"/>
    <w:rsid w:val="00153247"/>
    <w:rsid w:val="0015506A"/>
    <w:rsid w:val="00155685"/>
    <w:rsid w:val="00157048"/>
    <w:rsid w:val="00160609"/>
    <w:rsid w:val="00160BA6"/>
    <w:rsid w:val="0016128B"/>
    <w:rsid w:val="00161ED7"/>
    <w:rsid w:val="0016408B"/>
    <w:rsid w:val="00166251"/>
    <w:rsid w:val="00166359"/>
    <w:rsid w:val="00171785"/>
    <w:rsid w:val="00173B83"/>
    <w:rsid w:val="00176F77"/>
    <w:rsid w:val="00180D10"/>
    <w:rsid w:val="00197345"/>
    <w:rsid w:val="001A3A69"/>
    <w:rsid w:val="001B6B0E"/>
    <w:rsid w:val="001C116D"/>
    <w:rsid w:val="001C12B6"/>
    <w:rsid w:val="001C16B6"/>
    <w:rsid w:val="001C366A"/>
    <w:rsid w:val="001C7305"/>
    <w:rsid w:val="001D0734"/>
    <w:rsid w:val="001D438B"/>
    <w:rsid w:val="001D5DCF"/>
    <w:rsid w:val="001D5F70"/>
    <w:rsid w:val="001D7C2C"/>
    <w:rsid w:val="001E0402"/>
    <w:rsid w:val="001E08CC"/>
    <w:rsid w:val="001E1FA0"/>
    <w:rsid w:val="001F22F7"/>
    <w:rsid w:val="001F415D"/>
    <w:rsid w:val="001F638C"/>
    <w:rsid w:val="001F773A"/>
    <w:rsid w:val="00200490"/>
    <w:rsid w:val="00201F76"/>
    <w:rsid w:val="002072DB"/>
    <w:rsid w:val="00207D43"/>
    <w:rsid w:val="00212530"/>
    <w:rsid w:val="00212804"/>
    <w:rsid w:val="00213585"/>
    <w:rsid w:val="002135E8"/>
    <w:rsid w:val="002145D7"/>
    <w:rsid w:val="00224F08"/>
    <w:rsid w:val="0022623A"/>
    <w:rsid w:val="00226BFA"/>
    <w:rsid w:val="00227769"/>
    <w:rsid w:val="00230295"/>
    <w:rsid w:val="002351CC"/>
    <w:rsid w:val="00236A2F"/>
    <w:rsid w:val="00237FCE"/>
    <w:rsid w:val="00240FC3"/>
    <w:rsid w:val="00242493"/>
    <w:rsid w:val="00244D66"/>
    <w:rsid w:val="002468BD"/>
    <w:rsid w:val="00250E5C"/>
    <w:rsid w:val="00251A63"/>
    <w:rsid w:val="00252EE6"/>
    <w:rsid w:val="00254B33"/>
    <w:rsid w:val="00261D79"/>
    <w:rsid w:val="00264EA9"/>
    <w:rsid w:val="00265A8C"/>
    <w:rsid w:val="00265F81"/>
    <w:rsid w:val="0026645E"/>
    <w:rsid w:val="00273BD2"/>
    <w:rsid w:val="00283B40"/>
    <w:rsid w:val="00283CE9"/>
    <w:rsid w:val="00284666"/>
    <w:rsid w:val="002849A9"/>
    <w:rsid w:val="00286C22"/>
    <w:rsid w:val="0029172C"/>
    <w:rsid w:val="002A5BC3"/>
    <w:rsid w:val="002A6D76"/>
    <w:rsid w:val="002A705E"/>
    <w:rsid w:val="002B012E"/>
    <w:rsid w:val="002B20AF"/>
    <w:rsid w:val="002B3B8F"/>
    <w:rsid w:val="002B3C25"/>
    <w:rsid w:val="002B65C5"/>
    <w:rsid w:val="002B7097"/>
    <w:rsid w:val="002C17E8"/>
    <w:rsid w:val="002C329A"/>
    <w:rsid w:val="002C32DA"/>
    <w:rsid w:val="002E2444"/>
    <w:rsid w:val="002E65E1"/>
    <w:rsid w:val="002E67E5"/>
    <w:rsid w:val="002F2F44"/>
    <w:rsid w:val="002F37A0"/>
    <w:rsid w:val="002F66A0"/>
    <w:rsid w:val="002F7391"/>
    <w:rsid w:val="003000F7"/>
    <w:rsid w:val="00301084"/>
    <w:rsid w:val="00303857"/>
    <w:rsid w:val="00303AAA"/>
    <w:rsid w:val="00304F2B"/>
    <w:rsid w:val="0030782C"/>
    <w:rsid w:val="00310E61"/>
    <w:rsid w:val="00312FEE"/>
    <w:rsid w:val="003175B4"/>
    <w:rsid w:val="003207E3"/>
    <w:rsid w:val="003210ED"/>
    <w:rsid w:val="00321221"/>
    <w:rsid w:val="003228E2"/>
    <w:rsid w:val="0032607D"/>
    <w:rsid w:val="0033147C"/>
    <w:rsid w:val="003334F0"/>
    <w:rsid w:val="00333539"/>
    <w:rsid w:val="003348E3"/>
    <w:rsid w:val="00336973"/>
    <w:rsid w:val="00336FB3"/>
    <w:rsid w:val="0033779A"/>
    <w:rsid w:val="00337D41"/>
    <w:rsid w:val="0035066B"/>
    <w:rsid w:val="00354F02"/>
    <w:rsid w:val="003558D2"/>
    <w:rsid w:val="003633FD"/>
    <w:rsid w:val="003738F9"/>
    <w:rsid w:val="00382548"/>
    <w:rsid w:val="00394716"/>
    <w:rsid w:val="003958C9"/>
    <w:rsid w:val="00396217"/>
    <w:rsid w:val="003965E9"/>
    <w:rsid w:val="003A161C"/>
    <w:rsid w:val="003A1C04"/>
    <w:rsid w:val="003A303A"/>
    <w:rsid w:val="003B0AD1"/>
    <w:rsid w:val="003B218F"/>
    <w:rsid w:val="003B53EA"/>
    <w:rsid w:val="003C0598"/>
    <w:rsid w:val="003C1110"/>
    <w:rsid w:val="003C1C66"/>
    <w:rsid w:val="003C2840"/>
    <w:rsid w:val="003D1C38"/>
    <w:rsid w:val="003D2F0A"/>
    <w:rsid w:val="003D4A86"/>
    <w:rsid w:val="003E13B9"/>
    <w:rsid w:val="003E1B8C"/>
    <w:rsid w:val="003E7400"/>
    <w:rsid w:val="003E75C2"/>
    <w:rsid w:val="003F0DDE"/>
    <w:rsid w:val="003F2681"/>
    <w:rsid w:val="003F4E7D"/>
    <w:rsid w:val="003F55F0"/>
    <w:rsid w:val="00402CDC"/>
    <w:rsid w:val="004030F2"/>
    <w:rsid w:val="004038A5"/>
    <w:rsid w:val="00403DC8"/>
    <w:rsid w:val="004053F9"/>
    <w:rsid w:val="00405E8A"/>
    <w:rsid w:val="00406A4F"/>
    <w:rsid w:val="00414336"/>
    <w:rsid w:val="00420326"/>
    <w:rsid w:val="00421083"/>
    <w:rsid w:val="00425DC7"/>
    <w:rsid w:val="00426EA0"/>
    <w:rsid w:val="00426F04"/>
    <w:rsid w:val="00430384"/>
    <w:rsid w:val="00430552"/>
    <w:rsid w:val="00430937"/>
    <w:rsid w:val="004316B2"/>
    <w:rsid w:val="0043214F"/>
    <w:rsid w:val="0043332A"/>
    <w:rsid w:val="004375F1"/>
    <w:rsid w:val="00445110"/>
    <w:rsid w:val="00446564"/>
    <w:rsid w:val="00447819"/>
    <w:rsid w:val="00447951"/>
    <w:rsid w:val="00452A6D"/>
    <w:rsid w:val="00452A7E"/>
    <w:rsid w:val="0045429A"/>
    <w:rsid w:val="004544C3"/>
    <w:rsid w:val="00455390"/>
    <w:rsid w:val="00455D8D"/>
    <w:rsid w:val="00460428"/>
    <w:rsid w:val="004605F2"/>
    <w:rsid w:val="004611F8"/>
    <w:rsid w:val="00461238"/>
    <w:rsid w:val="0046500B"/>
    <w:rsid w:val="00465EB6"/>
    <w:rsid w:val="0047111C"/>
    <w:rsid w:val="00471600"/>
    <w:rsid w:val="00472960"/>
    <w:rsid w:val="00472C01"/>
    <w:rsid w:val="00473DFB"/>
    <w:rsid w:val="0048634C"/>
    <w:rsid w:val="00486907"/>
    <w:rsid w:val="00486FE8"/>
    <w:rsid w:val="00490481"/>
    <w:rsid w:val="0049075B"/>
    <w:rsid w:val="00490E87"/>
    <w:rsid w:val="004910BF"/>
    <w:rsid w:val="004925F3"/>
    <w:rsid w:val="00494FA0"/>
    <w:rsid w:val="00495CAE"/>
    <w:rsid w:val="004968E8"/>
    <w:rsid w:val="004A1713"/>
    <w:rsid w:val="004A216E"/>
    <w:rsid w:val="004A3F72"/>
    <w:rsid w:val="004A50CB"/>
    <w:rsid w:val="004A6938"/>
    <w:rsid w:val="004A7950"/>
    <w:rsid w:val="004B4B15"/>
    <w:rsid w:val="004B5581"/>
    <w:rsid w:val="004B7816"/>
    <w:rsid w:val="004B78F8"/>
    <w:rsid w:val="004C10B2"/>
    <w:rsid w:val="004D0AB5"/>
    <w:rsid w:val="004D4EE3"/>
    <w:rsid w:val="004D4FC8"/>
    <w:rsid w:val="004D6FDE"/>
    <w:rsid w:val="004E19A5"/>
    <w:rsid w:val="004E408A"/>
    <w:rsid w:val="004E4AFD"/>
    <w:rsid w:val="004E5BC6"/>
    <w:rsid w:val="004E62C1"/>
    <w:rsid w:val="004F0F29"/>
    <w:rsid w:val="004F664C"/>
    <w:rsid w:val="004F7510"/>
    <w:rsid w:val="0050116B"/>
    <w:rsid w:val="005019EA"/>
    <w:rsid w:val="00503738"/>
    <w:rsid w:val="005042CB"/>
    <w:rsid w:val="00512E40"/>
    <w:rsid w:val="00512EDB"/>
    <w:rsid w:val="00513E97"/>
    <w:rsid w:val="00515AF8"/>
    <w:rsid w:val="00516825"/>
    <w:rsid w:val="00521774"/>
    <w:rsid w:val="00522C4E"/>
    <w:rsid w:val="00522DB2"/>
    <w:rsid w:val="005315C4"/>
    <w:rsid w:val="00533D5C"/>
    <w:rsid w:val="0053463B"/>
    <w:rsid w:val="00535635"/>
    <w:rsid w:val="00537616"/>
    <w:rsid w:val="0054222A"/>
    <w:rsid w:val="00542978"/>
    <w:rsid w:val="00543FD5"/>
    <w:rsid w:val="00545C5C"/>
    <w:rsid w:val="00546DEB"/>
    <w:rsid w:val="005478A2"/>
    <w:rsid w:val="0055014F"/>
    <w:rsid w:val="00552602"/>
    <w:rsid w:val="00553018"/>
    <w:rsid w:val="00553166"/>
    <w:rsid w:val="005544DF"/>
    <w:rsid w:val="0055652F"/>
    <w:rsid w:val="005569FA"/>
    <w:rsid w:val="0056015B"/>
    <w:rsid w:val="0056230A"/>
    <w:rsid w:val="00564A04"/>
    <w:rsid w:val="00565D35"/>
    <w:rsid w:val="005661EF"/>
    <w:rsid w:val="00567480"/>
    <w:rsid w:val="0057192F"/>
    <w:rsid w:val="00572AA2"/>
    <w:rsid w:val="00572DE5"/>
    <w:rsid w:val="005744E4"/>
    <w:rsid w:val="00581384"/>
    <w:rsid w:val="00581483"/>
    <w:rsid w:val="00584383"/>
    <w:rsid w:val="00591C5B"/>
    <w:rsid w:val="00596FC9"/>
    <w:rsid w:val="005978B6"/>
    <w:rsid w:val="005A1381"/>
    <w:rsid w:val="005A335B"/>
    <w:rsid w:val="005A3D5A"/>
    <w:rsid w:val="005A4B58"/>
    <w:rsid w:val="005A54A3"/>
    <w:rsid w:val="005A5898"/>
    <w:rsid w:val="005B040F"/>
    <w:rsid w:val="005B1094"/>
    <w:rsid w:val="005B1EE9"/>
    <w:rsid w:val="005B2920"/>
    <w:rsid w:val="005B5D23"/>
    <w:rsid w:val="005B5FE7"/>
    <w:rsid w:val="005C0903"/>
    <w:rsid w:val="005C0AB8"/>
    <w:rsid w:val="005C0E2E"/>
    <w:rsid w:val="005C16E5"/>
    <w:rsid w:val="005C1E70"/>
    <w:rsid w:val="005C3079"/>
    <w:rsid w:val="005C3D38"/>
    <w:rsid w:val="005C4A8C"/>
    <w:rsid w:val="005C6148"/>
    <w:rsid w:val="005D107D"/>
    <w:rsid w:val="005D154D"/>
    <w:rsid w:val="005D2292"/>
    <w:rsid w:val="005D2626"/>
    <w:rsid w:val="005D3680"/>
    <w:rsid w:val="005D48AD"/>
    <w:rsid w:val="005E7B1B"/>
    <w:rsid w:val="005F1AA6"/>
    <w:rsid w:val="00605216"/>
    <w:rsid w:val="006053EB"/>
    <w:rsid w:val="00606EC5"/>
    <w:rsid w:val="00610B7E"/>
    <w:rsid w:val="0061263B"/>
    <w:rsid w:val="00614551"/>
    <w:rsid w:val="0061586F"/>
    <w:rsid w:val="00617C97"/>
    <w:rsid w:val="0062563F"/>
    <w:rsid w:val="00634806"/>
    <w:rsid w:val="006369D3"/>
    <w:rsid w:val="00637281"/>
    <w:rsid w:val="00637D40"/>
    <w:rsid w:val="00642A3B"/>
    <w:rsid w:val="00642E04"/>
    <w:rsid w:val="0064363D"/>
    <w:rsid w:val="00646D30"/>
    <w:rsid w:val="00654820"/>
    <w:rsid w:val="006557F3"/>
    <w:rsid w:val="00655C3A"/>
    <w:rsid w:val="00656327"/>
    <w:rsid w:val="006567C6"/>
    <w:rsid w:val="00656ABC"/>
    <w:rsid w:val="00660330"/>
    <w:rsid w:val="00660D5B"/>
    <w:rsid w:val="006621FE"/>
    <w:rsid w:val="00662FD1"/>
    <w:rsid w:val="0066614B"/>
    <w:rsid w:val="00670491"/>
    <w:rsid w:val="00671986"/>
    <w:rsid w:val="00673CF1"/>
    <w:rsid w:val="00673FF9"/>
    <w:rsid w:val="0067534C"/>
    <w:rsid w:val="00675909"/>
    <w:rsid w:val="00677250"/>
    <w:rsid w:val="0067730A"/>
    <w:rsid w:val="00681677"/>
    <w:rsid w:val="00682395"/>
    <w:rsid w:val="006823BA"/>
    <w:rsid w:val="0068270C"/>
    <w:rsid w:val="00686FAC"/>
    <w:rsid w:val="00691A81"/>
    <w:rsid w:val="00691CAF"/>
    <w:rsid w:val="0069294D"/>
    <w:rsid w:val="00692A16"/>
    <w:rsid w:val="0069331B"/>
    <w:rsid w:val="00693F38"/>
    <w:rsid w:val="00697E35"/>
    <w:rsid w:val="006A0765"/>
    <w:rsid w:val="006A2EAD"/>
    <w:rsid w:val="006A3368"/>
    <w:rsid w:val="006A486A"/>
    <w:rsid w:val="006A5F54"/>
    <w:rsid w:val="006A63ED"/>
    <w:rsid w:val="006A7223"/>
    <w:rsid w:val="006B178E"/>
    <w:rsid w:val="006B42D8"/>
    <w:rsid w:val="006B4461"/>
    <w:rsid w:val="006B7DF2"/>
    <w:rsid w:val="006B7FDF"/>
    <w:rsid w:val="006C12FE"/>
    <w:rsid w:val="006C6CC2"/>
    <w:rsid w:val="006C7665"/>
    <w:rsid w:val="006D4D27"/>
    <w:rsid w:val="006D5323"/>
    <w:rsid w:val="006D5B70"/>
    <w:rsid w:val="006D6F24"/>
    <w:rsid w:val="006D7691"/>
    <w:rsid w:val="006E037C"/>
    <w:rsid w:val="006F02C4"/>
    <w:rsid w:val="006F12EF"/>
    <w:rsid w:val="006F3E18"/>
    <w:rsid w:val="006F5290"/>
    <w:rsid w:val="00703D7F"/>
    <w:rsid w:val="00704161"/>
    <w:rsid w:val="007070E7"/>
    <w:rsid w:val="007122F2"/>
    <w:rsid w:val="00712894"/>
    <w:rsid w:val="00713951"/>
    <w:rsid w:val="00717C5A"/>
    <w:rsid w:val="00721B67"/>
    <w:rsid w:val="00723E24"/>
    <w:rsid w:val="007250E2"/>
    <w:rsid w:val="007264A4"/>
    <w:rsid w:val="00730A5F"/>
    <w:rsid w:val="00730BB0"/>
    <w:rsid w:val="00730F6F"/>
    <w:rsid w:val="007334D8"/>
    <w:rsid w:val="007339CA"/>
    <w:rsid w:val="00743E8C"/>
    <w:rsid w:val="007460B3"/>
    <w:rsid w:val="0074624C"/>
    <w:rsid w:val="007519D0"/>
    <w:rsid w:val="00754236"/>
    <w:rsid w:val="00757FA3"/>
    <w:rsid w:val="00760152"/>
    <w:rsid w:val="00760D22"/>
    <w:rsid w:val="00760DD8"/>
    <w:rsid w:val="0076185B"/>
    <w:rsid w:val="00770608"/>
    <w:rsid w:val="007776BD"/>
    <w:rsid w:val="00785436"/>
    <w:rsid w:val="00793117"/>
    <w:rsid w:val="00793695"/>
    <w:rsid w:val="00794908"/>
    <w:rsid w:val="00794BEE"/>
    <w:rsid w:val="00795484"/>
    <w:rsid w:val="00795DF9"/>
    <w:rsid w:val="007965E9"/>
    <w:rsid w:val="007A371A"/>
    <w:rsid w:val="007A4321"/>
    <w:rsid w:val="007A5347"/>
    <w:rsid w:val="007B1573"/>
    <w:rsid w:val="007B29A6"/>
    <w:rsid w:val="007B36F3"/>
    <w:rsid w:val="007B3CF2"/>
    <w:rsid w:val="007B3DAE"/>
    <w:rsid w:val="007B4C47"/>
    <w:rsid w:val="007C1B00"/>
    <w:rsid w:val="007C2D1E"/>
    <w:rsid w:val="007C3A4D"/>
    <w:rsid w:val="007C5FBF"/>
    <w:rsid w:val="007C70A7"/>
    <w:rsid w:val="007C7615"/>
    <w:rsid w:val="007D0628"/>
    <w:rsid w:val="007D4132"/>
    <w:rsid w:val="007E127E"/>
    <w:rsid w:val="007E1A06"/>
    <w:rsid w:val="007E4EDB"/>
    <w:rsid w:val="007E68F4"/>
    <w:rsid w:val="007F1CCF"/>
    <w:rsid w:val="007F3BDB"/>
    <w:rsid w:val="00800A6C"/>
    <w:rsid w:val="00801C4C"/>
    <w:rsid w:val="00802B9E"/>
    <w:rsid w:val="00803E92"/>
    <w:rsid w:val="00811F95"/>
    <w:rsid w:val="008169C4"/>
    <w:rsid w:val="00817900"/>
    <w:rsid w:val="0082087C"/>
    <w:rsid w:val="00821E67"/>
    <w:rsid w:val="00822F29"/>
    <w:rsid w:val="00824B36"/>
    <w:rsid w:val="00826C61"/>
    <w:rsid w:val="00827C2E"/>
    <w:rsid w:val="0083377A"/>
    <w:rsid w:val="00833C05"/>
    <w:rsid w:val="00834E33"/>
    <w:rsid w:val="00840343"/>
    <w:rsid w:val="008419DB"/>
    <w:rsid w:val="00844CC1"/>
    <w:rsid w:val="00845886"/>
    <w:rsid w:val="00850E2D"/>
    <w:rsid w:val="00850E52"/>
    <w:rsid w:val="00855666"/>
    <w:rsid w:val="00856982"/>
    <w:rsid w:val="00862203"/>
    <w:rsid w:val="00862711"/>
    <w:rsid w:val="008647D3"/>
    <w:rsid w:val="00864EE5"/>
    <w:rsid w:val="008653B6"/>
    <w:rsid w:val="008713D6"/>
    <w:rsid w:val="008723DE"/>
    <w:rsid w:val="008726BF"/>
    <w:rsid w:val="00875F3B"/>
    <w:rsid w:val="00880694"/>
    <w:rsid w:val="00881750"/>
    <w:rsid w:val="008826F3"/>
    <w:rsid w:val="00886A3C"/>
    <w:rsid w:val="008872FD"/>
    <w:rsid w:val="0089497C"/>
    <w:rsid w:val="0089794D"/>
    <w:rsid w:val="008A2E43"/>
    <w:rsid w:val="008A5388"/>
    <w:rsid w:val="008B01BB"/>
    <w:rsid w:val="008B169A"/>
    <w:rsid w:val="008B17B7"/>
    <w:rsid w:val="008B2276"/>
    <w:rsid w:val="008B6FC4"/>
    <w:rsid w:val="008B7B53"/>
    <w:rsid w:val="008B7D5D"/>
    <w:rsid w:val="008C0412"/>
    <w:rsid w:val="008C0521"/>
    <w:rsid w:val="008C1FA4"/>
    <w:rsid w:val="008C3BA2"/>
    <w:rsid w:val="008C3BCF"/>
    <w:rsid w:val="008C7754"/>
    <w:rsid w:val="008D5C22"/>
    <w:rsid w:val="008D65E3"/>
    <w:rsid w:val="008D6842"/>
    <w:rsid w:val="008D7A76"/>
    <w:rsid w:val="008E0714"/>
    <w:rsid w:val="008E1253"/>
    <w:rsid w:val="008E18BA"/>
    <w:rsid w:val="008E3049"/>
    <w:rsid w:val="008E39D8"/>
    <w:rsid w:val="008E4D4E"/>
    <w:rsid w:val="008F1BA9"/>
    <w:rsid w:val="009018D1"/>
    <w:rsid w:val="00902F53"/>
    <w:rsid w:val="00904043"/>
    <w:rsid w:val="00904079"/>
    <w:rsid w:val="00913520"/>
    <w:rsid w:val="00914856"/>
    <w:rsid w:val="00915C5A"/>
    <w:rsid w:val="009165EA"/>
    <w:rsid w:val="00916D17"/>
    <w:rsid w:val="00917308"/>
    <w:rsid w:val="00923717"/>
    <w:rsid w:val="009364B5"/>
    <w:rsid w:val="0094021D"/>
    <w:rsid w:val="00940413"/>
    <w:rsid w:val="009415FA"/>
    <w:rsid w:val="009422E0"/>
    <w:rsid w:val="00945967"/>
    <w:rsid w:val="00950B15"/>
    <w:rsid w:val="00951076"/>
    <w:rsid w:val="009541AC"/>
    <w:rsid w:val="00961BBE"/>
    <w:rsid w:val="00964C0C"/>
    <w:rsid w:val="00965EB7"/>
    <w:rsid w:val="009666A2"/>
    <w:rsid w:val="009679B2"/>
    <w:rsid w:val="009726DB"/>
    <w:rsid w:val="009757E2"/>
    <w:rsid w:val="00975E59"/>
    <w:rsid w:val="0098045A"/>
    <w:rsid w:val="00981AF9"/>
    <w:rsid w:val="00981F28"/>
    <w:rsid w:val="00983F3B"/>
    <w:rsid w:val="009862F9"/>
    <w:rsid w:val="00987044"/>
    <w:rsid w:val="00987121"/>
    <w:rsid w:val="009903B1"/>
    <w:rsid w:val="009920ED"/>
    <w:rsid w:val="00995038"/>
    <w:rsid w:val="0099704E"/>
    <w:rsid w:val="009A6DDC"/>
    <w:rsid w:val="009B0AE1"/>
    <w:rsid w:val="009B180B"/>
    <w:rsid w:val="009B657A"/>
    <w:rsid w:val="009C120D"/>
    <w:rsid w:val="009C5917"/>
    <w:rsid w:val="009C6D6D"/>
    <w:rsid w:val="009C7292"/>
    <w:rsid w:val="009D47E4"/>
    <w:rsid w:val="009D6006"/>
    <w:rsid w:val="009D66B2"/>
    <w:rsid w:val="009D6D30"/>
    <w:rsid w:val="009E0331"/>
    <w:rsid w:val="009E08A2"/>
    <w:rsid w:val="009E73AC"/>
    <w:rsid w:val="009E7430"/>
    <w:rsid w:val="009F2962"/>
    <w:rsid w:val="009F39E9"/>
    <w:rsid w:val="009F7954"/>
    <w:rsid w:val="00A03D2D"/>
    <w:rsid w:val="00A1300F"/>
    <w:rsid w:val="00A14489"/>
    <w:rsid w:val="00A15DA7"/>
    <w:rsid w:val="00A15EB7"/>
    <w:rsid w:val="00A16618"/>
    <w:rsid w:val="00A216B7"/>
    <w:rsid w:val="00A21E24"/>
    <w:rsid w:val="00A23B2E"/>
    <w:rsid w:val="00A24D21"/>
    <w:rsid w:val="00A27629"/>
    <w:rsid w:val="00A34982"/>
    <w:rsid w:val="00A35843"/>
    <w:rsid w:val="00A36010"/>
    <w:rsid w:val="00A36B02"/>
    <w:rsid w:val="00A402C3"/>
    <w:rsid w:val="00A43589"/>
    <w:rsid w:val="00A45671"/>
    <w:rsid w:val="00A46248"/>
    <w:rsid w:val="00A46728"/>
    <w:rsid w:val="00A559A6"/>
    <w:rsid w:val="00A566F1"/>
    <w:rsid w:val="00A57325"/>
    <w:rsid w:val="00A6349C"/>
    <w:rsid w:val="00A66E02"/>
    <w:rsid w:val="00A70A83"/>
    <w:rsid w:val="00A7110B"/>
    <w:rsid w:val="00A72A92"/>
    <w:rsid w:val="00A73BBA"/>
    <w:rsid w:val="00A777D0"/>
    <w:rsid w:val="00A8550D"/>
    <w:rsid w:val="00A8583C"/>
    <w:rsid w:val="00A90604"/>
    <w:rsid w:val="00A91BF0"/>
    <w:rsid w:val="00A943F2"/>
    <w:rsid w:val="00A97952"/>
    <w:rsid w:val="00AA3BFD"/>
    <w:rsid w:val="00AA3D7F"/>
    <w:rsid w:val="00AA4A16"/>
    <w:rsid w:val="00AA67E2"/>
    <w:rsid w:val="00AA6932"/>
    <w:rsid w:val="00AA6F32"/>
    <w:rsid w:val="00AB04ED"/>
    <w:rsid w:val="00AB5BCD"/>
    <w:rsid w:val="00AB5F93"/>
    <w:rsid w:val="00AB68B0"/>
    <w:rsid w:val="00AB76B5"/>
    <w:rsid w:val="00AC279B"/>
    <w:rsid w:val="00AC4CCB"/>
    <w:rsid w:val="00AC7CB2"/>
    <w:rsid w:val="00AD374F"/>
    <w:rsid w:val="00AD3A9F"/>
    <w:rsid w:val="00AD4615"/>
    <w:rsid w:val="00AD4F32"/>
    <w:rsid w:val="00AD5445"/>
    <w:rsid w:val="00AD69A5"/>
    <w:rsid w:val="00AD6B44"/>
    <w:rsid w:val="00AE0D8C"/>
    <w:rsid w:val="00AE3E61"/>
    <w:rsid w:val="00AE4E9A"/>
    <w:rsid w:val="00AE5FB4"/>
    <w:rsid w:val="00AF01F0"/>
    <w:rsid w:val="00AF43DD"/>
    <w:rsid w:val="00B03A24"/>
    <w:rsid w:val="00B03BF8"/>
    <w:rsid w:val="00B05E4C"/>
    <w:rsid w:val="00B05EC3"/>
    <w:rsid w:val="00B05FAE"/>
    <w:rsid w:val="00B116F1"/>
    <w:rsid w:val="00B146F0"/>
    <w:rsid w:val="00B16EE3"/>
    <w:rsid w:val="00B17F1A"/>
    <w:rsid w:val="00B20E05"/>
    <w:rsid w:val="00B21F04"/>
    <w:rsid w:val="00B22C8C"/>
    <w:rsid w:val="00B2494A"/>
    <w:rsid w:val="00B2594C"/>
    <w:rsid w:val="00B26436"/>
    <w:rsid w:val="00B33DF7"/>
    <w:rsid w:val="00B35AFE"/>
    <w:rsid w:val="00B368C6"/>
    <w:rsid w:val="00B37C60"/>
    <w:rsid w:val="00B413BE"/>
    <w:rsid w:val="00B42887"/>
    <w:rsid w:val="00B4777B"/>
    <w:rsid w:val="00B47D96"/>
    <w:rsid w:val="00B519E5"/>
    <w:rsid w:val="00B52C36"/>
    <w:rsid w:val="00B6030F"/>
    <w:rsid w:val="00B61946"/>
    <w:rsid w:val="00B66C8F"/>
    <w:rsid w:val="00B7209A"/>
    <w:rsid w:val="00B74256"/>
    <w:rsid w:val="00B80679"/>
    <w:rsid w:val="00B81776"/>
    <w:rsid w:val="00B8406E"/>
    <w:rsid w:val="00B85D7F"/>
    <w:rsid w:val="00B85DC8"/>
    <w:rsid w:val="00B86D23"/>
    <w:rsid w:val="00BA1E17"/>
    <w:rsid w:val="00BA202D"/>
    <w:rsid w:val="00BA2B6C"/>
    <w:rsid w:val="00BA4FD9"/>
    <w:rsid w:val="00BA6D14"/>
    <w:rsid w:val="00BA734D"/>
    <w:rsid w:val="00BA785F"/>
    <w:rsid w:val="00BB49A8"/>
    <w:rsid w:val="00BC211D"/>
    <w:rsid w:val="00BC4267"/>
    <w:rsid w:val="00BC50AA"/>
    <w:rsid w:val="00BD0579"/>
    <w:rsid w:val="00BD2CA2"/>
    <w:rsid w:val="00BD2DFF"/>
    <w:rsid w:val="00BD4161"/>
    <w:rsid w:val="00BD4CB9"/>
    <w:rsid w:val="00BE0A1B"/>
    <w:rsid w:val="00BE156A"/>
    <w:rsid w:val="00BE1815"/>
    <w:rsid w:val="00BE47DC"/>
    <w:rsid w:val="00BE6E21"/>
    <w:rsid w:val="00BE7E54"/>
    <w:rsid w:val="00BF24D0"/>
    <w:rsid w:val="00BF6CC0"/>
    <w:rsid w:val="00BF7F3A"/>
    <w:rsid w:val="00C03803"/>
    <w:rsid w:val="00C05141"/>
    <w:rsid w:val="00C065BA"/>
    <w:rsid w:val="00C11899"/>
    <w:rsid w:val="00C11998"/>
    <w:rsid w:val="00C12032"/>
    <w:rsid w:val="00C12BF2"/>
    <w:rsid w:val="00C13862"/>
    <w:rsid w:val="00C14317"/>
    <w:rsid w:val="00C208C2"/>
    <w:rsid w:val="00C21097"/>
    <w:rsid w:val="00C225DC"/>
    <w:rsid w:val="00C237B8"/>
    <w:rsid w:val="00C24178"/>
    <w:rsid w:val="00C24E97"/>
    <w:rsid w:val="00C256C5"/>
    <w:rsid w:val="00C26FDB"/>
    <w:rsid w:val="00C30079"/>
    <w:rsid w:val="00C3237C"/>
    <w:rsid w:val="00C34CD2"/>
    <w:rsid w:val="00C35E47"/>
    <w:rsid w:val="00C41ACD"/>
    <w:rsid w:val="00C500F5"/>
    <w:rsid w:val="00C50E86"/>
    <w:rsid w:val="00C52E15"/>
    <w:rsid w:val="00C54461"/>
    <w:rsid w:val="00C551C4"/>
    <w:rsid w:val="00C57FA4"/>
    <w:rsid w:val="00C612C8"/>
    <w:rsid w:val="00C6149E"/>
    <w:rsid w:val="00C6173F"/>
    <w:rsid w:val="00C655A3"/>
    <w:rsid w:val="00C66432"/>
    <w:rsid w:val="00C668E4"/>
    <w:rsid w:val="00C66AB1"/>
    <w:rsid w:val="00C72ACB"/>
    <w:rsid w:val="00C75513"/>
    <w:rsid w:val="00C7783F"/>
    <w:rsid w:val="00C811E5"/>
    <w:rsid w:val="00C81351"/>
    <w:rsid w:val="00C85876"/>
    <w:rsid w:val="00C87A29"/>
    <w:rsid w:val="00C9418E"/>
    <w:rsid w:val="00C943B4"/>
    <w:rsid w:val="00C97BEA"/>
    <w:rsid w:val="00CA04ED"/>
    <w:rsid w:val="00CA16A4"/>
    <w:rsid w:val="00CA19E9"/>
    <w:rsid w:val="00CA362E"/>
    <w:rsid w:val="00CA3765"/>
    <w:rsid w:val="00CA6955"/>
    <w:rsid w:val="00CB0162"/>
    <w:rsid w:val="00CB1583"/>
    <w:rsid w:val="00CB19CD"/>
    <w:rsid w:val="00CB1AFB"/>
    <w:rsid w:val="00CB441B"/>
    <w:rsid w:val="00CB54D2"/>
    <w:rsid w:val="00CB7408"/>
    <w:rsid w:val="00CB7B63"/>
    <w:rsid w:val="00CC2EDB"/>
    <w:rsid w:val="00CC3336"/>
    <w:rsid w:val="00CC4493"/>
    <w:rsid w:val="00CD1327"/>
    <w:rsid w:val="00CD3DDC"/>
    <w:rsid w:val="00CD51C1"/>
    <w:rsid w:val="00CD7549"/>
    <w:rsid w:val="00CE0619"/>
    <w:rsid w:val="00CE0DAE"/>
    <w:rsid w:val="00CE47FD"/>
    <w:rsid w:val="00CE520D"/>
    <w:rsid w:val="00CF123A"/>
    <w:rsid w:val="00CF4484"/>
    <w:rsid w:val="00CF471A"/>
    <w:rsid w:val="00CF568D"/>
    <w:rsid w:val="00CF762B"/>
    <w:rsid w:val="00D028DA"/>
    <w:rsid w:val="00D031EB"/>
    <w:rsid w:val="00D0397C"/>
    <w:rsid w:val="00D04C17"/>
    <w:rsid w:val="00D20AFC"/>
    <w:rsid w:val="00D22247"/>
    <w:rsid w:val="00D23801"/>
    <w:rsid w:val="00D31CB6"/>
    <w:rsid w:val="00D35020"/>
    <w:rsid w:val="00D42700"/>
    <w:rsid w:val="00D43752"/>
    <w:rsid w:val="00D55FEB"/>
    <w:rsid w:val="00D57CD6"/>
    <w:rsid w:val="00D6080B"/>
    <w:rsid w:val="00D60850"/>
    <w:rsid w:val="00D631C0"/>
    <w:rsid w:val="00D6352C"/>
    <w:rsid w:val="00D6384C"/>
    <w:rsid w:val="00D64580"/>
    <w:rsid w:val="00D65D07"/>
    <w:rsid w:val="00D66E4F"/>
    <w:rsid w:val="00D700AC"/>
    <w:rsid w:val="00D70DA1"/>
    <w:rsid w:val="00D71157"/>
    <w:rsid w:val="00D71F80"/>
    <w:rsid w:val="00D75847"/>
    <w:rsid w:val="00D86827"/>
    <w:rsid w:val="00D90441"/>
    <w:rsid w:val="00D92FF3"/>
    <w:rsid w:val="00D9396B"/>
    <w:rsid w:val="00D956BF"/>
    <w:rsid w:val="00D95F15"/>
    <w:rsid w:val="00D96720"/>
    <w:rsid w:val="00D97005"/>
    <w:rsid w:val="00DA319A"/>
    <w:rsid w:val="00DB0619"/>
    <w:rsid w:val="00DB2151"/>
    <w:rsid w:val="00DB7804"/>
    <w:rsid w:val="00DC02A1"/>
    <w:rsid w:val="00DC10DF"/>
    <w:rsid w:val="00DC3A5D"/>
    <w:rsid w:val="00DC4E20"/>
    <w:rsid w:val="00DC4E36"/>
    <w:rsid w:val="00DC533E"/>
    <w:rsid w:val="00DD019D"/>
    <w:rsid w:val="00DD0420"/>
    <w:rsid w:val="00DD0A46"/>
    <w:rsid w:val="00DD6B57"/>
    <w:rsid w:val="00DE045B"/>
    <w:rsid w:val="00DE0AB2"/>
    <w:rsid w:val="00DE3E6F"/>
    <w:rsid w:val="00DE469F"/>
    <w:rsid w:val="00DE5A42"/>
    <w:rsid w:val="00DE6F0C"/>
    <w:rsid w:val="00DF5129"/>
    <w:rsid w:val="00DF7E20"/>
    <w:rsid w:val="00DF7EFD"/>
    <w:rsid w:val="00E00230"/>
    <w:rsid w:val="00E036EF"/>
    <w:rsid w:val="00E062E8"/>
    <w:rsid w:val="00E11097"/>
    <w:rsid w:val="00E11AD0"/>
    <w:rsid w:val="00E11B84"/>
    <w:rsid w:val="00E134C4"/>
    <w:rsid w:val="00E13BDE"/>
    <w:rsid w:val="00E22BB2"/>
    <w:rsid w:val="00E25A51"/>
    <w:rsid w:val="00E262E2"/>
    <w:rsid w:val="00E278DD"/>
    <w:rsid w:val="00E315C8"/>
    <w:rsid w:val="00E3535D"/>
    <w:rsid w:val="00E35A55"/>
    <w:rsid w:val="00E36E4F"/>
    <w:rsid w:val="00E37822"/>
    <w:rsid w:val="00E40927"/>
    <w:rsid w:val="00E465EB"/>
    <w:rsid w:val="00E4665B"/>
    <w:rsid w:val="00E46780"/>
    <w:rsid w:val="00E50224"/>
    <w:rsid w:val="00E5132C"/>
    <w:rsid w:val="00E52EF1"/>
    <w:rsid w:val="00E547D8"/>
    <w:rsid w:val="00E5488D"/>
    <w:rsid w:val="00E55CAA"/>
    <w:rsid w:val="00E56BFC"/>
    <w:rsid w:val="00E578FC"/>
    <w:rsid w:val="00E579E7"/>
    <w:rsid w:val="00E57ABE"/>
    <w:rsid w:val="00E62912"/>
    <w:rsid w:val="00E632D8"/>
    <w:rsid w:val="00E65D16"/>
    <w:rsid w:val="00E66D1B"/>
    <w:rsid w:val="00E70271"/>
    <w:rsid w:val="00E706D6"/>
    <w:rsid w:val="00E736AA"/>
    <w:rsid w:val="00E7498E"/>
    <w:rsid w:val="00E75208"/>
    <w:rsid w:val="00E8449F"/>
    <w:rsid w:val="00E84B18"/>
    <w:rsid w:val="00E84F9F"/>
    <w:rsid w:val="00E86888"/>
    <w:rsid w:val="00E90E0D"/>
    <w:rsid w:val="00E95734"/>
    <w:rsid w:val="00E969E2"/>
    <w:rsid w:val="00E96E52"/>
    <w:rsid w:val="00E97356"/>
    <w:rsid w:val="00EA20C6"/>
    <w:rsid w:val="00EA417C"/>
    <w:rsid w:val="00EA791C"/>
    <w:rsid w:val="00EB3FAE"/>
    <w:rsid w:val="00EC056A"/>
    <w:rsid w:val="00EC2B52"/>
    <w:rsid w:val="00EC7B4C"/>
    <w:rsid w:val="00ED7D3D"/>
    <w:rsid w:val="00EE0D82"/>
    <w:rsid w:val="00EE21E7"/>
    <w:rsid w:val="00EE74D6"/>
    <w:rsid w:val="00EF24FE"/>
    <w:rsid w:val="00EF2C90"/>
    <w:rsid w:val="00EF63D2"/>
    <w:rsid w:val="00EF74EB"/>
    <w:rsid w:val="00F00A1C"/>
    <w:rsid w:val="00F00A32"/>
    <w:rsid w:val="00F01FB4"/>
    <w:rsid w:val="00F02800"/>
    <w:rsid w:val="00F05723"/>
    <w:rsid w:val="00F06737"/>
    <w:rsid w:val="00F119CA"/>
    <w:rsid w:val="00F14189"/>
    <w:rsid w:val="00F15246"/>
    <w:rsid w:val="00F176EB"/>
    <w:rsid w:val="00F20950"/>
    <w:rsid w:val="00F211F6"/>
    <w:rsid w:val="00F24918"/>
    <w:rsid w:val="00F27BBC"/>
    <w:rsid w:val="00F310AE"/>
    <w:rsid w:val="00F3149A"/>
    <w:rsid w:val="00F3495A"/>
    <w:rsid w:val="00F34F58"/>
    <w:rsid w:val="00F36028"/>
    <w:rsid w:val="00F4471D"/>
    <w:rsid w:val="00F46519"/>
    <w:rsid w:val="00F46695"/>
    <w:rsid w:val="00F47D32"/>
    <w:rsid w:val="00F47F3D"/>
    <w:rsid w:val="00F51670"/>
    <w:rsid w:val="00F57033"/>
    <w:rsid w:val="00F7027B"/>
    <w:rsid w:val="00F778DD"/>
    <w:rsid w:val="00F81021"/>
    <w:rsid w:val="00F83DB4"/>
    <w:rsid w:val="00F861FB"/>
    <w:rsid w:val="00F8714C"/>
    <w:rsid w:val="00F914DC"/>
    <w:rsid w:val="00F91DB9"/>
    <w:rsid w:val="00F94792"/>
    <w:rsid w:val="00FA0899"/>
    <w:rsid w:val="00FA11FC"/>
    <w:rsid w:val="00FA2324"/>
    <w:rsid w:val="00FA3095"/>
    <w:rsid w:val="00FA6DDB"/>
    <w:rsid w:val="00FB17E0"/>
    <w:rsid w:val="00FB2F91"/>
    <w:rsid w:val="00FB3FED"/>
    <w:rsid w:val="00FB48BB"/>
    <w:rsid w:val="00FB5522"/>
    <w:rsid w:val="00FB5614"/>
    <w:rsid w:val="00FB5BCB"/>
    <w:rsid w:val="00FB608B"/>
    <w:rsid w:val="00FB61DB"/>
    <w:rsid w:val="00FB6D56"/>
    <w:rsid w:val="00FC1AC6"/>
    <w:rsid w:val="00FC3A34"/>
    <w:rsid w:val="00FD2189"/>
    <w:rsid w:val="00FD3E5A"/>
    <w:rsid w:val="00FD3E6E"/>
    <w:rsid w:val="00FD6020"/>
    <w:rsid w:val="00FD6305"/>
    <w:rsid w:val="00FD7153"/>
    <w:rsid w:val="00FE2DD0"/>
    <w:rsid w:val="00FE4910"/>
    <w:rsid w:val="00FE4B5D"/>
    <w:rsid w:val="00FF0F2B"/>
    <w:rsid w:val="00FF5B9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List Bullet" w:uiPriority="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Table Classic 1" w:unhideWhenUsed="0"/>
    <w:lsdException w:name="Table Classic 2"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B49A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Klassieketabel1">
    <w:name w:val="Table Classic 1"/>
    <w:basedOn w:val="Standaardtabel"/>
    <w:uiPriority w:val="99"/>
    <w:rsid w:val="00261D79"/>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rsid w:val="00C500F5"/>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Plattetekst">
    <w:name w:val="Body Text"/>
    <w:basedOn w:val="Standaard"/>
    <w:link w:val="PlattetekstChar"/>
    <w:uiPriority w:val="99"/>
    <w:rsid w:val="00BB49A8"/>
    <w:pPr>
      <w:widowControl w:val="0"/>
      <w:tabs>
        <w:tab w:val="left" w:pos="1418"/>
        <w:tab w:val="left" w:pos="2835"/>
        <w:tab w:val="left" w:pos="4253"/>
        <w:tab w:val="left" w:pos="5670"/>
      </w:tabs>
      <w:suppressAutoHyphens/>
      <w:spacing w:line="260" w:lineRule="exact"/>
    </w:pPr>
    <w:rPr>
      <w:rFonts w:ascii="Arial" w:hAnsi="Arial" w:cs="Arial"/>
      <w:sz w:val="20"/>
      <w:szCs w:val="20"/>
    </w:rPr>
  </w:style>
  <w:style w:type="character" w:customStyle="1" w:styleId="PlattetekstChar">
    <w:name w:val="Platte tekst Char"/>
    <w:basedOn w:val="Standaardalinea-lettertype"/>
    <w:link w:val="Plattetekst"/>
    <w:uiPriority w:val="99"/>
    <w:semiHidden/>
    <w:rsid w:val="008C37D3"/>
    <w:rPr>
      <w:sz w:val="24"/>
      <w:szCs w:val="24"/>
    </w:rPr>
  </w:style>
  <w:style w:type="paragraph" w:customStyle="1" w:styleId="Char2CharChar">
    <w:name w:val="Char2 Char Char"/>
    <w:basedOn w:val="Standaard"/>
    <w:uiPriority w:val="99"/>
    <w:rsid w:val="00BB49A8"/>
    <w:pPr>
      <w:spacing w:after="160" w:line="240" w:lineRule="exact"/>
    </w:pPr>
    <w:rPr>
      <w:rFonts w:ascii="Tahoma" w:hAnsi="Tahoma" w:cs="Tahoma"/>
      <w:sz w:val="20"/>
      <w:szCs w:val="20"/>
      <w:lang w:val="en-US" w:eastAsia="en-US"/>
    </w:rPr>
  </w:style>
  <w:style w:type="character" w:styleId="Nadruk">
    <w:name w:val="Emphasis"/>
    <w:basedOn w:val="Standaardalinea-lettertype"/>
    <w:uiPriority w:val="99"/>
    <w:qFormat/>
    <w:rsid w:val="005B5D23"/>
    <w:rPr>
      <w:i/>
      <w:iCs/>
    </w:rPr>
  </w:style>
  <w:style w:type="paragraph" w:customStyle="1" w:styleId="CharCharCharCharCharCharCharCharCharChar">
    <w:name w:val="Char Char Char Char Char Char Char Char Char Char"/>
    <w:aliases w:val="Standaardalinea-lettertype Char11 Char,Char Char Char Char Char Char11 Char,Standaardalinea-lettertype Char Char1 Char,Standaardalinea-lettertype Char2,Standaardalinea-lettertype Char Char"/>
    <w:basedOn w:val="Standaard"/>
    <w:uiPriority w:val="99"/>
    <w:rsid w:val="00961BBE"/>
    <w:pPr>
      <w:widowControl w:val="0"/>
      <w:adjustRightInd w:val="0"/>
      <w:spacing w:after="160" w:line="240" w:lineRule="exact"/>
      <w:jc w:val="both"/>
      <w:textAlignment w:val="baseline"/>
    </w:pPr>
    <w:rPr>
      <w:rFonts w:ascii="Tahoma" w:hAnsi="Tahoma" w:cs="Tahoma"/>
      <w:sz w:val="20"/>
      <w:szCs w:val="20"/>
      <w:lang w:val="en-US" w:eastAsia="en-US"/>
    </w:rPr>
  </w:style>
  <w:style w:type="paragraph" w:customStyle="1" w:styleId="CharChar">
    <w:name w:val="Char Char"/>
    <w:basedOn w:val="Standaard"/>
    <w:uiPriority w:val="99"/>
    <w:rsid w:val="00EC2B52"/>
    <w:pPr>
      <w:spacing w:after="160" w:line="240" w:lineRule="exact"/>
    </w:pPr>
    <w:rPr>
      <w:rFonts w:ascii="Tahoma" w:hAnsi="Tahoma" w:cs="Tahoma"/>
      <w:sz w:val="20"/>
      <w:szCs w:val="20"/>
      <w:lang w:val="en-US" w:eastAsia="en-US"/>
    </w:rPr>
  </w:style>
  <w:style w:type="paragraph" w:styleId="Voettekst">
    <w:name w:val="footer"/>
    <w:basedOn w:val="Standaard"/>
    <w:link w:val="VoettekstChar"/>
    <w:uiPriority w:val="99"/>
    <w:rsid w:val="005D107D"/>
    <w:pPr>
      <w:spacing w:before="100" w:beforeAutospacing="1" w:after="100" w:afterAutospacing="1"/>
    </w:pPr>
  </w:style>
  <w:style w:type="character" w:customStyle="1" w:styleId="VoettekstChar">
    <w:name w:val="Voettekst Char"/>
    <w:basedOn w:val="Standaardalinea-lettertype"/>
    <w:link w:val="Voettekst"/>
    <w:uiPriority w:val="99"/>
    <w:rsid w:val="008C37D3"/>
    <w:rPr>
      <w:sz w:val="24"/>
      <w:szCs w:val="24"/>
    </w:rPr>
  </w:style>
  <w:style w:type="paragraph" w:customStyle="1" w:styleId="CharChar1">
    <w:name w:val="Char Char1"/>
    <w:basedOn w:val="Standaard"/>
    <w:uiPriority w:val="99"/>
    <w:rsid w:val="00856982"/>
    <w:pPr>
      <w:spacing w:after="160" w:line="240" w:lineRule="exact"/>
    </w:pPr>
    <w:rPr>
      <w:rFonts w:ascii="Utopia" w:hAnsi="Utopia" w:cs="Utopia"/>
      <w:sz w:val="22"/>
      <w:szCs w:val="22"/>
    </w:rPr>
  </w:style>
  <w:style w:type="paragraph" w:styleId="Geenafstand">
    <w:name w:val="No Spacing"/>
    <w:uiPriority w:val="1"/>
    <w:qFormat/>
    <w:rsid w:val="00686FAC"/>
    <w:rPr>
      <w:sz w:val="24"/>
      <w:szCs w:val="24"/>
    </w:rPr>
  </w:style>
  <w:style w:type="paragraph" w:styleId="Lijstalinea">
    <w:name w:val="List Paragraph"/>
    <w:basedOn w:val="Standaard"/>
    <w:uiPriority w:val="34"/>
    <w:qFormat/>
    <w:rsid w:val="00321221"/>
    <w:pPr>
      <w:ind w:left="720"/>
    </w:pPr>
    <w:rPr>
      <w:rFonts w:ascii="Calibri" w:hAnsi="Calibri" w:cs="Calibri"/>
      <w:sz w:val="22"/>
      <w:szCs w:val="22"/>
    </w:rPr>
  </w:style>
  <w:style w:type="character" w:styleId="Verwijzingopmerking">
    <w:name w:val="annotation reference"/>
    <w:basedOn w:val="Standaardalinea-lettertype"/>
    <w:uiPriority w:val="99"/>
    <w:semiHidden/>
    <w:unhideWhenUsed/>
    <w:rsid w:val="00D71157"/>
    <w:rPr>
      <w:sz w:val="16"/>
      <w:szCs w:val="16"/>
    </w:rPr>
  </w:style>
  <w:style w:type="paragraph" w:styleId="Tekstopmerking">
    <w:name w:val="annotation text"/>
    <w:basedOn w:val="Standaard"/>
    <w:link w:val="TekstopmerkingChar"/>
    <w:uiPriority w:val="99"/>
    <w:unhideWhenUsed/>
    <w:rsid w:val="00D71157"/>
    <w:rPr>
      <w:sz w:val="20"/>
      <w:szCs w:val="20"/>
    </w:rPr>
  </w:style>
  <w:style w:type="character" w:customStyle="1" w:styleId="TekstopmerkingChar">
    <w:name w:val="Tekst opmerking Char"/>
    <w:basedOn w:val="Standaardalinea-lettertype"/>
    <w:link w:val="Tekstopmerking"/>
    <w:uiPriority w:val="99"/>
    <w:rsid w:val="00D71157"/>
    <w:rPr>
      <w:sz w:val="20"/>
      <w:szCs w:val="20"/>
    </w:rPr>
  </w:style>
  <w:style w:type="paragraph" w:styleId="Ballontekst">
    <w:name w:val="Balloon Text"/>
    <w:basedOn w:val="Standaard"/>
    <w:link w:val="BallontekstChar"/>
    <w:uiPriority w:val="99"/>
    <w:semiHidden/>
    <w:unhideWhenUsed/>
    <w:rsid w:val="00D71157"/>
    <w:rPr>
      <w:rFonts w:ascii="Tahoma" w:hAnsi="Tahoma" w:cs="Tahoma"/>
      <w:sz w:val="16"/>
      <w:szCs w:val="16"/>
    </w:rPr>
  </w:style>
  <w:style w:type="character" w:customStyle="1" w:styleId="BallontekstChar">
    <w:name w:val="Ballontekst Char"/>
    <w:basedOn w:val="Standaardalinea-lettertype"/>
    <w:link w:val="Ballontekst"/>
    <w:uiPriority w:val="99"/>
    <w:semiHidden/>
    <w:rsid w:val="00D71157"/>
    <w:rPr>
      <w:rFonts w:ascii="Tahoma" w:hAnsi="Tahoma" w:cs="Tahoma"/>
      <w:sz w:val="16"/>
      <w:szCs w:val="16"/>
    </w:rPr>
  </w:style>
  <w:style w:type="paragraph" w:customStyle="1" w:styleId="Default">
    <w:name w:val="Default"/>
    <w:rsid w:val="006F02C4"/>
    <w:pPr>
      <w:autoSpaceDE w:val="0"/>
      <w:autoSpaceDN w:val="0"/>
      <w:adjustRightInd w:val="0"/>
    </w:pPr>
    <w:rPr>
      <w:rFonts w:ascii="Verdana" w:eastAsiaTheme="minorHAnsi" w:hAnsi="Verdana" w:cs="Verdana"/>
      <w:color w:val="000000"/>
      <w:sz w:val="24"/>
      <w:szCs w:val="24"/>
      <w:lang w:eastAsia="en-US"/>
    </w:rPr>
  </w:style>
  <w:style w:type="paragraph" w:customStyle="1" w:styleId="Char2CharChar0">
    <w:name w:val="Char2 Char Char"/>
    <w:basedOn w:val="Standaard"/>
    <w:rsid w:val="00817900"/>
    <w:pPr>
      <w:spacing w:after="160" w:line="240" w:lineRule="exact"/>
    </w:pPr>
    <w:rPr>
      <w:rFonts w:ascii="Tahoma" w:hAnsi="Tahoma"/>
      <w:sz w:val="20"/>
      <w:szCs w:val="20"/>
      <w:lang w:val="en-US" w:eastAsia="en-US"/>
    </w:rPr>
  </w:style>
  <w:style w:type="character" w:customStyle="1" w:styleId="KoptekstChar">
    <w:name w:val="Koptekst Char"/>
    <w:basedOn w:val="Standaardalinea-lettertype"/>
    <w:link w:val="Koptekst"/>
    <w:uiPriority w:val="99"/>
    <w:semiHidden/>
    <w:rsid w:val="00A36B02"/>
    <w:rPr>
      <w:rFonts w:eastAsiaTheme="minorEastAsia"/>
      <w:sz w:val="24"/>
      <w:szCs w:val="24"/>
    </w:rPr>
  </w:style>
  <w:style w:type="paragraph" w:styleId="Koptekst">
    <w:name w:val="header"/>
    <w:basedOn w:val="Standaard"/>
    <w:link w:val="KoptekstChar"/>
    <w:uiPriority w:val="99"/>
    <w:semiHidden/>
    <w:unhideWhenUsed/>
    <w:rsid w:val="00A36B02"/>
    <w:pPr>
      <w:tabs>
        <w:tab w:val="center" w:pos="4536"/>
        <w:tab w:val="right" w:pos="9072"/>
      </w:tabs>
    </w:pPr>
    <w:rPr>
      <w:rFonts w:eastAsiaTheme="minorEastAsia"/>
    </w:rPr>
  </w:style>
  <w:style w:type="paragraph" w:styleId="Bijschrift">
    <w:name w:val="caption"/>
    <w:basedOn w:val="Standaard"/>
    <w:next w:val="Standaard"/>
    <w:uiPriority w:val="35"/>
    <w:unhideWhenUsed/>
    <w:qFormat/>
    <w:rsid w:val="00C21097"/>
    <w:pPr>
      <w:spacing w:after="200"/>
    </w:pPr>
    <w:rPr>
      <w:b/>
      <w:bCs/>
      <w:color w:val="4F81BD" w:themeColor="accent1"/>
      <w:sz w:val="18"/>
      <w:szCs w:val="18"/>
    </w:rPr>
  </w:style>
  <w:style w:type="paragraph" w:styleId="Onderwerpvanopmerking">
    <w:name w:val="annotation subject"/>
    <w:basedOn w:val="Tekstopmerking"/>
    <w:next w:val="Tekstopmerking"/>
    <w:link w:val="OnderwerpvanopmerkingChar"/>
    <w:uiPriority w:val="99"/>
    <w:semiHidden/>
    <w:unhideWhenUsed/>
    <w:rsid w:val="00564A04"/>
    <w:rPr>
      <w:b/>
      <w:bCs/>
    </w:rPr>
  </w:style>
  <w:style w:type="character" w:customStyle="1" w:styleId="OnderwerpvanopmerkingChar">
    <w:name w:val="Onderwerp van opmerking Char"/>
    <w:basedOn w:val="TekstopmerkingChar"/>
    <w:link w:val="Onderwerpvanopmerking"/>
    <w:uiPriority w:val="99"/>
    <w:semiHidden/>
    <w:rsid w:val="00564A04"/>
    <w:rPr>
      <w:b/>
      <w:bCs/>
    </w:rPr>
  </w:style>
  <w:style w:type="character" w:customStyle="1" w:styleId="captiontitel">
    <w:name w:val="captiontitel"/>
    <w:basedOn w:val="Standaardalinea-lettertype"/>
    <w:rsid w:val="005544DF"/>
  </w:style>
  <w:style w:type="character" w:customStyle="1" w:styleId="st1">
    <w:name w:val="st1"/>
    <w:basedOn w:val="Standaardalinea-lettertype"/>
    <w:rsid w:val="00FB17E0"/>
  </w:style>
  <w:style w:type="character" w:styleId="Voetnootmarkering">
    <w:name w:val="footnote reference"/>
    <w:basedOn w:val="Standaardalinea-lettertype"/>
    <w:uiPriority w:val="99"/>
    <w:semiHidden/>
    <w:rsid w:val="000F3F33"/>
    <w:rPr>
      <w:vertAlign w:val="superscript"/>
    </w:rPr>
  </w:style>
  <w:style w:type="paragraph" w:styleId="Voetnoottekst">
    <w:name w:val="footnote text"/>
    <w:basedOn w:val="Standaard"/>
    <w:link w:val="VoetnoottekstChar"/>
    <w:uiPriority w:val="99"/>
    <w:semiHidden/>
    <w:rsid w:val="000F3F33"/>
    <w:pPr>
      <w:widowControl w:val="0"/>
    </w:pPr>
    <w:rPr>
      <w:rFonts w:ascii="Courier New" w:hAnsi="Courier New" w:cs="Courier New"/>
      <w:lang w:val="nl"/>
    </w:rPr>
  </w:style>
  <w:style w:type="character" w:customStyle="1" w:styleId="VoetnoottekstChar">
    <w:name w:val="Voetnoottekst Char"/>
    <w:basedOn w:val="Standaardalinea-lettertype"/>
    <w:link w:val="Voetnoottekst"/>
    <w:uiPriority w:val="99"/>
    <w:semiHidden/>
    <w:rsid w:val="000F3F33"/>
    <w:rPr>
      <w:rFonts w:ascii="Courier New" w:hAnsi="Courier New" w:cs="Courier New"/>
      <w:sz w:val="24"/>
      <w:szCs w:val="24"/>
      <w:lang w:val="nl"/>
    </w:rPr>
  </w:style>
  <w:style w:type="character" w:styleId="Zwaar">
    <w:name w:val="Strong"/>
    <w:basedOn w:val="Standaardalinea-lettertype"/>
    <w:uiPriority w:val="22"/>
    <w:qFormat/>
    <w:rsid w:val="00DE3E6F"/>
    <w:rPr>
      <w:b/>
      <w:bCs/>
    </w:rPr>
  </w:style>
  <w:style w:type="paragraph" w:styleId="Lijstopsomteken">
    <w:name w:val="List Bullet"/>
    <w:basedOn w:val="Standaard"/>
    <w:rsid w:val="00FA6DDB"/>
    <w:pPr>
      <w:numPr>
        <w:numId w:val="16"/>
      </w:numPr>
      <w:spacing w:line="240" w:lineRule="atLeast"/>
    </w:pPr>
    <w:rPr>
      <w:rFonts w:ascii="Verdana" w:hAnsi="Verdana"/>
      <w:sz w:val="20"/>
    </w:rPr>
  </w:style>
  <w:style w:type="paragraph" w:styleId="Normaalweb">
    <w:name w:val="Normal (Web)"/>
    <w:basedOn w:val="Standaard"/>
    <w:uiPriority w:val="99"/>
    <w:semiHidden/>
    <w:unhideWhenUsed/>
    <w:rsid w:val="00BE0A1B"/>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2166093">
      <w:bodyDiv w:val="1"/>
      <w:marLeft w:val="0"/>
      <w:marRight w:val="0"/>
      <w:marTop w:val="0"/>
      <w:marBottom w:val="0"/>
      <w:divBdr>
        <w:top w:val="none" w:sz="0" w:space="0" w:color="auto"/>
        <w:left w:val="none" w:sz="0" w:space="0" w:color="auto"/>
        <w:bottom w:val="none" w:sz="0" w:space="0" w:color="auto"/>
        <w:right w:val="none" w:sz="0" w:space="0" w:color="auto"/>
      </w:divBdr>
    </w:div>
    <w:div w:id="19671412">
      <w:bodyDiv w:val="1"/>
      <w:marLeft w:val="0"/>
      <w:marRight w:val="0"/>
      <w:marTop w:val="0"/>
      <w:marBottom w:val="0"/>
      <w:divBdr>
        <w:top w:val="none" w:sz="0" w:space="0" w:color="auto"/>
        <w:left w:val="none" w:sz="0" w:space="0" w:color="auto"/>
        <w:bottom w:val="none" w:sz="0" w:space="0" w:color="auto"/>
        <w:right w:val="none" w:sz="0" w:space="0" w:color="auto"/>
      </w:divBdr>
    </w:div>
    <w:div w:id="20783055">
      <w:bodyDiv w:val="1"/>
      <w:marLeft w:val="0"/>
      <w:marRight w:val="0"/>
      <w:marTop w:val="0"/>
      <w:marBottom w:val="0"/>
      <w:divBdr>
        <w:top w:val="none" w:sz="0" w:space="0" w:color="auto"/>
        <w:left w:val="none" w:sz="0" w:space="0" w:color="auto"/>
        <w:bottom w:val="none" w:sz="0" w:space="0" w:color="auto"/>
        <w:right w:val="none" w:sz="0" w:space="0" w:color="auto"/>
      </w:divBdr>
    </w:div>
    <w:div w:id="31152363">
      <w:bodyDiv w:val="1"/>
      <w:marLeft w:val="0"/>
      <w:marRight w:val="0"/>
      <w:marTop w:val="0"/>
      <w:marBottom w:val="0"/>
      <w:divBdr>
        <w:top w:val="none" w:sz="0" w:space="0" w:color="auto"/>
        <w:left w:val="none" w:sz="0" w:space="0" w:color="auto"/>
        <w:bottom w:val="none" w:sz="0" w:space="0" w:color="auto"/>
        <w:right w:val="none" w:sz="0" w:space="0" w:color="auto"/>
      </w:divBdr>
    </w:div>
    <w:div w:id="41292901">
      <w:bodyDiv w:val="1"/>
      <w:marLeft w:val="0"/>
      <w:marRight w:val="0"/>
      <w:marTop w:val="0"/>
      <w:marBottom w:val="0"/>
      <w:divBdr>
        <w:top w:val="none" w:sz="0" w:space="0" w:color="auto"/>
        <w:left w:val="none" w:sz="0" w:space="0" w:color="auto"/>
        <w:bottom w:val="none" w:sz="0" w:space="0" w:color="auto"/>
        <w:right w:val="none" w:sz="0" w:space="0" w:color="auto"/>
      </w:divBdr>
    </w:div>
    <w:div w:id="106431026">
      <w:bodyDiv w:val="1"/>
      <w:marLeft w:val="0"/>
      <w:marRight w:val="0"/>
      <w:marTop w:val="0"/>
      <w:marBottom w:val="0"/>
      <w:divBdr>
        <w:top w:val="none" w:sz="0" w:space="0" w:color="auto"/>
        <w:left w:val="none" w:sz="0" w:space="0" w:color="auto"/>
        <w:bottom w:val="none" w:sz="0" w:space="0" w:color="auto"/>
        <w:right w:val="none" w:sz="0" w:space="0" w:color="auto"/>
      </w:divBdr>
    </w:div>
    <w:div w:id="137502764">
      <w:bodyDiv w:val="1"/>
      <w:marLeft w:val="0"/>
      <w:marRight w:val="0"/>
      <w:marTop w:val="0"/>
      <w:marBottom w:val="0"/>
      <w:divBdr>
        <w:top w:val="none" w:sz="0" w:space="0" w:color="auto"/>
        <w:left w:val="none" w:sz="0" w:space="0" w:color="auto"/>
        <w:bottom w:val="none" w:sz="0" w:space="0" w:color="auto"/>
        <w:right w:val="none" w:sz="0" w:space="0" w:color="auto"/>
      </w:divBdr>
    </w:div>
    <w:div w:id="143544903">
      <w:bodyDiv w:val="1"/>
      <w:marLeft w:val="0"/>
      <w:marRight w:val="0"/>
      <w:marTop w:val="0"/>
      <w:marBottom w:val="0"/>
      <w:divBdr>
        <w:top w:val="none" w:sz="0" w:space="0" w:color="auto"/>
        <w:left w:val="none" w:sz="0" w:space="0" w:color="auto"/>
        <w:bottom w:val="none" w:sz="0" w:space="0" w:color="auto"/>
        <w:right w:val="none" w:sz="0" w:space="0" w:color="auto"/>
      </w:divBdr>
    </w:div>
    <w:div w:id="157312249">
      <w:bodyDiv w:val="1"/>
      <w:marLeft w:val="0"/>
      <w:marRight w:val="0"/>
      <w:marTop w:val="0"/>
      <w:marBottom w:val="0"/>
      <w:divBdr>
        <w:top w:val="none" w:sz="0" w:space="0" w:color="auto"/>
        <w:left w:val="none" w:sz="0" w:space="0" w:color="auto"/>
        <w:bottom w:val="none" w:sz="0" w:space="0" w:color="auto"/>
        <w:right w:val="none" w:sz="0" w:space="0" w:color="auto"/>
      </w:divBdr>
    </w:div>
    <w:div w:id="253057354">
      <w:bodyDiv w:val="1"/>
      <w:marLeft w:val="0"/>
      <w:marRight w:val="0"/>
      <w:marTop w:val="0"/>
      <w:marBottom w:val="0"/>
      <w:divBdr>
        <w:top w:val="none" w:sz="0" w:space="0" w:color="auto"/>
        <w:left w:val="none" w:sz="0" w:space="0" w:color="auto"/>
        <w:bottom w:val="none" w:sz="0" w:space="0" w:color="auto"/>
        <w:right w:val="none" w:sz="0" w:space="0" w:color="auto"/>
      </w:divBdr>
    </w:div>
    <w:div w:id="259028054">
      <w:bodyDiv w:val="1"/>
      <w:marLeft w:val="0"/>
      <w:marRight w:val="0"/>
      <w:marTop w:val="0"/>
      <w:marBottom w:val="0"/>
      <w:divBdr>
        <w:top w:val="none" w:sz="0" w:space="0" w:color="auto"/>
        <w:left w:val="none" w:sz="0" w:space="0" w:color="auto"/>
        <w:bottom w:val="none" w:sz="0" w:space="0" w:color="auto"/>
        <w:right w:val="none" w:sz="0" w:space="0" w:color="auto"/>
      </w:divBdr>
    </w:div>
    <w:div w:id="269747897">
      <w:bodyDiv w:val="1"/>
      <w:marLeft w:val="0"/>
      <w:marRight w:val="0"/>
      <w:marTop w:val="0"/>
      <w:marBottom w:val="0"/>
      <w:divBdr>
        <w:top w:val="none" w:sz="0" w:space="0" w:color="auto"/>
        <w:left w:val="none" w:sz="0" w:space="0" w:color="auto"/>
        <w:bottom w:val="none" w:sz="0" w:space="0" w:color="auto"/>
        <w:right w:val="none" w:sz="0" w:space="0" w:color="auto"/>
      </w:divBdr>
    </w:div>
    <w:div w:id="270286115">
      <w:bodyDiv w:val="1"/>
      <w:marLeft w:val="0"/>
      <w:marRight w:val="0"/>
      <w:marTop w:val="0"/>
      <w:marBottom w:val="0"/>
      <w:divBdr>
        <w:top w:val="none" w:sz="0" w:space="0" w:color="auto"/>
        <w:left w:val="none" w:sz="0" w:space="0" w:color="auto"/>
        <w:bottom w:val="none" w:sz="0" w:space="0" w:color="auto"/>
        <w:right w:val="none" w:sz="0" w:space="0" w:color="auto"/>
      </w:divBdr>
    </w:div>
    <w:div w:id="271209782">
      <w:bodyDiv w:val="1"/>
      <w:marLeft w:val="0"/>
      <w:marRight w:val="0"/>
      <w:marTop w:val="0"/>
      <w:marBottom w:val="0"/>
      <w:divBdr>
        <w:top w:val="none" w:sz="0" w:space="0" w:color="auto"/>
        <w:left w:val="none" w:sz="0" w:space="0" w:color="auto"/>
        <w:bottom w:val="none" w:sz="0" w:space="0" w:color="auto"/>
        <w:right w:val="none" w:sz="0" w:space="0" w:color="auto"/>
      </w:divBdr>
    </w:div>
    <w:div w:id="292054591">
      <w:bodyDiv w:val="1"/>
      <w:marLeft w:val="0"/>
      <w:marRight w:val="0"/>
      <w:marTop w:val="0"/>
      <w:marBottom w:val="0"/>
      <w:divBdr>
        <w:top w:val="none" w:sz="0" w:space="0" w:color="auto"/>
        <w:left w:val="none" w:sz="0" w:space="0" w:color="auto"/>
        <w:bottom w:val="none" w:sz="0" w:space="0" w:color="auto"/>
        <w:right w:val="none" w:sz="0" w:space="0" w:color="auto"/>
      </w:divBdr>
    </w:div>
    <w:div w:id="308022130">
      <w:bodyDiv w:val="1"/>
      <w:marLeft w:val="0"/>
      <w:marRight w:val="0"/>
      <w:marTop w:val="0"/>
      <w:marBottom w:val="0"/>
      <w:divBdr>
        <w:top w:val="none" w:sz="0" w:space="0" w:color="auto"/>
        <w:left w:val="none" w:sz="0" w:space="0" w:color="auto"/>
        <w:bottom w:val="none" w:sz="0" w:space="0" w:color="auto"/>
        <w:right w:val="none" w:sz="0" w:space="0" w:color="auto"/>
      </w:divBdr>
    </w:div>
    <w:div w:id="330332998">
      <w:bodyDiv w:val="1"/>
      <w:marLeft w:val="0"/>
      <w:marRight w:val="0"/>
      <w:marTop w:val="0"/>
      <w:marBottom w:val="0"/>
      <w:divBdr>
        <w:top w:val="none" w:sz="0" w:space="0" w:color="auto"/>
        <w:left w:val="none" w:sz="0" w:space="0" w:color="auto"/>
        <w:bottom w:val="none" w:sz="0" w:space="0" w:color="auto"/>
        <w:right w:val="none" w:sz="0" w:space="0" w:color="auto"/>
      </w:divBdr>
    </w:div>
    <w:div w:id="371542385">
      <w:bodyDiv w:val="1"/>
      <w:marLeft w:val="0"/>
      <w:marRight w:val="0"/>
      <w:marTop w:val="0"/>
      <w:marBottom w:val="0"/>
      <w:divBdr>
        <w:top w:val="none" w:sz="0" w:space="0" w:color="auto"/>
        <w:left w:val="none" w:sz="0" w:space="0" w:color="auto"/>
        <w:bottom w:val="none" w:sz="0" w:space="0" w:color="auto"/>
        <w:right w:val="none" w:sz="0" w:space="0" w:color="auto"/>
      </w:divBdr>
    </w:div>
    <w:div w:id="384186539">
      <w:bodyDiv w:val="1"/>
      <w:marLeft w:val="0"/>
      <w:marRight w:val="0"/>
      <w:marTop w:val="0"/>
      <w:marBottom w:val="0"/>
      <w:divBdr>
        <w:top w:val="none" w:sz="0" w:space="0" w:color="auto"/>
        <w:left w:val="none" w:sz="0" w:space="0" w:color="auto"/>
        <w:bottom w:val="none" w:sz="0" w:space="0" w:color="auto"/>
        <w:right w:val="none" w:sz="0" w:space="0" w:color="auto"/>
      </w:divBdr>
    </w:div>
    <w:div w:id="406224559">
      <w:bodyDiv w:val="1"/>
      <w:marLeft w:val="0"/>
      <w:marRight w:val="0"/>
      <w:marTop w:val="0"/>
      <w:marBottom w:val="0"/>
      <w:divBdr>
        <w:top w:val="none" w:sz="0" w:space="0" w:color="auto"/>
        <w:left w:val="none" w:sz="0" w:space="0" w:color="auto"/>
        <w:bottom w:val="none" w:sz="0" w:space="0" w:color="auto"/>
        <w:right w:val="none" w:sz="0" w:space="0" w:color="auto"/>
      </w:divBdr>
    </w:div>
    <w:div w:id="432362484">
      <w:bodyDiv w:val="1"/>
      <w:marLeft w:val="0"/>
      <w:marRight w:val="0"/>
      <w:marTop w:val="0"/>
      <w:marBottom w:val="0"/>
      <w:divBdr>
        <w:top w:val="none" w:sz="0" w:space="0" w:color="auto"/>
        <w:left w:val="none" w:sz="0" w:space="0" w:color="auto"/>
        <w:bottom w:val="none" w:sz="0" w:space="0" w:color="auto"/>
        <w:right w:val="none" w:sz="0" w:space="0" w:color="auto"/>
      </w:divBdr>
    </w:div>
    <w:div w:id="465978079">
      <w:bodyDiv w:val="1"/>
      <w:marLeft w:val="0"/>
      <w:marRight w:val="0"/>
      <w:marTop w:val="0"/>
      <w:marBottom w:val="0"/>
      <w:divBdr>
        <w:top w:val="none" w:sz="0" w:space="0" w:color="auto"/>
        <w:left w:val="none" w:sz="0" w:space="0" w:color="auto"/>
        <w:bottom w:val="none" w:sz="0" w:space="0" w:color="auto"/>
        <w:right w:val="none" w:sz="0" w:space="0" w:color="auto"/>
      </w:divBdr>
    </w:div>
    <w:div w:id="484782586">
      <w:bodyDiv w:val="1"/>
      <w:marLeft w:val="0"/>
      <w:marRight w:val="0"/>
      <w:marTop w:val="0"/>
      <w:marBottom w:val="0"/>
      <w:divBdr>
        <w:top w:val="none" w:sz="0" w:space="0" w:color="auto"/>
        <w:left w:val="none" w:sz="0" w:space="0" w:color="auto"/>
        <w:bottom w:val="none" w:sz="0" w:space="0" w:color="auto"/>
        <w:right w:val="none" w:sz="0" w:space="0" w:color="auto"/>
      </w:divBdr>
    </w:div>
    <w:div w:id="500044961">
      <w:bodyDiv w:val="1"/>
      <w:marLeft w:val="0"/>
      <w:marRight w:val="0"/>
      <w:marTop w:val="0"/>
      <w:marBottom w:val="0"/>
      <w:divBdr>
        <w:top w:val="none" w:sz="0" w:space="0" w:color="auto"/>
        <w:left w:val="none" w:sz="0" w:space="0" w:color="auto"/>
        <w:bottom w:val="none" w:sz="0" w:space="0" w:color="auto"/>
        <w:right w:val="none" w:sz="0" w:space="0" w:color="auto"/>
      </w:divBdr>
    </w:div>
    <w:div w:id="532307764">
      <w:bodyDiv w:val="1"/>
      <w:marLeft w:val="0"/>
      <w:marRight w:val="0"/>
      <w:marTop w:val="0"/>
      <w:marBottom w:val="0"/>
      <w:divBdr>
        <w:top w:val="none" w:sz="0" w:space="0" w:color="auto"/>
        <w:left w:val="none" w:sz="0" w:space="0" w:color="auto"/>
        <w:bottom w:val="none" w:sz="0" w:space="0" w:color="auto"/>
        <w:right w:val="none" w:sz="0" w:space="0" w:color="auto"/>
      </w:divBdr>
    </w:div>
    <w:div w:id="556164205">
      <w:bodyDiv w:val="1"/>
      <w:marLeft w:val="0"/>
      <w:marRight w:val="0"/>
      <w:marTop w:val="0"/>
      <w:marBottom w:val="0"/>
      <w:divBdr>
        <w:top w:val="none" w:sz="0" w:space="0" w:color="auto"/>
        <w:left w:val="none" w:sz="0" w:space="0" w:color="auto"/>
        <w:bottom w:val="none" w:sz="0" w:space="0" w:color="auto"/>
        <w:right w:val="none" w:sz="0" w:space="0" w:color="auto"/>
      </w:divBdr>
    </w:div>
    <w:div w:id="570123719">
      <w:bodyDiv w:val="1"/>
      <w:marLeft w:val="0"/>
      <w:marRight w:val="0"/>
      <w:marTop w:val="0"/>
      <w:marBottom w:val="0"/>
      <w:divBdr>
        <w:top w:val="none" w:sz="0" w:space="0" w:color="auto"/>
        <w:left w:val="none" w:sz="0" w:space="0" w:color="auto"/>
        <w:bottom w:val="none" w:sz="0" w:space="0" w:color="auto"/>
        <w:right w:val="none" w:sz="0" w:space="0" w:color="auto"/>
      </w:divBdr>
    </w:div>
    <w:div w:id="585503817">
      <w:bodyDiv w:val="1"/>
      <w:marLeft w:val="0"/>
      <w:marRight w:val="0"/>
      <w:marTop w:val="0"/>
      <w:marBottom w:val="0"/>
      <w:divBdr>
        <w:top w:val="none" w:sz="0" w:space="0" w:color="auto"/>
        <w:left w:val="none" w:sz="0" w:space="0" w:color="auto"/>
        <w:bottom w:val="none" w:sz="0" w:space="0" w:color="auto"/>
        <w:right w:val="none" w:sz="0" w:space="0" w:color="auto"/>
      </w:divBdr>
    </w:div>
    <w:div w:id="597446890">
      <w:bodyDiv w:val="1"/>
      <w:marLeft w:val="0"/>
      <w:marRight w:val="0"/>
      <w:marTop w:val="0"/>
      <w:marBottom w:val="0"/>
      <w:divBdr>
        <w:top w:val="none" w:sz="0" w:space="0" w:color="auto"/>
        <w:left w:val="none" w:sz="0" w:space="0" w:color="auto"/>
        <w:bottom w:val="none" w:sz="0" w:space="0" w:color="auto"/>
        <w:right w:val="none" w:sz="0" w:space="0" w:color="auto"/>
      </w:divBdr>
    </w:div>
    <w:div w:id="604270622">
      <w:bodyDiv w:val="1"/>
      <w:marLeft w:val="0"/>
      <w:marRight w:val="0"/>
      <w:marTop w:val="0"/>
      <w:marBottom w:val="0"/>
      <w:divBdr>
        <w:top w:val="none" w:sz="0" w:space="0" w:color="auto"/>
        <w:left w:val="none" w:sz="0" w:space="0" w:color="auto"/>
        <w:bottom w:val="none" w:sz="0" w:space="0" w:color="auto"/>
        <w:right w:val="none" w:sz="0" w:space="0" w:color="auto"/>
      </w:divBdr>
    </w:div>
    <w:div w:id="611471717">
      <w:bodyDiv w:val="1"/>
      <w:marLeft w:val="0"/>
      <w:marRight w:val="0"/>
      <w:marTop w:val="0"/>
      <w:marBottom w:val="0"/>
      <w:divBdr>
        <w:top w:val="none" w:sz="0" w:space="0" w:color="auto"/>
        <w:left w:val="none" w:sz="0" w:space="0" w:color="auto"/>
        <w:bottom w:val="none" w:sz="0" w:space="0" w:color="auto"/>
        <w:right w:val="none" w:sz="0" w:space="0" w:color="auto"/>
      </w:divBdr>
    </w:div>
    <w:div w:id="612984297">
      <w:bodyDiv w:val="1"/>
      <w:marLeft w:val="0"/>
      <w:marRight w:val="0"/>
      <w:marTop w:val="0"/>
      <w:marBottom w:val="0"/>
      <w:divBdr>
        <w:top w:val="none" w:sz="0" w:space="0" w:color="auto"/>
        <w:left w:val="none" w:sz="0" w:space="0" w:color="auto"/>
        <w:bottom w:val="none" w:sz="0" w:space="0" w:color="auto"/>
        <w:right w:val="none" w:sz="0" w:space="0" w:color="auto"/>
      </w:divBdr>
    </w:div>
    <w:div w:id="622345543">
      <w:bodyDiv w:val="1"/>
      <w:marLeft w:val="0"/>
      <w:marRight w:val="0"/>
      <w:marTop w:val="0"/>
      <w:marBottom w:val="0"/>
      <w:divBdr>
        <w:top w:val="none" w:sz="0" w:space="0" w:color="auto"/>
        <w:left w:val="none" w:sz="0" w:space="0" w:color="auto"/>
        <w:bottom w:val="none" w:sz="0" w:space="0" w:color="auto"/>
        <w:right w:val="none" w:sz="0" w:space="0" w:color="auto"/>
      </w:divBdr>
    </w:div>
    <w:div w:id="636758665">
      <w:bodyDiv w:val="1"/>
      <w:marLeft w:val="0"/>
      <w:marRight w:val="0"/>
      <w:marTop w:val="0"/>
      <w:marBottom w:val="0"/>
      <w:divBdr>
        <w:top w:val="none" w:sz="0" w:space="0" w:color="auto"/>
        <w:left w:val="none" w:sz="0" w:space="0" w:color="auto"/>
        <w:bottom w:val="none" w:sz="0" w:space="0" w:color="auto"/>
        <w:right w:val="none" w:sz="0" w:space="0" w:color="auto"/>
      </w:divBdr>
    </w:div>
    <w:div w:id="651761412">
      <w:bodyDiv w:val="1"/>
      <w:marLeft w:val="0"/>
      <w:marRight w:val="0"/>
      <w:marTop w:val="0"/>
      <w:marBottom w:val="0"/>
      <w:divBdr>
        <w:top w:val="none" w:sz="0" w:space="0" w:color="auto"/>
        <w:left w:val="none" w:sz="0" w:space="0" w:color="auto"/>
        <w:bottom w:val="none" w:sz="0" w:space="0" w:color="auto"/>
        <w:right w:val="none" w:sz="0" w:space="0" w:color="auto"/>
      </w:divBdr>
    </w:div>
    <w:div w:id="668796593">
      <w:bodyDiv w:val="1"/>
      <w:marLeft w:val="0"/>
      <w:marRight w:val="0"/>
      <w:marTop w:val="0"/>
      <w:marBottom w:val="0"/>
      <w:divBdr>
        <w:top w:val="none" w:sz="0" w:space="0" w:color="auto"/>
        <w:left w:val="none" w:sz="0" w:space="0" w:color="auto"/>
        <w:bottom w:val="none" w:sz="0" w:space="0" w:color="auto"/>
        <w:right w:val="none" w:sz="0" w:space="0" w:color="auto"/>
      </w:divBdr>
    </w:div>
    <w:div w:id="677394491">
      <w:bodyDiv w:val="1"/>
      <w:marLeft w:val="0"/>
      <w:marRight w:val="0"/>
      <w:marTop w:val="0"/>
      <w:marBottom w:val="0"/>
      <w:divBdr>
        <w:top w:val="none" w:sz="0" w:space="0" w:color="auto"/>
        <w:left w:val="none" w:sz="0" w:space="0" w:color="auto"/>
        <w:bottom w:val="none" w:sz="0" w:space="0" w:color="auto"/>
        <w:right w:val="none" w:sz="0" w:space="0" w:color="auto"/>
      </w:divBdr>
    </w:div>
    <w:div w:id="694768993">
      <w:bodyDiv w:val="1"/>
      <w:marLeft w:val="0"/>
      <w:marRight w:val="0"/>
      <w:marTop w:val="0"/>
      <w:marBottom w:val="0"/>
      <w:divBdr>
        <w:top w:val="none" w:sz="0" w:space="0" w:color="auto"/>
        <w:left w:val="none" w:sz="0" w:space="0" w:color="auto"/>
        <w:bottom w:val="none" w:sz="0" w:space="0" w:color="auto"/>
        <w:right w:val="none" w:sz="0" w:space="0" w:color="auto"/>
      </w:divBdr>
    </w:div>
    <w:div w:id="697122945">
      <w:bodyDiv w:val="1"/>
      <w:marLeft w:val="0"/>
      <w:marRight w:val="0"/>
      <w:marTop w:val="0"/>
      <w:marBottom w:val="0"/>
      <w:divBdr>
        <w:top w:val="none" w:sz="0" w:space="0" w:color="auto"/>
        <w:left w:val="none" w:sz="0" w:space="0" w:color="auto"/>
        <w:bottom w:val="none" w:sz="0" w:space="0" w:color="auto"/>
        <w:right w:val="none" w:sz="0" w:space="0" w:color="auto"/>
      </w:divBdr>
    </w:div>
    <w:div w:id="718939135">
      <w:bodyDiv w:val="1"/>
      <w:marLeft w:val="0"/>
      <w:marRight w:val="0"/>
      <w:marTop w:val="0"/>
      <w:marBottom w:val="0"/>
      <w:divBdr>
        <w:top w:val="none" w:sz="0" w:space="0" w:color="auto"/>
        <w:left w:val="none" w:sz="0" w:space="0" w:color="auto"/>
        <w:bottom w:val="none" w:sz="0" w:space="0" w:color="auto"/>
        <w:right w:val="none" w:sz="0" w:space="0" w:color="auto"/>
      </w:divBdr>
    </w:div>
    <w:div w:id="722099851">
      <w:bodyDiv w:val="1"/>
      <w:marLeft w:val="0"/>
      <w:marRight w:val="0"/>
      <w:marTop w:val="0"/>
      <w:marBottom w:val="0"/>
      <w:divBdr>
        <w:top w:val="none" w:sz="0" w:space="0" w:color="auto"/>
        <w:left w:val="none" w:sz="0" w:space="0" w:color="auto"/>
        <w:bottom w:val="none" w:sz="0" w:space="0" w:color="auto"/>
        <w:right w:val="none" w:sz="0" w:space="0" w:color="auto"/>
      </w:divBdr>
    </w:div>
    <w:div w:id="733896359">
      <w:bodyDiv w:val="1"/>
      <w:marLeft w:val="0"/>
      <w:marRight w:val="0"/>
      <w:marTop w:val="0"/>
      <w:marBottom w:val="0"/>
      <w:divBdr>
        <w:top w:val="none" w:sz="0" w:space="0" w:color="auto"/>
        <w:left w:val="none" w:sz="0" w:space="0" w:color="auto"/>
        <w:bottom w:val="none" w:sz="0" w:space="0" w:color="auto"/>
        <w:right w:val="none" w:sz="0" w:space="0" w:color="auto"/>
      </w:divBdr>
    </w:div>
    <w:div w:id="740954627">
      <w:bodyDiv w:val="1"/>
      <w:marLeft w:val="0"/>
      <w:marRight w:val="0"/>
      <w:marTop w:val="0"/>
      <w:marBottom w:val="0"/>
      <w:divBdr>
        <w:top w:val="none" w:sz="0" w:space="0" w:color="auto"/>
        <w:left w:val="none" w:sz="0" w:space="0" w:color="auto"/>
        <w:bottom w:val="none" w:sz="0" w:space="0" w:color="auto"/>
        <w:right w:val="none" w:sz="0" w:space="0" w:color="auto"/>
      </w:divBdr>
    </w:div>
    <w:div w:id="743987811">
      <w:bodyDiv w:val="1"/>
      <w:marLeft w:val="0"/>
      <w:marRight w:val="0"/>
      <w:marTop w:val="0"/>
      <w:marBottom w:val="0"/>
      <w:divBdr>
        <w:top w:val="none" w:sz="0" w:space="0" w:color="auto"/>
        <w:left w:val="none" w:sz="0" w:space="0" w:color="auto"/>
        <w:bottom w:val="none" w:sz="0" w:space="0" w:color="auto"/>
        <w:right w:val="none" w:sz="0" w:space="0" w:color="auto"/>
      </w:divBdr>
    </w:div>
    <w:div w:id="758677204">
      <w:bodyDiv w:val="1"/>
      <w:marLeft w:val="0"/>
      <w:marRight w:val="0"/>
      <w:marTop w:val="0"/>
      <w:marBottom w:val="0"/>
      <w:divBdr>
        <w:top w:val="none" w:sz="0" w:space="0" w:color="auto"/>
        <w:left w:val="none" w:sz="0" w:space="0" w:color="auto"/>
        <w:bottom w:val="none" w:sz="0" w:space="0" w:color="auto"/>
        <w:right w:val="none" w:sz="0" w:space="0" w:color="auto"/>
      </w:divBdr>
    </w:div>
    <w:div w:id="761994072">
      <w:bodyDiv w:val="1"/>
      <w:marLeft w:val="0"/>
      <w:marRight w:val="0"/>
      <w:marTop w:val="0"/>
      <w:marBottom w:val="0"/>
      <w:divBdr>
        <w:top w:val="none" w:sz="0" w:space="0" w:color="auto"/>
        <w:left w:val="none" w:sz="0" w:space="0" w:color="auto"/>
        <w:bottom w:val="none" w:sz="0" w:space="0" w:color="auto"/>
        <w:right w:val="none" w:sz="0" w:space="0" w:color="auto"/>
      </w:divBdr>
    </w:div>
    <w:div w:id="768239217">
      <w:bodyDiv w:val="1"/>
      <w:marLeft w:val="0"/>
      <w:marRight w:val="0"/>
      <w:marTop w:val="0"/>
      <w:marBottom w:val="0"/>
      <w:divBdr>
        <w:top w:val="none" w:sz="0" w:space="0" w:color="auto"/>
        <w:left w:val="none" w:sz="0" w:space="0" w:color="auto"/>
        <w:bottom w:val="none" w:sz="0" w:space="0" w:color="auto"/>
        <w:right w:val="none" w:sz="0" w:space="0" w:color="auto"/>
      </w:divBdr>
    </w:div>
    <w:div w:id="769744561">
      <w:bodyDiv w:val="1"/>
      <w:marLeft w:val="0"/>
      <w:marRight w:val="0"/>
      <w:marTop w:val="0"/>
      <w:marBottom w:val="0"/>
      <w:divBdr>
        <w:top w:val="none" w:sz="0" w:space="0" w:color="auto"/>
        <w:left w:val="none" w:sz="0" w:space="0" w:color="auto"/>
        <w:bottom w:val="none" w:sz="0" w:space="0" w:color="auto"/>
        <w:right w:val="none" w:sz="0" w:space="0" w:color="auto"/>
      </w:divBdr>
    </w:div>
    <w:div w:id="785320412">
      <w:bodyDiv w:val="1"/>
      <w:marLeft w:val="0"/>
      <w:marRight w:val="0"/>
      <w:marTop w:val="0"/>
      <w:marBottom w:val="0"/>
      <w:divBdr>
        <w:top w:val="none" w:sz="0" w:space="0" w:color="auto"/>
        <w:left w:val="none" w:sz="0" w:space="0" w:color="auto"/>
        <w:bottom w:val="none" w:sz="0" w:space="0" w:color="auto"/>
        <w:right w:val="none" w:sz="0" w:space="0" w:color="auto"/>
      </w:divBdr>
    </w:div>
    <w:div w:id="796073174">
      <w:bodyDiv w:val="1"/>
      <w:marLeft w:val="0"/>
      <w:marRight w:val="0"/>
      <w:marTop w:val="0"/>
      <w:marBottom w:val="0"/>
      <w:divBdr>
        <w:top w:val="none" w:sz="0" w:space="0" w:color="auto"/>
        <w:left w:val="none" w:sz="0" w:space="0" w:color="auto"/>
        <w:bottom w:val="none" w:sz="0" w:space="0" w:color="auto"/>
        <w:right w:val="none" w:sz="0" w:space="0" w:color="auto"/>
      </w:divBdr>
    </w:div>
    <w:div w:id="803739771">
      <w:bodyDiv w:val="1"/>
      <w:marLeft w:val="0"/>
      <w:marRight w:val="0"/>
      <w:marTop w:val="0"/>
      <w:marBottom w:val="0"/>
      <w:divBdr>
        <w:top w:val="none" w:sz="0" w:space="0" w:color="auto"/>
        <w:left w:val="none" w:sz="0" w:space="0" w:color="auto"/>
        <w:bottom w:val="none" w:sz="0" w:space="0" w:color="auto"/>
        <w:right w:val="none" w:sz="0" w:space="0" w:color="auto"/>
      </w:divBdr>
    </w:div>
    <w:div w:id="840658144">
      <w:bodyDiv w:val="1"/>
      <w:marLeft w:val="0"/>
      <w:marRight w:val="0"/>
      <w:marTop w:val="0"/>
      <w:marBottom w:val="0"/>
      <w:divBdr>
        <w:top w:val="none" w:sz="0" w:space="0" w:color="auto"/>
        <w:left w:val="none" w:sz="0" w:space="0" w:color="auto"/>
        <w:bottom w:val="none" w:sz="0" w:space="0" w:color="auto"/>
        <w:right w:val="none" w:sz="0" w:space="0" w:color="auto"/>
      </w:divBdr>
    </w:div>
    <w:div w:id="852763769">
      <w:bodyDiv w:val="1"/>
      <w:marLeft w:val="0"/>
      <w:marRight w:val="0"/>
      <w:marTop w:val="0"/>
      <w:marBottom w:val="0"/>
      <w:divBdr>
        <w:top w:val="none" w:sz="0" w:space="0" w:color="auto"/>
        <w:left w:val="none" w:sz="0" w:space="0" w:color="auto"/>
        <w:bottom w:val="none" w:sz="0" w:space="0" w:color="auto"/>
        <w:right w:val="none" w:sz="0" w:space="0" w:color="auto"/>
      </w:divBdr>
    </w:div>
    <w:div w:id="897671367">
      <w:bodyDiv w:val="1"/>
      <w:marLeft w:val="0"/>
      <w:marRight w:val="0"/>
      <w:marTop w:val="0"/>
      <w:marBottom w:val="0"/>
      <w:divBdr>
        <w:top w:val="none" w:sz="0" w:space="0" w:color="auto"/>
        <w:left w:val="none" w:sz="0" w:space="0" w:color="auto"/>
        <w:bottom w:val="none" w:sz="0" w:space="0" w:color="auto"/>
        <w:right w:val="none" w:sz="0" w:space="0" w:color="auto"/>
      </w:divBdr>
    </w:div>
    <w:div w:id="898595598">
      <w:bodyDiv w:val="1"/>
      <w:marLeft w:val="0"/>
      <w:marRight w:val="0"/>
      <w:marTop w:val="0"/>
      <w:marBottom w:val="0"/>
      <w:divBdr>
        <w:top w:val="none" w:sz="0" w:space="0" w:color="auto"/>
        <w:left w:val="none" w:sz="0" w:space="0" w:color="auto"/>
        <w:bottom w:val="none" w:sz="0" w:space="0" w:color="auto"/>
        <w:right w:val="none" w:sz="0" w:space="0" w:color="auto"/>
      </w:divBdr>
    </w:div>
    <w:div w:id="898898810">
      <w:bodyDiv w:val="1"/>
      <w:marLeft w:val="0"/>
      <w:marRight w:val="0"/>
      <w:marTop w:val="0"/>
      <w:marBottom w:val="0"/>
      <w:divBdr>
        <w:top w:val="none" w:sz="0" w:space="0" w:color="auto"/>
        <w:left w:val="none" w:sz="0" w:space="0" w:color="auto"/>
        <w:bottom w:val="none" w:sz="0" w:space="0" w:color="auto"/>
        <w:right w:val="none" w:sz="0" w:space="0" w:color="auto"/>
      </w:divBdr>
    </w:div>
    <w:div w:id="922299156">
      <w:bodyDiv w:val="1"/>
      <w:marLeft w:val="0"/>
      <w:marRight w:val="0"/>
      <w:marTop w:val="0"/>
      <w:marBottom w:val="0"/>
      <w:divBdr>
        <w:top w:val="none" w:sz="0" w:space="0" w:color="auto"/>
        <w:left w:val="none" w:sz="0" w:space="0" w:color="auto"/>
        <w:bottom w:val="none" w:sz="0" w:space="0" w:color="auto"/>
        <w:right w:val="none" w:sz="0" w:space="0" w:color="auto"/>
      </w:divBdr>
    </w:div>
    <w:div w:id="946303982">
      <w:bodyDiv w:val="1"/>
      <w:marLeft w:val="0"/>
      <w:marRight w:val="0"/>
      <w:marTop w:val="0"/>
      <w:marBottom w:val="0"/>
      <w:divBdr>
        <w:top w:val="none" w:sz="0" w:space="0" w:color="auto"/>
        <w:left w:val="none" w:sz="0" w:space="0" w:color="auto"/>
        <w:bottom w:val="none" w:sz="0" w:space="0" w:color="auto"/>
        <w:right w:val="none" w:sz="0" w:space="0" w:color="auto"/>
      </w:divBdr>
    </w:div>
    <w:div w:id="965045661">
      <w:bodyDiv w:val="1"/>
      <w:marLeft w:val="0"/>
      <w:marRight w:val="0"/>
      <w:marTop w:val="0"/>
      <w:marBottom w:val="0"/>
      <w:divBdr>
        <w:top w:val="none" w:sz="0" w:space="0" w:color="auto"/>
        <w:left w:val="none" w:sz="0" w:space="0" w:color="auto"/>
        <w:bottom w:val="none" w:sz="0" w:space="0" w:color="auto"/>
        <w:right w:val="none" w:sz="0" w:space="0" w:color="auto"/>
      </w:divBdr>
    </w:div>
    <w:div w:id="976646063">
      <w:bodyDiv w:val="1"/>
      <w:marLeft w:val="0"/>
      <w:marRight w:val="0"/>
      <w:marTop w:val="0"/>
      <w:marBottom w:val="0"/>
      <w:divBdr>
        <w:top w:val="none" w:sz="0" w:space="0" w:color="auto"/>
        <w:left w:val="none" w:sz="0" w:space="0" w:color="auto"/>
        <w:bottom w:val="none" w:sz="0" w:space="0" w:color="auto"/>
        <w:right w:val="none" w:sz="0" w:space="0" w:color="auto"/>
      </w:divBdr>
    </w:div>
    <w:div w:id="987051991">
      <w:bodyDiv w:val="1"/>
      <w:marLeft w:val="0"/>
      <w:marRight w:val="0"/>
      <w:marTop w:val="0"/>
      <w:marBottom w:val="0"/>
      <w:divBdr>
        <w:top w:val="none" w:sz="0" w:space="0" w:color="auto"/>
        <w:left w:val="none" w:sz="0" w:space="0" w:color="auto"/>
        <w:bottom w:val="none" w:sz="0" w:space="0" w:color="auto"/>
        <w:right w:val="none" w:sz="0" w:space="0" w:color="auto"/>
      </w:divBdr>
    </w:div>
    <w:div w:id="1013460289">
      <w:bodyDiv w:val="1"/>
      <w:marLeft w:val="0"/>
      <w:marRight w:val="0"/>
      <w:marTop w:val="0"/>
      <w:marBottom w:val="0"/>
      <w:divBdr>
        <w:top w:val="none" w:sz="0" w:space="0" w:color="auto"/>
        <w:left w:val="none" w:sz="0" w:space="0" w:color="auto"/>
        <w:bottom w:val="none" w:sz="0" w:space="0" w:color="auto"/>
        <w:right w:val="none" w:sz="0" w:space="0" w:color="auto"/>
      </w:divBdr>
    </w:div>
    <w:div w:id="1019090640">
      <w:bodyDiv w:val="1"/>
      <w:marLeft w:val="0"/>
      <w:marRight w:val="0"/>
      <w:marTop w:val="0"/>
      <w:marBottom w:val="0"/>
      <w:divBdr>
        <w:top w:val="none" w:sz="0" w:space="0" w:color="auto"/>
        <w:left w:val="none" w:sz="0" w:space="0" w:color="auto"/>
        <w:bottom w:val="none" w:sz="0" w:space="0" w:color="auto"/>
        <w:right w:val="none" w:sz="0" w:space="0" w:color="auto"/>
      </w:divBdr>
    </w:div>
    <w:div w:id="1021274061">
      <w:bodyDiv w:val="1"/>
      <w:marLeft w:val="0"/>
      <w:marRight w:val="0"/>
      <w:marTop w:val="0"/>
      <w:marBottom w:val="0"/>
      <w:divBdr>
        <w:top w:val="none" w:sz="0" w:space="0" w:color="auto"/>
        <w:left w:val="none" w:sz="0" w:space="0" w:color="auto"/>
        <w:bottom w:val="none" w:sz="0" w:space="0" w:color="auto"/>
        <w:right w:val="none" w:sz="0" w:space="0" w:color="auto"/>
      </w:divBdr>
    </w:div>
    <w:div w:id="1027636807">
      <w:bodyDiv w:val="1"/>
      <w:marLeft w:val="0"/>
      <w:marRight w:val="0"/>
      <w:marTop w:val="0"/>
      <w:marBottom w:val="0"/>
      <w:divBdr>
        <w:top w:val="none" w:sz="0" w:space="0" w:color="auto"/>
        <w:left w:val="none" w:sz="0" w:space="0" w:color="auto"/>
        <w:bottom w:val="none" w:sz="0" w:space="0" w:color="auto"/>
        <w:right w:val="none" w:sz="0" w:space="0" w:color="auto"/>
      </w:divBdr>
    </w:div>
    <w:div w:id="1059552622">
      <w:bodyDiv w:val="1"/>
      <w:marLeft w:val="0"/>
      <w:marRight w:val="0"/>
      <w:marTop w:val="0"/>
      <w:marBottom w:val="0"/>
      <w:divBdr>
        <w:top w:val="none" w:sz="0" w:space="0" w:color="auto"/>
        <w:left w:val="none" w:sz="0" w:space="0" w:color="auto"/>
        <w:bottom w:val="none" w:sz="0" w:space="0" w:color="auto"/>
        <w:right w:val="none" w:sz="0" w:space="0" w:color="auto"/>
      </w:divBdr>
    </w:div>
    <w:div w:id="1088966216">
      <w:bodyDiv w:val="1"/>
      <w:marLeft w:val="0"/>
      <w:marRight w:val="0"/>
      <w:marTop w:val="0"/>
      <w:marBottom w:val="0"/>
      <w:divBdr>
        <w:top w:val="none" w:sz="0" w:space="0" w:color="auto"/>
        <w:left w:val="none" w:sz="0" w:space="0" w:color="auto"/>
        <w:bottom w:val="none" w:sz="0" w:space="0" w:color="auto"/>
        <w:right w:val="none" w:sz="0" w:space="0" w:color="auto"/>
      </w:divBdr>
    </w:div>
    <w:div w:id="1107384689">
      <w:bodyDiv w:val="1"/>
      <w:marLeft w:val="0"/>
      <w:marRight w:val="0"/>
      <w:marTop w:val="0"/>
      <w:marBottom w:val="0"/>
      <w:divBdr>
        <w:top w:val="none" w:sz="0" w:space="0" w:color="auto"/>
        <w:left w:val="none" w:sz="0" w:space="0" w:color="auto"/>
        <w:bottom w:val="none" w:sz="0" w:space="0" w:color="auto"/>
        <w:right w:val="none" w:sz="0" w:space="0" w:color="auto"/>
      </w:divBdr>
    </w:div>
    <w:div w:id="1116094710">
      <w:bodyDiv w:val="1"/>
      <w:marLeft w:val="0"/>
      <w:marRight w:val="0"/>
      <w:marTop w:val="0"/>
      <w:marBottom w:val="0"/>
      <w:divBdr>
        <w:top w:val="none" w:sz="0" w:space="0" w:color="auto"/>
        <w:left w:val="none" w:sz="0" w:space="0" w:color="auto"/>
        <w:bottom w:val="none" w:sz="0" w:space="0" w:color="auto"/>
        <w:right w:val="none" w:sz="0" w:space="0" w:color="auto"/>
      </w:divBdr>
    </w:div>
    <w:div w:id="1161197121">
      <w:bodyDiv w:val="1"/>
      <w:marLeft w:val="0"/>
      <w:marRight w:val="0"/>
      <w:marTop w:val="0"/>
      <w:marBottom w:val="0"/>
      <w:divBdr>
        <w:top w:val="none" w:sz="0" w:space="0" w:color="auto"/>
        <w:left w:val="none" w:sz="0" w:space="0" w:color="auto"/>
        <w:bottom w:val="none" w:sz="0" w:space="0" w:color="auto"/>
        <w:right w:val="none" w:sz="0" w:space="0" w:color="auto"/>
      </w:divBdr>
    </w:div>
    <w:div w:id="1192769154">
      <w:marLeft w:val="0"/>
      <w:marRight w:val="0"/>
      <w:marTop w:val="0"/>
      <w:marBottom w:val="0"/>
      <w:divBdr>
        <w:top w:val="none" w:sz="0" w:space="0" w:color="auto"/>
        <w:left w:val="none" w:sz="0" w:space="0" w:color="auto"/>
        <w:bottom w:val="none" w:sz="0" w:space="0" w:color="auto"/>
        <w:right w:val="none" w:sz="0" w:space="0" w:color="auto"/>
      </w:divBdr>
      <w:divsChild>
        <w:div w:id="1192769155">
          <w:marLeft w:val="0"/>
          <w:marRight w:val="0"/>
          <w:marTop w:val="0"/>
          <w:marBottom w:val="0"/>
          <w:divBdr>
            <w:top w:val="none" w:sz="0" w:space="0" w:color="auto"/>
            <w:left w:val="none" w:sz="0" w:space="0" w:color="auto"/>
            <w:bottom w:val="none" w:sz="0" w:space="0" w:color="auto"/>
            <w:right w:val="none" w:sz="0" w:space="0" w:color="auto"/>
          </w:divBdr>
        </w:div>
        <w:div w:id="1192769157">
          <w:marLeft w:val="0"/>
          <w:marRight w:val="0"/>
          <w:marTop w:val="0"/>
          <w:marBottom w:val="0"/>
          <w:divBdr>
            <w:top w:val="none" w:sz="0" w:space="0" w:color="auto"/>
            <w:left w:val="none" w:sz="0" w:space="0" w:color="auto"/>
            <w:bottom w:val="none" w:sz="0" w:space="0" w:color="auto"/>
            <w:right w:val="none" w:sz="0" w:space="0" w:color="auto"/>
          </w:divBdr>
        </w:div>
      </w:divsChild>
    </w:div>
    <w:div w:id="1192769160">
      <w:marLeft w:val="0"/>
      <w:marRight w:val="0"/>
      <w:marTop w:val="0"/>
      <w:marBottom w:val="0"/>
      <w:divBdr>
        <w:top w:val="none" w:sz="0" w:space="0" w:color="auto"/>
        <w:left w:val="none" w:sz="0" w:space="0" w:color="auto"/>
        <w:bottom w:val="none" w:sz="0" w:space="0" w:color="auto"/>
        <w:right w:val="none" w:sz="0" w:space="0" w:color="auto"/>
      </w:divBdr>
      <w:divsChild>
        <w:div w:id="1192769159">
          <w:marLeft w:val="0"/>
          <w:marRight w:val="0"/>
          <w:marTop w:val="0"/>
          <w:marBottom w:val="0"/>
          <w:divBdr>
            <w:top w:val="none" w:sz="0" w:space="0" w:color="auto"/>
            <w:left w:val="none" w:sz="0" w:space="0" w:color="auto"/>
            <w:bottom w:val="none" w:sz="0" w:space="0" w:color="auto"/>
            <w:right w:val="none" w:sz="0" w:space="0" w:color="auto"/>
          </w:divBdr>
          <w:divsChild>
            <w:div w:id="1192769153">
              <w:marLeft w:val="0"/>
              <w:marRight w:val="0"/>
              <w:marTop w:val="0"/>
              <w:marBottom w:val="0"/>
              <w:divBdr>
                <w:top w:val="none" w:sz="0" w:space="0" w:color="auto"/>
                <w:left w:val="none" w:sz="0" w:space="0" w:color="auto"/>
                <w:bottom w:val="none" w:sz="0" w:space="0" w:color="auto"/>
                <w:right w:val="none" w:sz="0" w:space="0" w:color="auto"/>
              </w:divBdr>
            </w:div>
            <w:div w:id="1192769156">
              <w:marLeft w:val="0"/>
              <w:marRight w:val="0"/>
              <w:marTop w:val="0"/>
              <w:marBottom w:val="0"/>
              <w:divBdr>
                <w:top w:val="none" w:sz="0" w:space="0" w:color="auto"/>
                <w:left w:val="none" w:sz="0" w:space="0" w:color="auto"/>
                <w:bottom w:val="none" w:sz="0" w:space="0" w:color="auto"/>
                <w:right w:val="none" w:sz="0" w:space="0" w:color="auto"/>
              </w:divBdr>
            </w:div>
            <w:div w:id="1192769158">
              <w:marLeft w:val="0"/>
              <w:marRight w:val="0"/>
              <w:marTop w:val="0"/>
              <w:marBottom w:val="0"/>
              <w:divBdr>
                <w:top w:val="none" w:sz="0" w:space="0" w:color="auto"/>
                <w:left w:val="none" w:sz="0" w:space="0" w:color="auto"/>
                <w:bottom w:val="none" w:sz="0" w:space="0" w:color="auto"/>
                <w:right w:val="none" w:sz="0" w:space="0" w:color="auto"/>
              </w:divBdr>
            </w:div>
            <w:div w:id="1192769161">
              <w:marLeft w:val="0"/>
              <w:marRight w:val="0"/>
              <w:marTop w:val="0"/>
              <w:marBottom w:val="0"/>
              <w:divBdr>
                <w:top w:val="none" w:sz="0" w:space="0" w:color="auto"/>
                <w:left w:val="none" w:sz="0" w:space="0" w:color="auto"/>
                <w:bottom w:val="none" w:sz="0" w:space="0" w:color="auto"/>
                <w:right w:val="none" w:sz="0" w:space="0" w:color="auto"/>
              </w:divBdr>
            </w:div>
            <w:div w:id="11927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4836">
      <w:bodyDiv w:val="1"/>
      <w:marLeft w:val="0"/>
      <w:marRight w:val="0"/>
      <w:marTop w:val="0"/>
      <w:marBottom w:val="0"/>
      <w:divBdr>
        <w:top w:val="none" w:sz="0" w:space="0" w:color="auto"/>
        <w:left w:val="none" w:sz="0" w:space="0" w:color="auto"/>
        <w:bottom w:val="none" w:sz="0" w:space="0" w:color="auto"/>
        <w:right w:val="none" w:sz="0" w:space="0" w:color="auto"/>
      </w:divBdr>
    </w:div>
    <w:div w:id="1237011086">
      <w:bodyDiv w:val="1"/>
      <w:marLeft w:val="0"/>
      <w:marRight w:val="0"/>
      <w:marTop w:val="0"/>
      <w:marBottom w:val="0"/>
      <w:divBdr>
        <w:top w:val="none" w:sz="0" w:space="0" w:color="auto"/>
        <w:left w:val="none" w:sz="0" w:space="0" w:color="auto"/>
        <w:bottom w:val="none" w:sz="0" w:space="0" w:color="auto"/>
        <w:right w:val="none" w:sz="0" w:space="0" w:color="auto"/>
      </w:divBdr>
    </w:div>
    <w:div w:id="1272205075">
      <w:bodyDiv w:val="1"/>
      <w:marLeft w:val="0"/>
      <w:marRight w:val="0"/>
      <w:marTop w:val="0"/>
      <w:marBottom w:val="0"/>
      <w:divBdr>
        <w:top w:val="none" w:sz="0" w:space="0" w:color="auto"/>
        <w:left w:val="none" w:sz="0" w:space="0" w:color="auto"/>
        <w:bottom w:val="none" w:sz="0" w:space="0" w:color="auto"/>
        <w:right w:val="none" w:sz="0" w:space="0" w:color="auto"/>
      </w:divBdr>
    </w:div>
    <w:div w:id="1354115835">
      <w:bodyDiv w:val="1"/>
      <w:marLeft w:val="0"/>
      <w:marRight w:val="0"/>
      <w:marTop w:val="0"/>
      <w:marBottom w:val="0"/>
      <w:divBdr>
        <w:top w:val="none" w:sz="0" w:space="0" w:color="auto"/>
        <w:left w:val="none" w:sz="0" w:space="0" w:color="auto"/>
        <w:bottom w:val="none" w:sz="0" w:space="0" w:color="auto"/>
        <w:right w:val="none" w:sz="0" w:space="0" w:color="auto"/>
      </w:divBdr>
    </w:div>
    <w:div w:id="1376469869">
      <w:bodyDiv w:val="1"/>
      <w:marLeft w:val="0"/>
      <w:marRight w:val="0"/>
      <w:marTop w:val="0"/>
      <w:marBottom w:val="0"/>
      <w:divBdr>
        <w:top w:val="none" w:sz="0" w:space="0" w:color="auto"/>
        <w:left w:val="none" w:sz="0" w:space="0" w:color="auto"/>
        <w:bottom w:val="none" w:sz="0" w:space="0" w:color="auto"/>
        <w:right w:val="none" w:sz="0" w:space="0" w:color="auto"/>
      </w:divBdr>
    </w:div>
    <w:div w:id="1388336370">
      <w:bodyDiv w:val="1"/>
      <w:marLeft w:val="0"/>
      <w:marRight w:val="0"/>
      <w:marTop w:val="0"/>
      <w:marBottom w:val="0"/>
      <w:divBdr>
        <w:top w:val="none" w:sz="0" w:space="0" w:color="auto"/>
        <w:left w:val="none" w:sz="0" w:space="0" w:color="auto"/>
        <w:bottom w:val="none" w:sz="0" w:space="0" w:color="auto"/>
        <w:right w:val="none" w:sz="0" w:space="0" w:color="auto"/>
      </w:divBdr>
    </w:div>
    <w:div w:id="1396507308">
      <w:bodyDiv w:val="1"/>
      <w:marLeft w:val="0"/>
      <w:marRight w:val="0"/>
      <w:marTop w:val="0"/>
      <w:marBottom w:val="0"/>
      <w:divBdr>
        <w:top w:val="none" w:sz="0" w:space="0" w:color="auto"/>
        <w:left w:val="none" w:sz="0" w:space="0" w:color="auto"/>
        <w:bottom w:val="none" w:sz="0" w:space="0" w:color="auto"/>
        <w:right w:val="none" w:sz="0" w:space="0" w:color="auto"/>
      </w:divBdr>
    </w:div>
    <w:div w:id="1485779433">
      <w:bodyDiv w:val="1"/>
      <w:marLeft w:val="0"/>
      <w:marRight w:val="0"/>
      <w:marTop w:val="0"/>
      <w:marBottom w:val="0"/>
      <w:divBdr>
        <w:top w:val="none" w:sz="0" w:space="0" w:color="auto"/>
        <w:left w:val="none" w:sz="0" w:space="0" w:color="auto"/>
        <w:bottom w:val="none" w:sz="0" w:space="0" w:color="auto"/>
        <w:right w:val="none" w:sz="0" w:space="0" w:color="auto"/>
      </w:divBdr>
    </w:div>
    <w:div w:id="1514610737">
      <w:bodyDiv w:val="1"/>
      <w:marLeft w:val="0"/>
      <w:marRight w:val="0"/>
      <w:marTop w:val="0"/>
      <w:marBottom w:val="0"/>
      <w:divBdr>
        <w:top w:val="none" w:sz="0" w:space="0" w:color="auto"/>
        <w:left w:val="none" w:sz="0" w:space="0" w:color="auto"/>
        <w:bottom w:val="none" w:sz="0" w:space="0" w:color="auto"/>
        <w:right w:val="none" w:sz="0" w:space="0" w:color="auto"/>
      </w:divBdr>
    </w:div>
    <w:div w:id="1522164002">
      <w:bodyDiv w:val="1"/>
      <w:marLeft w:val="0"/>
      <w:marRight w:val="0"/>
      <w:marTop w:val="0"/>
      <w:marBottom w:val="0"/>
      <w:divBdr>
        <w:top w:val="none" w:sz="0" w:space="0" w:color="auto"/>
        <w:left w:val="none" w:sz="0" w:space="0" w:color="auto"/>
        <w:bottom w:val="none" w:sz="0" w:space="0" w:color="auto"/>
        <w:right w:val="none" w:sz="0" w:space="0" w:color="auto"/>
      </w:divBdr>
    </w:div>
    <w:div w:id="1575118154">
      <w:bodyDiv w:val="1"/>
      <w:marLeft w:val="0"/>
      <w:marRight w:val="0"/>
      <w:marTop w:val="0"/>
      <w:marBottom w:val="0"/>
      <w:divBdr>
        <w:top w:val="none" w:sz="0" w:space="0" w:color="auto"/>
        <w:left w:val="none" w:sz="0" w:space="0" w:color="auto"/>
        <w:bottom w:val="none" w:sz="0" w:space="0" w:color="auto"/>
        <w:right w:val="none" w:sz="0" w:space="0" w:color="auto"/>
      </w:divBdr>
    </w:div>
    <w:div w:id="1582711228">
      <w:bodyDiv w:val="1"/>
      <w:marLeft w:val="0"/>
      <w:marRight w:val="0"/>
      <w:marTop w:val="0"/>
      <w:marBottom w:val="0"/>
      <w:divBdr>
        <w:top w:val="none" w:sz="0" w:space="0" w:color="auto"/>
        <w:left w:val="none" w:sz="0" w:space="0" w:color="auto"/>
        <w:bottom w:val="none" w:sz="0" w:space="0" w:color="auto"/>
        <w:right w:val="none" w:sz="0" w:space="0" w:color="auto"/>
      </w:divBdr>
    </w:div>
    <w:div w:id="1611012991">
      <w:bodyDiv w:val="1"/>
      <w:marLeft w:val="0"/>
      <w:marRight w:val="0"/>
      <w:marTop w:val="0"/>
      <w:marBottom w:val="0"/>
      <w:divBdr>
        <w:top w:val="none" w:sz="0" w:space="0" w:color="auto"/>
        <w:left w:val="none" w:sz="0" w:space="0" w:color="auto"/>
        <w:bottom w:val="none" w:sz="0" w:space="0" w:color="auto"/>
        <w:right w:val="none" w:sz="0" w:space="0" w:color="auto"/>
      </w:divBdr>
    </w:div>
    <w:div w:id="1627158105">
      <w:bodyDiv w:val="1"/>
      <w:marLeft w:val="0"/>
      <w:marRight w:val="0"/>
      <w:marTop w:val="0"/>
      <w:marBottom w:val="0"/>
      <w:divBdr>
        <w:top w:val="none" w:sz="0" w:space="0" w:color="auto"/>
        <w:left w:val="none" w:sz="0" w:space="0" w:color="auto"/>
        <w:bottom w:val="none" w:sz="0" w:space="0" w:color="auto"/>
        <w:right w:val="none" w:sz="0" w:space="0" w:color="auto"/>
      </w:divBdr>
    </w:div>
    <w:div w:id="1648123762">
      <w:bodyDiv w:val="1"/>
      <w:marLeft w:val="0"/>
      <w:marRight w:val="0"/>
      <w:marTop w:val="0"/>
      <w:marBottom w:val="0"/>
      <w:divBdr>
        <w:top w:val="none" w:sz="0" w:space="0" w:color="auto"/>
        <w:left w:val="none" w:sz="0" w:space="0" w:color="auto"/>
        <w:bottom w:val="none" w:sz="0" w:space="0" w:color="auto"/>
        <w:right w:val="none" w:sz="0" w:space="0" w:color="auto"/>
      </w:divBdr>
    </w:div>
    <w:div w:id="1670521890">
      <w:bodyDiv w:val="1"/>
      <w:marLeft w:val="0"/>
      <w:marRight w:val="0"/>
      <w:marTop w:val="0"/>
      <w:marBottom w:val="0"/>
      <w:divBdr>
        <w:top w:val="none" w:sz="0" w:space="0" w:color="auto"/>
        <w:left w:val="none" w:sz="0" w:space="0" w:color="auto"/>
        <w:bottom w:val="none" w:sz="0" w:space="0" w:color="auto"/>
        <w:right w:val="none" w:sz="0" w:space="0" w:color="auto"/>
      </w:divBdr>
    </w:div>
    <w:div w:id="1688406740">
      <w:bodyDiv w:val="1"/>
      <w:marLeft w:val="0"/>
      <w:marRight w:val="0"/>
      <w:marTop w:val="0"/>
      <w:marBottom w:val="0"/>
      <w:divBdr>
        <w:top w:val="none" w:sz="0" w:space="0" w:color="auto"/>
        <w:left w:val="none" w:sz="0" w:space="0" w:color="auto"/>
        <w:bottom w:val="none" w:sz="0" w:space="0" w:color="auto"/>
        <w:right w:val="none" w:sz="0" w:space="0" w:color="auto"/>
      </w:divBdr>
    </w:div>
    <w:div w:id="1691639652">
      <w:bodyDiv w:val="1"/>
      <w:marLeft w:val="0"/>
      <w:marRight w:val="0"/>
      <w:marTop w:val="0"/>
      <w:marBottom w:val="0"/>
      <w:divBdr>
        <w:top w:val="none" w:sz="0" w:space="0" w:color="auto"/>
        <w:left w:val="none" w:sz="0" w:space="0" w:color="auto"/>
        <w:bottom w:val="none" w:sz="0" w:space="0" w:color="auto"/>
        <w:right w:val="none" w:sz="0" w:space="0" w:color="auto"/>
      </w:divBdr>
    </w:div>
    <w:div w:id="1704791778">
      <w:bodyDiv w:val="1"/>
      <w:marLeft w:val="0"/>
      <w:marRight w:val="0"/>
      <w:marTop w:val="0"/>
      <w:marBottom w:val="0"/>
      <w:divBdr>
        <w:top w:val="none" w:sz="0" w:space="0" w:color="auto"/>
        <w:left w:val="none" w:sz="0" w:space="0" w:color="auto"/>
        <w:bottom w:val="none" w:sz="0" w:space="0" w:color="auto"/>
        <w:right w:val="none" w:sz="0" w:space="0" w:color="auto"/>
      </w:divBdr>
    </w:div>
    <w:div w:id="1727753745">
      <w:bodyDiv w:val="1"/>
      <w:marLeft w:val="0"/>
      <w:marRight w:val="0"/>
      <w:marTop w:val="0"/>
      <w:marBottom w:val="0"/>
      <w:divBdr>
        <w:top w:val="none" w:sz="0" w:space="0" w:color="auto"/>
        <w:left w:val="none" w:sz="0" w:space="0" w:color="auto"/>
        <w:bottom w:val="none" w:sz="0" w:space="0" w:color="auto"/>
        <w:right w:val="none" w:sz="0" w:space="0" w:color="auto"/>
      </w:divBdr>
    </w:div>
    <w:div w:id="1744445355">
      <w:bodyDiv w:val="1"/>
      <w:marLeft w:val="0"/>
      <w:marRight w:val="0"/>
      <w:marTop w:val="0"/>
      <w:marBottom w:val="0"/>
      <w:divBdr>
        <w:top w:val="none" w:sz="0" w:space="0" w:color="auto"/>
        <w:left w:val="none" w:sz="0" w:space="0" w:color="auto"/>
        <w:bottom w:val="none" w:sz="0" w:space="0" w:color="auto"/>
        <w:right w:val="none" w:sz="0" w:space="0" w:color="auto"/>
      </w:divBdr>
    </w:div>
    <w:div w:id="1788619130">
      <w:bodyDiv w:val="1"/>
      <w:marLeft w:val="0"/>
      <w:marRight w:val="0"/>
      <w:marTop w:val="0"/>
      <w:marBottom w:val="0"/>
      <w:divBdr>
        <w:top w:val="none" w:sz="0" w:space="0" w:color="auto"/>
        <w:left w:val="none" w:sz="0" w:space="0" w:color="auto"/>
        <w:bottom w:val="none" w:sz="0" w:space="0" w:color="auto"/>
        <w:right w:val="none" w:sz="0" w:space="0" w:color="auto"/>
      </w:divBdr>
    </w:div>
    <w:div w:id="1801607353">
      <w:bodyDiv w:val="1"/>
      <w:marLeft w:val="0"/>
      <w:marRight w:val="0"/>
      <w:marTop w:val="0"/>
      <w:marBottom w:val="0"/>
      <w:divBdr>
        <w:top w:val="none" w:sz="0" w:space="0" w:color="auto"/>
        <w:left w:val="none" w:sz="0" w:space="0" w:color="auto"/>
        <w:bottom w:val="none" w:sz="0" w:space="0" w:color="auto"/>
        <w:right w:val="none" w:sz="0" w:space="0" w:color="auto"/>
      </w:divBdr>
    </w:div>
    <w:div w:id="1802648237">
      <w:bodyDiv w:val="1"/>
      <w:marLeft w:val="0"/>
      <w:marRight w:val="0"/>
      <w:marTop w:val="0"/>
      <w:marBottom w:val="0"/>
      <w:divBdr>
        <w:top w:val="none" w:sz="0" w:space="0" w:color="auto"/>
        <w:left w:val="none" w:sz="0" w:space="0" w:color="auto"/>
        <w:bottom w:val="none" w:sz="0" w:space="0" w:color="auto"/>
        <w:right w:val="none" w:sz="0" w:space="0" w:color="auto"/>
      </w:divBdr>
    </w:div>
    <w:div w:id="1825200455">
      <w:bodyDiv w:val="1"/>
      <w:marLeft w:val="0"/>
      <w:marRight w:val="0"/>
      <w:marTop w:val="0"/>
      <w:marBottom w:val="0"/>
      <w:divBdr>
        <w:top w:val="none" w:sz="0" w:space="0" w:color="auto"/>
        <w:left w:val="none" w:sz="0" w:space="0" w:color="auto"/>
        <w:bottom w:val="none" w:sz="0" w:space="0" w:color="auto"/>
        <w:right w:val="none" w:sz="0" w:space="0" w:color="auto"/>
      </w:divBdr>
    </w:div>
    <w:div w:id="1858076996">
      <w:bodyDiv w:val="1"/>
      <w:marLeft w:val="0"/>
      <w:marRight w:val="0"/>
      <w:marTop w:val="0"/>
      <w:marBottom w:val="0"/>
      <w:divBdr>
        <w:top w:val="none" w:sz="0" w:space="0" w:color="auto"/>
        <w:left w:val="none" w:sz="0" w:space="0" w:color="auto"/>
        <w:bottom w:val="none" w:sz="0" w:space="0" w:color="auto"/>
        <w:right w:val="none" w:sz="0" w:space="0" w:color="auto"/>
      </w:divBdr>
    </w:div>
    <w:div w:id="1862284657">
      <w:bodyDiv w:val="1"/>
      <w:marLeft w:val="0"/>
      <w:marRight w:val="0"/>
      <w:marTop w:val="0"/>
      <w:marBottom w:val="0"/>
      <w:divBdr>
        <w:top w:val="none" w:sz="0" w:space="0" w:color="auto"/>
        <w:left w:val="none" w:sz="0" w:space="0" w:color="auto"/>
        <w:bottom w:val="none" w:sz="0" w:space="0" w:color="auto"/>
        <w:right w:val="none" w:sz="0" w:space="0" w:color="auto"/>
      </w:divBdr>
    </w:div>
    <w:div w:id="1974403645">
      <w:bodyDiv w:val="1"/>
      <w:marLeft w:val="0"/>
      <w:marRight w:val="0"/>
      <w:marTop w:val="0"/>
      <w:marBottom w:val="0"/>
      <w:divBdr>
        <w:top w:val="none" w:sz="0" w:space="0" w:color="auto"/>
        <w:left w:val="none" w:sz="0" w:space="0" w:color="auto"/>
        <w:bottom w:val="none" w:sz="0" w:space="0" w:color="auto"/>
        <w:right w:val="none" w:sz="0" w:space="0" w:color="auto"/>
      </w:divBdr>
    </w:div>
    <w:div w:id="1986540378">
      <w:bodyDiv w:val="1"/>
      <w:marLeft w:val="0"/>
      <w:marRight w:val="0"/>
      <w:marTop w:val="0"/>
      <w:marBottom w:val="0"/>
      <w:divBdr>
        <w:top w:val="none" w:sz="0" w:space="0" w:color="auto"/>
        <w:left w:val="none" w:sz="0" w:space="0" w:color="auto"/>
        <w:bottom w:val="none" w:sz="0" w:space="0" w:color="auto"/>
        <w:right w:val="none" w:sz="0" w:space="0" w:color="auto"/>
      </w:divBdr>
    </w:div>
    <w:div w:id="2000304148">
      <w:bodyDiv w:val="1"/>
      <w:marLeft w:val="0"/>
      <w:marRight w:val="0"/>
      <w:marTop w:val="0"/>
      <w:marBottom w:val="0"/>
      <w:divBdr>
        <w:top w:val="none" w:sz="0" w:space="0" w:color="auto"/>
        <w:left w:val="none" w:sz="0" w:space="0" w:color="auto"/>
        <w:bottom w:val="none" w:sz="0" w:space="0" w:color="auto"/>
        <w:right w:val="none" w:sz="0" w:space="0" w:color="auto"/>
      </w:divBdr>
    </w:div>
    <w:div w:id="2038306723">
      <w:bodyDiv w:val="1"/>
      <w:marLeft w:val="0"/>
      <w:marRight w:val="0"/>
      <w:marTop w:val="0"/>
      <w:marBottom w:val="0"/>
      <w:divBdr>
        <w:top w:val="none" w:sz="0" w:space="0" w:color="auto"/>
        <w:left w:val="none" w:sz="0" w:space="0" w:color="auto"/>
        <w:bottom w:val="none" w:sz="0" w:space="0" w:color="auto"/>
        <w:right w:val="none" w:sz="0" w:space="0" w:color="auto"/>
      </w:divBdr>
    </w:div>
    <w:div w:id="2076657332">
      <w:bodyDiv w:val="1"/>
      <w:marLeft w:val="0"/>
      <w:marRight w:val="0"/>
      <w:marTop w:val="0"/>
      <w:marBottom w:val="0"/>
      <w:divBdr>
        <w:top w:val="none" w:sz="0" w:space="0" w:color="auto"/>
        <w:left w:val="none" w:sz="0" w:space="0" w:color="auto"/>
        <w:bottom w:val="none" w:sz="0" w:space="0" w:color="auto"/>
        <w:right w:val="none" w:sz="0" w:space="0" w:color="auto"/>
      </w:divBdr>
    </w:div>
    <w:div w:id="2134517586">
      <w:bodyDiv w:val="1"/>
      <w:marLeft w:val="0"/>
      <w:marRight w:val="0"/>
      <w:marTop w:val="0"/>
      <w:marBottom w:val="0"/>
      <w:divBdr>
        <w:top w:val="none" w:sz="0" w:space="0" w:color="auto"/>
        <w:left w:val="none" w:sz="0" w:space="0" w:color="auto"/>
        <w:bottom w:val="none" w:sz="0" w:space="0" w:color="auto"/>
        <w:right w:val="none" w:sz="0" w:space="0" w:color="auto"/>
      </w:divBdr>
    </w:div>
    <w:div w:id="2143107875">
      <w:bodyDiv w:val="1"/>
      <w:marLeft w:val="0"/>
      <w:marRight w:val="0"/>
      <w:marTop w:val="0"/>
      <w:marBottom w:val="0"/>
      <w:divBdr>
        <w:top w:val="none" w:sz="0" w:space="0" w:color="auto"/>
        <w:left w:val="none" w:sz="0" w:space="0" w:color="auto"/>
        <w:bottom w:val="none" w:sz="0" w:space="0" w:color="auto"/>
        <w:right w:val="none" w:sz="0" w:space="0" w:color="auto"/>
      </w:divBdr>
    </w:div>
    <w:div w:id="21434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53</ap:Pages>
  <ap:Words>10620</ap:Words>
  <ap:Characters>69750</ap:Characters>
  <ap:DocSecurity>0</ap:DocSecurity>
  <ap:Lines>581</ap:Lines>
  <ap:Paragraphs>160</ap:Paragraphs>
  <ap:ScaleCrop>false</ap:ScaleCrop>
  <ap:HeadingPairs>
    <vt:vector baseType="variant" size="2">
      <vt:variant>
        <vt:lpstr>Titel</vt:lpstr>
      </vt:variant>
      <vt:variant>
        <vt:i4>1</vt:i4>
      </vt:variant>
    </vt:vector>
  </ap:HeadingPairs>
  <ap:TitlesOfParts>
    <vt:vector baseType="lpstr" size="1">
      <vt:lpstr>Bijlage x: Verticale Toelichting Najaarsnota 2010</vt:lpstr>
    </vt:vector>
  </ap:TitlesOfParts>
  <ap:LinksUpToDate>false</ap:LinksUpToDate>
  <ap:CharactersWithSpaces>80210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2013-11-22T13:29:00.0000000Z</lastPrinted>
  <dcterms:created xsi:type="dcterms:W3CDTF">2015-11-27T13:27:00.0000000Z</dcterms:created>
  <dcterms:modified xsi:type="dcterms:W3CDTF">2015-11-27T13:41:00.0000000Z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0x01010055DD149E2D5A4A46B15D5867CE985CB5</vt:lpwstr>
  </property>
</Properties>
</file>