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8640F" w:rsidR="00C8640F" w:rsidP="00C8640F" w:rsidRDefault="00C8640F">
      <w:pPr>
        <w:rPr>
          <w:b/>
          <w:szCs w:val="18"/>
        </w:rPr>
      </w:pPr>
      <w:r w:rsidRPr="00C8640F">
        <w:rPr>
          <w:b/>
          <w:szCs w:val="18"/>
        </w:rPr>
        <w:t xml:space="preserve">Literatuurlijst behorende bij antwoorden op vragen over de circulaire economie gesteld door </w:t>
      </w:r>
      <w:r w:rsidR="008F7B1A">
        <w:rPr>
          <w:b/>
          <w:szCs w:val="18"/>
        </w:rPr>
        <w:t xml:space="preserve"> het </w:t>
      </w:r>
      <w:r w:rsidRPr="00C8640F">
        <w:rPr>
          <w:b/>
          <w:szCs w:val="18"/>
        </w:rPr>
        <w:t>lid Houwers</w:t>
      </w:r>
      <w:r w:rsidR="008F7B1A">
        <w:rPr>
          <w:b/>
          <w:szCs w:val="18"/>
        </w:rPr>
        <w:t xml:space="preserve"> (kenmerk 2016Z00653)</w:t>
      </w:r>
      <w:bookmarkStart w:name="_GoBack" w:id="0"/>
      <w:bookmarkEnd w:id="0"/>
      <w:r w:rsidRPr="00C8640F">
        <w:rPr>
          <w:b/>
          <w:szCs w:val="18"/>
        </w:rPr>
        <w:t>.</w:t>
      </w:r>
    </w:p>
    <w:p w:rsidR="00C8640F" w:rsidP="00C8640F" w:rsidRDefault="00C8640F">
      <w:pPr>
        <w:rPr>
          <w:szCs w:val="18"/>
        </w:rPr>
      </w:pPr>
    </w:p>
    <w:p w:rsidR="00C8640F" w:rsidP="00C8640F" w:rsidRDefault="00C8640F">
      <w:pPr>
        <w:rPr>
          <w:szCs w:val="18"/>
        </w:rPr>
      </w:pPr>
      <w:r>
        <w:rPr>
          <w:szCs w:val="18"/>
        </w:rPr>
        <w:t>Literatuur behorende bij het antwoord op vraag 3 over de opnamecapaciteit van fosfaat door gewassen.</w:t>
      </w:r>
    </w:p>
    <w:p w:rsidR="00C8640F" w:rsidP="00C8640F" w:rsidRDefault="00C8640F">
      <w:pPr>
        <w:rPr>
          <w:szCs w:val="18"/>
        </w:rPr>
      </w:pPr>
    </w:p>
    <w:p w:rsidRPr="00C8640F" w:rsidR="00C8640F" w:rsidP="00C8640F" w:rsidRDefault="00C8640F">
      <w:pPr>
        <w:pStyle w:val="Lijstalinea"/>
        <w:numPr>
          <w:ilvl w:val="0"/>
          <w:numId w:val="1"/>
        </w:numPr>
        <w:rPr>
          <w:szCs w:val="18"/>
          <w:lang w:val="en-GB"/>
        </w:rPr>
      </w:pPr>
      <w:r w:rsidRPr="00C8640F">
        <w:rPr>
          <w:szCs w:val="18"/>
        </w:rPr>
        <w:t xml:space="preserve">De Willigen, P., Van Noordwijk, M., 1987. </w:t>
      </w:r>
      <w:r w:rsidRPr="00C8640F">
        <w:rPr>
          <w:szCs w:val="18"/>
          <w:lang w:val="en-GB"/>
        </w:rPr>
        <w:t xml:space="preserve">Roots, plant production and nutrient use efficiency. Ph.D. Thesis. </w:t>
      </w:r>
      <w:proofErr w:type="spellStart"/>
      <w:r w:rsidRPr="00C8640F">
        <w:rPr>
          <w:szCs w:val="18"/>
          <w:lang w:val="en-GB"/>
        </w:rPr>
        <w:t>Wageningen</w:t>
      </w:r>
      <w:proofErr w:type="spellEnd"/>
      <w:r w:rsidRPr="00C8640F">
        <w:rPr>
          <w:szCs w:val="18"/>
          <w:lang w:val="en-GB"/>
        </w:rPr>
        <w:t xml:space="preserve"> Agricultural </w:t>
      </w:r>
      <w:proofErr w:type="spellStart"/>
      <w:r w:rsidRPr="00C8640F">
        <w:rPr>
          <w:szCs w:val="18"/>
          <w:lang w:val="en-GB"/>
        </w:rPr>
        <w:t>University,Wageningen</w:t>
      </w:r>
      <w:proofErr w:type="spellEnd"/>
      <w:r w:rsidRPr="00C8640F">
        <w:rPr>
          <w:szCs w:val="18"/>
          <w:lang w:val="en-GB"/>
        </w:rPr>
        <w:t xml:space="preserve">, The Netherlands, 281 pp. </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lang w:val="en-GB"/>
        </w:rPr>
      </w:pPr>
      <w:r w:rsidRPr="00C8640F">
        <w:rPr>
          <w:szCs w:val="18"/>
        </w:rPr>
        <w:t xml:space="preserve">Noordwijk, M. van, P. de Willigen, P.A.I. </w:t>
      </w:r>
      <w:proofErr w:type="spellStart"/>
      <w:r w:rsidRPr="00C8640F">
        <w:rPr>
          <w:szCs w:val="18"/>
        </w:rPr>
        <w:t>Ehlert</w:t>
      </w:r>
      <w:proofErr w:type="spellEnd"/>
      <w:r w:rsidRPr="00C8640F">
        <w:rPr>
          <w:szCs w:val="18"/>
        </w:rPr>
        <w:t xml:space="preserve"> &amp; W. Chardon, 1990. </w:t>
      </w:r>
      <w:r w:rsidRPr="00C8640F">
        <w:rPr>
          <w:szCs w:val="18"/>
          <w:lang w:val="en-GB"/>
        </w:rPr>
        <w:t xml:space="preserve">A simple model of P uptake by crops as a possible basis for P fertilizer recommendations. Netherlands Journal of Agricultural Science. 38(3A):317-322.   </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rPr>
      </w:pPr>
      <w:r w:rsidRPr="008F7B1A">
        <w:rPr>
          <w:szCs w:val="18"/>
        </w:rPr>
        <w:t xml:space="preserve">De Willigen, P., Van Noordwijk, M., 1994. </w:t>
      </w:r>
      <w:r w:rsidRPr="00C8640F">
        <w:rPr>
          <w:szCs w:val="18"/>
          <w:lang w:val="en-GB"/>
        </w:rPr>
        <w:t xml:space="preserve">Mass flow and diffusion of nutrients to a root with constant or zero-sink uptake. </w:t>
      </w:r>
      <w:r w:rsidRPr="00C8640F">
        <w:rPr>
          <w:szCs w:val="18"/>
        </w:rPr>
        <w:t>II. Zero-</w:t>
      </w:r>
      <w:proofErr w:type="spellStart"/>
      <w:r w:rsidRPr="00C8640F">
        <w:rPr>
          <w:szCs w:val="18"/>
        </w:rPr>
        <w:t>sink</w:t>
      </w:r>
      <w:proofErr w:type="spellEnd"/>
      <w:r w:rsidRPr="00C8640F">
        <w:rPr>
          <w:szCs w:val="18"/>
        </w:rPr>
        <w:t xml:space="preserve"> </w:t>
      </w:r>
      <w:proofErr w:type="spellStart"/>
      <w:r w:rsidRPr="00C8640F">
        <w:rPr>
          <w:szCs w:val="18"/>
        </w:rPr>
        <w:t>uptake</w:t>
      </w:r>
      <w:proofErr w:type="spellEnd"/>
      <w:r w:rsidRPr="00C8640F">
        <w:rPr>
          <w:szCs w:val="18"/>
        </w:rPr>
        <w:t xml:space="preserve">. </w:t>
      </w:r>
      <w:proofErr w:type="spellStart"/>
      <w:r w:rsidRPr="00C8640F">
        <w:rPr>
          <w:szCs w:val="18"/>
        </w:rPr>
        <w:t>Soil</w:t>
      </w:r>
      <w:proofErr w:type="spellEnd"/>
      <w:r w:rsidRPr="00C8640F">
        <w:rPr>
          <w:szCs w:val="18"/>
        </w:rPr>
        <w:t xml:space="preserve"> </w:t>
      </w:r>
      <w:proofErr w:type="spellStart"/>
      <w:r w:rsidRPr="00C8640F">
        <w:rPr>
          <w:szCs w:val="18"/>
        </w:rPr>
        <w:t>Sci</w:t>
      </w:r>
      <w:proofErr w:type="spellEnd"/>
      <w:r w:rsidRPr="00C8640F">
        <w:rPr>
          <w:szCs w:val="18"/>
        </w:rPr>
        <w:t xml:space="preserve">. 157, 171–175. </w:t>
      </w:r>
    </w:p>
    <w:p w:rsidRPr="004637BA" w:rsidR="00C8640F" w:rsidP="00C8640F" w:rsidRDefault="00C8640F">
      <w:pPr>
        <w:rPr>
          <w:szCs w:val="18"/>
        </w:rPr>
      </w:pPr>
    </w:p>
    <w:p w:rsidRPr="00C8640F" w:rsidR="00C8640F" w:rsidP="00C8640F" w:rsidRDefault="00C8640F">
      <w:pPr>
        <w:pStyle w:val="Lijstalinea"/>
        <w:numPr>
          <w:ilvl w:val="0"/>
          <w:numId w:val="1"/>
        </w:numPr>
        <w:rPr>
          <w:szCs w:val="18"/>
          <w:lang w:val="en-GB"/>
        </w:rPr>
      </w:pPr>
      <w:proofErr w:type="spellStart"/>
      <w:r w:rsidRPr="008F7B1A">
        <w:rPr>
          <w:szCs w:val="18"/>
          <w:lang w:val="en-GB"/>
        </w:rPr>
        <w:t>Ehlert</w:t>
      </w:r>
      <w:proofErr w:type="spellEnd"/>
      <w:r w:rsidRPr="008F7B1A">
        <w:rPr>
          <w:szCs w:val="18"/>
          <w:lang w:val="en-GB"/>
        </w:rPr>
        <w:t xml:space="preserve">, P.A.I., P. de </w:t>
      </w:r>
      <w:proofErr w:type="spellStart"/>
      <w:r w:rsidRPr="008F7B1A">
        <w:rPr>
          <w:szCs w:val="18"/>
          <w:lang w:val="en-GB"/>
        </w:rPr>
        <w:t>Willigen</w:t>
      </w:r>
      <w:proofErr w:type="spellEnd"/>
      <w:r w:rsidRPr="008F7B1A">
        <w:rPr>
          <w:szCs w:val="18"/>
          <w:lang w:val="en-GB"/>
        </w:rPr>
        <w:t xml:space="preserve">, G. </w:t>
      </w:r>
      <w:proofErr w:type="spellStart"/>
      <w:r w:rsidRPr="008F7B1A">
        <w:rPr>
          <w:szCs w:val="18"/>
          <w:lang w:val="en-GB"/>
        </w:rPr>
        <w:t>Brouwer</w:t>
      </w:r>
      <w:proofErr w:type="spellEnd"/>
      <w:r w:rsidRPr="008F7B1A">
        <w:rPr>
          <w:szCs w:val="18"/>
          <w:lang w:val="en-GB"/>
        </w:rPr>
        <w:t xml:space="preserve"> and O. </w:t>
      </w:r>
      <w:proofErr w:type="spellStart"/>
      <w:r w:rsidRPr="008F7B1A">
        <w:rPr>
          <w:szCs w:val="18"/>
          <w:lang w:val="en-GB"/>
        </w:rPr>
        <w:t>Oenema</w:t>
      </w:r>
      <w:proofErr w:type="spellEnd"/>
      <w:r w:rsidRPr="008F7B1A">
        <w:rPr>
          <w:szCs w:val="18"/>
          <w:lang w:val="en-GB"/>
        </w:rPr>
        <w:t xml:space="preserve">, 1998. </w:t>
      </w:r>
      <w:r w:rsidRPr="00C8640F">
        <w:rPr>
          <w:szCs w:val="18"/>
          <w:lang w:val="en-GB"/>
        </w:rPr>
        <w:t xml:space="preserve">Improvement of the phosphate fertiliser recommendations for flower bulbs. In: R.H. Foy &amp; R. </w:t>
      </w:r>
      <w:proofErr w:type="spellStart"/>
      <w:r w:rsidRPr="00C8640F">
        <w:rPr>
          <w:szCs w:val="18"/>
          <w:lang w:val="en-GB"/>
        </w:rPr>
        <w:t>Dils</w:t>
      </w:r>
      <w:proofErr w:type="spellEnd"/>
      <w:r w:rsidRPr="00C8640F">
        <w:rPr>
          <w:szCs w:val="18"/>
          <w:lang w:val="en-GB"/>
        </w:rPr>
        <w:t xml:space="preserve"> (</w:t>
      </w:r>
      <w:proofErr w:type="spellStart"/>
      <w:r w:rsidRPr="00C8640F">
        <w:rPr>
          <w:szCs w:val="18"/>
          <w:lang w:val="en-GB"/>
        </w:rPr>
        <w:t>Eds</w:t>
      </w:r>
      <w:proofErr w:type="spellEnd"/>
      <w:r w:rsidRPr="00C8640F">
        <w:rPr>
          <w:szCs w:val="18"/>
          <w:lang w:val="en-GB"/>
        </w:rPr>
        <w:t>), Proceedings of the OECD-workshop on practical an innovative measures for the control of agricultural phosphorus losses to water, pp. 68-69.</w:t>
      </w:r>
    </w:p>
    <w:p w:rsidRPr="004637BA" w:rsidR="00C8640F" w:rsidP="00C8640F" w:rsidRDefault="00C8640F">
      <w:pPr>
        <w:rPr>
          <w:szCs w:val="18"/>
          <w:lang w:val="en-GB"/>
        </w:rPr>
      </w:pPr>
    </w:p>
    <w:p w:rsidR="00C8640F" w:rsidP="00C8640F" w:rsidRDefault="00C8640F">
      <w:pPr>
        <w:pStyle w:val="Lijstalinea"/>
        <w:numPr>
          <w:ilvl w:val="0"/>
          <w:numId w:val="1"/>
        </w:numPr>
        <w:rPr>
          <w:szCs w:val="18"/>
        </w:rPr>
      </w:pPr>
      <w:proofErr w:type="spellStart"/>
      <w:r w:rsidRPr="00C8640F">
        <w:rPr>
          <w:szCs w:val="18"/>
        </w:rPr>
        <w:t>Ehlert</w:t>
      </w:r>
      <w:proofErr w:type="spellEnd"/>
      <w:r w:rsidRPr="00C8640F">
        <w:rPr>
          <w:szCs w:val="18"/>
        </w:rPr>
        <w:t xml:space="preserve">, P.A.I.; Wijk, C.A.P. van; Berg, W. van den, 2000. Fosfaatbehoefte van </w:t>
      </w:r>
      <w:proofErr w:type="spellStart"/>
      <w:r w:rsidRPr="00C8640F">
        <w:rPr>
          <w:szCs w:val="18"/>
        </w:rPr>
        <w:t>vollegrondsgroentegewassen</w:t>
      </w:r>
      <w:proofErr w:type="spellEnd"/>
      <w:r w:rsidRPr="00C8640F">
        <w:rPr>
          <w:szCs w:val="18"/>
        </w:rPr>
        <w:t xml:space="preserve">; 1. Bemesting en rendement. Lelystad, PAV / Wageningen, </w:t>
      </w:r>
      <w:proofErr w:type="spellStart"/>
      <w:r w:rsidRPr="00C8640F">
        <w:rPr>
          <w:szCs w:val="18"/>
        </w:rPr>
        <w:t>Alterra</w:t>
      </w:r>
      <w:proofErr w:type="spellEnd"/>
      <w:r w:rsidRPr="00C8640F">
        <w:rPr>
          <w:szCs w:val="18"/>
        </w:rPr>
        <w:t xml:space="preserve">, 2000. Projectrapport 25.2.32. </w:t>
      </w:r>
      <w:hyperlink w:history="1" r:id="rId6">
        <w:r w:rsidRPr="00367999">
          <w:rPr>
            <w:rStyle w:val="Hyperlink"/>
            <w:szCs w:val="18"/>
          </w:rPr>
          <w:t>http://edepot.wur.nl/357201</w:t>
        </w:r>
      </w:hyperlink>
    </w:p>
    <w:p w:rsidRPr="00C8640F" w:rsidR="00C8640F" w:rsidP="00C8640F" w:rsidRDefault="00C8640F">
      <w:pPr>
        <w:pStyle w:val="Lijstalinea"/>
        <w:rPr>
          <w:szCs w:val="18"/>
        </w:rPr>
      </w:pPr>
    </w:p>
    <w:p w:rsidR="00C8640F" w:rsidP="00C8640F" w:rsidRDefault="00C8640F">
      <w:pPr>
        <w:pStyle w:val="Lijstalinea"/>
        <w:numPr>
          <w:ilvl w:val="0"/>
          <w:numId w:val="1"/>
        </w:numPr>
        <w:rPr>
          <w:szCs w:val="18"/>
        </w:rPr>
      </w:pPr>
      <w:proofErr w:type="spellStart"/>
      <w:r w:rsidRPr="00C8640F">
        <w:rPr>
          <w:szCs w:val="18"/>
        </w:rPr>
        <w:t>Ehlert</w:t>
      </w:r>
      <w:proofErr w:type="spellEnd"/>
      <w:r w:rsidRPr="00C8640F">
        <w:rPr>
          <w:szCs w:val="18"/>
        </w:rPr>
        <w:t xml:space="preserve">, P.A.I., Wijk, </w:t>
      </w:r>
      <w:proofErr w:type="spellStart"/>
      <w:r w:rsidRPr="00C8640F">
        <w:rPr>
          <w:szCs w:val="18"/>
        </w:rPr>
        <w:t>C.A.Ph</w:t>
      </w:r>
      <w:proofErr w:type="spellEnd"/>
      <w:r w:rsidRPr="00C8640F">
        <w:rPr>
          <w:szCs w:val="18"/>
        </w:rPr>
        <w:t xml:space="preserve">. van, , 2002. Fosfaatbehoefte van </w:t>
      </w:r>
      <w:proofErr w:type="spellStart"/>
      <w:r w:rsidRPr="00C8640F">
        <w:rPr>
          <w:szCs w:val="18"/>
        </w:rPr>
        <w:t>vollegrondsgroentegewassen</w:t>
      </w:r>
      <w:proofErr w:type="spellEnd"/>
      <w:r w:rsidRPr="00C8640F">
        <w:rPr>
          <w:szCs w:val="18"/>
        </w:rPr>
        <w:t xml:space="preserve">, 2. Plaatsing in gewasgroepen. Praktijkonderzoek Plant &amp; Omgeving B.V., Lelystad, PPO-projectrapportnr. 1125232. </w:t>
      </w:r>
      <w:hyperlink w:history="1" r:id="rId7">
        <w:r w:rsidRPr="00367999">
          <w:rPr>
            <w:rStyle w:val="Hyperlink"/>
            <w:szCs w:val="18"/>
          </w:rPr>
          <w:t>http://edepot.wur.nl/354073</w:t>
        </w:r>
      </w:hyperlink>
    </w:p>
    <w:p w:rsidRPr="00C8640F" w:rsidR="00C8640F" w:rsidP="00C8640F" w:rsidRDefault="00C8640F">
      <w:pPr>
        <w:pStyle w:val="Lijstalinea"/>
        <w:rPr>
          <w:szCs w:val="18"/>
        </w:rPr>
      </w:pPr>
    </w:p>
    <w:p w:rsidR="00C8640F" w:rsidP="00C8640F" w:rsidRDefault="00C8640F">
      <w:pPr>
        <w:pStyle w:val="Lijstalinea"/>
        <w:numPr>
          <w:ilvl w:val="0"/>
          <w:numId w:val="1"/>
        </w:numPr>
        <w:rPr>
          <w:szCs w:val="18"/>
        </w:rPr>
      </w:pPr>
      <w:proofErr w:type="spellStart"/>
      <w:r w:rsidRPr="00C8640F">
        <w:rPr>
          <w:szCs w:val="18"/>
        </w:rPr>
        <w:t>Ehlert</w:t>
      </w:r>
      <w:proofErr w:type="spellEnd"/>
      <w:r w:rsidRPr="00C8640F">
        <w:rPr>
          <w:szCs w:val="18"/>
        </w:rPr>
        <w:t xml:space="preserve">, P.A.I., Wijk, </w:t>
      </w:r>
      <w:proofErr w:type="spellStart"/>
      <w:r w:rsidRPr="00C8640F">
        <w:rPr>
          <w:szCs w:val="18"/>
        </w:rPr>
        <w:t>C.A.Ph</w:t>
      </w:r>
      <w:proofErr w:type="spellEnd"/>
      <w:r w:rsidRPr="00C8640F">
        <w:rPr>
          <w:szCs w:val="18"/>
        </w:rPr>
        <w:t xml:space="preserve">. van, &amp;  Willigen, P. de, 2002. Fosfaatbehoefte van </w:t>
      </w:r>
      <w:proofErr w:type="spellStart"/>
      <w:r w:rsidRPr="00C8640F">
        <w:rPr>
          <w:szCs w:val="18"/>
        </w:rPr>
        <w:t>vollegrondsgroentegewassen</w:t>
      </w:r>
      <w:proofErr w:type="spellEnd"/>
      <w:r w:rsidRPr="00C8640F">
        <w:rPr>
          <w:szCs w:val="18"/>
        </w:rPr>
        <w:t xml:space="preserve">, 3. Rijenbemesting. Praktijkonderzoek Plant &amp; Omgeving B.V., Lelystad, PPO-projectrapportnr. 1125232. </w:t>
      </w:r>
      <w:hyperlink w:history="1" r:id="rId8">
        <w:r w:rsidRPr="00367999">
          <w:rPr>
            <w:rStyle w:val="Hyperlink"/>
            <w:szCs w:val="18"/>
          </w:rPr>
          <w:t>http://edepot.wur.nl/354123</w:t>
        </w:r>
      </w:hyperlink>
    </w:p>
    <w:p w:rsidRPr="00C8640F" w:rsidR="00C8640F" w:rsidP="00C8640F" w:rsidRDefault="00C8640F">
      <w:pPr>
        <w:pStyle w:val="Lijstalinea"/>
        <w:rPr>
          <w:szCs w:val="18"/>
        </w:rPr>
      </w:pPr>
    </w:p>
    <w:p w:rsidR="00C8640F" w:rsidP="00C8640F" w:rsidRDefault="00C8640F">
      <w:pPr>
        <w:pStyle w:val="Lijstalinea"/>
        <w:numPr>
          <w:ilvl w:val="0"/>
          <w:numId w:val="1"/>
        </w:numPr>
        <w:rPr>
          <w:szCs w:val="18"/>
        </w:rPr>
      </w:pPr>
      <w:proofErr w:type="spellStart"/>
      <w:r w:rsidRPr="00C8640F">
        <w:rPr>
          <w:szCs w:val="18"/>
        </w:rPr>
        <w:t>Ehlert</w:t>
      </w:r>
      <w:proofErr w:type="spellEnd"/>
      <w:r w:rsidRPr="00C8640F">
        <w:rPr>
          <w:szCs w:val="18"/>
        </w:rPr>
        <w:t xml:space="preserve">, P.A.I.; </w:t>
      </w:r>
      <w:proofErr w:type="spellStart"/>
      <w:r w:rsidRPr="00C8640F">
        <w:rPr>
          <w:szCs w:val="18"/>
        </w:rPr>
        <w:t>Pasterkamp</w:t>
      </w:r>
      <w:proofErr w:type="spellEnd"/>
      <w:r w:rsidRPr="00C8640F">
        <w:rPr>
          <w:szCs w:val="18"/>
        </w:rPr>
        <w:t xml:space="preserve">, H.P.; Brouwer, G. 2004. Fosfaatbehoefte van bloembollen; onderbouwing van de fosfaatbemestingsadviezen. </w:t>
      </w:r>
      <w:proofErr w:type="spellStart"/>
      <w:r w:rsidRPr="00C8640F">
        <w:rPr>
          <w:szCs w:val="18"/>
        </w:rPr>
        <w:t>Alterra</w:t>
      </w:r>
      <w:proofErr w:type="spellEnd"/>
      <w:r w:rsidRPr="00C8640F">
        <w:rPr>
          <w:szCs w:val="18"/>
        </w:rPr>
        <w:t>, 2004 (</w:t>
      </w:r>
      <w:proofErr w:type="spellStart"/>
      <w:r w:rsidRPr="00C8640F">
        <w:rPr>
          <w:szCs w:val="18"/>
        </w:rPr>
        <w:t>Alterra</w:t>
      </w:r>
      <w:proofErr w:type="spellEnd"/>
      <w:r w:rsidRPr="00C8640F">
        <w:rPr>
          <w:szCs w:val="18"/>
        </w:rPr>
        <w:t xml:space="preserve">-rapport 990) - p. 112. </w:t>
      </w:r>
      <w:hyperlink w:history="1" r:id="rId9">
        <w:r w:rsidRPr="00367999">
          <w:rPr>
            <w:rStyle w:val="Hyperlink"/>
            <w:szCs w:val="18"/>
          </w:rPr>
          <w:t>http://edepot.wur.nl/38707</w:t>
        </w:r>
      </w:hyperlink>
    </w:p>
    <w:p w:rsidRPr="00C8640F" w:rsidR="00C8640F" w:rsidP="00C8640F" w:rsidRDefault="00C8640F">
      <w:pPr>
        <w:pStyle w:val="Lijstalinea"/>
        <w:rPr>
          <w:szCs w:val="18"/>
        </w:rPr>
      </w:pPr>
    </w:p>
    <w:p w:rsidR="00C8640F" w:rsidP="00C8640F" w:rsidRDefault="00C8640F">
      <w:pPr>
        <w:pStyle w:val="Lijstalinea"/>
        <w:numPr>
          <w:ilvl w:val="0"/>
          <w:numId w:val="1"/>
        </w:numPr>
        <w:rPr>
          <w:szCs w:val="18"/>
          <w:lang w:val="en-GB"/>
        </w:rPr>
      </w:pPr>
      <w:proofErr w:type="spellStart"/>
      <w:r w:rsidRPr="008F7B1A">
        <w:rPr>
          <w:szCs w:val="18"/>
          <w:lang w:val="de-DE"/>
        </w:rPr>
        <w:t>Mollier</w:t>
      </w:r>
      <w:proofErr w:type="spellEnd"/>
      <w:r w:rsidRPr="008F7B1A">
        <w:rPr>
          <w:szCs w:val="18"/>
          <w:lang w:val="de-DE"/>
        </w:rPr>
        <w:t xml:space="preserve"> A., P. De Willigen, M. Heinen, </w:t>
      </w:r>
      <w:proofErr w:type="spellStart"/>
      <w:r w:rsidRPr="008F7B1A">
        <w:rPr>
          <w:szCs w:val="18"/>
          <w:lang w:val="de-DE"/>
        </w:rPr>
        <w:t>Ch</w:t>
      </w:r>
      <w:proofErr w:type="spellEnd"/>
      <w:r w:rsidRPr="008F7B1A">
        <w:rPr>
          <w:szCs w:val="18"/>
          <w:lang w:val="de-DE"/>
        </w:rPr>
        <w:t xml:space="preserve">. </w:t>
      </w:r>
      <w:proofErr w:type="spellStart"/>
      <w:r w:rsidRPr="008F7B1A">
        <w:rPr>
          <w:szCs w:val="18"/>
          <w:lang w:val="de-DE"/>
        </w:rPr>
        <w:t>Morel</w:t>
      </w:r>
      <w:proofErr w:type="spellEnd"/>
      <w:r w:rsidRPr="008F7B1A">
        <w:rPr>
          <w:szCs w:val="18"/>
          <w:lang w:val="de-DE"/>
        </w:rPr>
        <w:t xml:space="preserve">, A. Schneider, S. </w:t>
      </w:r>
      <w:proofErr w:type="spellStart"/>
      <w:r w:rsidRPr="008F7B1A">
        <w:rPr>
          <w:szCs w:val="18"/>
          <w:lang w:val="de-DE"/>
        </w:rPr>
        <w:t>Pellerin</w:t>
      </w:r>
      <w:proofErr w:type="spellEnd"/>
      <w:r w:rsidRPr="008F7B1A">
        <w:rPr>
          <w:szCs w:val="18"/>
          <w:lang w:val="de-DE"/>
        </w:rPr>
        <w:t xml:space="preserve">, 2008.  </w:t>
      </w:r>
      <w:r w:rsidRPr="00C8640F">
        <w:rPr>
          <w:szCs w:val="18"/>
          <w:lang w:val="en-GB"/>
        </w:rPr>
        <w:t>A two-dimensional simulation model of phosphorus uptake including crop growth and P-response. Ecological modelling 210: 453–464. doi:10.1016/j.ecolmodel.2007.08.008</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lang w:val="en-GB"/>
        </w:rPr>
      </w:pPr>
      <w:proofErr w:type="spellStart"/>
      <w:r w:rsidRPr="00C8640F">
        <w:rPr>
          <w:szCs w:val="18"/>
          <w:lang w:val="en-GB"/>
        </w:rPr>
        <w:t>Heinen</w:t>
      </w:r>
      <w:proofErr w:type="spellEnd"/>
      <w:r w:rsidRPr="00C8640F">
        <w:rPr>
          <w:szCs w:val="18"/>
          <w:lang w:val="en-GB"/>
        </w:rPr>
        <w:t xml:space="preserve">, M., 2001. FUSSIM2: brief description of the simulation model and application to </w:t>
      </w:r>
      <w:proofErr w:type="spellStart"/>
      <w:r w:rsidRPr="00C8640F">
        <w:rPr>
          <w:szCs w:val="18"/>
          <w:lang w:val="en-GB"/>
        </w:rPr>
        <w:t>fertigation</w:t>
      </w:r>
      <w:proofErr w:type="spellEnd"/>
      <w:r w:rsidRPr="00C8640F">
        <w:rPr>
          <w:szCs w:val="18"/>
          <w:lang w:val="en-GB"/>
        </w:rPr>
        <w:t xml:space="preserve"> scenarios. </w:t>
      </w:r>
      <w:proofErr w:type="spellStart"/>
      <w:r w:rsidRPr="00C8640F">
        <w:rPr>
          <w:szCs w:val="18"/>
          <w:lang w:val="en-GB"/>
        </w:rPr>
        <w:t>Agronomie</w:t>
      </w:r>
      <w:proofErr w:type="spellEnd"/>
      <w:r w:rsidRPr="00C8640F">
        <w:rPr>
          <w:szCs w:val="18"/>
          <w:lang w:val="en-GB"/>
        </w:rPr>
        <w:t xml:space="preserve"> 21, 285–296.</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lang w:val="en-GB"/>
        </w:rPr>
      </w:pPr>
      <w:proofErr w:type="spellStart"/>
      <w:r w:rsidRPr="00C8640F">
        <w:rPr>
          <w:szCs w:val="18"/>
          <w:lang w:val="en-GB"/>
        </w:rPr>
        <w:t>Heinen</w:t>
      </w:r>
      <w:proofErr w:type="spellEnd"/>
      <w:r w:rsidRPr="00C8640F">
        <w:rPr>
          <w:szCs w:val="18"/>
          <w:lang w:val="en-GB"/>
        </w:rPr>
        <w:t xml:space="preserve">, M., De </w:t>
      </w:r>
      <w:proofErr w:type="spellStart"/>
      <w:r w:rsidRPr="00C8640F">
        <w:rPr>
          <w:szCs w:val="18"/>
          <w:lang w:val="en-GB"/>
        </w:rPr>
        <w:t>Willigen</w:t>
      </w:r>
      <w:proofErr w:type="spellEnd"/>
      <w:r w:rsidRPr="00C8640F">
        <w:rPr>
          <w:szCs w:val="18"/>
          <w:lang w:val="en-GB"/>
        </w:rPr>
        <w:t xml:space="preserve">, P., 1998. FUSSIM2: a two-dimensional simulation model for water flow, solute transport and root uptake of water and nutrients in partly unsaturated porous media. Quantitative Approaches in System Analysis No. 20. DLO Research Institute for Agrobiology and Soil Fertility and the C.T. de Wit Graduate School for Production Ecology, </w:t>
      </w:r>
      <w:proofErr w:type="spellStart"/>
      <w:r w:rsidRPr="00C8640F">
        <w:rPr>
          <w:szCs w:val="18"/>
          <w:lang w:val="en-GB"/>
        </w:rPr>
        <w:t>Wageningen</w:t>
      </w:r>
      <w:proofErr w:type="spellEnd"/>
      <w:r w:rsidRPr="00C8640F">
        <w:rPr>
          <w:szCs w:val="18"/>
          <w:lang w:val="en-GB"/>
        </w:rPr>
        <w:t>, The Netherlands, 140 pp.</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rPr>
      </w:pPr>
      <w:r w:rsidRPr="008F7B1A">
        <w:rPr>
          <w:szCs w:val="18"/>
          <w:lang w:val="de-DE"/>
        </w:rPr>
        <w:t xml:space="preserve">Heinen, M., De Willigen, P., 2002. FUSSIM2 Version 5. </w:t>
      </w:r>
      <w:r w:rsidRPr="00C8640F">
        <w:rPr>
          <w:szCs w:val="18"/>
          <w:lang w:val="en-GB"/>
        </w:rPr>
        <w:t xml:space="preserve">New Features and Updated User’s Guide. </w:t>
      </w:r>
      <w:proofErr w:type="spellStart"/>
      <w:r w:rsidRPr="00C8640F">
        <w:rPr>
          <w:szCs w:val="18"/>
        </w:rPr>
        <w:t>Alterra</w:t>
      </w:r>
      <w:proofErr w:type="spellEnd"/>
      <w:r w:rsidRPr="00C8640F">
        <w:rPr>
          <w:szCs w:val="18"/>
        </w:rPr>
        <w:t xml:space="preserve"> Rapport 363. </w:t>
      </w:r>
      <w:proofErr w:type="spellStart"/>
      <w:r w:rsidRPr="00C8640F">
        <w:rPr>
          <w:szCs w:val="18"/>
        </w:rPr>
        <w:t>Alterra</w:t>
      </w:r>
      <w:proofErr w:type="spellEnd"/>
      <w:r w:rsidRPr="00C8640F">
        <w:rPr>
          <w:szCs w:val="18"/>
        </w:rPr>
        <w:t>, Wageningen, 164 pp.</w:t>
      </w:r>
    </w:p>
    <w:p w:rsidRPr="004637BA" w:rsidR="00C8640F" w:rsidP="00C8640F" w:rsidRDefault="00C8640F">
      <w:pPr>
        <w:rPr>
          <w:szCs w:val="18"/>
        </w:rPr>
      </w:pPr>
    </w:p>
    <w:p w:rsidRPr="00C8640F" w:rsidR="00C8640F" w:rsidP="00C8640F" w:rsidRDefault="00C8640F">
      <w:pPr>
        <w:pStyle w:val="Lijstalinea"/>
        <w:numPr>
          <w:ilvl w:val="0"/>
          <w:numId w:val="1"/>
        </w:numPr>
        <w:rPr>
          <w:szCs w:val="18"/>
          <w:lang w:val="en-GB"/>
        </w:rPr>
      </w:pPr>
      <w:proofErr w:type="spellStart"/>
      <w:r w:rsidRPr="008F7B1A">
        <w:rPr>
          <w:szCs w:val="18"/>
          <w:lang w:val="en-GB"/>
        </w:rPr>
        <w:lastRenderedPageBreak/>
        <w:t>Heinen</w:t>
      </w:r>
      <w:proofErr w:type="spellEnd"/>
      <w:r w:rsidRPr="008F7B1A">
        <w:rPr>
          <w:szCs w:val="18"/>
          <w:lang w:val="en-GB"/>
        </w:rPr>
        <w:t xml:space="preserve">, M., </w:t>
      </w:r>
      <w:proofErr w:type="spellStart"/>
      <w:r w:rsidRPr="008F7B1A">
        <w:rPr>
          <w:szCs w:val="18"/>
          <w:lang w:val="en-GB"/>
        </w:rPr>
        <w:t>Mollier</w:t>
      </w:r>
      <w:proofErr w:type="spellEnd"/>
      <w:r w:rsidRPr="008F7B1A">
        <w:rPr>
          <w:szCs w:val="18"/>
          <w:lang w:val="en-GB"/>
        </w:rPr>
        <w:t xml:space="preserve">, A., De </w:t>
      </w:r>
      <w:proofErr w:type="spellStart"/>
      <w:r w:rsidRPr="008F7B1A">
        <w:rPr>
          <w:szCs w:val="18"/>
          <w:lang w:val="en-GB"/>
        </w:rPr>
        <w:t>Willigen</w:t>
      </w:r>
      <w:proofErr w:type="spellEnd"/>
      <w:r w:rsidRPr="008F7B1A">
        <w:rPr>
          <w:szCs w:val="18"/>
          <w:lang w:val="en-GB"/>
        </w:rPr>
        <w:t xml:space="preserve">, P., 2003. </w:t>
      </w:r>
      <w:r w:rsidRPr="00C8640F">
        <w:rPr>
          <w:szCs w:val="18"/>
          <w:lang w:val="en-GB"/>
        </w:rPr>
        <w:t>Growth of a root system described as diffusion. II. Numerical model and application. Plant Soil 252, 251–265.</w:t>
      </w:r>
    </w:p>
    <w:p w:rsidRPr="004637BA" w:rsidR="00C8640F" w:rsidP="00C8640F" w:rsidRDefault="00C8640F">
      <w:pPr>
        <w:rPr>
          <w:szCs w:val="18"/>
          <w:lang w:val="en-GB"/>
        </w:rPr>
      </w:pPr>
    </w:p>
    <w:p w:rsidRPr="00C8640F" w:rsidR="00C8640F" w:rsidP="00C8640F" w:rsidRDefault="00C8640F">
      <w:pPr>
        <w:pStyle w:val="Lijstalinea"/>
        <w:numPr>
          <w:ilvl w:val="0"/>
          <w:numId w:val="1"/>
        </w:numPr>
        <w:rPr>
          <w:szCs w:val="18"/>
          <w:lang w:val="en-GB"/>
        </w:rPr>
      </w:pPr>
      <w:r w:rsidRPr="008F7B1A">
        <w:rPr>
          <w:szCs w:val="18"/>
        </w:rPr>
        <w:t xml:space="preserve">De Willigen, P., Heinen, M., </w:t>
      </w:r>
      <w:proofErr w:type="spellStart"/>
      <w:r w:rsidRPr="008F7B1A">
        <w:rPr>
          <w:szCs w:val="18"/>
        </w:rPr>
        <w:t>Mollier</w:t>
      </w:r>
      <w:proofErr w:type="spellEnd"/>
      <w:r w:rsidRPr="008F7B1A">
        <w:rPr>
          <w:szCs w:val="18"/>
        </w:rPr>
        <w:t xml:space="preserve">, A., Van Noordwijk, M., 2002. </w:t>
      </w:r>
      <w:r w:rsidRPr="00C8640F">
        <w:rPr>
          <w:szCs w:val="18"/>
          <w:lang w:val="en-GB"/>
        </w:rPr>
        <w:t>Two-dimensional growth of a root system modelled as a diffusion process. I. Analytical solutions. Plant Soil 240, 225–234.</w:t>
      </w:r>
    </w:p>
    <w:p w:rsidRPr="0042777E" w:rsidR="00C8640F" w:rsidP="00C8640F" w:rsidRDefault="00C8640F">
      <w:pPr>
        <w:rPr>
          <w:szCs w:val="18"/>
          <w:lang w:val="en-GB"/>
        </w:rPr>
      </w:pPr>
    </w:p>
    <w:p w:rsidR="00C8640F" w:rsidP="00C8640F" w:rsidRDefault="00C8640F">
      <w:pPr>
        <w:pStyle w:val="Lijstalinea"/>
        <w:numPr>
          <w:ilvl w:val="0"/>
          <w:numId w:val="1"/>
        </w:numPr>
        <w:rPr>
          <w:szCs w:val="18"/>
          <w:lang w:val="en-GB"/>
        </w:rPr>
      </w:pPr>
      <w:r w:rsidRPr="008F7B1A">
        <w:rPr>
          <w:szCs w:val="18"/>
        </w:rPr>
        <w:t xml:space="preserve">Koele, N., T.W. Kuyper &amp; P.S. </w:t>
      </w:r>
      <w:proofErr w:type="spellStart"/>
      <w:r w:rsidRPr="008F7B1A">
        <w:rPr>
          <w:szCs w:val="18"/>
        </w:rPr>
        <w:t>Bindraban</w:t>
      </w:r>
      <w:proofErr w:type="spellEnd"/>
      <w:r w:rsidRPr="008F7B1A">
        <w:rPr>
          <w:szCs w:val="18"/>
        </w:rPr>
        <w:t xml:space="preserve">,  2014. </w:t>
      </w:r>
      <w:r w:rsidRPr="00C8640F">
        <w:rPr>
          <w:szCs w:val="18"/>
          <w:lang w:val="en-GB"/>
        </w:rPr>
        <w:t xml:space="preserve">Beneficial organisms for nutrient uptake. Virtual Fertilizer Research Centre. VFRC report (2014/1) Washington. </w:t>
      </w:r>
      <w:hyperlink w:history="1" r:id="rId10">
        <w:r w:rsidRPr="00367999">
          <w:rPr>
            <w:rStyle w:val="Hyperlink"/>
            <w:szCs w:val="18"/>
            <w:lang w:val="en-GB"/>
          </w:rPr>
          <w:t>http://www.vfrc.org/getdoc/6ae28e2e-df16-49d6-9646-b65de545b2af/vfrc_report_beneficial_organisms_for_nutrient_upta.pdf</w:t>
        </w:r>
      </w:hyperlink>
    </w:p>
    <w:p w:rsidRPr="00C8640F" w:rsidR="00C8640F" w:rsidP="00C8640F" w:rsidRDefault="00C8640F">
      <w:pPr>
        <w:pStyle w:val="Lijstalinea"/>
        <w:rPr>
          <w:szCs w:val="18"/>
          <w:lang w:val="en-GB"/>
        </w:rPr>
      </w:pPr>
    </w:p>
    <w:p w:rsidRPr="00C8640F" w:rsidR="00C8640F" w:rsidP="00C8640F" w:rsidRDefault="00C8640F">
      <w:pPr>
        <w:rPr>
          <w:szCs w:val="18"/>
          <w:lang w:val="en-GB"/>
        </w:rPr>
      </w:pPr>
    </w:p>
    <w:p w:rsidR="00C8640F" w:rsidP="00C8640F" w:rsidRDefault="00C8640F">
      <w:pPr>
        <w:rPr>
          <w:szCs w:val="18"/>
        </w:rPr>
      </w:pPr>
      <w:r>
        <w:rPr>
          <w:szCs w:val="18"/>
        </w:rPr>
        <w:t xml:space="preserve">Literatuurlijst behorende bij antwoord op vraag 6 over </w:t>
      </w:r>
      <w:r w:rsidRPr="00C8640F">
        <w:rPr>
          <w:szCs w:val="18"/>
        </w:rPr>
        <w:t>andere in toenemende mate schaarser of slechter toegankelijke nutriënten</w:t>
      </w:r>
      <w:r>
        <w:rPr>
          <w:szCs w:val="18"/>
        </w:rPr>
        <w:t>.</w:t>
      </w:r>
    </w:p>
    <w:p w:rsidR="00C8640F" w:rsidP="00C8640F" w:rsidRDefault="00C8640F">
      <w:pPr>
        <w:rPr>
          <w:szCs w:val="18"/>
        </w:rPr>
      </w:pPr>
    </w:p>
    <w:p w:rsidRPr="00C8640F" w:rsidR="00C8640F" w:rsidP="00C8640F" w:rsidRDefault="00C8640F">
      <w:pPr>
        <w:pStyle w:val="Lijstalinea"/>
        <w:numPr>
          <w:ilvl w:val="0"/>
          <w:numId w:val="2"/>
        </w:numPr>
        <w:rPr>
          <w:szCs w:val="18"/>
        </w:rPr>
      </w:pPr>
      <w:r w:rsidRPr="00C8640F">
        <w:rPr>
          <w:szCs w:val="18"/>
        </w:rPr>
        <w:t xml:space="preserve">Chardon, W.J. en O. Oenema, 2013. Verkenning mogelijke schaarste aan micronutriënten in het voedselsysteem. Wageningen, </w:t>
      </w:r>
      <w:proofErr w:type="spellStart"/>
      <w:r w:rsidRPr="00C8640F">
        <w:rPr>
          <w:szCs w:val="18"/>
        </w:rPr>
        <w:t>Alterra</w:t>
      </w:r>
      <w:proofErr w:type="spellEnd"/>
      <w:r w:rsidRPr="00C8640F">
        <w:rPr>
          <w:szCs w:val="18"/>
        </w:rPr>
        <w:t xml:space="preserve">, </w:t>
      </w:r>
      <w:proofErr w:type="spellStart"/>
      <w:r w:rsidRPr="00C8640F">
        <w:rPr>
          <w:szCs w:val="18"/>
        </w:rPr>
        <w:t>Alterra</w:t>
      </w:r>
      <w:proofErr w:type="spellEnd"/>
      <w:r w:rsidRPr="00C8640F">
        <w:rPr>
          <w:szCs w:val="18"/>
        </w:rPr>
        <w:t xml:space="preserve">-rapport 2413. </w:t>
      </w:r>
      <w:hyperlink w:history="1" r:id="rId11">
        <w:r w:rsidRPr="00C8640F">
          <w:rPr>
            <w:rStyle w:val="Hyperlink"/>
            <w:szCs w:val="18"/>
          </w:rPr>
          <w:t>http://edepot.wur.nl/257460</w:t>
        </w:r>
      </w:hyperlink>
    </w:p>
    <w:p w:rsidR="00C8640F" w:rsidP="00C8640F" w:rsidRDefault="00C8640F">
      <w:pPr>
        <w:rPr>
          <w:szCs w:val="18"/>
        </w:rPr>
      </w:pPr>
    </w:p>
    <w:p w:rsidRPr="00C8640F" w:rsidR="00C8640F" w:rsidP="00C8640F" w:rsidRDefault="00C8640F">
      <w:pPr>
        <w:pStyle w:val="Lijstalinea"/>
        <w:numPr>
          <w:ilvl w:val="0"/>
          <w:numId w:val="2"/>
        </w:numPr>
        <w:rPr>
          <w:szCs w:val="18"/>
        </w:rPr>
      </w:pPr>
      <w:proofErr w:type="spellStart"/>
      <w:r w:rsidRPr="008F7B1A">
        <w:rPr>
          <w:szCs w:val="18"/>
          <w:lang w:val="en-GB"/>
        </w:rPr>
        <w:t>Voortman</w:t>
      </w:r>
      <w:proofErr w:type="spellEnd"/>
      <w:r w:rsidRPr="008F7B1A">
        <w:rPr>
          <w:szCs w:val="18"/>
          <w:lang w:val="en-GB"/>
        </w:rPr>
        <w:t xml:space="preserve">, R.L., 2012. </w:t>
      </w:r>
      <w:r w:rsidRPr="00C8640F">
        <w:rPr>
          <w:szCs w:val="18"/>
          <w:lang w:val="en-GB"/>
        </w:rPr>
        <w:t xml:space="preserve">Micronutrients in agriculture and the world food system – future scarcity and implications. </w:t>
      </w:r>
      <w:r w:rsidRPr="00C8640F">
        <w:rPr>
          <w:szCs w:val="18"/>
        </w:rPr>
        <w:t xml:space="preserve">Centre </w:t>
      </w:r>
      <w:proofErr w:type="spellStart"/>
      <w:r w:rsidRPr="00C8640F">
        <w:rPr>
          <w:szCs w:val="18"/>
        </w:rPr>
        <w:t>for</w:t>
      </w:r>
      <w:proofErr w:type="spellEnd"/>
      <w:r w:rsidRPr="00C8640F">
        <w:rPr>
          <w:szCs w:val="18"/>
        </w:rPr>
        <w:t xml:space="preserve"> World Food Studies (SOW-VU), Vrije Universiteit, Amsterdam</w:t>
      </w:r>
    </w:p>
    <w:p w:rsidRPr="001576BF" w:rsidR="00C8640F" w:rsidP="00C8640F" w:rsidRDefault="00C8640F">
      <w:pPr>
        <w:rPr>
          <w:szCs w:val="18"/>
        </w:rPr>
      </w:pPr>
    </w:p>
    <w:p w:rsidRPr="00C8640F" w:rsidR="00C8640F" w:rsidP="00C8640F" w:rsidRDefault="00C8640F">
      <w:pPr>
        <w:pStyle w:val="Lijstalinea"/>
        <w:numPr>
          <w:ilvl w:val="0"/>
          <w:numId w:val="2"/>
        </w:numPr>
        <w:rPr>
          <w:szCs w:val="18"/>
        </w:rPr>
      </w:pPr>
      <w:proofErr w:type="spellStart"/>
      <w:r w:rsidRPr="00C8640F">
        <w:rPr>
          <w:szCs w:val="18"/>
        </w:rPr>
        <w:t>Bastein</w:t>
      </w:r>
      <w:proofErr w:type="spellEnd"/>
      <w:r w:rsidRPr="00C8640F">
        <w:rPr>
          <w:szCs w:val="18"/>
        </w:rPr>
        <w:t>, T. en T. van Bree, 2012. Suppletie van micronutriënten vanuit de mijnbouw. TNO, Delft</w:t>
      </w:r>
    </w:p>
    <w:p w:rsidRPr="001576BF" w:rsidR="00C8640F" w:rsidP="00C8640F" w:rsidRDefault="00C8640F">
      <w:pPr>
        <w:rPr>
          <w:szCs w:val="18"/>
        </w:rPr>
      </w:pPr>
    </w:p>
    <w:p w:rsidRPr="00C8640F" w:rsidR="00C8640F" w:rsidP="00C8640F" w:rsidRDefault="00C8640F">
      <w:pPr>
        <w:pStyle w:val="Lijstalinea"/>
        <w:numPr>
          <w:ilvl w:val="0"/>
          <w:numId w:val="2"/>
        </w:numPr>
        <w:rPr>
          <w:szCs w:val="18"/>
        </w:rPr>
      </w:pPr>
      <w:proofErr w:type="spellStart"/>
      <w:r w:rsidRPr="00C8640F">
        <w:rPr>
          <w:szCs w:val="18"/>
        </w:rPr>
        <w:t>Bussink</w:t>
      </w:r>
      <w:proofErr w:type="spellEnd"/>
      <w:r w:rsidRPr="00C8640F">
        <w:rPr>
          <w:szCs w:val="18"/>
        </w:rPr>
        <w:t>, D.W., 2012. Micronutriënten in de landbouw en beschikbaarheid in de bodem: focus op koper en zink. Nutriënten Management Instituut NMI, Wageningen</w:t>
      </w:r>
    </w:p>
    <w:p w:rsidR="00C8640F" w:rsidP="00C8640F" w:rsidRDefault="00C8640F">
      <w:pPr>
        <w:rPr>
          <w:szCs w:val="18"/>
        </w:rPr>
      </w:pPr>
    </w:p>
    <w:p w:rsidRPr="00C8640F" w:rsidR="00C8640F" w:rsidP="00C8640F" w:rsidRDefault="00C8640F">
      <w:pPr>
        <w:pStyle w:val="Lijstalinea"/>
        <w:numPr>
          <w:ilvl w:val="0"/>
          <w:numId w:val="2"/>
        </w:numPr>
        <w:rPr>
          <w:szCs w:val="18"/>
        </w:rPr>
      </w:pPr>
      <w:r w:rsidRPr="00C8640F">
        <w:rPr>
          <w:szCs w:val="18"/>
        </w:rPr>
        <w:t xml:space="preserve">Udo de </w:t>
      </w:r>
      <w:proofErr w:type="spellStart"/>
      <w:r w:rsidRPr="00C8640F">
        <w:rPr>
          <w:szCs w:val="18"/>
        </w:rPr>
        <w:t>Haes</w:t>
      </w:r>
      <w:proofErr w:type="spellEnd"/>
      <w:r w:rsidRPr="00C8640F">
        <w:rPr>
          <w:szCs w:val="18"/>
        </w:rPr>
        <w:t xml:space="preserve">, H.A., R.L. </w:t>
      </w:r>
      <w:proofErr w:type="spellStart"/>
      <w:r w:rsidRPr="00C8640F">
        <w:rPr>
          <w:szCs w:val="18"/>
        </w:rPr>
        <w:t>Voortman</w:t>
      </w:r>
      <w:proofErr w:type="spellEnd"/>
      <w:r w:rsidRPr="00C8640F">
        <w:rPr>
          <w:szCs w:val="18"/>
        </w:rPr>
        <w:t xml:space="preserve">, T. </w:t>
      </w:r>
      <w:proofErr w:type="spellStart"/>
      <w:r w:rsidRPr="00C8640F">
        <w:rPr>
          <w:szCs w:val="18"/>
        </w:rPr>
        <w:t>Bastein</w:t>
      </w:r>
      <w:proofErr w:type="spellEnd"/>
      <w:r w:rsidRPr="00C8640F">
        <w:rPr>
          <w:szCs w:val="18"/>
        </w:rPr>
        <w:t xml:space="preserve">, D.W. </w:t>
      </w:r>
      <w:proofErr w:type="spellStart"/>
      <w:r w:rsidRPr="00C8640F">
        <w:rPr>
          <w:szCs w:val="18"/>
        </w:rPr>
        <w:t>Bussink</w:t>
      </w:r>
      <w:proofErr w:type="spellEnd"/>
      <w:r w:rsidRPr="00C8640F">
        <w:rPr>
          <w:szCs w:val="18"/>
        </w:rPr>
        <w:t xml:space="preserve">, C.W. Rougoor, W.J. van der </w:t>
      </w:r>
      <w:proofErr w:type="spellStart"/>
      <w:r w:rsidRPr="00C8640F">
        <w:rPr>
          <w:szCs w:val="18"/>
        </w:rPr>
        <w:t>Weijden</w:t>
      </w:r>
      <w:proofErr w:type="spellEnd"/>
      <w:r w:rsidRPr="00C8640F">
        <w:rPr>
          <w:szCs w:val="18"/>
        </w:rPr>
        <w:t>, 2012. Schaarste van micronutriënten in bodem, voedsel en minerale voorraden. Urgentie en opties voor beleid Platform Landbouw, Innovatie &amp; Samenleving, juni 2012</w:t>
      </w:r>
    </w:p>
    <w:p w:rsidRPr="00C8640F" w:rsidR="00C8640F" w:rsidRDefault="00C8640F">
      <w:pPr>
        <w:rPr>
          <w:szCs w:val="18"/>
        </w:rPr>
      </w:pPr>
    </w:p>
    <w:sectPr w:rsidRPr="00C8640F" w:rsidR="00C8640F">
      <w:pgSz w:w="12240" w:h="15840"/>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2664E"/>
    <w:multiLevelType w:val="hybridMultilevel"/>
    <w:tmpl w:val="19DA4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B955EAC"/>
    <w:multiLevelType w:val="hybridMultilevel"/>
    <w:tmpl w:val="6AFA8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0F"/>
    <w:rsid w:val="000A3E57"/>
    <w:rsid w:val="000B4824"/>
    <w:rsid w:val="00105C16"/>
    <w:rsid w:val="00847AD9"/>
    <w:rsid w:val="008F7B1A"/>
    <w:rsid w:val="00C8640F"/>
    <w:rsid w:val="00CE1115"/>
    <w:rsid w:val="00D3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640F"/>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8640F"/>
    <w:rPr>
      <w:color w:val="0000FF"/>
      <w:u w:val="single"/>
    </w:rPr>
  </w:style>
  <w:style w:type="paragraph" w:styleId="Lijstalinea">
    <w:name w:val="List Paragraph"/>
    <w:basedOn w:val="Standaard"/>
    <w:uiPriority w:val="34"/>
    <w:qFormat/>
    <w:rsid w:val="00C86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640F"/>
    <w:rPr>
      <w:rFonts w:ascii="Verdana" w:eastAsia="Times New Roman" w:hAnsi="Verdana" w:cs="Times New Roman"/>
      <w:sz w:val="18"/>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8640F"/>
    <w:rPr>
      <w:color w:val="0000FF"/>
      <w:u w:val="single"/>
    </w:rPr>
  </w:style>
  <w:style w:type="paragraph" w:styleId="Lijstalinea">
    <w:name w:val="List Paragraph"/>
    <w:basedOn w:val="Standaard"/>
    <w:uiPriority w:val="34"/>
    <w:qFormat/>
    <w:rsid w:val="00C86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depot.wur.nl/354123" TargetMode="Externa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hyperlink" Target="http://edepot.wur.nl/354073"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edepot.wur.nl/357201" TargetMode="External" Id="rId6" /><Relationship Type="http://schemas.openxmlformats.org/officeDocument/2006/relationships/hyperlink" Target="http://edepot.wur.nl/257460" TargetMode="External" Id="rId11" /><Relationship Type="http://schemas.openxmlformats.org/officeDocument/2006/relationships/webSettings" Target="webSettings.xml" Id="rId5" /><Relationship Type="http://schemas.openxmlformats.org/officeDocument/2006/relationships/hyperlink" Target="http://www.vfrc.org/getdoc/6ae28e2e-df16-49d6-9646-b65de545b2af/vfrc_report_beneficial_organisms_for_nutrient_upta.pdf" TargetMode="External" Id="rId10" /><Relationship Type="http://schemas.openxmlformats.org/officeDocument/2006/relationships/settings" Target="settings.xml" Id="rId4" /><Relationship Type="http://schemas.openxmlformats.org/officeDocument/2006/relationships/hyperlink" Target="http://edepot.wur.nl/38707"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760</ap:Words>
  <ap:Characters>4182</ap:Characters>
  <ap:DocSecurity>0</ap:DocSecurity>
  <ap:Lines>34</ap:Lines>
  <ap:Paragraphs>9</ap:Paragraphs>
  <ap:ScaleCrop>false</ap:ScaleCrop>
  <ap:LinksUpToDate>false</ap:LinksUpToDate>
  <ap:CharactersWithSpaces>4933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2016-03-04T13:25:00.0000000Z</lastPrinted>
  <dcterms:created xsi:type="dcterms:W3CDTF">2016-03-04T13:26:00.0000000Z</dcterms:created>
  <dcterms:modified xsi:type="dcterms:W3CDTF">2016-03-04T13:26:00.0000000Z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0x01010026D0FF4842B1EC4AB1E38E9D951EE22E</vt:lpwstr>
  </property>
</Properties>
</file>