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Pr="005A4DE9" w:rsidR="00405849" w:rsidP="00993C3B" w:rsidRDefault="00405849">
      <w:pPr>
        <w:pStyle w:val="PlatteTekst"/>
        <w:spacing w:line="240" w:lineRule="auto"/>
        <w:rPr>
          <w:szCs w:val="18"/>
        </w:rPr>
      </w:pPr>
      <w:r w:rsidRPr="005A4DE9">
        <w:rPr>
          <w:noProof/>
          <w:szCs w:val="18"/>
          <w:lang w:eastAsia="nl-NL"/>
        </w:rPr>
        <mc:AlternateContent>
          <mc:Choice Requires="wps">
            <w:drawing>
              <wp:anchor distT="0" distB="0" distL="114300" distR="114300" simplePos="0" relativeHeight="251661312" behindDoc="0" locked="0" layoutInCell="1" allowOverlap="1" wp14:editId="193DF3E9" wp14:anchorId="1A0A53CF">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4D67" w:rsidRDefault="00F04D6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F04D67" w:rsidRDefault="00F04D67"/>
                  </w:txbxContent>
                </v:textbox>
                <w10:wrap anchory="page"/>
              </v:shape>
            </w:pict>
          </mc:Fallback>
        </mc:AlternateContent>
      </w:r>
      <w:r w:rsidRPr="005A4DE9">
        <w:rPr>
          <w:noProof/>
          <w:szCs w:val="18"/>
          <w:lang w:eastAsia="nl-NL"/>
        </w:rPr>
        <mc:AlternateContent>
          <mc:Choice Requires="wps">
            <w:drawing>
              <wp:anchor distT="0" distB="0" distL="114300" distR="114300" simplePos="0" relativeHeight="251660288" behindDoc="0" locked="0" layoutInCell="1" allowOverlap="1" wp14:editId="66E2932F" wp14:anchorId="78C2DE99">
                <wp:simplePos x="0" y="0"/>
                <wp:positionH relativeFrom="page">
                  <wp:posOffset>4608830</wp:posOffset>
                </wp:positionH>
                <wp:positionV relativeFrom="page">
                  <wp:posOffset>1955165</wp:posOffset>
                </wp:positionV>
                <wp:extent cx="2080260" cy="698500"/>
                <wp:effectExtent l="0" t="0" r="15240" b="12700"/>
                <wp:wrapNone/>
                <wp:docPr id="9" name="Tekstvak 9"/>
                <wp:cNvGraphicFramePr/>
                <a:graphic xmlns:a="http://schemas.openxmlformats.org/drawingml/2006/main">
                  <a:graphicData uri="http://schemas.microsoft.com/office/word/2010/wordprocessingShape">
                    <wps:wsp>
                      <wps:cNvSpPr txBox="1"/>
                      <wps:spPr>
                        <a:xfrm>
                          <a:off x="0" y="0"/>
                          <a:ext cx="2080260" cy="698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4D67" w:rsidP="00B51425" w:rsidRDefault="00F04D67">
                            <w:pPr>
                              <w:pStyle w:val="Huisstijl-Afzendgegevens"/>
                              <w:rPr>
                                <w:szCs w:val="13"/>
                              </w:rPr>
                            </w:pPr>
                            <w:r>
                              <w:rPr>
                                <w:szCs w:val="13"/>
                              </w:rPr>
                              <w:t xml:space="preserve"> R.Dijkstra/S. </w:t>
                            </w:r>
                            <w:r>
                              <w:t xml:space="preserve">Van Veldhoven  </w:t>
                            </w:r>
                          </w:p>
                          <w:p w:rsidRPr="00FE7CDD" w:rsidR="00F04D67" w:rsidRDefault="00F04D67">
                            <w:pPr>
                              <w:pStyle w:val="Huisstijl-Afzendgegevens"/>
                              <w:rPr>
                                <w:szCs w:val="13"/>
                              </w:rPr>
                            </w:pPr>
                            <w:r w:rsidRPr="00FE7CDD">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2.9pt;margin-top:153.95pt;width:163.8pt;height: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">
                <v:textbox style="mso-fit-shape-to-text:t" inset="0,0,0,0">
                  <w:txbxContent>
                    <w:p w:rsidR="00F04D67" w:rsidP="00B51425" w:rsidRDefault="00F04D67">
                      <w:pPr>
                        <w:pStyle w:val="Huisstijl-Afzendgegevens"/>
                        <w:rPr>
                          <w:szCs w:val="13"/>
                        </w:rPr>
                      </w:pPr>
                      <w:r>
                        <w:rPr>
                          <w:szCs w:val="13"/>
                        </w:rPr>
                        <w:t xml:space="preserve"> R.Dijkstra/S. </w:t>
                      </w:r>
                      <w:r>
                        <w:t xml:space="preserve">Van Veldhoven  </w:t>
                      </w:r>
                    </w:p>
                    <w:p w:rsidRPr="00FE7CDD" w:rsidR="00F04D67" w:rsidRDefault="00F04D67">
                      <w:pPr>
                        <w:pStyle w:val="Huisstijl-Afzendgegevens"/>
                        <w:rPr>
                          <w:szCs w:val="13"/>
                        </w:rPr>
                      </w:pPr>
                      <w:r w:rsidRPr="00FE7CDD">
                        <w:t xml:space="preserve"> </w:t>
                      </w:r>
                    </w:p>
                  </w:txbxContent>
                </v:textbox>
                <w10:wrap anchorx="page" anchory="page"/>
              </v:shape>
            </w:pict>
          </mc:Fallback>
        </mc:AlternateContent>
      </w:r>
      <w:r w:rsidRPr="005A4DE9">
        <w:rPr>
          <w:noProof/>
          <w:szCs w:val="18"/>
          <w:lang w:eastAsia="nl-NL"/>
        </w:rPr>
        <mc:AlternateContent>
          <mc:Choice Requires="wps">
            <w:drawing>
              <wp:anchor distT="0" distB="269875" distL="114300" distR="114300" simplePos="0" relativeHeight="251659264" behindDoc="0" locked="0" layoutInCell="1" allowOverlap="1" wp14:editId="229C8B70" wp14:anchorId="1D3558CE">
                <wp:simplePos x="0" y="0"/>
                <wp:positionH relativeFrom="page">
                  <wp:posOffset>485775</wp:posOffset>
                </wp:positionH>
                <wp:positionV relativeFrom="page">
                  <wp:posOffset>1933575</wp:posOffset>
                </wp:positionV>
                <wp:extent cx="4048125" cy="1236345"/>
                <wp:effectExtent l="0" t="0" r="9525" b="7620"/>
                <wp:wrapTopAndBottom/>
                <wp:docPr id="8" name="Tekstvak 8"/>
                <wp:cNvGraphicFramePr/>
                <a:graphic xmlns:a="http://schemas.openxmlformats.org/drawingml/2006/main">
                  <a:graphicData uri="http://schemas.microsoft.com/office/word/2010/wordprocessingShape">
                    <wps:wsp>
                      <wps:cNvSpPr txBox="1"/>
                      <wps:spPr>
                        <a:xfrm>
                          <a:off x="0" y="0"/>
                          <a:ext cx="4048125" cy="1236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4D67" w:rsidRDefault="00F04D67">
                            <w:pPr>
                              <w:pStyle w:val="Huisstijl-Agendatitel"/>
                              <w:tabs>
                                <w:tab w:val="right" w:pos="1344"/>
                              </w:tabs>
                              <w:ind w:hanging="1417"/>
                            </w:pPr>
                            <w:r>
                              <w:tab/>
                              <w:t>Memo</w:t>
                            </w:r>
                            <w:r>
                              <w:tab/>
                              <w:t>Voortgangsverslag co-rapporteurs Energie-Unie</w:t>
                            </w:r>
                          </w:p>
                          <w:p w:rsidR="00F04D67" w:rsidRDefault="00F04D67">
                            <w:pPr>
                              <w:pStyle w:val="Huisstijl-Agendatitel"/>
                            </w:pPr>
                            <w:r>
                              <w:tab/>
                              <w:t>Stand van zaken en vooruitblik tot zomer 2016</w:t>
                            </w:r>
                          </w:p>
                          <w:p w:rsidR="00F04D67" w:rsidRDefault="00F04D67">
                            <w:pPr>
                              <w:pStyle w:val="Huisstijl-Agendatitel"/>
                            </w:pPr>
                          </w:p>
                          <w:p w:rsidR="00F04D67" w:rsidRDefault="00F04D67">
                            <w:pPr>
                              <w:pStyle w:val="Huisstijl-Agendagegevens"/>
                            </w:pPr>
                            <w:r>
                              <w:tab/>
                              <w:t>aan</w:t>
                            </w:r>
                            <w:r>
                              <w:tab/>
                              <w:t xml:space="preserve">de vaste commissies voor I&amp;M en EZ </w:t>
                            </w:r>
                          </w:p>
                          <w:p w:rsidR="00F04D67" w:rsidRDefault="00F04D67">
                            <w:pPr>
                              <w:pStyle w:val="Huisstijl-Agendagegevens"/>
                            </w:pPr>
                            <w:r>
                              <w:tab/>
                              <w:t>van</w:t>
                            </w:r>
                            <w:r>
                              <w:tab/>
                              <w:t xml:space="preserve">de rapporteurs Energie-Unie, het Lid Dijkstra en het Lid Van Veldhoven </w:t>
                            </w:r>
                          </w:p>
                          <w:p w:rsidRPr="00C13A9E" w:rsidR="00F04D67" w:rsidRDefault="00F04D67">
                            <w:pPr>
                              <w:pStyle w:val="Huisstijl-Agendagegevens"/>
                            </w:pPr>
                            <w:r>
                              <w:tab/>
                              <w:t>in afschrift aan</w:t>
                            </w:r>
                            <w:r>
                              <w:tab/>
                            </w:r>
                            <w:r w:rsidRPr="00C13A9E">
                              <w:t xml:space="preserve">de commissies </w:t>
                            </w:r>
                            <w:r>
                              <w:t>EUZA</w:t>
                            </w:r>
                            <w:r w:rsidRPr="00C13A9E">
                              <w:t xml:space="preserve"> en WR</w:t>
                            </w:r>
                          </w:p>
                          <w:p w:rsidRPr="00C13A9E" w:rsidR="00F04D67" w:rsidRDefault="00F04D67">
                            <w:pPr>
                              <w:pStyle w:val="Huisstijl-AgendagegevensW1"/>
                            </w:pPr>
                            <w:r w:rsidRPr="00C13A9E">
                              <w:tab/>
                              <w:t>datum</w:t>
                            </w:r>
                            <w:r w:rsidRPr="00C13A9E">
                              <w:tab/>
                            </w:r>
                            <w:sdt>
                              <w:sdtPr>
                                <w:alias w:val="Memo Datum"/>
                                <w:tag w:val="Memo_Datum"/>
                                <w:id w:val="-178738616"/>
                                <w:dataBinding w:prefixMappings="xmlns:dg='http://docgen.org/date' " w:xpath="/dg:DocgenData[1]/dg:Memo_Datum[1]" w:storeItemID="{3D6BED7C-4D00-430B-A617-55BE0520206B}"/>
                                <w:date w:fullDate="2016-03-09T00:00:00Z">
                                  <w:dateFormat w:val="d MMMM YYYY"/>
                                  <w:lid w:val="nl-NL"/>
                                  <w:storeMappedDataAs w:val="dateTime"/>
                                  <w:calendar w:val="gregorian"/>
                                </w:date>
                              </w:sdtPr>
                              <w:sdtEndPr/>
                              <w:sdtContent>
                                <w:r>
                                  <w:t>9 maart 2016</w:t>
                                </w:r>
                              </w:sdtContent>
                            </w:sdt>
                          </w:p>
                          <w:p w:rsidR="00F04D67" w:rsidRDefault="00F04D67">
                            <w:pPr>
                              <w:pStyle w:val="Huisstijl-Agendagegevens"/>
                            </w:pPr>
                            <w:r w:rsidRPr="00C13A9E">
                              <w:tab/>
                              <w:t>te betrekken bij</w:t>
                            </w:r>
                            <w:r w:rsidRPr="00C13A9E">
                              <w:tab/>
                            </w:r>
                            <w:r>
                              <w:t>Procedurevergadering I&amp;M d.d. 16 maart 2016</w:t>
                            </w:r>
                          </w:p>
                          <w:p w:rsidR="00F04D67" w:rsidRDefault="00F04D67">
                            <w:pPr>
                              <w:pStyle w:val="Huisstijl-Agendagegevens"/>
                            </w:pPr>
                            <w:r>
                              <w:tab/>
                            </w:r>
                            <w:r>
                              <w:tab/>
                              <w:t xml:space="preserve">Procedurevergadering EZ d.d. 22 maart 2016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38.25pt;margin-top:152.25pt;width:318.75pt;height:97.3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">
                <v:textbox style="mso-fit-shape-to-text:t" inset="0,0,0,0">
                  <w:txbxContent>
                    <w:p w:rsidR="00F04D67" w:rsidRDefault="00F04D67">
                      <w:pPr>
                        <w:pStyle w:val="Huisstijl-Agendatitel"/>
                        <w:tabs>
                          <w:tab w:val="right" w:pos="1344"/>
                        </w:tabs>
                        <w:ind w:hanging="1417"/>
                      </w:pPr>
                      <w:r>
                        <w:tab/>
                        <w:t>Memo</w:t>
                      </w:r>
                      <w:r>
                        <w:tab/>
                        <w:t>Voortgangsverslag co-rapporteurs Energie-Unie</w:t>
                      </w:r>
                    </w:p>
                    <w:p w:rsidR="00F04D67" w:rsidRDefault="00F04D67">
                      <w:pPr>
                        <w:pStyle w:val="Huisstijl-Agendatitel"/>
                      </w:pPr>
                      <w:r>
                        <w:tab/>
                        <w:t>Stand van zaken en vooruitblik tot zomer 2016</w:t>
                      </w:r>
                    </w:p>
                    <w:p w:rsidR="00F04D67" w:rsidRDefault="00F04D67">
                      <w:pPr>
                        <w:pStyle w:val="Huisstijl-Agendatitel"/>
                      </w:pPr>
                    </w:p>
                    <w:p w:rsidR="00F04D67" w:rsidRDefault="00F04D67">
                      <w:pPr>
                        <w:pStyle w:val="Huisstijl-Agendagegevens"/>
                      </w:pPr>
                      <w:r>
                        <w:tab/>
                        <w:t>aan</w:t>
                      </w:r>
                      <w:r>
                        <w:tab/>
                        <w:t xml:space="preserve">de vaste commissies voor I&amp;M en EZ </w:t>
                      </w:r>
                    </w:p>
                    <w:p w:rsidR="00F04D67" w:rsidRDefault="00F04D67">
                      <w:pPr>
                        <w:pStyle w:val="Huisstijl-Agendagegevens"/>
                      </w:pPr>
                      <w:r>
                        <w:tab/>
                        <w:t>van</w:t>
                      </w:r>
                      <w:r>
                        <w:tab/>
                        <w:t xml:space="preserve">de rapporteurs Energie-Unie, het Lid Dijkstra en het Lid Van Veldhoven </w:t>
                      </w:r>
                    </w:p>
                    <w:p w:rsidRPr="00C13A9E" w:rsidR="00F04D67" w:rsidRDefault="00F04D67">
                      <w:pPr>
                        <w:pStyle w:val="Huisstijl-Agendagegevens"/>
                      </w:pPr>
                      <w:r>
                        <w:tab/>
                        <w:t>in afschrift aan</w:t>
                      </w:r>
                      <w:r>
                        <w:tab/>
                      </w:r>
                      <w:r w:rsidRPr="00C13A9E">
                        <w:t xml:space="preserve">de commissies </w:t>
                      </w:r>
                      <w:r>
                        <w:t>EUZA</w:t>
                      </w:r>
                      <w:r w:rsidRPr="00C13A9E">
                        <w:t xml:space="preserve"> en WR</w:t>
                      </w:r>
                    </w:p>
                    <w:p w:rsidRPr="00C13A9E" w:rsidR="00F04D67" w:rsidRDefault="00F04D67">
                      <w:pPr>
                        <w:pStyle w:val="Huisstijl-AgendagegevensW1"/>
                      </w:pPr>
                      <w:r w:rsidRPr="00C13A9E">
                        <w:tab/>
                        <w:t>datum</w:t>
                      </w:r>
                      <w:r w:rsidRPr="00C13A9E">
                        <w:tab/>
                      </w:r>
                      <w:sdt>
                        <w:sdtPr>
                          <w:alias w:val="Memo Datum"/>
                          <w:tag w:val="Memo_Datum"/>
                          <w:id w:val="-178738616"/>
                          <w:dataBinding w:prefixMappings="xmlns:dg='http://docgen.org/date' " w:xpath="/dg:DocgenData[1]/dg:Memo_Datum[1]" w:storeItemID="{3D6BED7C-4D00-430B-A617-55BE0520206B}"/>
                          <w:date w:fullDate="2016-03-09T00:00:00Z">
                            <w:dateFormat w:val="d MMMM YYYY"/>
                            <w:lid w:val="nl-NL"/>
                            <w:storeMappedDataAs w:val="dateTime"/>
                            <w:calendar w:val="gregorian"/>
                          </w:date>
                        </w:sdtPr>
                        <w:sdtEndPr/>
                        <w:sdtContent>
                          <w:r>
                            <w:t>9 maart 2016</w:t>
                          </w:r>
                        </w:sdtContent>
                      </w:sdt>
                    </w:p>
                    <w:p w:rsidR="00F04D67" w:rsidRDefault="00F04D67">
                      <w:pPr>
                        <w:pStyle w:val="Huisstijl-Agendagegevens"/>
                      </w:pPr>
                      <w:r w:rsidRPr="00C13A9E">
                        <w:tab/>
                        <w:t>te betrekken bij</w:t>
                      </w:r>
                      <w:r w:rsidRPr="00C13A9E">
                        <w:tab/>
                      </w:r>
                      <w:r>
                        <w:t>Procedurevergadering I&amp;M d.d. 16 maart 2016</w:t>
                      </w:r>
                    </w:p>
                    <w:p w:rsidR="00F04D67" w:rsidRDefault="00F04D67">
                      <w:pPr>
                        <w:pStyle w:val="Huisstijl-Agendagegevens"/>
                      </w:pPr>
                      <w:r>
                        <w:tab/>
                      </w:r>
                      <w:r>
                        <w:tab/>
                        <w:t xml:space="preserve">Procedurevergadering EZ d.d. 22 maart 2016 </w:t>
                      </w:r>
                    </w:p>
                  </w:txbxContent>
                </v:textbox>
                <w10:wrap type="topAndBottom" anchorx="page" anchory="page"/>
              </v:shape>
            </w:pict>
          </mc:Fallback>
        </mc:AlternateContent>
      </w:r>
      <w:bookmarkStart w:name="Text1" w:id="1"/>
    </w:p>
    <w:p w:rsidRPr="005A4DE9" w:rsidR="000D39DB" w:rsidP="007B32F9" w:rsidRDefault="00EA0108">
      <w:pPr>
        <w:pStyle w:val="PlatteTekst"/>
        <w:spacing w:line="240" w:lineRule="auto"/>
        <w:rPr>
          <w:b/>
          <w:szCs w:val="18"/>
          <w:u w:val="single"/>
        </w:rPr>
      </w:pPr>
      <w:r w:rsidRPr="005A4DE9">
        <w:rPr>
          <w:rFonts w:eastAsia="Verdana" w:cs="Verdana"/>
          <w:noProof/>
          <w:color w:val="000000"/>
          <w:szCs w:val="18"/>
          <w:u w:color="000000"/>
          <w:bdr w:val="nil"/>
          <w:lang w:eastAsia="nl-NL"/>
        </w:rPr>
        <w:drawing>
          <wp:anchor distT="152400" distB="152400" distL="152400" distR="152400" simplePos="0" relativeHeight="251669504" behindDoc="1" locked="0" layoutInCell="1" allowOverlap="1" wp14:editId="36826A02" wp14:anchorId="1D1E8288">
            <wp:simplePos x="0" y="0"/>
            <wp:positionH relativeFrom="page">
              <wp:posOffset>1232535</wp:posOffset>
            </wp:positionH>
            <wp:positionV relativeFrom="page">
              <wp:posOffset>527050</wp:posOffset>
            </wp:positionV>
            <wp:extent cx="3070800" cy="12384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pic:nvPicPr>
                  <pic:blipFill>
                    <a:blip r:embed="rId10">
                      <a:extLst/>
                    </a:blip>
                    <a:stretch>
                      <a:fillRect/>
                    </a:stretch>
                  </pic:blipFill>
                  <pic:spPr>
                    <a:xfrm>
                      <a:off x="0" y="0"/>
                      <a:ext cx="3070800" cy="1238400"/>
                    </a:xfrm>
                    <a:prstGeom prst="rect">
                      <a:avLst/>
                    </a:prstGeom>
                    <a:ln w="12700" cap="flat">
                      <a:noFill/>
                      <a:miter lim="400000"/>
                    </a:ln>
                    <a:effectLst/>
                  </pic:spPr>
                </pic:pic>
              </a:graphicData>
            </a:graphic>
          </wp:anchor>
        </w:drawing>
      </w:r>
      <w:r w:rsidRPr="005A4DE9" w:rsidR="00405849">
        <w:rPr>
          <w:b/>
          <w:szCs w:val="18"/>
          <w:u w:val="single"/>
        </w:rPr>
        <w:t>Aan de leden van de commissie</w:t>
      </w:r>
      <w:r w:rsidRPr="005A4DE9" w:rsidR="006064F8">
        <w:rPr>
          <w:b/>
          <w:szCs w:val="18"/>
          <w:u w:val="single"/>
        </w:rPr>
        <w:t>s</w:t>
      </w:r>
      <w:r w:rsidRPr="005A4DE9" w:rsidR="00405849">
        <w:rPr>
          <w:b/>
          <w:szCs w:val="18"/>
          <w:u w:val="single"/>
        </w:rPr>
        <w:t xml:space="preserve"> </w:t>
      </w:r>
      <w:bookmarkEnd w:id="1"/>
      <w:r w:rsidR="009C5AE6">
        <w:rPr>
          <w:b/>
          <w:szCs w:val="18"/>
          <w:u w:val="single"/>
        </w:rPr>
        <w:t xml:space="preserve">I&amp;M en </w:t>
      </w:r>
      <w:r w:rsidRPr="005A4DE9" w:rsidR="00B51425">
        <w:rPr>
          <w:b/>
          <w:szCs w:val="18"/>
          <w:u w:val="single"/>
        </w:rPr>
        <w:t>EZ</w:t>
      </w:r>
      <w:r w:rsidRPr="005A4DE9" w:rsidR="006064F8">
        <w:rPr>
          <w:b/>
          <w:szCs w:val="18"/>
          <w:u w:val="single"/>
        </w:rPr>
        <w:t xml:space="preserve"> </w:t>
      </w:r>
    </w:p>
    <w:p w:rsidRPr="005A4DE9" w:rsidR="00405849" w:rsidP="00993C3B" w:rsidRDefault="00E20262">
      <w:pPr>
        <w:rPr>
          <w:b/>
          <w:szCs w:val="18"/>
          <w:u w:val="single"/>
        </w:rPr>
      </w:pPr>
      <w:r w:rsidRPr="005A4DE9">
        <w:rPr>
          <w:b/>
          <w:szCs w:val="18"/>
          <w:u w:val="single"/>
        </w:rPr>
        <w:t>In afschrift aan de leden van de commissies EU en WR</w:t>
      </w:r>
    </w:p>
    <w:p w:rsidRPr="005A4DE9" w:rsidR="00EA0108" w:rsidP="00993C3B" w:rsidRDefault="00EA0108">
      <w:pPr>
        <w:rPr>
          <w:b/>
          <w:szCs w:val="18"/>
        </w:rPr>
      </w:pPr>
    </w:p>
    <w:p w:rsidRPr="005A4DE9" w:rsidR="00EA0108" w:rsidP="00993C3B" w:rsidRDefault="00EA0108">
      <w:pPr>
        <w:rPr>
          <w:b/>
          <w:szCs w:val="18"/>
        </w:rPr>
      </w:pPr>
    </w:p>
    <w:p w:rsidRPr="005A4DE9" w:rsidR="00DE2E50" w:rsidP="00993C3B" w:rsidRDefault="00DE2E50">
      <w:pPr>
        <w:rPr>
          <w:b/>
          <w:szCs w:val="18"/>
        </w:rPr>
      </w:pPr>
      <w:r w:rsidRPr="005A4DE9">
        <w:rPr>
          <w:b/>
          <w:szCs w:val="18"/>
        </w:rPr>
        <w:t>Aanleiding</w:t>
      </w:r>
    </w:p>
    <w:p w:rsidRPr="005A4DE9" w:rsidR="00BE0861" w:rsidP="00993C3B" w:rsidRDefault="00012151">
      <w:pPr>
        <w:pStyle w:val="Lijstalinea"/>
        <w:numPr>
          <w:ilvl w:val="0"/>
          <w:numId w:val="1"/>
        </w:numPr>
        <w:rPr>
          <w:szCs w:val="18"/>
        </w:rPr>
      </w:pPr>
      <w:r w:rsidRPr="005A4DE9">
        <w:rPr>
          <w:szCs w:val="18"/>
        </w:rPr>
        <w:t xml:space="preserve">In het kader van ons </w:t>
      </w:r>
      <w:r w:rsidRPr="005A4DE9" w:rsidR="00BE0861">
        <w:rPr>
          <w:szCs w:val="18"/>
        </w:rPr>
        <w:t>co-</w:t>
      </w:r>
      <w:r w:rsidRPr="005A4DE9">
        <w:rPr>
          <w:szCs w:val="18"/>
        </w:rPr>
        <w:t xml:space="preserve">rapporteurschap Energie-Unie voor de </w:t>
      </w:r>
      <w:r w:rsidRPr="005A4DE9" w:rsidR="002D1612">
        <w:rPr>
          <w:szCs w:val="18"/>
        </w:rPr>
        <w:t>vaste commissie voor Economische Zaken (EZ) en de vaste commissie voor Infrastructuur en Milieu (I&amp;M)</w:t>
      </w:r>
      <w:r w:rsidRPr="005A4DE9" w:rsidR="00BE0861">
        <w:rPr>
          <w:szCs w:val="18"/>
        </w:rPr>
        <w:t xml:space="preserve"> sturen wij u </w:t>
      </w:r>
      <w:r w:rsidRPr="005A4DE9" w:rsidR="005A587B">
        <w:rPr>
          <w:szCs w:val="18"/>
        </w:rPr>
        <w:t>hierbij e</w:t>
      </w:r>
      <w:r w:rsidRPr="005A4DE9" w:rsidR="000D28D6">
        <w:rPr>
          <w:szCs w:val="18"/>
        </w:rPr>
        <w:t>en voortgangsverslag.</w:t>
      </w:r>
    </w:p>
    <w:p w:rsidRPr="005A4DE9" w:rsidR="00BE0861" w:rsidP="00993C3B" w:rsidRDefault="00BE0861">
      <w:pPr>
        <w:pStyle w:val="Lijstalinea"/>
        <w:numPr>
          <w:ilvl w:val="0"/>
          <w:numId w:val="1"/>
        </w:numPr>
        <w:rPr>
          <w:szCs w:val="18"/>
        </w:rPr>
      </w:pPr>
      <w:r w:rsidRPr="005A4DE9">
        <w:rPr>
          <w:szCs w:val="18"/>
        </w:rPr>
        <w:t xml:space="preserve">Dit verslag bevat </w:t>
      </w:r>
      <w:r w:rsidRPr="005A4DE9" w:rsidR="000D6BFD">
        <w:rPr>
          <w:szCs w:val="18"/>
        </w:rPr>
        <w:t>een kort</w:t>
      </w:r>
      <w:r w:rsidRPr="005A4DE9">
        <w:rPr>
          <w:szCs w:val="18"/>
        </w:rPr>
        <w:t xml:space="preserve">e update van de voorstellen </w:t>
      </w:r>
      <w:r w:rsidR="003B773A">
        <w:rPr>
          <w:szCs w:val="18"/>
        </w:rPr>
        <w:t xml:space="preserve">uit de Kaderstrategie Energie-Unie </w:t>
      </w:r>
      <w:r w:rsidRPr="005A4DE9">
        <w:rPr>
          <w:szCs w:val="18"/>
        </w:rPr>
        <w:t xml:space="preserve">die onlangs </w:t>
      </w:r>
      <w:r w:rsidR="007B32F9">
        <w:rPr>
          <w:szCs w:val="18"/>
        </w:rPr>
        <w:t xml:space="preserve">door de Europese Commissie zijn uitgebracht en </w:t>
      </w:r>
      <w:r w:rsidR="00487272">
        <w:rPr>
          <w:szCs w:val="18"/>
        </w:rPr>
        <w:t xml:space="preserve">een overzicht van de voorstellen die </w:t>
      </w:r>
      <w:r w:rsidR="007B32F9">
        <w:rPr>
          <w:szCs w:val="18"/>
        </w:rPr>
        <w:t xml:space="preserve">nog voor de zomer van 2016 worden verwacht. </w:t>
      </w:r>
      <w:r w:rsidR="003B773A">
        <w:rPr>
          <w:szCs w:val="18"/>
        </w:rPr>
        <w:t xml:space="preserve"> </w:t>
      </w:r>
      <w:r w:rsidRPr="005A4DE9">
        <w:rPr>
          <w:szCs w:val="18"/>
        </w:rPr>
        <w:t xml:space="preserve"> </w:t>
      </w:r>
    </w:p>
    <w:p w:rsidR="00BE0861" w:rsidP="00993C3B" w:rsidRDefault="00BE0861">
      <w:pPr>
        <w:pStyle w:val="Lijstalinea"/>
        <w:numPr>
          <w:ilvl w:val="0"/>
          <w:numId w:val="1"/>
        </w:numPr>
        <w:rPr>
          <w:szCs w:val="18"/>
        </w:rPr>
      </w:pPr>
      <w:r w:rsidRPr="005A4DE9">
        <w:rPr>
          <w:szCs w:val="18"/>
        </w:rPr>
        <w:t xml:space="preserve">Ook bevat de notitie een overzicht van </w:t>
      </w:r>
      <w:r w:rsidR="003B773A">
        <w:rPr>
          <w:szCs w:val="18"/>
        </w:rPr>
        <w:t xml:space="preserve">de </w:t>
      </w:r>
      <w:r w:rsidRPr="005A4DE9">
        <w:rPr>
          <w:szCs w:val="18"/>
        </w:rPr>
        <w:t xml:space="preserve">belangrijkste behandelmomenten in de Tweede Kamer </w:t>
      </w:r>
      <w:r w:rsidR="003B773A">
        <w:rPr>
          <w:szCs w:val="18"/>
        </w:rPr>
        <w:t xml:space="preserve">tot aan </w:t>
      </w:r>
      <w:r w:rsidR="007B32F9">
        <w:rPr>
          <w:szCs w:val="18"/>
        </w:rPr>
        <w:t xml:space="preserve">het zomerreces. </w:t>
      </w:r>
      <w:r w:rsidR="003B773A">
        <w:rPr>
          <w:szCs w:val="18"/>
        </w:rPr>
        <w:t xml:space="preserve"> </w:t>
      </w:r>
    </w:p>
    <w:p w:rsidR="00BE0861" w:rsidP="00076842" w:rsidRDefault="00076842">
      <w:pPr>
        <w:pStyle w:val="Lijstalinea"/>
        <w:numPr>
          <w:ilvl w:val="0"/>
          <w:numId w:val="1"/>
        </w:numPr>
        <w:rPr>
          <w:szCs w:val="18"/>
        </w:rPr>
      </w:pPr>
      <w:r w:rsidRPr="00076842">
        <w:rPr>
          <w:szCs w:val="18"/>
        </w:rPr>
        <w:t xml:space="preserve">In de notitie </w:t>
      </w:r>
      <w:r>
        <w:rPr>
          <w:szCs w:val="18"/>
        </w:rPr>
        <w:t xml:space="preserve">stellen wij een tevens een </w:t>
      </w:r>
      <w:r w:rsidRPr="00076842" w:rsidR="00BE0861">
        <w:rPr>
          <w:szCs w:val="18"/>
        </w:rPr>
        <w:t xml:space="preserve">aantal extra commissie </w:t>
      </w:r>
      <w:r w:rsidRPr="00076842" w:rsidR="003B773A">
        <w:rPr>
          <w:szCs w:val="18"/>
        </w:rPr>
        <w:t>a</w:t>
      </w:r>
      <w:r w:rsidRPr="00076842" w:rsidR="00BE0861">
        <w:rPr>
          <w:szCs w:val="18"/>
        </w:rPr>
        <w:t>ctiviteiten voor</w:t>
      </w:r>
      <w:r w:rsidR="007B32F9">
        <w:rPr>
          <w:szCs w:val="18"/>
        </w:rPr>
        <w:t xml:space="preserve"> </w:t>
      </w:r>
      <w:r w:rsidR="000D00AD">
        <w:rPr>
          <w:szCs w:val="18"/>
        </w:rPr>
        <w:t xml:space="preserve">ter voorbereiding van </w:t>
      </w:r>
      <w:r w:rsidR="007B32F9">
        <w:rPr>
          <w:szCs w:val="18"/>
        </w:rPr>
        <w:t xml:space="preserve">de Kamerbehandeling </w:t>
      </w:r>
      <w:r w:rsidR="00B04958">
        <w:rPr>
          <w:szCs w:val="18"/>
        </w:rPr>
        <w:t xml:space="preserve">de komende maanden </w:t>
      </w:r>
      <w:r w:rsidR="007B32F9">
        <w:rPr>
          <w:szCs w:val="18"/>
        </w:rPr>
        <w:t xml:space="preserve">van </w:t>
      </w:r>
      <w:r w:rsidR="000D00AD">
        <w:rPr>
          <w:szCs w:val="18"/>
        </w:rPr>
        <w:t xml:space="preserve">de voorstellen uit de Kaderstrategie Energie-Unie. </w:t>
      </w:r>
      <w:r w:rsidR="00354AD4">
        <w:rPr>
          <w:szCs w:val="18"/>
        </w:rPr>
        <w:t xml:space="preserve"> </w:t>
      </w:r>
      <w:r w:rsidR="007B32F9">
        <w:rPr>
          <w:szCs w:val="18"/>
        </w:rPr>
        <w:t xml:space="preserve"> </w:t>
      </w:r>
      <w:r w:rsidRPr="00076842" w:rsidR="00F96979">
        <w:rPr>
          <w:szCs w:val="18"/>
        </w:rPr>
        <w:t xml:space="preserve"> </w:t>
      </w:r>
    </w:p>
    <w:p w:rsidRPr="00076842" w:rsidR="00076842" w:rsidP="00076842" w:rsidRDefault="00076842">
      <w:pPr>
        <w:pStyle w:val="Lijstalinea"/>
        <w:numPr>
          <w:ilvl w:val="0"/>
          <w:numId w:val="1"/>
        </w:numPr>
        <w:rPr>
          <w:szCs w:val="18"/>
        </w:rPr>
      </w:pPr>
      <w:r>
        <w:rPr>
          <w:szCs w:val="18"/>
        </w:rPr>
        <w:t>Tot slot besteedt deze notitie kort aandacht aan de interparlementaire themabijeenkomst ‘Energie, innovatie, circulaire economie’ die op zondag 3 en maandag 4 april door de Eerste en Tweede Kamer wordt georganiseerd in het kader van het Nederlandse EU-Voorzitterschap.</w:t>
      </w:r>
    </w:p>
    <w:p w:rsidRPr="005A4DE9" w:rsidR="00955BBA" w:rsidP="00993C3B" w:rsidRDefault="00955BBA">
      <w:pPr>
        <w:rPr>
          <w:szCs w:val="18"/>
        </w:rPr>
      </w:pPr>
    </w:p>
    <w:p w:rsidRPr="005A4DE9" w:rsidR="00955BBA" w:rsidP="00993C3B" w:rsidRDefault="00955BBA">
      <w:pPr>
        <w:rPr>
          <w:b/>
          <w:szCs w:val="18"/>
        </w:rPr>
      </w:pPr>
      <w:r w:rsidRPr="005A4DE9">
        <w:rPr>
          <w:b/>
          <w:szCs w:val="18"/>
        </w:rPr>
        <w:t>Advies</w:t>
      </w:r>
    </w:p>
    <w:p w:rsidRPr="005A4DE9" w:rsidR="00EE4CBA" w:rsidP="00993C3B" w:rsidRDefault="00960587">
      <w:pPr>
        <w:rPr>
          <w:szCs w:val="18"/>
        </w:rPr>
      </w:pPr>
      <w:r w:rsidRPr="005A4DE9">
        <w:rPr>
          <w:szCs w:val="18"/>
        </w:rPr>
        <w:t xml:space="preserve">Wij </w:t>
      </w:r>
      <w:r w:rsidR="00076842">
        <w:rPr>
          <w:szCs w:val="18"/>
        </w:rPr>
        <w:t xml:space="preserve">geven u in overweging om:  </w:t>
      </w:r>
      <w:r w:rsidRPr="005A4DE9">
        <w:rPr>
          <w:szCs w:val="18"/>
        </w:rPr>
        <w:t xml:space="preserve">  </w:t>
      </w:r>
    </w:p>
    <w:p w:rsidR="00960587" w:rsidP="00993C3B" w:rsidRDefault="00960587">
      <w:pPr>
        <w:pStyle w:val="Lijstalinea"/>
        <w:numPr>
          <w:ilvl w:val="0"/>
          <w:numId w:val="1"/>
        </w:numPr>
        <w:rPr>
          <w:szCs w:val="18"/>
        </w:rPr>
      </w:pPr>
      <w:r w:rsidRPr="005A4DE9">
        <w:rPr>
          <w:szCs w:val="18"/>
        </w:rPr>
        <w:t xml:space="preserve">de </w:t>
      </w:r>
      <w:r w:rsidRPr="005A4DE9" w:rsidR="00955BBA">
        <w:rPr>
          <w:szCs w:val="18"/>
        </w:rPr>
        <w:t xml:space="preserve">informatie uit het </w:t>
      </w:r>
      <w:r w:rsidR="00076842">
        <w:rPr>
          <w:szCs w:val="18"/>
        </w:rPr>
        <w:t>voortgangs</w:t>
      </w:r>
      <w:r w:rsidRPr="005A4DE9" w:rsidR="00955BBA">
        <w:rPr>
          <w:szCs w:val="18"/>
        </w:rPr>
        <w:t>verslag desgewenst te betrekken bij de uw vo</w:t>
      </w:r>
      <w:r w:rsidRPr="005A4DE9" w:rsidR="00F70A63">
        <w:rPr>
          <w:szCs w:val="18"/>
        </w:rPr>
        <w:t>o</w:t>
      </w:r>
      <w:r w:rsidRPr="005A4DE9" w:rsidR="00955BBA">
        <w:rPr>
          <w:szCs w:val="18"/>
        </w:rPr>
        <w:t>rbereiding van de kamerbehandeling van de diverse onderdelen van de Kaderstrategie Energie-Unie</w:t>
      </w:r>
      <w:r w:rsidRPr="005A4DE9">
        <w:rPr>
          <w:szCs w:val="18"/>
        </w:rPr>
        <w:t>;</w:t>
      </w:r>
    </w:p>
    <w:p w:rsidR="008A7206" w:rsidP="008A7206" w:rsidRDefault="008A7206">
      <w:pPr>
        <w:pStyle w:val="Lijstalinea"/>
        <w:numPr>
          <w:ilvl w:val="0"/>
          <w:numId w:val="1"/>
        </w:numPr>
        <w:rPr>
          <w:szCs w:val="17"/>
        </w:rPr>
      </w:pPr>
      <w:r>
        <w:rPr>
          <w:szCs w:val="18"/>
        </w:rPr>
        <w:t xml:space="preserve">in te stemmen met het uitnodigen van Eurocommissaris </w:t>
      </w:r>
      <w:r w:rsidRPr="008A7206">
        <w:rPr>
          <w:szCs w:val="17"/>
        </w:rPr>
        <w:t>Miguel Arias Cañete voor Klimaatactie</w:t>
      </w:r>
      <w:r>
        <w:rPr>
          <w:szCs w:val="17"/>
        </w:rPr>
        <w:t xml:space="preserve"> en Energie voor een gesprek </w:t>
      </w:r>
      <w:r w:rsidR="007B4B7E">
        <w:rPr>
          <w:szCs w:val="17"/>
        </w:rPr>
        <w:t xml:space="preserve">met de commissie I&amp;M en de commissie EZ </w:t>
      </w:r>
      <w:r>
        <w:rPr>
          <w:szCs w:val="17"/>
        </w:rPr>
        <w:t xml:space="preserve">over </w:t>
      </w:r>
      <w:r w:rsidR="00341DFE">
        <w:rPr>
          <w:szCs w:val="17"/>
        </w:rPr>
        <w:t xml:space="preserve">de </w:t>
      </w:r>
      <w:r>
        <w:rPr>
          <w:szCs w:val="17"/>
        </w:rPr>
        <w:t xml:space="preserve">herziening </w:t>
      </w:r>
      <w:r w:rsidR="00341DFE">
        <w:rPr>
          <w:szCs w:val="17"/>
        </w:rPr>
        <w:t xml:space="preserve">van het ETS </w:t>
      </w:r>
      <w:r w:rsidR="005A7E97">
        <w:rPr>
          <w:szCs w:val="17"/>
        </w:rPr>
        <w:t>en de recent gepubliceerde voorstellen over gaslevering en intergouvernementele energie-overeenkomsten</w:t>
      </w:r>
      <w:r w:rsidR="007B4B7E">
        <w:rPr>
          <w:szCs w:val="17"/>
        </w:rPr>
        <w:t>.</w:t>
      </w:r>
      <w:r w:rsidR="00D54B20">
        <w:rPr>
          <w:szCs w:val="17"/>
        </w:rPr>
        <w:t xml:space="preserve"> Een mogelijke datum voor dit gesprek is donderdag 14 april als d</w:t>
      </w:r>
      <w:r w:rsidR="00A37888">
        <w:rPr>
          <w:szCs w:val="17"/>
        </w:rPr>
        <w:t xml:space="preserve">e Eurocommissaris al in Nederland </w:t>
      </w:r>
      <w:r w:rsidR="00D54B20">
        <w:rPr>
          <w:szCs w:val="17"/>
        </w:rPr>
        <w:t xml:space="preserve">is </w:t>
      </w:r>
      <w:r w:rsidR="00A37888">
        <w:rPr>
          <w:szCs w:val="17"/>
        </w:rPr>
        <w:t>voor de Informele Milieu- en Transportraad</w:t>
      </w:r>
      <w:r w:rsidR="00D54B20">
        <w:rPr>
          <w:szCs w:val="17"/>
        </w:rPr>
        <w:t xml:space="preserve">. </w:t>
      </w:r>
    </w:p>
    <w:p w:rsidR="000D00AD" w:rsidP="003E0C91" w:rsidRDefault="000D00AD">
      <w:pPr>
        <w:rPr>
          <w:szCs w:val="17"/>
        </w:rPr>
      </w:pPr>
    </w:p>
    <w:p w:rsidRPr="000D00AD" w:rsidR="007B4B7E" w:rsidP="003E0C91" w:rsidRDefault="000D00AD">
      <w:pPr>
        <w:rPr>
          <w:szCs w:val="17"/>
        </w:rPr>
      </w:pPr>
      <w:r w:rsidRPr="000D00AD">
        <w:rPr>
          <w:szCs w:val="17"/>
        </w:rPr>
        <w:lastRenderedPageBreak/>
        <w:t>Tot slot geven wij d</w:t>
      </w:r>
      <w:r w:rsidRPr="000D00AD" w:rsidR="007B4B7E">
        <w:rPr>
          <w:szCs w:val="17"/>
        </w:rPr>
        <w:t>e Leden van de commissie I&amp;M in overweging om:</w:t>
      </w:r>
    </w:p>
    <w:p w:rsidR="003C5FA4" w:rsidP="003C5FA4" w:rsidRDefault="003C5FA4">
      <w:pPr>
        <w:pStyle w:val="Lijstalinea"/>
        <w:numPr>
          <w:ilvl w:val="0"/>
          <w:numId w:val="1"/>
        </w:numPr>
        <w:rPr>
          <w:szCs w:val="17"/>
        </w:rPr>
      </w:pPr>
      <w:r>
        <w:rPr>
          <w:szCs w:val="17"/>
        </w:rPr>
        <w:t xml:space="preserve">in te stemmen met het organiseren van een technische briefing voorafgaand aan het gesprek met Eurocommissaris </w:t>
      </w:r>
      <w:r w:rsidRPr="008A7206">
        <w:rPr>
          <w:szCs w:val="17"/>
        </w:rPr>
        <w:t>Cañete</w:t>
      </w:r>
      <w:r>
        <w:rPr>
          <w:szCs w:val="17"/>
        </w:rPr>
        <w:t xml:space="preserve"> door ambtenaren van de Europese Commissie over de</w:t>
      </w:r>
      <w:r w:rsidR="00785475">
        <w:rPr>
          <w:szCs w:val="17"/>
        </w:rPr>
        <w:t xml:space="preserve"> voorstellen voor de versterking van </w:t>
      </w:r>
      <w:r>
        <w:rPr>
          <w:szCs w:val="17"/>
        </w:rPr>
        <w:t>het ETS</w:t>
      </w:r>
      <w:r w:rsidR="00785475">
        <w:rPr>
          <w:szCs w:val="17"/>
        </w:rPr>
        <w:t>;</w:t>
      </w:r>
      <w:r>
        <w:rPr>
          <w:szCs w:val="17"/>
        </w:rPr>
        <w:t xml:space="preserve">  </w:t>
      </w:r>
    </w:p>
    <w:p w:rsidR="00955BBA" w:rsidP="00993C3B" w:rsidRDefault="00960587">
      <w:pPr>
        <w:pStyle w:val="Lijstalinea"/>
        <w:numPr>
          <w:ilvl w:val="0"/>
          <w:numId w:val="1"/>
        </w:numPr>
        <w:rPr>
          <w:szCs w:val="18"/>
        </w:rPr>
      </w:pPr>
      <w:r w:rsidRPr="005A4DE9">
        <w:rPr>
          <w:szCs w:val="18"/>
        </w:rPr>
        <w:t xml:space="preserve">in te stemmen met het organiseren van een video-conferentie </w:t>
      </w:r>
      <w:r w:rsidR="00354AD4">
        <w:rPr>
          <w:szCs w:val="18"/>
        </w:rPr>
        <w:t>in de tweede helft van april (voorafgaand aan het meireces) met de (schaduw)rapporteur</w:t>
      </w:r>
      <w:r w:rsidR="007B6665">
        <w:rPr>
          <w:szCs w:val="18"/>
        </w:rPr>
        <w:t>(</w:t>
      </w:r>
      <w:r w:rsidR="00354AD4">
        <w:rPr>
          <w:szCs w:val="18"/>
        </w:rPr>
        <w:t>s</w:t>
      </w:r>
      <w:r w:rsidR="007B6665">
        <w:rPr>
          <w:szCs w:val="18"/>
        </w:rPr>
        <w:t>)</w:t>
      </w:r>
      <w:r w:rsidR="00354AD4">
        <w:rPr>
          <w:szCs w:val="18"/>
        </w:rPr>
        <w:t xml:space="preserve"> uit het Europees Parlement over he</w:t>
      </w:r>
      <w:r w:rsidR="008A7206">
        <w:rPr>
          <w:szCs w:val="18"/>
        </w:rPr>
        <w:t>t EU-voorstel herziening ETS.</w:t>
      </w:r>
      <w:r w:rsidR="00354AD4">
        <w:rPr>
          <w:szCs w:val="18"/>
        </w:rPr>
        <w:t xml:space="preserve"> </w:t>
      </w:r>
      <w:r w:rsidRPr="005A4DE9">
        <w:rPr>
          <w:szCs w:val="18"/>
        </w:rPr>
        <w:t xml:space="preserve"> </w:t>
      </w:r>
      <w:r w:rsidRPr="005A4DE9" w:rsidR="00955BBA">
        <w:rPr>
          <w:szCs w:val="18"/>
        </w:rPr>
        <w:t xml:space="preserve"> </w:t>
      </w:r>
    </w:p>
    <w:p w:rsidRPr="008A7206" w:rsidR="00076842" w:rsidP="008A7206" w:rsidRDefault="00076842">
      <w:pPr>
        <w:rPr>
          <w:szCs w:val="18"/>
        </w:rPr>
      </w:pPr>
    </w:p>
    <w:p w:rsidRPr="005A4DE9" w:rsidR="00955BBA" w:rsidP="00993C3B" w:rsidRDefault="00955BBA">
      <w:pPr>
        <w:pStyle w:val="Lijstalinea"/>
        <w:ind w:left="1440"/>
        <w:rPr>
          <w:szCs w:val="18"/>
        </w:rPr>
      </w:pPr>
    </w:p>
    <w:p w:rsidRPr="005A4DE9" w:rsidR="00955BBA" w:rsidP="00993C3B" w:rsidRDefault="00F14714">
      <w:pPr>
        <w:spacing w:after="200"/>
        <w:rPr>
          <w:b/>
          <w:szCs w:val="18"/>
        </w:rPr>
      </w:pPr>
      <w:r>
        <w:rPr>
          <w:b/>
          <w:szCs w:val="18"/>
        </w:rPr>
        <w:t>T</w:t>
      </w:r>
      <w:r w:rsidRPr="005A4DE9" w:rsidR="00955BBA">
        <w:rPr>
          <w:b/>
          <w:szCs w:val="18"/>
        </w:rPr>
        <w:t xml:space="preserve">ijdplanning Kamerbehandeling tot </w:t>
      </w:r>
      <w:r w:rsidRPr="005A4DE9" w:rsidR="003C5D96">
        <w:rPr>
          <w:b/>
          <w:szCs w:val="18"/>
        </w:rPr>
        <w:t xml:space="preserve">zomerreces </w:t>
      </w:r>
      <w:r w:rsidRPr="005A4DE9" w:rsidR="00157A79">
        <w:rPr>
          <w:b/>
          <w:szCs w:val="18"/>
        </w:rPr>
        <w:t>2016</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58"/>
        <w:gridCol w:w="3012"/>
      </w:tblGrid>
      <w:tr w:rsidRPr="008A0025" w:rsidR="008A0025" w:rsidTr="00F04D67">
        <w:tc>
          <w:tcPr>
            <w:tcW w:w="4858" w:type="dxa"/>
            <w:shd w:val="clear" w:color="000000" w:fill="auto"/>
          </w:tcPr>
          <w:p w:rsidRPr="008A0025" w:rsidR="008A0025" w:rsidP="008A0025" w:rsidRDefault="008A0025">
            <w:pPr>
              <w:rPr>
                <w:b/>
                <w:szCs w:val="18"/>
              </w:rPr>
            </w:pPr>
            <w:r w:rsidRPr="008A0025">
              <w:rPr>
                <w:b/>
                <w:szCs w:val="18"/>
              </w:rPr>
              <w:t>Raadsformatie en datum</w:t>
            </w:r>
          </w:p>
        </w:tc>
        <w:tc>
          <w:tcPr>
            <w:tcW w:w="3012" w:type="dxa"/>
            <w:shd w:val="clear" w:color="000000" w:fill="auto"/>
          </w:tcPr>
          <w:p w:rsidRPr="008A0025" w:rsidR="008A0025" w:rsidP="008A0025" w:rsidRDefault="008A0025">
            <w:pPr>
              <w:rPr>
                <w:b/>
                <w:szCs w:val="18"/>
              </w:rPr>
            </w:pPr>
            <w:r w:rsidRPr="008A0025">
              <w:rPr>
                <w:b/>
                <w:szCs w:val="18"/>
              </w:rPr>
              <w:t>Datum AO/SO</w:t>
            </w:r>
          </w:p>
        </w:tc>
      </w:tr>
      <w:tr w:rsidRPr="008A0025" w:rsidR="008A0025" w:rsidTr="00F04D67">
        <w:tc>
          <w:tcPr>
            <w:tcW w:w="4858" w:type="dxa"/>
            <w:shd w:val="clear" w:color="000000" w:fill="auto"/>
          </w:tcPr>
          <w:p w:rsidRPr="008A0025" w:rsidR="008A0025" w:rsidP="008A0025" w:rsidRDefault="008A0025">
            <w:pPr>
              <w:rPr>
                <w:szCs w:val="18"/>
              </w:rPr>
            </w:pPr>
            <w:r w:rsidRPr="008A0025">
              <w:rPr>
                <w:szCs w:val="18"/>
              </w:rPr>
              <w:t>Informele Energieraad 11 april</w:t>
            </w:r>
          </w:p>
        </w:tc>
        <w:tc>
          <w:tcPr>
            <w:tcW w:w="3012" w:type="dxa"/>
            <w:shd w:val="clear" w:color="000000" w:fill="auto"/>
          </w:tcPr>
          <w:p w:rsidRPr="008A0025" w:rsidR="008A0025" w:rsidP="008A0025" w:rsidRDefault="008A0025">
            <w:pPr>
              <w:rPr>
                <w:szCs w:val="18"/>
              </w:rPr>
            </w:pPr>
            <w:r w:rsidRPr="008A0025">
              <w:rPr>
                <w:szCs w:val="18"/>
              </w:rPr>
              <w:t>Inbreng SO 4 april</w:t>
            </w:r>
          </w:p>
        </w:tc>
      </w:tr>
      <w:tr w:rsidRPr="008A0025" w:rsidR="008A0025" w:rsidTr="00F04D67">
        <w:tc>
          <w:tcPr>
            <w:tcW w:w="4858" w:type="dxa"/>
            <w:shd w:val="clear" w:color="000000" w:fill="auto"/>
          </w:tcPr>
          <w:p w:rsidRPr="008A0025" w:rsidR="008A0025" w:rsidP="008A0025" w:rsidRDefault="008A0025">
            <w:pPr>
              <w:rPr>
                <w:szCs w:val="18"/>
              </w:rPr>
            </w:pPr>
            <w:r w:rsidRPr="008A0025">
              <w:rPr>
                <w:szCs w:val="18"/>
              </w:rPr>
              <w:t>Informele Milieu- en Transportraad 14-15 april</w:t>
            </w:r>
          </w:p>
        </w:tc>
        <w:tc>
          <w:tcPr>
            <w:tcW w:w="3012" w:type="dxa"/>
            <w:shd w:val="clear" w:color="000000" w:fill="auto"/>
          </w:tcPr>
          <w:p w:rsidRPr="008A0025" w:rsidR="008A0025" w:rsidP="008A0025" w:rsidRDefault="008A0025">
            <w:pPr>
              <w:rPr>
                <w:szCs w:val="18"/>
              </w:rPr>
            </w:pPr>
            <w:r w:rsidRPr="008A0025">
              <w:rPr>
                <w:szCs w:val="18"/>
              </w:rPr>
              <w:t>Inbreng SO 29 maart</w:t>
            </w:r>
          </w:p>
        </w:tc>
      </w:tr>
      <w:tr w:rsidRPr="008A0025" w:rsidR="008A0025" w:rsidTr="00F04D67">
        <w:tc>
          <w:tcPr>
            <w:tcW w:w="4858" w:type="dxa"/>
            <w:shd w:val="clear" w:color="000000" w:fill="auto"/>
          </w:tcPr>
          <w:p w:rsidRPr="008A0025" w:rsidR="008A0025" w:rsidP="008A0025" w:rsidRDefault="008A0025">
            <w:pPr>
              <w:rPr>
                <w:szCs w:val="18"/>
              </w:rPr>
            </w:pPr>
            <w:r w:rsidRPr="008A0025">
              <w:rPr>
                <w:szCs w:val="18"/>
              </w:rPr>
              <w:t>Energieraad 6 juni</w:t>
            </w:r>
          </w:p>
        </w:tc>
        <w:tc>
          <w:tcPr>
            <w:tcW w:w="3012" w:type="dxa"/>
            <w:shd w:val="clear" w:color="000000" w:fill="auto"/>
          </w:tcPr>
          <w:p w:rsidRPr="008A0025" w:rsidR="008A0025" w:rsidP="008A0025" w:rsidRDefault="008A0025">
            <w:pPr>
              <w:rPr>
                <w:szCs w:val="18"/>
              </w:rPr>
            </w:pPr>
            <w:r w:rsidRPr="008A0025">
              <w:rPr>
                <w:szCs w:val="18"/>
              </w:rPr>
              <w:t>AO 1 juni</w:t>
            </w:r>
          </w:p>
        </w:tc>
      </w:tr>
      <w:tr w:rsidRPr="008A0025" w:rsidR="008A0025" w:rsidTr="00F04D67">
        <w:tc>
          <w:tcPr>
            <w:tcW w:w="4858" w:type="dxa"/>
            <w:shd w:val="clear" w:color="000000" w:fill="auto"/>
          </w:tcPr>
          <w:p w:rsidRPr="008A0025" w:rsidR="008A0025" w:rsidP="008A0025" w:rsidRDefault="008A0025">
            <w:pPr>
              <w:rPr>
                <w:szCs w:val="18"/>
              </w:rPr>
            </w:pPr>
            <w:r w:rsidRPr="008A0025">
              <w:rPr>
                <w:szCs w:val="18"/>
              </w:rPr>
              <w:t>Transportraad 13 juni</w:t>
            </w:r>
          </w:p>
        </w:tc>
        <w:tc>
          <w:tcPr>
            <w:tcW w:w="3012" w:type="dxa"/>
            <w:shd w:val="clear" w:color="000000" w:fill="auto"/>
          </w:tcPr>
          <w:p w:rsidRPr="008A0025" w:rsidR="008A0025" w:rsidP="008A0025" w:rsidRDefault="008A0025">
            <w:pPr>
              <w:rPr>
                <w:szCs w:val="18"/>
              </w:rPr>
            </w:pPr>
            <w:r w:rsidRPr="008A0025">
              <w:rPr>
                <w:szCs w:val="18"/>
              </w:rPr>
              <w:t>AO 25 mei</w:t>
            </w:r>
          </w:p>
        </w:tc>
      </w:tr>
      <w:tr w:rsidRPr="008A0025" w:rsidR="008A0025" w:rsidTr="00F04D67">
        <w:tc>
          <w:tcPr>
            <w:tcW w:w="4858" w:type="dxa"/>
            <w:shd w:val="clear" w:color="000000" w:fill="auto"/>
          </w:tcPr>
          <w:p w:rsidRPr="008A0025" w:rsidR="008A0025" w:rsidP="008A0025" w:rsidRDefault="008A0025">
            <w:pPr>
              <w:rPr>
                <w:szCs w:val="18"/>
              </w:rPr>
            </w:pPr>
            <w:r w:rsidRPr="008A0025">
              <w:rPr>
                <w:szCs w:val="18"/>
              </w:rPr>
              <w:t>Milieuraad 20 juni</w:t>
            </w:r>
          </w:p>
        </w:tc>
        <w:tc>
          <w:tcPr>
            <w:tcW w:w="3012" w:type="dxa"/>
            <w:shd w:val="clear" w:color="000000" w:fill="auto"/>
          </w:tcPr>
          <w:p w:rsidRPr="008A0025" w:rsidR="008A0025" w:rsidP="008A0025" w:rsidRDefault="008A0025">
            <w:pPr>
              <w:rPr>
                <w:szCs w:val="18"/>
              </w:rPr>
            </w:pPr>
            <w:r w:rsidRPr="008A0025">
              <w:rPr>
                <w:szCs w:val="18"/>
              </w:rPr>
              <w:t>AO 7 juni</w:t>
            </w:r>
          </w:p>
        </w:tc>
      </w:tr>
    </w:tbl>
    <w:p w:rsidR="002E72DB" w:rsidP="001348C0" w:rsidRDefault="002E72DB">
      <w:pPr>
        <w:widowControl w:val="0"/>
        <w:tabs>
          <w:tab w:val="left" w:pos="0"/>
        </w:tabs>
        <w:suppressAutoHyphens/>
        <w:autoSpaceDN w:val="0"/>
        <w:spacing w:line="276" w:lineRule="auto"/>
        <w:textAlignment w:val="baseline"/>
        <w:outlineLvl w:val="0"/>
        <w:rPr>
          <w:rFonts w:eastAsia="DejaVu Sans" w:cs="Lohit Hindi"/>
          <w:b/>
          <w:kern w:val="3"/>
          <w:szCs w:val="18"/>
          <w:lang w:eastAsia="zh-CN" w:bidi="hi-IN"/>
        </w:rPr>
      </w:pPr>
    </w:p>
    <w:p w:rsidR="002642FC" w:rsidRDefault="002642FC">
      <w:pPr>
        <w:rPr>
          <w:rFonts w:eastAsia="DejaVu Sans" w:cs="Lohit Hindi"/>
          <w:b/>
          <w:kern w:val="3"/>
          <w:szCs w:val="18"/>
          <w:lang w:eastAsia="zh-CN" w:bidi="hi-IN"/>
        </w:rPr>
      </w:pPr>
    </w:p>
    <w:p w:rsidR="00EA5E14" w:rsidRDefault="00EA5E14">
      <w:pPr>
        <w:rPr>
          <w:rFonts w:eastAsia="DejaVu Sans" w:cs="Lohit Hindi"/>
          <w:b/>
          <w:kern w:val="3"/>
          <w:szCs w:val="18"/>
          <w:lang w:eastAsia="zh-CN" w:bidi="hi-IN"/>
        </w:rPr>
      </w:pPr>
      <w:r>
        <w:rPr>
          <w:rFonts w:eastAsia="DejaVu Sans" w:cs="Lohit Hindi"/>
          <w:b/>
          <w:kern w:val="3"/>
          <w:szCs w:val="18"/>
          <w:lang w:eastAsia="zh-CN" w:bidi="hi-IN"/>
        </w:rPr>
        <w:t>Voortgangsrapportage</w:t>
      </w:r>
    </w:p>
    <w:p w:rsidR="00EA5E14" w:rsidRDefault="00EA5E14">
      <w:pPr>
        <w:rPr>
          <w:rFonts w:eastAsia="DejaVu Sans" w:cs="Lohit Hindi"/>
          <w:b/>
          <w:kern w:val="3"/>
          <w:szCs w:val="18"/>
          <w:lang w:eastAsia="zh-CN" w:bidi="hi-IN"/>
        </w:rPr>
      </w:pPr>
    </w:p>
    <w:p w:rsidRPr="00EA5E14" w:rsidR="001348C0" w:rsidP="001348C0" w:rsidRDefault="00FF26F1">
      <w:pPr>
        <w:widowControl w:val="0"/>
        <w:tabs>
          <w:tab w:val="left" w:pos="0"/>
        </w:tabs>
        <w:suppressAutoHyphens/>
        <w:autoSpaceDN w:val="0"/>
        <w:spacing w:line="276" w:lineRule="auto"/>
        <w:textAlignment w:val="baseline"/>
        <w:outlineLvl w:val="0"/>
        <w:rPr>
          <w:rFonts w:eastAsia="DejaVu Sans" w:cs="Lohit Hindi"/>
          <w:b/>
          <w:kern w:val="3"/>
          <w:szCs w:val="18"/>
          <w:u w:val="single"/>
          <w:lang w:eastAsia="zh-CN" w:bidi="hi-IN"/>
        </w:rPr>
      </w:pPr>
      <w:r w:rsidRPr="00EA5E14">
        <w:rPr>
          <w:rFonts w:eastAsia="DejaVu Sans" w:cs="Lohit Hindi"/>
          <w:b/>
          <w:kern w:val="3"/>
          <w:szCs w:val="18"/>
          <w:u w:val="single"/>
          <w:lang w:eastAsia="zh-CN" w:bidi="hi-IN"/>
        </w:rPr>
        <w:t xml:space="preserve">Update belangrijkste </w:t>
      </w:r>
      <w:r w:rsidRPr="00EA5E14" w:rsidR="0013611C">
        <w:rPr>
          <w:rFonts w:eastAsia="DejaVu Sans" w:cs="Lohit Hindi"/>
          <w:b/>
          <w:kern w:val="3"/>
          <w:szCs w:val="18"/>
          <w:u w:val="single"/>
          <w:lang w:eastAsia="zh-CN" w:bidi="hi-IN"/>
        </w:rPr>
        <w:t xml:space="preserve">in 2015 verschenen voorstellen </w:t>
      </w:r>
    </w:p>
    <w:p w:rsidR="002E72DB" w:rsidP="0013611C" w:rsidRDefault="002E72DB">
      <w:pPr>
        <w:widowControl w:val="0"/>
        <w:tabs>
          <w:tab w:val="left" w:pos="0"/>
        </w:tabs>
        <w:suppressAutoHyphens/>
        <w:autoSpaceDN w:val="0"/>
        <w:spacing w:line="276" w:lineRule="auto"/>
        <w:textAlignment w:val="baseline"/>
        <w:outlineLvl w:val="0"/>
        <w:rPr>
          <w:rFonts w:eastAsia="DejaVu Sans" w:cs="Lohit Hindi"/>
          <w:b/>
          <w:kern w:val="3"/>
          <w:szCs w:val="18"/>
          <w:lang w:eastAsia="zh-CN" w:bidi="hi-IN"/>
        </w:rPr>
      </w:pPr>
    </w:p>
    <w:p w:rsidRPr="00FF26F1" w:rsidR="00D66976" w:rsidP="00FF26F1" w:rsidRDefault="0013611C">
      <w:pPr>
        <w:pStyle w:val="Lijstalinea"/>
        <w:numPr>
          <w:ilvl w:val="0"/>
          <w:numId w:val="27"/>
        </w:numPr>
        <w:spacing w:after="200"/>
        <w:rPr>
          <w:b/>
          <w:szCs w:val="17"/>
        </w:rPr>
      </w:pPr>
      <w:r w:rsidRPr="00FF26F1">
        <w:rPr>
          <w:b/>
          <w:szCs w:val="17"/>
        </w:rPr>
        <w:t xml:space="preserve">Herziening EU-ETS (2021-2030): </w:t>
      </w:r>
    </w:p>
    <w:p w:rsidRPr="0013611C" w:rsidR="0013611C" w:rsidP="0013611C" w:rsidRDefault="0013611C">
      <w:pPr>
        <w:spacing w:after="200"/>
        <w:rPr>
          <w:szCs w:val="17"/>
        </w:rPr>
      </w:pPr>
      <w:r w:rsidRPr="0013611C">
        <w:rPr>
          <w:szCs w:val="17"/>
        </w:rPr>
        <w:t>Op 15 juli jl. bracht de Europese Commissie haar voorstel uit voor de herziening van het EU-ETS voor de periode 2021-2030. Kernelementen zijn:</w:t>
      </w:r>
    </w:p>
    <w:p w:rsidRPr="0013611C" w:rsidR="0013611C" w:rsidP="0013611C" w:rsidRDefault="0013611C">
      <w:pPr>
        <w:numPr>
          <w:ilvl w:val="0"/>
          <w:numId w:val="4"/>
        </w:numPr>
        <w:spacing w:after="200"/>
        <w:contextualSpacing/>
        <w:rPr>
          <w:szCs w:val="17"/>
          <w:u w:val="single"/>
        </w:rPr>
      </w:pPr>
      <w:r w:rsidRPr="0013611C">
        <w:rPr>
          <w:szCs w:val="17"/>
        </w:rPr>
        <w:t xml:space="preserve">Jaarlijkse </w:t>
      </w:r>
      <w:r w:rsidRPr="0013611C">
        <w:rPr>
          <w:b/>
          <w:szCs w:val="17"/>
        </w:rPr>
        <w:t>verlaging van de emissieplafonds</w:t>
      </w:r>
      <w:r w:rsidRPr="0013611C">
        <w:rPr>
          <w:szCs w:val="17"/>
        </w:rPr>
        <w:t xml:space="preserve"> (‘</w:t>
      </w:r>
      <w:r w:rsidRPr="0013611C">
        <w:rPr>
          <w:i/>
          <w:szCs w:val="17"/>
        </w:rPr>
        <w:t>caps</w:t>
      </w:r>
      <w:r w:rsidRPr="0013611C">
        <w:rPr>
          <w:szCs w:val="17"/>
        </w:rPr>
        <w:t>’) voor de sectoren binnen het EU-ETS met 2,2%, zodat deze sectoren in 2030 samen 43% minder uitstoten (circa 556 miljoen ton CO</w:t>
      </w:r>
      <w:r w:rsidRPr="0013611C">
        <w:rPr>
          <w:szCs w:val="16"/>
          <w:vertAlign w:val="subscript"/>
        </w:rPr>
        <w:t>2</w:t>
      </w:r>
      <w:r w:rsidRPr="0013611C">
        <w:rPr>
          <w:szCs w:val="17"/>
        </w:rPr>
        <w:t xml:space="preserve">-equivalent) ten opzichte van het jaar 2005 (de eerste, proefperiode van het EU-ETS) </w:t>
      </w:r>
    </w:p>
    <w:p w:rsidRPr="0013611C" w:rsidR="0013611C" w:rsidP="0013611C" w:rsidRDefault="0013611C">
      <w:pPr>
        <w:numPr>
          <w:ilvl w:val="0"/>
          <w:numId w:val="4"/>
        </w:numPr>
        <w:spacing w:after="200"/>
        <w:contextualSpacing/>
        <w:rPr>
          <w:szCs w:val="17"/>
        </w:rPr>
      </w:pPr>
      <w:r w:rsidRPr="0013611C">
        <w:rPr>
          <w:szCs w:val="17"/>
        </w:rPr>
        <w:t xml:space="preserve">Aangepaste EU-regels voor het </w:t>
      </w:r>
      <w:r w:rsidRPr="0013611C">
        <w:rPr>
          <w:b/>
          <w:szCs w:val="17"/>
        </w:rPr>
        <w:t>gratis verstrekken van emissierechten</w:t>
      </w:r>
      <w:r w:rsidRPr="0013611C">
        <w:rPr>
          <w:szCs w:val="17"/>
        </w:rPr>
        <w:t xml:space="preserve"> (‘</w:t>
      </w:r>
      <w:r w:rsidRPr="0013611C">
        <w:rPr>
          <w:i/>
          <w:szCs w:val="17"/>
        </w:rPr>
        <w:t>free allowances’</w:t>
      </w:r>
      <w:r w:rsidRPr="0013611C">
        <w:rPr>
          <w:szCs w:val="17"/>
        </w:rPr>
        <w:t>)</w:t>
      </w:r>
    </w:p>
    <w:p w:rsidRPr="0013611C" w:rsidR="0013611C" w:rsidP="0013611C" w:rsidRDefault="0013611C">
      <w:pPr>
        <w:numPr>
          <w:ilvl w:val="0"/>
          <w:numId w:val="4"/>
        </w:numPr>
        <w:spacing w:after="200"/>
        <w:contextualSpacing/>
        <w:rPr>
          <w:szCs w:val="17"/>
        </w:rPr>
      </w:pPr>
      <w:r w:rsidRPr="0013611C">
        <w:rPr>
          <w:szCs w:val="17"/>
        </w:rPr>
        <w:t>Nieuwe</w:t>
      </w:r>
      <w:r w:rsidRPr="0013611C">
        <w:rPr>
          <w:b/>
          <w:szCs w:val="17"/>
        </w:rPr>
        <w:t xml:space="preserve"> financieringsinstrumenten </w:t>
      </w:r>
      <w:r w:rsidRPr="0013611C">
        <w:rPr>
          <w:szCs w:val="17"/>
        </w:rPr>
        <w:t>voor innovatie en modernisering</w:t>
      </w:r>
    </w:p>
    <w:p w:rsidRPr="0013611C" w:rsidR="0013611C" w:rsidP="0013611C" w:rsidRDefault="0013611C">
      <w:pPr>
        <w:spacing w:after="200"/>
        <w:rPr>
          <w:szCs w:val="17"/>
          <w:u w:val="single"/>
        </w:rPr>
      </w:pPr>
      <w:r w:rsidRPr="0013611C">
        <w:t xml:space="preserve">Voor een uitgebreide samenvatting van het voorstel, zie de </w:t>
      </w:r>
      <w:hyperlink w:history="1" r:id="rId11">
        <w:r w:rsidRPr="0013611C">
          <w:rPr>
            <w:color w:val="0000FF" w:themeColor="hyperlink"/>
            <w:u w:val="single"/>
          </w:rPr>
          <w:t>notitie van co-rapporteur Dijkstra mede namens het Lid Van Veldhoven d.d. 1 september 2015.</w:t>
        </w:r>
      </w:hyperlink>
    </w:p>
    <w:p w:rsidR="00E36228" w:rsidP="00D33E8D" w:rsidRDefault="0013611C">
      <w:pPr>
        <w:spacing w:after="200"/>
        <w:rPr>
          <w:szCs w:val="17"/>
          <w:u w:val="single"/>
        </w:rPr>
      </w:pPr>
      <w:r w:rsidRPr="0013611C">
        <w:rPr>
          <w:szCs w:val="17"/>
        </w:rPr>
        <w:t xml:space="preserve">Het </w:t>
      </w:r>
      <w:hyperlink w:history="1" r:id="rId12">
        <w:r w:rsidRPr="0013611C">
          <w:rPr>
            <w:color w:val="0000FF" w:themeColor="hyperlink"/>
            <w:szCs w:val="17"/>
            <w:u w:val="single"/>
          </w:rPr>
          <w:t>BNC-fiche</w:t>
        </w:r>
      </w:hyperlink>
      <w:r w:rsidRPr="0013611C">
        <w:rPr>
          <w:szCs w:val="17"/>
        </w:rPr>
        <w:t xml:space="preserve"> met de eerste appreciatie van het kabinet van het EU-voorstel is op 18 september jl. door de Kamer ontvangen en </w:t>
      </w:r>
      <w:r w:rsidR="007B67DA">
        <w:rPr>
          <w:szCs w:val="17"/>
        </w:rPr>
        <w:t xml:space="preserve">tijdens </w:t>
      </w:r>
      <w:r w:rsidRPr="0013611C">
        <w:rPr>
          <w:szCs w:val="17"/>
        </w:rPr>
        <w:t>het AO Milieuraad d.d. 15 oktober 2015</w:t>
      </w:r>
      <w:r w:rsidR="007B67DA">
        <w:rPr>
          <w:szCs w:val="17"/>
        </w:rPr>
        <w:t xml:space="preserve"> met de staatssecretaris besproken</w:t>
      </w:r>
      <w:r w:rsidRPr="0013611C">
        <w:rPr>
          <w:szCs w:val="17"/>
        </w:rPr>
        <w:t>.</w:t>
      </w:r>
      <w:r w:rsidRPr="00085B38" w:rsidR="00D33E8D">
        <w:rPr>
          <w:szCs w:val="17"/>
          <w:u w:val="single"/>
        </w:rPr>
        <w:t xml:space="preserve">Stand van zaken </w:t>
      </w:r>
      <w:r w:rsidR="00E36228">
        <w:rPr>
          <w:szCs w:val="17"/>
          <w:u w:val="single"/>
        </w:rPr>
        <w:t>onderhandelingen Milieuraad</w:t>
      </w:r>
    </w:p>
    <w:p w:rsidR="004C23AC" w:rsidP="00D33E8D" w:rsidRDefault="00D33E8D">
      <w:pPr>
        <w:spacing w:after="200"/>
        <w:rPr>
          <w:szCs w:val="17"/>
        </w:rPr>
      </w:pPr>
      <w:r>
        <w:rPr>
          <w:szCs w:val="17"/>
        </w:rPr>
        <w:t xml:space="preserve">Eind vorig jaar zijn onder </w:t>
      </w:r>
      <w:r w:rsidRPr="00D33E8D">
        <w:rPr>
          <w:szCs w:val="17"/>
        </w:rPr>
        <w:t>Luxemburgs EU-Voorzitterschap de eerste besprekingen van start gegaan</w:t>
      </w:r>
      <w:r>
        <w:rPr>
          <w:szCs w:val="17"/>
        </w:rPr>
        <w:t xml:space="preserve">. </w:t>
      </w:r>
      <w:r w:rsidRPr="00D33E8D">
        <w:rPr>
          <w:szCs w:val="17"/>
        </w:rPr>
        <w:t>In de Milieuraad van 26 oktober a.s. st</w:t>
      </w:r>
      <w:r>
        <w:rPr>
          <w:szCs w:val="17"/>
        </w:rPr>
        <w:t xml:space="preserve">ond </w:t>
      </w:r>
      <w:r w:rsidRPr="00D33E8D">
        <w:rPr>
          <w:szCs w:val="17"/>
        </w:rPr>
        <w:t xml:space="preserve">een oriënterend debat geagendeerd. </w:t>
      </w:r>
      <w:r>
        <w:rPr>
          <w:szCs w:val="17"/>
        </w:rPr>
        <w:t xml:space="preserve">Vanaf 1 januari 2016 vinden onder </w:t>
      </w:r>
      <w:r w:rsidRPr="00D33E8D">
        <w:rPr>
          <w:szCs w:val="17"/>
        </w:rPr>
        <w:t xml:space="preserve">Nederlands Voorzitterschap </w:t>
      </w:r>
      <w:r>
        <w:rPr>
          <w:szCs w:val="17"/>
        </w:rPr>
        <w:t xml:space="preserve">verdere </w:t>
      </w:r>
      <w:r w:rsidRPr="00D33E8D">
        <w:rPr>
          <w:szCs w:val="17"/>
        </w:rPr>
        <w:lastRenderedPageBreak/>
        <w:t>besprekingen in de Raadswerkgroep Milieu</w:t>
      </w:r>
      <w:r>
        <w:rPr>
          <w:szCs w:val="17"/>
        </w:rPr>
        <w:t xml:space="preserve"> plaats. </w:t>
      </w:r>
      <w:r w:rsidR="00C14D73">
        <w:rPr>
          <w:szCs w:val="17"/>
        </w:rPr>
        <w:t xml:space="preserve">Het dossier zal dit komende half jaar niet worden afgerond. Voor de </w:t>
      </w:r>
      <w:r w:rsidRPr="00D33E8D">
        <w:rPr>
          <w:szCs w:val="17"/>
        </w:rPr>
        <w:t xml:space="preserve">Milieuraad van 20 juni 2016 een beleidsdebat plaats. De  intentie was om dat in samenhang te doen met het nog uit te komen voorstel voor emissiereducties voor de non-EU ETS sectoren en het voorstel voor landgebruik (LULUCF). Deze voorstellen waren eerder door de Europese Commissie voor begin 2016 aangekondigd. </w:t>
      </w:r>
      <w:r w:rsidR="00376F19">
        <w:rPr>
          <w:szCs w:val="17"/>
        </w:rPr>
        <w:t>Zij zullen echter pas ronde de zomer van 2016 v</w:t>
      </w:r>
      <w:r w:rsidRPr="00D33E8D">
        <w:rPr>
          <w:szCs w:val="17"/>
        </w:rPr>
        <w:t>erschijnen en dus niet op tijd komen voor behandeling onder Nederlands EU-Voorzitterschap</w:t>
      </w:r>
      <w:r>
        <w:rPr>
          <w:szCs w:val="17"/>
        </w:rPr>
        <w:t>.</w:t>
      </w:r>
    </w:p>
    <w:p w:rsidR="00E36228" w:rsidP="00D33E8D" w:rsidRDefault="004C23AC">
      <w:pPr>
        <w:spacing w:after="200"/>
        <w:rPr>
          <w:szCs w:val="17"/>
          <w:u w:val="single"/>
        </w:rPr>
      </w:pPr>
      <w:r w:rsidRPr="00085B38">
        <w:rPr>
          <w:szCs w:val="17"/>
          <w:u w:val="single"/>
        </w:rPr>
        <w:t xml:space="preserve">Stand </w:t>
      </w:r>
      <w:r w:rsidR="00E36228">
        <w:rPr>
          <w:szCs w:val="17"/>
          <w:u w:val="single"/>
        </w:rPr>
        <w:t>van zaken Europees Parlement</w:t>
      </w:r>
    </w:p>
    <w:p w:rsidR="00DF2D26" w:rsidP="00D33E8D" w:rsidRDefault="003D691A">
      <w:pPr>
        <w:spacing w:after="200"/>
        <w:rPr>
          <w:szCs w:val="17"/>
        </w:rPr>
      </w:pPr>
      <w:r w:rsidRPr="003D691A">
        <w:rPr>
          <w:szCs w:val="17"/>
        </w:rPr>
        <w:t>In het E</w:t>
      </w:r>
      <w:r w:rsidR="00DF2D26">
        <w:rPr>
          <w:szCs w:val="17"/>
        </w:rPr>
        <w:t xml:space="preserve">P </w:t>
      </w:r>
      <w:r w:rsidRPr="003D691A">
        <w:rPr>
          <w:szCs w:val="17"/>
        </w:rPr>
        <w:t>is binnen de ENVI commissie (Milieu en volksgezondheid) het lid Ian Duncan (VK- European Conservative</w:t>
      </w:r>
      <w:r w:rsidR="00DF2D26">
        <w:rPr>
          <w:szCs w:val="17"/>
        </w:rPr>
        <w:t xml:space="preserve"> and Reformists Group) </w:t>
      </w:r>
      <w:r w:rsidRPr="003D691A">
        <w:rPr>
          <w:szCs w:val="17"/>
        </w:rPr>
        <w:t>als rapporteur a</w:t>
      </w:r>
      <w:r w:rsidR="00DF2D26">
        <w:rPr>
          <w:szCs w:val="17"/>
        </w:rPr>
        <w:t>angewezen voor het voorstel voor herziening van het ETS. Dat betekent dat hij belast is met h</w:t>
      </w:r>
      <w:r w:rsidRPr="003D691A">
        <w:rPr>
          <w:szCs w:val="17"/>
        </w:rPr>
        <w:t xml:space="preserve">et </w:t>
      </w:r>
      <w:r w:rsidR="00DF2D26">
        <w:rPr>
          <w:szCs w:val="17"/>
        </w:rPr>
        <w:t xml:space="preserve">formuleren van het </w:t>
      </w:r>
      <w:r w:rsidRPr="003D691A">
        <w:rPr>
          <w:szCs w:val="17"/>
        </w:rPr>
        <w:t xml:space="preserve">standpunt </w:t>
      </w:r>
      <w:r w:rsidR="00DF2D26">
        <w:rPr>
          <w:szCs w:val="17"/>
        </w:rPr>
        <w:t>van het EP. Duncan werkt daarbij samen met een aantal schaduw-rapporteurs die door andere fracties zijn aangewezen. Onder hen zijn ook de Nederlandse EP-leden Gerbrandy (D66- ALDE) en Eickhout (GL- Greens).</w:t>
      </w:r>
    </w:p>
    <w:p w:rsidR="00F475E1" w:rsidP="00D33E8D" w:rsidRDefault="00F475E1">
      <w:pPr>
        <w:spacing w:after="200"/>
        <w:rPr>
          <w:szCs w:val="17"/>
        </w:rPr>
      </w:pPr>
      <w:r>
        <w:rPr>
          <w:szCs w:val="17"/>
        </w:rPr>
        <w:t>Hieronder treft u de planning van de behandeling in de ENVI commissie aan: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58"/>
        <w:gridCol w:w="3012"/>
      </w:tblGrid>
      <w:tr w:rsidRPr="008A0025" w:rsidR="006A4CA8" w:rsidTr="00F04D67">
        <w:tc>
          <w:tcPr>
            <w:tcW w:w="4858" w:type="dxa"/>
            <w:shd w:val="clear" w:color="000000" w:fill="auto"/>
          </w:tcPr>
          <w:p w:rsidRPr="008A0025" w:rsidR="006A4CA8" w:rsidP="006A4CA8" w:rsidRDefault="006A4CA8">
            <w:pPr>
              <w:rPr>
                <w:b/>
                <w:szCs w:val="18"/>
              </w:rPr>
            </w:pPr>
            <w:r>
              <w:rPr>
                <w:b/>
                <w:szCs w:val="18"/>
              </w:rPr>
              <w:t>ENVI commissie EP</w:t>
            </w:r>
          </w:p>
        </w:tc>
        <w:tc>
          <w:tcPr>
            <w:tcW w:w="3012" w:type="dxa"/>
            <w:shd w:val="clear" w:color="000000" w:fill="auto"/>
          </w:tcPr>
          <w:p w:rsidRPr="008A0025" w:rsidR="006A4CA8" w:rsidP="00F04D67" w:rsidRDefault="006A4CA8">
            <w:pPr>
              <w:rPr>
                <w:b/>
                <w:szCs w:val="18"/>
              </w:rPr>
            </w:pPr>
            <w:r w:rsidRPr="008A0025">
              <w:rPr>
                <w:b/>
                <w:szCs w:val="18"/>
              </w:rPr>
              <w:t xml:space="preserve">Datum </w:t>
            </w:r>
          </w:p>
        </w:tc>
      </w:tr>
      <w:tr w:rsidRPr="008A0025" w:rsidR="006A4CA8" w:rsidTr="00F04D67">
        <w:tc>
          <w:tcPr>
            <w:tcW w:w="4858" w:type="dxa"/>
            <w:shd w:val="clear" w:color="000000" w:fill="auto"/>
          </w:tcPr>
          <w:p w:rsidRPr="008A0025" w:rsidR="006A4CA8" w:rsidP="006A4CA8" w:rsidRDefault="006A4CA8">
            <w:pPr>
              <w:rPr>
                <w:szCs w:val="18"/>
              </w:rPr>
            </w:pPr>
            <w:r>
              <w:rPr>
                <w:szCs w:val="18"/>
              </w:rPr>
              <w:t xml:space="preserve">Concept-rapport naar vertaling </w:t>
            </w:r>
          </w:p>
        </w:tc>
        <w:tc>
          <w:tcPr>
            <w:tcW w:w="3012" w:type="dxa"/>
            <w:shd w:val="clear" w:color="000000" w:fill="auto"/>
          </w:tcPr>
          <w:p w:rsidRPr="008A0025" w:rsidR="006A4CA8" w:rsidP="006A4CA8" w:rsidRDefault="006A4CA8">
            <w:pPr>
              <w:rPr>
                <w:szCs w:val="18"/>
              </w:rPr>
            </w:pPr>
            <w:r>
              <w:rPr>
                <w:szCs w:val="18"/>
              </w:rPr>
              <w:t xml:space="preserve">20 mei </w:t>
            </w:r>
          </w:p>
        </w:tc>
      </w:tr>
      <w:tr w:rsidRPr="008A0025" w:rsidR="006A4CA8" w:rsidTr="00F04D67">
        <w:tc>
          <w:tcPr>
            <w:tcW w:w="4858" w:type="dxa"/>
            <w:shd w:val="clear" w:color="000000" w:fill="auto"/>
          </w:tcPr>
          <w:p w:rsidRPr="008A0025" w:rsidR="006A4CA8" w:rsidP="006A4CA8" w:rsidRDefault="006A4CA8">
            <w:pPr>
              <w:rPr>
                <w:szCs w:val="18"/>
              </w:rPr>
            </w:pPr>
            <w:r>
              <w:rPr>
                <w:szCs w:val="18"/>
              </w:rPr>
              <w:t xml:space="preserve">Bespreking concept-rapport </w:t>
            </w:r>
          </w:p>
        </w:tc>
        <w:tc>
          <w:tcPr>
            <w:tcW w:w="3012" w:type="dxa"/>
            <w:shd w:val="clear" w:color="000000" w:fill="auto"/>
          </w:tcPr>
          <w:p w:rsidRPr="008A0025" w:rsidR="006A4CA8" w:rsidP="006A4CA8" w:rsidRDefault="006A4CA8">
            <w:pPr>
              <w:rPr>
                <w:szCs w:val="18"/>
              </w:rPr>
            </w:pPr>
            <w:r>
              <w:rPr>
                <w:szCs w:val="18"/>
              </w:rPr>
              <w:t xml:space="preserve">15-16 juni </w:t>
            </w:r>
          </w:p>
        </w:tc>
      </w:tr>
      <w:tr w:rsidRPr="008A0025" w:rsidR="006A4CA8" w:rsidTr="00F04D67">
        <w:tc>
          <w:tcPr>
            <w:tcW w:w="4858" w:type="dxa"/>
            <w:shd w:val="clear" w:color="000000" w:fill="auto"/>
          </w:tcPr>
          <w:p w:rsidRPr="008A0025" w:rsidR="006A4CA8" w:rsidP="00F04D67" w:rsidRDefault="006A4CA8">
            <w:pPr>
              <w:rPr>
                <w:szCs w:val="18"/>
              </w:rPr>
            </w:pPr>
            <w:r>
              <w:rPr>
                <w:szCs w:val="18"/>
              </w:rPr>
              <w:t>Deadline voor amendementen</w:t>
            </w:r>
          </w:p>
        </w:tc>
        <w:tc>
          <w:tcPr>
            <w:tcW w:w="3012" w:type="dxa"/>
            <w:shd w:val="clear" w:color="000000" w:fill="auto"/>
          </w:tcPr>
          <w:p w:rsidRPr="008A0025" w:rsidR="006A4CA8" w:rsidP="00F04D67" w:rsidRDefault="006A4CA8">
            <w:pPr>
              <w:rPr>
                <w:szCs w:val="18"/>
              </w:rPr>
            </w:pPr>
            <w:r>
              <w:rPr>
                <w:szCs w:val="18"/>
              </w:rPr>
              <w:t xml:space="preserve">21 juni </w:t>
            </w:r>
          </w:p>
        </w:tc>
      </w:tr>
      <w:tr w:rsidRPr="008A0025" w:rsidR="006A4CA8" w:rsidTr="00F04D67">
        <w:tc>
          <w:tcPr>
            <w:tcW w:w="4858" w:type="dxa"/>
            <w:shd w:val="clear" w:color="000000" w:fill="auto"/>
          </w:tcPr>
          <w:p w:rsidRPr="008A0025" w:rsidR="006A4CA8" w:rsidP="00F04D67" w:rsidRDefault="006A4CA8">
            <w:pPr>
              <w:rPr>
                <w:szCs w:val="18"/>
              </w:rPr>
            </w:pPr>
            <w:r>
              <w:rPr>
                <w:szCs w:val="18"/>
              </w:rPr>
              <w:t>Bespreking amendementen</w:t>
            </w:r>
          </w:p>
        </w:tc>
        <w:tc>
          <w:tcPr>
            <w:tcW w:w="3012" w:type="dxa"/>
            <w:shd w:val="clear" w:color="000000" w:fill="auto"/>
          </w:tcPr>
          <w:p w:rsidRPr="008A0025" w:rsidR="006A4CA8" w:rsidP="006A4CA8" w:rsidRDefault="006A4CA8">
            <w:pPr>
              <w:rPr>
                <w:szCs w:val="18"/>
              </w:rPr>
            </w:pPr>
            <w:r>
              <w:rPr>
                <w:szCs w:val="18"/>
              </w:rPr>
              <w:t xml:space="preserve">8 september </w:t>
            </w:r>
          </w:p>
        </w:tc>
      </w:tr>
      <w:tr w:rsidRPr="008A0025" w:rsidR="006A4CA8" w:rsidTr="00F04D67">
        <w:tc>
          <w:tcPr>
            <w:tcW w:w="4858" w:type="dxa"/>
            <w:shd w:val="clear" w:color="000000" w:fill="auto"/>
          </w:tcPr>
          <w:p w:rsidRPr="008A0025" w:rsidR="006A4CA8" w:rsidP="00F04D67" w:rsidRDefault="006A4CA8">
            <w:pPr>
              <w:rPr>
                <w:szCs w:val="18"/>
              </w:rPr>
            </w:pPr>
            <w:r>
              <w:rPr>
                <w:szCs w:val="18"/>
              </w:rPr>
              <w:t>Stemmingen rapport</w:t>
            </w:r>
            <w:r w:rsidR="001425A2">
              <w:rPr>
                <w:szCs w:val="18"/>
              </w:rPr>
              <w:t xml:space="preserve"> in ENVI</w:t>
            </w:r>
            <w:r>
              <w:rPr>
                <w:szCs w:val="18"/>
              </w:rPr>
              <w:t xml:space="preserve"> </w:t>
            </w:r>
          </w:p>
        </w:tc>
        <w:tc>
          <w:tcPr>
            <w:tcW w:w="3012" w:type="dxa"/>
            <w:shd w:val="clear" w:color="000000" w:fill="auto"/>
          </w:tcPr>
          <w:p w:rsidRPr="008A0025" w:rsidR="006A4CA8" w:rsidP="006A4CA8" w:rsidRDefault="006A4CA8">
            <w:pPr>
              <w:rPr>
                <w:szCs w:val="18"/>
              </w:rPr>
            </w:pPr>
            <w:r>
              <w:rPr>
                <w:szCs w:val="18"/>
              </w:rPr>
              <w:t xml:space="preserve">8 december </w:t>
            </w:r>
          </w:p>
        </w:tc>
      </w:tr>
      <w:tr w:rsidRPr="008A0025" w:rsidR="001425A2" w:rsidTr="00F04D67">
        <w:tc>
          <w:tcPr>
            <w:tcW w:w="4858" w:type="dxa"/>
            <w:shd w:val="clear" w:color="000000" w:fill="auto"/>
          </w:tcPr>
          <w:p w:rsidR="001425A2" w:rsidP="00F04D67" w:rsidRDefault="001425A2">
            <w:pPr>
              <w:rPr>
                <w:szCs w:val="18"/>
              </w:rPr>
            </w:pPr>
            <w:r>
              <w:rPr>
                <w:szCs w:val="18"/>
              </w:rPr>
              <w:t>Stemmingen plenair</w:t>
            </w:r>
          </w:p>
        </w:tc>
        <w:tc>
          <w:tcPr>
            <w:tcW w:w="3012" w:type="dxa"/>
            <w:shd w:val="clear" w:color="000000" w:fill="auto"/>
          </w:tcPr>
          <w:p w:rsidR="001425A2" w:rsidP="006A4CA8" w:rsidRDefault="001425A2">
            <w:pPr>
              <w:rPr>
                <w:szCs w:val="18"/>
              </w:rPr>
            </w:pPr>
            <w:r>
              <w:rPr>
                <w:szCs w:val="18"/>
              </w:rPr>
              <w:t>Februari 2017</w:t>
            </w:r>
          </w:p>
        </w:tc>
      </w:tr>
    </w:tbl>
    <w:p w:rsidR="00F475E1" w:rsidP="006A4CA8" w:rsidRDefault="00F475E1">
      <w:pPr>
        <w:widowControl w:val="0"/>
        <w:tabs>
          <w:tab w:val="left" w:pos="0"/>
        </w:tabs>
        <w:suppressAutoHyphens/>
        <w:autoSpaceDN w:val="0"/>
        <w:spacing w:line="276" w:lineRule="auto"/>
        <w:textAlignment w:val="baseline"/>
        <w:outlineLvl w:val="0"/>
        <w:rPr>
          <w:szCs w:val="17"/>
        </w:rPr>
      </w:pPr>
    </w:p>
    <w:p w:rsidR="006A4CA8" w:rsidP="006A4CA8" w:rsidRDefault="00F475E1">
      <w:pPr>
        <w:widowControl w:val="0"/>
        <w:tabs>
          <w:tab w:val="left" w:pos="0"/>
        </w:tabs>
        <w:suppressAutoHyphens/>
        <w:autoSpaceDN w:val="0"/>
        <w:spacing w:line="276" w:lineRule="auto"/>
        <w:textAlignment w:val="baseline"/>
        <w:outlineLvl w:val="0"/>
        <w:rPr>
          <w:szCs w:val="17"/>
        </w:rPr>
      </w:pPr>
      <w:r>
        <w:rPr>
          <w:szCs w:val="17"/>
        </w:rPr>
        <w:t>Voor sommige onderdelen van het voorstel is de ITRE commissie (Industrie, onderzoek en energie)</w:t>
      </w:r>
      <w:r w:rsidRPr="003D691A">
        <w:rPr>
          <w:szCs w:val="17"/>
        </w:rPr>
        <w:t xml:space="preserve"> </w:t>
      </w:r>
      <w:r>
        <w:rPr>
          <w:szCs w:val="17"/>
        </w:rPr>
        <w:t>bij de standpuntbepaling van het EP betrokken. De planning van de behandeling in ITRE is als volgt:</w:t>
      </w:r>
      <w:r w:rsidRPr="003D691A">
        <w:rPr>
          <w:szCs w:val="17"/>
        </w:rPr>
        <w:t xml:space="preserve"> </w:t>
      </w:r>
      <w:r w:rsidRPr="00D33E8D">
        <w:rPr>
          <w:szCs w:val="17"/>
        </w:rPr>
        <w:t xml:space="preserve"> </w:t>
      </w:r>
    </w:p>
    <w:p w:rsidR="00F475E1" w:rsidP="006A4CA8" w:rsidRDefault="00F475E1">
      <w:pPr>
        <w:widowControl w:val="0"/>
        <w:tabs>
          <w:tab w:val="left" w:pos="0"/>
        </w:tabs>
        <w:suppressAutoHyphens/>
        <w:autoSpaceDN w:val="0"/>
        <w:spacing w:line="276" w:lineRule="auto"/>
        <w:textAlignment w:val="baseline"/>
        <w:outlineLvl w:val="0"/>
        <w:rPr>
          <w:rFonts w:eastAsia="DejaVu Sans" w:cs="Lohit Hindi"/>
          <w:b/>
          <w:kern w:val="3"/>
          <w:szCs w:val="18"/>
          <w:lang w:eastAsia="zh-CN" w:bidi="hi-I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58"/>
        <w:gridCol w:w="3012"/>
      </w:tblGrid>
      <w:tr w:rsidRPr="008A0025" w:rsidR="0062326A" w:rsidTr="00F04D67">
        <w:tc>
          <w:tcPr>
            <w:tcW w:w="4858" w:type="dxa"/>
            <w:shd w:val="clear" w:color="000000" w:fill="auto"/>
          </w:tcPr>
          <w:p w:rsidRPr="008A0025" w:rsidR="0062326A" w:rsidP="0062326A" w:rsidRDefault="0062326A">
            <w:pPr>
              <w:rPr>
                <w:b/>
                <w:szCs w:val="18"/>
              </w:rPr>
            </w:pPr>
            <w:r>
              <w:rPr>
                <w:b/>
                <w:szCs w:val="18"/>
              </w:rPr>
              <w:t>ITRE commissie EP</w:t>
            </w:r>
          </w:p>
        </w:tc>
        <w:tc>
          <w:tcPr>
            <w:tcW w:w="3012" w:type="dxa"/>
            <w:shd w:val="clear" w:color="000000" w:fill="auto"/>
          </w:tcPr>
          <w:p w:rsidRPr="008A0025" w:rsidR="0062326A" w:rsidP="00F04D67" w:rsidRDefault="0062326A">
            <w:pPr>
              <w:rPr>
                <w:b/>
                <w:szCs w:val="18"/>
              </w:rPr>
            </w:pPr>
            <w:r w:rsidRPr="008A0025">
              <w:rPr>
                <w:b/>
                <w:szCs w:val="18"/>
              </w:rPr>
              <w:t xml:space="preserve">Datum </w:t>
            </w:r>
          </w:p>
        </w:tc>
      </w:tr>
      <w:tr w:rsidRPr="008A0025" w:rsidR="0062326A" w:rsidTr="00F04D67">
        <w:tc>
          <w:tcPr>
            <w:tcW w:w="4858" w:type="dxa"/>
            <w:shd w:val="clear" w:color="000000" w:fill="auto"/>
          </w:tcPr>
          <w:p w:rsidRPr="008A0025" w:rsidR="0062326A" w:rsidP="00F04D67" w:rsidRDefault="0062326A">
            <w:pPr>
              <w:rPr>
                <w:szCs w:val="18"/>
              </w:rPr>
            </w:pPr>
            <w:r>
              <w:rPr>
                <w:szCs w:val="18"/>
              </w:rPr>
              <w:t xml:space="preserve">Bespreking concept-rapport </w:t>
            </w:r>
          </w:p>
        </w:tc>
        <w:tc>
          <w:tcPr>
            <w:tcW w:w="3012" w:type="dxa"/>
            <w:shd w:val="clear" w:color="000000" w:fill="auto"/>
          </w:tcPr>
          <w:p w:rsidRPr="008A0025" w:rsidR="0062326A" w:rsidP="0062326A" w:rsidRDefault="0062326A">
            <w:pPr>
              <w:rPr>
                <w:szCs w:val="18"/>
              </w:rPr>
            </w:pPr>
            <w:r>
              <w:rPr>
                <w:szCs w:val="18"/>
              </w:rPr>
              <w:t xml:space="preserve">23 mei  </w:t>
            </w:r>
          </w:p>
        </w:tc>
      </w:tr>
      <w:tr w:rsidRPr="008A0025" w:rsidR="0062326A" w:rsidTr="00F04D67">
        <w:tc>
          <w:tcPr>
            <w:tcW w:w="4858" w:type="dxa"/>
            <w:shd w:val="clear" w:color="000000" w:fill="auto"/>
          </w:tcPr>
          <w:p w:rsidRPr="008A0025" w:rsidR="0062326A" w:rsidP="00F04D67" w:rsidRDefault="0062326A">
            <w:pPr>
              <w:rPr>
                <w:szCs w:val="18"/>
              </w:rPr>
            </w:pPr>
            <w:r>
              <w:rPr>
                <w:szCs w:val="18"/>
              </w:rPr>
              <w:t>Deadline voor amendementen</w:t>
            </w:r>
          </w:p>
        </w:tc>
        <w:tc>
          <w:tcPr>
            <w:tcW w:w="3012" w:type="dxa"/>
            <w:shd w:val="clear" w:color="000000" w:fill="auto"/>
          </w:tcPr>
          <w:p w:rsidRPr="008A0025" w:rsidR="0062326A" w:rsidP="00F04D67" w:rsidRDefault="0062326A">
            <w:pPr>
              <w:rPr>
                <w:szCs w:val="18"/>
              </w:rPr>
            </w:pPr>
            <w:r>
              <w:rPr>
                <w:szCs w:val="18"/>
              </w:rPr>
              <w:t xml:space="preserve">31 mei </w:t>
            </w:r>
          </w:p>
        </w:tc>
      </w:tr>
      <w:tr w:rsidRPr="008A0025" w:rsidR="0062326A" w:rsidTr="00F04D67">
        <w:tc>
          <w:tcPr>
            <w:tcW w:w="4858" w:type="dxa"/>
            <w:shd w:val="clear" w:color="000000" w:fill="auto"/>
          </w:tcPr>
          <w:p w:rsidRPr="008A0025" w:rsidR="0062326A" w:rsidP="00F04D67" w:rsidRDefault="0062326A">
            <w:pPr>
              <w:rPr>
                <w:szCs w:val="18"/>
              </w:rPr>
            </w:pPr>
            <w:r>
              <w:rPr>
                <w:szCs w:val="18"/>
              </w:rPr>
              <w:t>Bespreking amendementen</w:t>
            </w:r>
          </w:p>
        </w:tc>
        <w:tc>
          <w:tcPr>
            <w:tcW w:w="3012" w:type="dxa"/>
            <w:shd w:val="clear" w:color="000000" w:fill="auto"/>
          </w:tcPr>
          <w:p w:rsidRPr="008A0025" w:rsidR="0062326A" w:rsidP="00F04D67" w:rsidRDefault="0062326A">
            <w:pPr>
              <w:rPr>
                <w:szCs w:val="18"/>
              </w:rPr>
            </w:pPr>
            <w:r>
              <w:rPr>
                <w:szCs w:val="18"/>
              </w:rPr>
              <w:t xml:space="preserve">12 juli  </w:t>
            </w:r>
          </w:p>
        </w:tc>
      </w:tr>
      <w:tr w:rsidRPr="008A0025" w:rsidR="0062326A" w:rsidTr="00F04D67">
        <w:tc>
          <w:tcPr>
            <w:tcW w:w="4858" w:type="dxa"/>
            <w:shd w:val="clear" w:color="000000" w:fill="auto"/>
          </w:tcPr>
          <w:p w:rsidRPr="008A0025" w:rsidR="0062326A" w:rsidP="00F04D67" w:rsidRDefault="0062326A">
            <w:pPr>
              <w:rPr>
                <w:szCs w:val="18"/>
              </w:rPr>
            </w:pPr>
            <w:r>
              <w:rPr>
                <w:szCs w:val="18"/>
              </w:rPr>
              <w:t xml:space="preserve">Stemmingen rapport in ENVI </w:t>
            </w:r>
          </w:p>
        </w:tc>
        <w:tc>
          <w:tcPr>
            <w:tcW w:w="3012" w:type="dxa"/>
            <w:shd w:val="clear" w:color="000000" w:fill="auto"/>
          </w:tcPr>
          <w:p w:rsidRPr="008A0025" w:rsidR="0062326A" w:rsidP="00F04D67" w:rsidRDefault="0062326A">
            <w:pPr>
              <w:rPr>
                <w:szCs w:val="18"/>
              </w:rPr>
            </w:pPr>
            <w:r>
              <w:rPr>
                <w:szCs w:val="18"/>
              </w:rPr>
              <w:t>13 oktober</w:t>
            </w:r>
          </w:p>
        </w:tc>
      </w:tr>
      <w:tr w:rsidRPr="008A0025" w:rsidR="0062326A" w:rsidTr="00F04D67">
        <w:tc>
          <w:tcPr>
            <w:tcW w:w="4858" w:type="dxa"/>
            <w:shd w:val="clear" w:color="000000" w:fill="auto"/>
          </w:tcPr>
          <w:p w:rsidR="0062326A" w:rsidP="00F04D67" w:rsidRDefault="0062326A">
            <w:pPr>
              <w:rPr>
                <w:szCs w:val="18"/>
              </w:rPr>
            </w:pPr>
            <w:r>
              <w:rPr>
                <w:szCs w:val="18"/>
              </w:rPr>
              <w:t>Stemmingen plenair</w:t>
            </w:r>
          </w:p>
        </w:tc>
        <w:tc>
          <w:tcPr>
            <w:tcW w:w="3012" w:type="dxa"/>
            <w:shd w:val="clear" w:color="000000" w:fill="auto"/>
          </w:tcPr>
          <w:p w:rsidR="0062326A" w:rsidP="00F04D67" w:rsidRDefault="0062326A">
            <w:pPr>
              <w:rPr>
                <w:szCs w:val="18"/>
              </w:rPr>
            </w:pPr>
            <w:r>
              <w:rPr>
                <w:szCs w:val="18"/>
              </w:rPr>
              <w:t>Februari 2017</w:t>
            </w:r>
          </w:p>
        </w:tc>
      </w:tr>
    </w:tbl>
    <w:p w:rsidR="0062326A" w:rsidP="0062326A" w:rsidRDefault="0062326A">
      <w:pPr>
        <w:widowControl w:val="0"/>
        <w:tabs>
          <w:tab w:val="left" w:pos="0"/>
        </w:tabs>
        <w:suppressAutoHyphens/>
        <w:autoSpaceDN w:val="0"/>
        <w:spacing w:line="276" w:lineRule="auto"/>
        <w:textAlignment w:val="baseline"/>
        <w:outlineLvl w:val="0"/>
        <w:rPr>
          <w:rFonts w:eastAsia="DejaVu Sans" w:cs="Lohit Hindi"/>
          <w:b/>
          <w:kern w:val="3"/>
          <w:szCs w:val="18"/>
          <w:lang w:eastAsia="zh-CN" w:bidi="hi-IN"/>
        </w:rPr>
      </w:pPr>
    </w:p>
    <w:p w:rsidR="006020E6" w:rsidP="002E72DB" w:rsidRDefault="006020E6">
      <w:pPr>
        <w:spacing w:after="200" w:line="276" w:lineRule="auto"/>
        <w:rPr>
          <w:b/>
          <w:szCs w:val="18"/>
        </w:rPr>
      </w:pPr>
    </w:p>
    <w:p w:rsidR="006020E6" w:rsidP="002E72DB" w:rsidRDefault="006020E6">
      <w:pPr>
        <w:spacing w:after="200" w:line="276" w:lineRule="auto"/>
        <w:rPr>
          <w:b/>
          <w:szCs w:val="18"/>
        </w:rPr>
      </w:pPr>
    </w:p>
    <w:p w:rsidRPr="003E0C91" w:rsidR="00531DCB" w:rsidP="003E0C91" w:rsidRDefault="002E72DB">
      <w:pPr>
        <w:pStyle w:val="Lijstalinea"/>
        <w:numPr>
          <w:ilvl w:val="0"/>
          <w:numId w:val="27"/>
        </w:numPr>
        <w:spacing w:after="200" w:line="276" w:lineRule="auto"/>
        <w:rPr>
          <w:b/>
          <w:szCs w:val="18"/>
        </w:rPr>
      </w:pPr>
      <w:r w:rsidRPr="003E0C91">
        <w:rPr>
          <w:b/>
          <w:szCs w:val="18"/>
        </w:rPr>
        <w:t>Stand van de Energie-Unie</w:t>
      </w:r>
      <w:r w:rsidRPr="003E0C91" w:rsidR="0013611C">
        <w:rPr>
          <w:b/>
          <w:szCs w:val="18"/>
        </w:rPr>
        <w:t xml:space="preserve"> </w:t>
      </w:r>
    </w:p>
    <w:p w:rsidRPr="002E72DB" w:rsidR="002E72DB" w:rsidP="002E72DB" w:rsidRDefault="002E72DB">
      <w:pPr>
        <w:spacing w:after="200" w:line="276" w:lineRule="auto"/>
        <w:rPr>
          <w:szCs w:val="18"/>
        </w:rPr>
      </w:pPr>
      <w:r w:rsidRPr="002E72DB">
        <w:rPr>
          <w:szCs w:val="18"/>
        </w:rPr>
        <w:lastRenderedPageBreak/>
        <w:t>Op 18 november 2015 is de</w:t>
      </w:r>
      <w:r w:rsidRPr="002E72DB">
        <w:rPr>
          <w:b/>
          <w:szCs w:val="18"/>
        </w:rPr>
        <w:t xml:space="preserve"> </w:t>
      </w:r>
      <w:hyperlink w:history="1" r:id="rId13">
        <w:r w:rsidRPr="005A4DE9">
          <w:rPr>
            <w:color w:val="0000FF" w:themeColor="hyperlink"/>
            <w:szCs w:val="18"/>
            <w:u w:val="single"/>
          </w:rPr>
          <w:t>State of the Energy Union</w:t>
        </w:r>
      </w:hyperlink>
      <w:r w:rsidRPr="002E72DB">
        <w:rPr>
          <w:szCs w:val="18"/>
        </w:rPr>
        <w:t xml:space="preserve"> (Stand van de Energie-Unie) verschenen.</w:t>
      </w:r>
      <w:r w:rsidRPr="005A4DE9">
        <w:rPr>
          <w:szCs w:val="18"/>
          <w:vertAlign w:val="superscript"/>
        </w:rPr>
        <w:footnoteReference w:id="1"/>
      </w:r>
      <w:r w:rsidRPr="002E72DB">
        <w:rPr>
          <w:szCs w:val="18"/>
        </w:rPr>
        <w:t xml:space="preserve"> </w:t>
      </w:r>
      <w:r w:rsidRPr="005A4DE9">
        <w:rPr>
          <w:szCs w:val="18"/>
        </w:rPr>
        <w:t xml:space="preserve">Het gaat hier om een niet-wetgevende </w:t>
      </w:r>
      <w:r w:rsidRPr="002E72DB">
        <w:rPr>
          <w:szCs w:val="18"/>
        </w:rPr>
        <w:t xml:space="preserve">mededeling </w:t>
      </w:r>
      <w:r w:rsidRPr="005A4DE9">
        <w:rPr>
          <w:szCs w:val="18"/>
        </w:rPr>
        <w:t xml:space="preserve">die </w:t>
      </w:r>
      <w:r w:rsidRPr="002E72DB">
        <w:rPr>
          <w:szCs w:val="18"/>
        </w:rPr>
        <w:t xml:space="preserve">onderdeel </w:t>
      </w:r>
      <w:r w:rsidRPr="005A4DE9">
        <w:rPr>
          <w:szCs w:val="18"/>
        </w:rPr>
        <w:t xml:space="preserve">uitmaakt </w:t>
      </w:r>
      <w:r w:rsidRPr="002E72DB">
        <w:rPr>
          <w:szCs w:val="18"/>
        </w:rPr>
        <w:t xml:space="preserve">van de </w:t>
      </w:r>
      <w:hyperlink w:history="1" r:id="rId14">
        <w:r w:rsidRPr="005A4DE9">
          <w:rPr>
            <w:color w:val="0000FF" w:themeColor="hyperlink"/>
            <w:szCs w:val="18"/>
            <w:u w:val="single"/>
          </w:rPr>
          <w:t>‘Kaderstrategie Energie-Unie’</w:t>
        </w:r>
      </w:hyperlink>
      <w:r w:rsidRPr="005A4DE9">
        <w:rPr>
          <w:szCs w:val="18"/>
        </w:rPr>
        <w:t xml:space="preserve">, </w:t>
      </w:r>
      <w:r w:rsidRPr="002E72DB">
        <w:rPr>
          <w:szCs w:val="18"/>
        </w:rPr>
        <w:t xml:space="preserve">een prioritair dossier voor de commissies EZ en IenM is. De strategie bestaat uit een pakket (wetgevende en niet-wetgevende) maatregelen. Bij het vaststellen van de EU-prioriteiten voor 2016 heeft de Tweede Kamer aangegeven bij voorstellen uit dit pakket een behandelvoorbehoud te overwegen. </w:t>
      </w:r>
    </w:p>
    <w:p w:rsidRPr="002E72DB" w:rsidR="002E72DB" w:rsidP="002E72DB" w:rsidRDefault="002E72DB">
      <w:pPr>
        <w:spacing w:after="200" w:line="276" w:lineRule="auto"/>
        <w:rPr>
          <w:szCs w:val="18"/>
        </w:rPr>
      </w:pPr>
      <w:r w:rsidRPr="002E72DB">
        <w:rPr>
          <w:szCs w:val="18"/>
        </w:rPr>
        <w:t xml:space="preserve">Naast de mededeling zelf bestaat de Stand van de Energie-Unie uit landenfiches en nog een aantal bijlagen, waaronder een update van de tijdlijn met nieuwe voorstellen (bijlage 1). De richtsnoeren voor de lidstaten met betrekking tot de ‘Governance’ van de Energie-Unie, inclusief de procedure en een tijdlijn voor het indienen van nationale plannen, zijn opgenomen als bijlage 2 bij het document. In deze notitie geven ondergetekenden, als co-rapporteurs van de Energie-Unie, een korte update van de voorstellen die in 2016 zullen verschijnen alsook een korte toelichting op de interparlementaire bijeenkomst over energie in april en het eventuele bezoek van Eurocommissaris Cañete aan de Tweede Kamer dit jaar. </w:t>
      </w:r>
    </w:p>
    <w:p w:rsidRPr="005A7E97" w:rsidR="002E72DB" w:rsidP="002E72DB" w:rsidRDefault="006020E6">
      <w:pPr>
        <w:widowControl w:val="0"/>
        <w:tabs>
          <w:tab w:val="left" w:pos="0"/>
        </w:tabs>
        <w:suppressAutoHyphens/>
        <w:autoSpaceDN w:val="0"/>
        <w:spacing w:before="200" w:line="284" w:lineRule="exact"/>
        <w:ind w:left="284" w:hanging="284"/>
        <w:textAlignment w:val="baseline"/>
        <w:outlineLvl w:val="0"/>
        <w:rPr>
          <w:rFonts w:eastAsia="DejaVu Sans" w:cs="Lohit Hindi"/>
          <w:b/>
          <w:kern w:val="3"/>
          <w:szCs w:val="18"/>
          <w:u w:val="single"/>
          <w:lang w:eastAsia="zh-CN" w:bidi="hi-IN"/>
        </w:rPr>
      </w:pPr>
      <w:r w:rsidRPr="005A7E97">
        <w:rPr>
          <w:rFonts w:eastAsia="DejaVu Sans" w:cs="Lohit Hindi"/>
          <w:b/>
          <w:kern w:val="3"/>
          <w:szCs w:val="18"/>
          <w:u w:val="single"/>
          <w:lang w:eastAsia="zh-CN" w:bidi="hi-IN"/>
        </w:rPr>
        <w:t>Overzicht n</w:t>
      </w:r>
      <w:r w:rsidRPr="005A7E97" w:rsidR="002E72DB">
        <w:rPr>
          <w:rFonts w:eastAsia="DejaVu Sans" w:cs="Lohit Hindi"/>
          <w:b/>
          <w:kern w:val="3"/>
          <w:szCs w:val="18"/>
          <w:u w:val="single"/>
          <w:lang w:eastAsia="zh-CN" w:bidi="hi-IN"/>
        </w:rPr>
        <w:t xml:space="preserve">ieuwe voorstellen </w:t>
      </w:r>
      <w:r w:rsidRPr="005A7E97" w:rsidR="00422EF6">
        <w:rPr>
          <w:rFonts w:eastAsia="DejaVu Sans" w:cs="Lohit Hindi"/>
          <w:b/>
          <w:kern w:val="3"/>
          <w:szCs w:val="18"/>
          <w:u w:val="single"/>
          <w:lang w:eastAsia="zh-CN" w:bidi="hi-IN"/>
        </w:rPr>
        <w:t xml:space="preserve">eerste helft </w:t>
      </w:r>
      <w:r w:rsidRPr="005A7E97" w:rsidR="002E72DB">
        <w:rPr>
          <w:rFonts w:eastAsia="DejaVu Sans" w:cs="Lohit Hindi"/>
          <w:b/>
          <w:kern w:val="3"/>
          <w:szCs w:val="18"/>
          <w:u w:val="single"/>
          <w:lang w:eastAsia="zh-CN" w:bidi="hi-IN"/>
        </w:rPr>
        <w:t>2016</w:t>
      </w:r>
    </w:p>
    <w:p w:rsidRPr="0011157E" w:rsidR="0011157E" w:rsidP="00F24A3C" w:rsidRDefault="002E72DB">
      <w:pPr>
        <w:pStyle w:val="Lijstalinea"/>
        <w:widowControl w:val="0"/>
        <w:numPr>
          <w:ilvl w:val="0"/>
          <w:numId w:val="17"/>
        </w:numPr>
        <w:tabs>
          <w:tab w:val="left" w:pos="0"/>
        </w:tabs>
        <w:suppressAutoHyphens/>
        <w:autoSpaceDN w:val="0"/>
        <w:spacing w:before="200" w:after="200" w:line="276" w:lineRule="auto"/>
        <w:textAlignment w:val="baseline"/>
        <w:outlineLvl w:val="0"/>
        <w:rPr>
          <w:iCs/>
          <w:szCs w:val="18"/>
          <w:u w:val="single"/>
        </w:rPr>
      </w:pPr>
      <w:r w:rsidRPr="0011157E">
        <w:rPr>
          <w:rFonts w:eastAsia="DejaVu Sans" w:cs="Lohit Hindi"/>
          <w:kern w:val="3"/>
          <w:szCs w:val="18"/>
          <w:u w:val="single"/>
          <w:lang w:eastAsia="zh-CN" w:bidi="hi-IN"/>
        </w:rPr>
        <w:t>Winterpakket</w:t>
      </w:r>
      <w:r w:rsidRPr="0011157E" w:rsidR="00F24A3C">
        <w:rPr>
          <w:rFonts w:eastAsia="DejaVu Sans" w:cs="Lohit Hindi"/>
          <w:kern w:val="3"/>
          <w:szCs w:val="18"/>
          <w:u w:val="single"/>
          <w:lang w:eastAsia="zh-CN" w:bidi="hi-IN"/>
        </w:rPr>
        <w:t xml:space="preserve"> (voortouwcommissie EZ): </w:t>
      </w:r>
      <w:r w:rsidRPr="002E72DB">
        <w:rPr>
          <w:szCs w:val="18"/>
        </w:rPr>
        <w:t xml:space="preserve">Op 16 februari </w:t>
      </w:r>
      <w:r w:rsidRPr="0011157E">
        <w:rPr>
          <w:szCs w:val="18"/>
        </w:rPr>
        <w:t xml:space="preserve">2016 </w:t>
      </w:r>
      <w:r w:rsidRPr="002E72DB">
        <w:rPr>
          <w:szCs w:val="18"/>
        </w:rPr>
        <w:t xml:space="preserve"> zijn op het terrein van </w:t>
      </w:r>
      <w:r w:rsidRPr="003E0C91">
        <w:rPr>
          <w:szCs w:val="18"/>
        </w:rPr>
        <w:t>EZ</w:t>
      </w:r>
      <w:r w:rsidRPr="002E72DB">
        <w:rPr>
          <w:szCs w:val="18"/>
        </w:rPr>
        <w:t xml:space="preserve"> nieuwe voorstellen gepubliceerd als onderdeel van het ‘winterpakket’. Het winterpakket van 16 februari 2016 bestaat uit twee niet-wetgevende strategieën: COM(2016) 49 over LNG en gasopslag en COM(2016) 51 over verwarming en koeling. Daarnaast zijn ook twee wetsvoorstellen gepubliceerd, namelijk COM(2016) 52 over de herziening van de Verordening inzake de veiligstelling van de aardgasvoorziening en een herziening van het besluit over intergouvernementele energie-overeenkomsten (IGA’s) en niet-bindende instrumenten tussen lidstaten en derde landen (COM(2016) 53). U bent over deze voorstellen nader geïnformeerd tijdens de procedurevergadering van EZ van 8 maart jl., door middel van een EU-stafnotitie bij het agendapunt hierover. Op deze wetsvoorstellen is tijdens die vergadering besloten tot het plaatsen van een behandelvoorbehoud. </w:t>
      </w:r>
      <w:r w:rsidR="005A7E97">
        <w:rPr>
          <w:szCs w:val="18"/>
        </w:rPr>
        <w:t xml:space="preserve">Over de voorgang hiervan wordt u separaat geïnformeerd. </w:t>
      </w:r>
    </w:p>
    <w:p w:rsidR="0011157E" w:rsidP="0011157E" w:rsidRDefault="0011157E">
      <w:pPr>
        <w:pStyle w:val="Lijstalinea"/>
        <w:widowControl w:val="0"/>
        <w:tabs>
          <w:tab w:val="left" w:pos="0"/>
        </w:tabs>
        <w:suppressAutoHyphens/>
        <w:autoSpaceDN w:val="0"/>
        <w:spacing w:before="200" w:after="200" w:line="276" w:lineRule="auto"/>
        <w:textAlignment w:val="baseline"/>
        <w:outlineLvl w:val="0"/>
        <w:rPr>
          <w:iCs/>
          <w:szCs w:val="18"/>
          <w:u w:val="single"/>
        </w:rPr>
      </w:pPr>
    </w:p>
    <w:p w:rsidRPr="0011157E" w:rsidR="0011157E" w:rsidP="00F24A3C" w:rsidRDefault="002E72DB">
      <w:pPr>
        <w:pStyle w:val="Lijstalinea"/>
        <w:widowControl w:val="0"/>
        <w:numPr>
          <w:ilvl w:val="0"/>
          <w:numId w:val="17"/>
        </w:numPr>
        <w:tabs>
          <w:tab w:val="left" w:pos="0"/>
        </w:tabs>
        <w:suppressAutoHyphens/>
        <w:autoSpaceDN w:val="0"/>
        <w:spacing w:before="200" w:after="200" w:line="276" w:lineRule="auto"/>
        <w:textAlignment w:val="baseline"/>
        <w:outlineLvl w:val="0"/>
        <w:rPr>
          <w:iCs/>
          <w:szCs w:val="18"/>
          <w:u w:val="single"/>
        </w:rPr>
      </w:pPr>
      <w:r w:rsidRPr="0011157E">
        <w:rPr>
          <w:iCs/>
          <w:szCs w:val="18"/>
          <w:u w:val="single"/>
        </w:rPr>
        <w:t>Plannings- en rapportageverplichtingen</w:t>
      </w:r>
      <w:r w:rsidRPr="0011157E" w:rsidR="00F24A3C">
        <w:rPr>
          <w:iCs/>
          <w:szCs w:val="18"/>
          <w:u w:val="single"/>
        </w:rPr>
        <w:t xml:space="preserve">(voortouwcommissie EZ): </w:t>
      </w:r>
      <w:r w:rsidRPr="0011157E">
        <w:rPr>
          <w:iCs/>
          <w:szCs w:val="18"/>
        </w:rPr>
        <w:t>Op</w:t>
      </w:r>
      <w:r w:rsidRPr="0011157E">
        <w:rPr>
          <w:b/>
          <w:i/>
          <w:iCs/>
          <w:szCs w:val="18"/>
        </w:rPr>
        <w:t xml:space="preserve"> </w:t>
      </w:r>
      <w:r w:rsidRPr="0011157E">
        <w:rPr>
          <w:iCs/>
          <w:szCs w:val="18"/>
        </w:rPr>
        <w:t xml:space="preserve">23 februari een </w:t>
      </w:r>
      <w:hyperlink w:history="1" r:id="rId15">
        <w:r w:rsidRPr="0011157E">
          <w:rPr>
            <w:iCs/>
            <w:color w:val="0000FF" w:themeColor="hyperlink"/>
            <w:szCs w:val="18"/>
            <w:u w:val="single"/>
          </w:rPr>
          <w:t>openbare raadpleging</w:t>
        </w:r>
      </w:hyperlink>
      <w:r w:rsidRPr="0011157E">
        <w:rPr>
          <w:iCs/>
          <w:szCs w:val="18"/>
        </w:rPr>
        <w:t xml:space="preserve"> verschenen over </w:t>
      </w:r>
      <w:r w:rsidRPr="0011157E">
        <w:rPr>
          <w:color w:val="000000"/>
          <w:szCs w:val="18"/>
          <w:lang w:eastAsia="nl-NL"/>
        </w:rPr>
        <w:t xml:space="preserve">het stroomlijnen van de plannings- en rapportageverplichtingen als onderdeel van de energie-unie governance. De termijn voor inbreng loopt tot 8 april van dit jaar. </w:t>
      </w:r>
    </w:p>
    <w:p w:rsidRPr="0011157E" w:rsidR="0011157E" w:rsidP="0011157E" w:rsidRDefault="0011157E">
      <w:pPr>
        <w:pStyle w:val="Lijstalinea"/>
        <w:rPr>
          <w:iCs/>
          <w:szCs w:val="18"/>
        </w:rPr>
      </w:pPr>
    </w:p>
    <w:p w:rsidRPr="0011157E" w:rsidR="00341DFE" w:rsidP="00F24A3C" w:rsidRDefault="00341DFE">
      <w:pPr>
        <w:pStyle w:val="Lijstalinea"/>
        <w:widowControl w:val="0"/>
        <w:numPr>
          <w:ilvl w:val="0"/>
          <w:numId w:val="17"/>
        </w:numPr>
        <w:tabs>
          <w:tab w:val="left" w:pos="0"/>
        </w:tabs>
        <w:suppressAutoHyphens/>
        <w:autoSpaceDN w:val="0"/>
        <w:spacing w:before="200" w:after="200" w:line="276" w:lineRule="auto"/>
        <w:textAlignment w:val="baseline"/>
        <w:outlineLvl w:val="0"/>
        <w:rPr>
          <w:iCs/>
          <w:szCs w:val="18"/>
          <w:u w:val="single"/>
        </w:rPr>
      </w:pPr>
      <w:r w:rsidRPr="0011157E">
        <w:rPr>
          <w:iCs/>
          <w:szCs w:val="18"/>
        </w:rPr>
        <w:t>(</w:t>
      </w:r>
      <w:r w:rsidRPr="0011157E" w:rsidR="00F24A3C">
        <w:rPr>
          <w:iCs/>
          <w:szCs w:val="18"/>
        </w:rPr>
        <w:t>Nog te verschijnen</w:t>
      </w:r>
      <w:r w:rsidRPr="0011157E">
        <w:rPr>
          <w:iCs/>
          <w:szCs w:val="18"/>
        </w:rPr>
        <w:t>)</w:t>
      </w:r>
      <w:r w:rsidRPr="0011157E">
        <w:rPr>
          <w:iCs/>
          <w:szCs w:val="18"/>
          <w:u w:val="single"/>
        </w:rPr>
        <w:t xml:space="preserve"> </w:t>
      </w:r>
      <w:r w:rsidRPr="0011157E">
        <w:rPr>
          <w:szCs w:val="17"/>
          <w:u w:val="single"/>
        </w:rPr>
        <w:t xml:space="preserve">EU-voorstel met verplichte nationale emissiereducties voor sectoren die buiten EU-emissiehandel vallen </w:t>
      </w:r>
      <w:r w:rsidRPr="0011157E">
        <w:rPr>
          <w:iCs/>
          <w:szCs w:val="18"/>
          <w:u w:val="single"/>
        </w:rPr>
        <w:t xml:space="preserve">(voortouwcommissie I&amp;M): </w:t>
      </w:r>
      <w:r w:rsidRPr="00341DFE">
        <w:rPr>
          <w:szCs w:val="17"/>
        </w:rPr>
        <w:t xml:space="preserve">De Europese Commissie komt in het tweede semester van 2016 met een voorstel voor de reductie van broeikasgasemissies in sectoren die buiten het EU-ETS vallen (zoals transport en landbouw). Dit voorstel wordt het zogeheten ‘effort sharing’ voorstel genoemd. Eerder had de Europese Commissie aangegeven de voorstellen al begin 2016 te publiceren. </w:t>
      </w:r>
    </w:p>
    <w:p w:rsidRPr="00341DFE" w:rsidR="00341DFE" w:rsidP="00341DFE" w:rsidRDefault="00341DFE">
      <w:pPr>
        <w:pStyle w:val="Lijstalinea"/>
        <w:spacing w:after="200" w:line="276" w:lineRule="auto"/>
        <w:rPr>
          <w:iCs/>
          <w:szCs w:val="18"/>
          <w:u w:val="single"/>
        </w:rPr>
      </w:pPr>
    </w:p>
    <w:p w:rsidRPr="00341DFE" w:rsidR="00F24A3C" w:rsidP="00C21D9B" w:rsidRDefault="005C5EDA">
      <w:pPr>
        <w:pStyle w:val="Lijstalinea"/>
        <w:numPr>
          <w:ilvl w:val="0"/>
          <w:numId w:val="17"/>
        </w:numPr>
        <w:spacing w:after="200" w:line="276" w:lineRule="auto"/>
        <w:rPr>
          <w:iCs/>
          <w:szCs w:val="18"/>
          <w:u w:val="single"/>
        </w:rPr>
      </w:pPr>
      <w:r>
        <w:rPr>
          <w:iCs/>
          <w:szCs w:val="18"/>
        </w:rPr>
        <w:t>(</w:t>
      </w:r>
      <w:r w:rsidRPr="00341DFE" w:rsidR="00F24A3C">
        <w:rPr>
          <w:iCs/>
          <w:szCs w:val="18"/>
        </w:rPr>
        <w:t>Nog te verschijnen</w:t>
      </w:r>
      <w:r>
        <w:rPr>
          <w:iCs/>
          <w:szCs w:val="18"/>
        </w:rPr>
        <w:t xml:space="preserve">) </w:t>
      </w:r>
      <w:r w:rsidRPr="00341DFE" w:rsidR="00F24A3C">
        <w:rPr>
          <w:iCs/>
          <w:szCs w:val="18"/>
          <w:u w:val="single"/>
        </w:rPr>
        <w:t xml:space="preserve"> </w:t>
      </w:r>
      <w:r w:rsidR="00683CCD">
        <w:rPr>
          <w:iCs/>
          <w:szCs w:val="18"/>
          <w:u w:val="single"/>
        </w:rPr>
        <w:t>O</w:t>
      </w:r>
      <w:r w:rsidRPr="00C21D9B" w:rsidR="00C21D9B">
        <w:rPr>
          <w:iCs/>
          <w:szCs w:val="18"/>
          <w:u w:val="single"/>
        </w:rPr>
        <w:t xml:space="preserve">pname van landgebruik, verandering in landgebruik en bosbouw (LULUCF) in het klimaat- en energiekader voor 2030 </w:t>
      </w:r>
      <w:r w:rsidRPr="00341DFE" w:rsidR="00F24A3C">
        <w:rPr>
          <w:iCs/>
          <w:szCs w:val="18"/>
          <w:u w:val="single"/>
        </w:rPr>
        <w:t>(voortouwcommissie I&amp;M)</w:t>
      </w:r>
      <w:r w:rsidR="00C21D9B">
        <w:rPr>
          <w:iCs/>
          <w:szCs w:val="18"/>
          <w:u w:val="single"/>
        </w:rPr>
        <w:t xml:space="preserve">: </w:t>
      </w:r>
      <w:r w:rsidR="00C21D9B">
        <w:rPr>
          <w:iCs/>
          <w:szCs w:val="18"/>
        </w:rPr>
        <w:t>Dit voorstel wordt naar verluid samen met het hierboven genoemde ‘Effort Sharing’ voorstel voor de zomer van 2016 door de Europese Commissie uitgebracht.</w:t>
      </w:r>
    </w:p>
    <w:p w:rsidRPr="00F24A3C" w:rsidR="00F24A3C" w:rsidP="00F24A3C" w:rsidRDefault="00F24A3C">
      <w:pPr>
        <w:pStyle w:val="Lijstalinea"/>
        <w:spacing w:after="200" w:line="276" w:lineRule="auto"/>
        <w:rPr>
          <w:iCs/>
          <w:szCs w:val="18"/>
          <w:u w:val="single"/>
        </w:rPr>
      </w:pPr>
    </w:p>
    <w:p w:rsidR="00F24A3C" w:rsidP="00F24A3C" w:rsidRDefault="005C5EDA">
      <w:pPr>
        <w:pStyle w:val="Lijstalinea"/>
        <w:numPr>
          <w:ilvl w:val="0"/>
          <w:numId w:val="17"/>
        </w:numPr>
        <w:spacing w:after="200" w:line="276" w:lineRule="auto"/>
        <w:rPr>
          <w:iCs/>
          <w:szCs w:val="18"/>
        </w:rPr>
      </w:pPr>
      <w:r>
        <w:rPr>
          <w:iCs/>
          <w:szCs w:val="18"/>
        </w:rPr>
        <w:t xml:space="preserve">(Nog te verschijnen) </w:t>
      </w:r>
      <w:r w:rsidRPr="00F24A3C" w:rsidR="00F24A3C">
        <w:rPr>
          <w:iCs/>
          <w:szCs w:val="18"/>
          <w:u w:val="single"/>
        </w:rPr>
        <w:t xml:space="preserve">Elektriciteitsmarkt (voortouwcommissie EZ): </w:t>
      </w:r>
      <w:r w:rsidRPr="00F24A3C" w:rsidR="002E72DB">
        <w:rPr>
          <w:iCs/>
          <w:szCs w:val="18"/>
        </w:rPr>
        <w:t>In het najaar van 2016 word</w:t>
      </w:r>
      <w:r w:rsidRPr="00F24A3C" w:rsidR="00F24A3C">
        <w:rPr>
          <w:iCs/>
          <w:szCs w:val="18"/>
        </w:rPr>
        <w:t xml:space="preserve">en </w:t>
      </w:r>
      <w:r w:rsidRPr="00F24A3C" w:rsidR="002E72DB">
        <w:rPr>
          <w:iCs/>
          <w:szCs w:val="18"/>
        </w:rPr>
        <w:t>wetsvoorstellen over elektriciteit verwacht (marktontwerp regionale elektriciteitsmarkt en elektriciteitsvoorziening)</w:t>
      </w:r>
      <w:r w:rsidRPr="00F24A3C" w:rsidR="00F24A3C">
        <w:rPr>
          <w:iCs/>
          <w:szCs w:val="18"/>
        </w:rPr>
        <w:t>.</w:t>
      </w:r>
    </w:p>
    <w:p w:rsidRPr="00DA6621" w:rsidR="00DA6621" w:rsidP="00DA6621" w:rsidRDefault="00DA6621">
      <w:pPr>
        <w:pStyle w:val="Lijstalinea"/>
        <w:rPr>
          <w:iCs/>
          <w:szCs w:val="18"/>
        </w:rPr>
      </w:pPr>
    </w:p>
    <w:p w:rsidRPr="00F24A3C" w:rsidR="002E72DB" w:rsidP="00F24A3C" w:rsidRDefault="005C5EDA">
      <w:pPr>
        <w:pStyle w:val="Lijstalinea"/>
        <w:numPr>
          <w:ilvl w:val="0"/>
          <w:numId w:val="17"/>
        </w:numPr>
        <w:spacing w:after="200" w:line="276" w:lineRule="auto"/>
        <w:rPr>
          <w:iCs/>
          <w:szCs w:val="18"/>
        </w:rPr>
      </w:pPr>
      <w:r>
        <w:rPr>
          <w:iCs/>
          <w:szCs w:val="18"/>
        </w:rPr>
        <w:t>(</w:t>
      </w:r>
      <w:r w:rsidRPr="005C5EDA" w:rsidR="00F24A3C">
        <w:rPr>
          <w:iCs/>
          <w:szCs w:val="18"/>
        </w:rPr>
        <w:t>Nog te verschijnen</w:t>
      </w:r>
      <w:r>
        <w:rPr>
          <w:iCs/>
          <w:szCs w:val="18"/>
        </w:rPr>
        <w:t xml:space="preserve">) </w:t>
      </w:r>
      <w:r w:rsidRPr="00F24A3C" w:rsidR="00F24A3C">
        <w:rPr>
          <w:iCs/>
          <w:szCs w:val="18"/>
          <w:u w:val="single"/>
        </w:rPr>
        <w:t>Hernieu</w:t>
      </w:r>
      <w:r w:rsidR="00C21D9B">
        <w:rPr>
          <w:iCs/>
          <w:szCs w:val="18"/>
          <w:u w:val="single"/>
        </w:rPr>
        <w:t>w</w:t>
      </w:r>
      <w:r w:rsidRPr="00F24A3C" w:rsidR="00F24A3C">
        <w:rPr>
          <w:iCs/>
          <w:szCs w:val="18"/>
          <w:u w:val="single"/>
        </w:rPr>
        <w:t xml:space="preserve">bare energie (voortouwcommissie EZ): </w:t>
      </w:r>
      <w:r w:rsidRPr="00F24A3C" w:rsidR="00F24A3C">
        <w:rPr>
          <w:iCs/>
          <w:szCs w:val="18"/>
        </w:rPr>
        <w:t xml:space="preserve">Eveneens in het najaar van 2016 wordt </w:t>
      </w:r>
      <w:r w:rsidRPr="00F24A3C" w:rsidR="002E72DB">
        <w:rPr>
          <w:iCs/>
          <w:szCs w:val="18"/>
        </w:rPr>
        <w:t xml:space="preserve"> en een pakket over hernieuwbare energie. Zodra de publicatiedata hiervoor bekend zijn, wordt u hierover nader geïnformeerd. </w:t>
      </w:r>
    </w:p>
    <w:p w:rsidRPr="002E72DB" w:rsidR="002E72DB" w:rsidP="002E72DB" w:rsidRDefault="002E72DB">
      <w:pPr>
        <w:widowControl w:val="0"/>
        <w:tabs>
          <w:tab w:val="left" w:pos="0"/>
        </w:tabs>
        <w:suppressAutoHyphens/>
        <w:autoSpaceDN w:val="0"/>
        <w:spacing w:after="200" w:line="276" w:lineRule="auto"/>
        <w:textAlignment w:val="baseline"/>
        <w:outlineLvl w:val="0"/>
        <w:rPr>
          <w:iCs/>
          <w:szCs w:val="18"/>
        </w:rPr>
      </w:pPr>
      <w:r w:rsidRPr="002E72DB">
        <w:rPr>
          <w:iCs/>
          <w:szCs w:val="18"/>
        </w:rPr>
        <w:t xml:space="preserve">Een overzicht van de actuele stand van zaken omtrent de wetgevende voorstellen uit het pakket Energie-Unie vindt u in bijlage 1 bij deze notitie. Een compleet overzicht van alle voorstellen (wetgevend en niet-wetgevend) is opgenomen in bijlage 2. </w:t>
      </w:r>
    </w:p>
    <w:p w:rsidRPr="00DF597F" w:rsidR="00DF597F" w:rsidP="002E72DB" w:rsidRDefault="00DF597F">
      <w:pPr>
        <w:spacing w:after="200" w:line="276" w:lineRule="auto"/>
        <w:rPr>
          <w:b/>
          <w:iCs/>
          <w:szCs w:val="18"/>
          <w:u w:val="single"/>
        </w:rPr>
      </w:pPr>
      <w:r>
        <w:rPr>
          <w:b/>
          <w:iCs/>
          <w:szCs w:val="18"/>
          <w:u w:val="single"/>
        </w:rPr>
        <w:t>Relevante R</w:t>
      </w:r>
      <w:r w:rsidRPr="00DF597F">
        <w:rPr>
          <w:b/>
          <w:iCs/>
          <w:szCs w:val="18"/>
          <w:u w:val="single"/>
        </w:rPr>
        <w:t>aden onder NL voorzitterschap</w:t>
      </w:r>
    </w:p>
    <w:p w:rsidRPr="002E72DB" w:rsidR="002E72DB" w:rsidP="002E72DB" w:rsidRDefault="00DF597F">
      <w:pPr>
        <w:spacing w:after="200" w:line="276" w:lineRule="auto"/>
        <w:rPr>
          <w:iCs/>
          <w:szCs w:val="18"/>
        </w:rPr>
      </w:pPr>
      <w:r w:rsidRPr="00DF597F">
        <w:rPr>
          <w:iCs/>
          <w:szCs w:val="18"/>
          <w:u w:val="single"/>
        </w:rPr>
        <w:t>Energieraad:</w:t>
      </w:r>
      <w:r>
        <w:rPr>
          <w:iCs/>
          <w:szCs w:val="18"/>
        </w:rPr>
        <w:t xml:space="preserve"> </w:t>
      </w:r>
      <w:r w:rsidRPr="002E72DB" w:rsidR="002E72DB">
        <w:rPr>
          <w:iCs/>
          <w:szCs w:val="18"/>
        </w:rPr>
        <w:t xml:space="preserve">Op de formele Energieraad van juni zullen de eerste politieke discussies plaatsvinden over de voorstellen voor de herziening van de verordening over leveringszekerheid van gas, evenals discussies over de intergouvernementele energie-overeenkomsten. Ook staan in juni onderhandelingen over het reeds lopende </w:t>
      </w:r>
      <w:r w:rsidRPr="002E72DB" w:rsidR="002E72DB">
        <w:rPr>
          <w:iCs/>
          <w:szCs w:val="18"/>
        </w:rPr>
        <w:lastRenderedPageBreak/>
        <w:t xml:space="preserve">wetgevingstraject inzake de verordening energielabelling op de agenda. Dit wetsvoorstel ligt momenteel nog bij het Europees Parlement, waar de eerste lezing zal worden gehouden op 26 mei a.s. </w:t>
      </w:r>
    </w:p>
    <w:p w:rsidR="002E72DB" w:rsidP="002E72DB" w:rsidRDefault="002E72DB">
      <w:pPr>
        <w:spacing w:after="200" w:line="276" w:lineRule="auto"/>
        <w:rPr>
          <w:iCs/>
          <w:szCs w:val="18"/>
        </w:rPr>
      </w:pPr>
      <w:r w:rsidRPr="002E72DB">
        <w:rPr>
          <w:iCs/>
          <w:szCs w:val="18"/>
        </w:rPr>
        <w:t xml:space="preserve">Naast de behandeling van lopende en nieuwe voorstellen tijdens de verschillende Raadsformaties op het terrein van de Energie-Unie, is het kabinet voornemens om reeds een doorkijkje te geven naar wetgeving die eind 2016 verwacht wordt. Zo zal de informele energieraad op 11 april benut worden om in Raadsverband te spreken over regionale samenwerking en het marktontwerp voor de elektriciteitsmarkt. Dit is een prioriteit van het Nederlandse EU-voorzitterschap. </w:t>
      </w:r>
    </w:p>
    <w:p w:rsidR="00DF597F" w:rsidP="00DF597F" w:rsidRDefault="00DF597F">
      <w:pPr>
        <w:spacing w:after="200"/>
        <w:rPr>
          <w:szCs w:val="17"/>
        </w:rPr>
      </w:pPr>
      <w:r w:rsidRPr="00DF597F">
        <w:rPr>
          <w:szCs w:val="17"/>
          <w:u w:val="single"/>
        </w:rPr>
        <w:t>Milieuraad:</w:t>
      </w:r>
      <w:r>
        <w:rPr>
          <w:szCs w:val="17"/>
        </w:rPr>
        <w:t xml:space="preserve"> Vanaf 1 januari 2016 vinden onder </w:t>
      </w:r>
      <w:r w:rsidRPr="00D33E8D">
        <w:rPr>
          <w:szCs w:val="17"/>
        </w:rPr>
        <w:t xml:space="preserve">Nederlands Voorzitterschap </w:t>
      </w:r>
      <w:r>
        <w:rPr>
          <w:szCs w:val="17"/>
        </w:rPr>
        <w:t xml:space="preserve">verdere </w:t>
      </w:r>
      <w:r w:rsidRPr="00D33E8D">
        <w:rPr>
          <w:szCs w:val="17"/>
        </w:rPr>
        <w:t xml:space="preserve">besprekingen </w:t>
      </w:r>
      <w:r>
        <w:rPr>
          <w:szCs w:val="17"/>
        </w:rPr>
        <w:t xml:space="preserve">over het herzieningsvoorstel voor het ETS plaats </w:t>
      </w:r>
      <w:r w:rsidRPr="00D33E8D">
        <w:rPr>
          <w:szCs w:val="17"/>
        </w:rPr>
        <w:t>in de Raadswerkgroep Milieu</w:t>
      </w:r>
      <w:r>
        <w:rPr>
          <w:szCs w:val="17"/>
        </w:rPr>
        <w:t xml:space="preserve">. Het dossier zal dit komende half jaar niet worden afgerond. Voor de </w:t>
      </w:r>
      <w:r w:rsidRPr="00D33E8D">
        <w:rPr>
          <w:szCs w:val="17"/>
        </w:rPr>
        <w:t xml:space="preserve">Milieuraad van 20 juni 2016 een beleidsdebat plaats. De  intentie was om dat in samenhang te doen met het nog uit te komen voorstel voor emissiereducties voor de non-EU ETS sectoren en het voorstel voor landgebruik (LULUCF). Deze voorstellen waren eerder door de Europese Commissie voor begin 2016 aangekondigd. </w:t>
      </w:r>
      <w:r>
        <w:rPr>
          <w:szCs w:val="17"/>
        </w:rPr>
        <w:t>Zij zullen echter pas ronde de zomer van 2016 v</w:t>
      </w:r>
      <w:r w:rsidRPr="00D33E8D">
        <w:rPr>
          <w:szCs w:val="17"/>
        </w:rPr>
        <w:t>erschijnen en dus niet op tijd komen voor behandeling onder Nederlands EU-Voorzitterschap</w:t>
      </w:r>
      <w:r>
        <w:rPr>
          <w:szCs w:val="17"/>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58"/>
        <w:gridCol w:w="3012"/>
      </w:tblGrid>
      <w:tr w:rsidRPr="008A0025" w:rsidR="00CA0C44" w:rsidTr="00F04D67">
        <w:tc>
          <w:tcPr>
            <w:tcW w:w="4858" w:type="dxa"/>
            <w:shd w:val="clear" w:color="000000" w:fill="auto"/>
          </w:tcPr>
          <w:p w:rsidRPr="008A0025" w:rsidR="00CA0C44" w:rsidP="00F04D67" w:rsidRDefault="00CA0C44">
            <w:pPr>
              <w:rPr>
                <w:b/>
                <w:szCs w:val="18"/>
              </w:rPr>
            </w:pPr>
            <w:r w:rsidRPr="008A0025">
              <w:rPr>
                <w:b/>
                <w:szCs w:val="18"/>
              </w:rPr>
              <w:t>Raadsformatie en datum</w:t>
            </w:r>
          </w:p>
        </w:tc>
        <w:tc>
          <w:tcPr>
            <w:tcW w:w="3012" w:type="dxa"/>
            <w:shd w:val="clear" w:color="000000" w:fill="auto"/>
          </w:tcPr>
          <w:p w:rsidRPr="008A0025" w:rsidR="00CA0C44" w:rsidP="00F04D67" w:rsidRDefault="00CA0C44">
            <w:pPr>
              <w:rPr>
                <w:b/>
                <w:szCs w:val="18"/>
              </w:rPr>
            </w:pPr>
            <w:r w:rsidRPr="008A0025">
              <w:rPr>
                <w:b/>
                <w:szCs w:val="18"/>
              </w:rPr>
              <w:t>Datum AO/SO</w:t>
            </w:r>
          </w:p>
        </w:tc>
      </w:tr>
      <w:tr w:rsidRPr="008A0025" w:rsidR="00CA0C44" w:rsidTr="00F04D67">
        <w:tc>
          <w:tcPr>
            <w:tcW w:w="4858" w:type="dxa"/>
            <w:shd w:val="clear" w:color="000000" w:fill="auto"/>
          </w:tcPr>
          <w:p w:rsidRPr="008A0025" w:rsidR="00CA0C44" w:rsidP="00F04D67" w:rsidRDefault="00CA0C44">
            <w:pPr>
              <w:rPr>
                <w:szCs w:val="18"/>
              </w:rPr>
            </w:pPr>
            <w:r w:rsidRPr="008A0025">
              <w:rPr>
                <w:szCs w:val="18"/>
              </w:rPr>
              <w:t>Informele Energieraad 11 april</w:t>
            </w:r>
          </w:p>
        </w:tc>
        <w:tc>
          <w:tcPr>
            <w:tcW w:w="3012" w:type="dxa"/>
            <w:shd w:val="clear" w:color="000000" w:fill="auto"/>
          </w:tcPr>
          <w:p w:rsidRPr="008A0025" w:rsidR="00CA0C44" w:rsidP="00F04D67" w:rsidRDefault="00CA0C44">
            <w:pPr>
              <w:rPr>
                <w:szCs w:val="18"/>
              </w:rPr>
            </w:pPr>
            <w:r w:rsidRPr="008A0025">
              <w:rPr>
                <w:szCs w:val="18"/>
              </w:rPr>
              <w:t>Inbreng SO 4 april</w:t>
            </w:r>
          </w:p>
        </w:tc>
      </w:tr>
      <w:tr w:rsidRPr="008A0025" w:rsidR="00CA0C44" w:rsidTr="00F04D67">
        <w:tc>
          <w:tcPr>
            <w:tcW w:w="4858" w:type="dxa"/>
            <w:shd w:val="clear" w:color="000000" w:fill="auto"/>
          </w:tcPr>
          <w:p w:rsidRPr="008A0025" w:rsidR="00CA0C44" w:rsidP="00F04D67" w:rsidRDefault="00CA0C44">
            <w:pPr>
              <w:rPr>
                <w:szCs w:val="18"/>
              </w:rPr>
            </w:pPr>
            <w:r w:rsidRPr="008A0025">
              <w:rPr>
                <w:szCs w:val="18"/>
              </w:rPr>
              <w:t>Informele Milieu- en Transportraad 14-15 april</w:t>
            </w:r>
          </w:p>
        </w:tc>
        <w:tc>
          <w:tcPr>
            <w:tcW w:w="3012" w:type="dxa"/>
            <w:shd w:val="clear" w:color="000000" w:fill="auto"/>
          </w:tcPr>
          <w:p w:rsidRPr="008A0025" w:rsidR="00CA0C44" w:rsidP="00F04D67" w:rsidRDefault="00CA0C44">
            <w:pPr>
              <w:rPr>
                <w:szCs w:val="18"/>
              </w:rPr>
            </w:pPr>
            <w:r w:rsidRPr="008A0025">
              <w:rPr>
                <w:szCs w:val="18"/>
              </w:rPr>
              <w:t>Inbreng SO 29 maart</w:t>
            </w:r>
          </w:p>
        </w:tc>
      </w:tr>
      <w:tr w:rsidRPr="008A0025" w:rsidR="00CA0C44" w:rsidTr="00F04D67">
        <w:tc>
          <w:tcPr>
            <w:tcW w:w="4858" w:type="dxa"/>
            <w:shd w:val="clear" w:color="000000" w:fill="auto"/>
          </w:tcPr>
          <w:p w:rsidRPr="008A0025" w:rsidR="00CA0C44" w:rsidP="00F04D67" w:rsidRDefault="00CA0C44">
            <w:pPr>
              <w:rPr>
                <w:szCs w:val="18"/>
              </w:rPr>
            </w:pPr>
            <w:r w:rsidRPr="008A0025">
              <w:rPr>
                <w:szCs w:val="18"/>
              </w:rPr>
              <w:t>Energieraad 6 juni</w:t>
            </w:r>
          </w:p>
        </w:tc>
        <w:tc>
          <w:tcPr>
            <w:tcW w:w="3012" w:type="dxa"/>
            <w:shd w:val="clear" w:color="000000" w:fill="auto"/>
          </w:tcPr>
          <w:p w:rsidRPr="008A0025" w:rsidR="00CA0C44" w:rsidP="00F04D67" w:rsidRDefault="00CA0C44">
            <w:pPr>
              <w:rPr>
                <w:szCs w:val="18"/>
              </w:rPr>
            </w:pPr>
            <w:r w:rsidRPr="008A0025">
              <w:rPr>
                <w:szCs w:val="18"/>
              </w:rPr>
              <w:t>AO 1 juni</w:t>
            </w:r>
          </w:p>
        </w:tc>
      </w:tr>
      <w:tr w:rsidRPr="008A0025" w:rsidR="00CA0C44" w:rsidTr="00F04D67">
        <w:tc>
          <w:tcPr>
            <w:tcW w:w="4858" w:type="dxa"/>
            <w:shd w:val="clear" w:color="000000" w:fill="auto"/>
          </w:tcPr>
          <w:p w:rsidRPr="008A0025" w:rsidR="00CA0C44" w:rsidP="00F04D67" w:rsidRDefault="00CA0C44">
            <w:pPr>
              <w:rPr>
                <w:szCs w:val="18"/>
              </w:rPr>
            </w:pPr>
            <w:r w:rsidRPr="008A0025">
              <w:rPr>
                <w:szCs w:val="18"/>
              </w:rPr>
              <w:t>Transportraad 13 juni</w:t>
            </w:r>
          </w:p>
        </w:tc>
        <w:tc>
          <w:tcPr>
            <w:tcW w:w="3012" w:type="dxa"/>
            <w:shd w:val="clear" w:color="000000" w:fill="auto"/>
          </w:tcPr>
          <w:p w:rsidRPr="008A0025" w:rsidR="00CA0C44" w:rsidP="00F04D67" w:rsidRDefault="00CA0C44">
            <w:pPr>
              <w:rPr>
                <w:szCs w:val="18"/>
              </w:rPr>
            </w:pPr>
            <w:r w:rsidRPr="008A0025">
              <w:rPr>
                <w:szCs w:val="18"/>
              </w:rPr>
              <w:t>AO 25 mei</w:t>
            </w:r>
          </w:p>
        </w:tc>
      </w:tr>
      <w:tr w:rsidRPr="008A0025" w:rsidR="00CA0C44" w:rsidTr="00F04D67">
        <w:tc>
          <w:tcPr>
            <w:tcW w:w="4858" w:type="dxa"/>
            <w:shd w:val="clear" w:color="000000" w:fill="auto"/>
          </w:tcPr>
          <w:p w:rsidRPr="008A0025" w:rsidR="00CA0C44" w:rsidP="00F04D67" w:rsidRDefault="00CA0C44">
            <w:pPr>
              <w:rPr>
                <w:szCs w:val="18"/>
              </w:rPr>
            </w:pPr>
            <w:r w:rsidRPr="008A0025">
              <w:rPr>
                <w:szCs w:val="18"/>
              </w:rPr>
              <w:t>Milieuraad 20 juni</w:t>
            </w:r>
          </w:p>
        </w:tc>
        <w:tc>
          <w:tcPr>
            <w:tcW w:w="3012" w:type="dxa"/>
            <w:shd w:val="clear" w:color="000000" w:fill="auto"/>
          </w:tcPr>
          <w:p w:rsidRPr="008A0025" w:rsidR="00CA0C44" w:rsidP="00F04D67" w:rsidRDefault="00CA0C44">
            <w:pPr>
              <w:rPr>
                <w:szCs w:val="18"/>
              </w:rPr>
            </w:pPr>
            <w:r w:rsidRPr="008A0025">
              <w:rPr>
                <w:szCs w:val="18"/>
              </w:rPr>
              <w:t>AO 7 juni</w:t>
            </w:r>
          </w:p>
        </w:tc>
      </w:tr>
    </w:tbl>
    <w:p w:rsidR="00CA0C44" w:rsidP="00CA0C44" w:rsidRDefault="00CA0C44">
      <w:pPr>
        <w:widowControl w:val="0"/>
        <w:tabs>
          <w:tab w:val="left" w:pos="0"/>
        </w:tabs>
        <w:suppressAutoHyphens/>
        <w:autoSpaceDN w:val="0"/>
        <w:spacing w:line="276" w:lineRule="auto"/>
        <w:textAlignment w:val="baseline"/>
        <w:outlineLvl w:val="0"/>
        <w:rPr>
          <w:rFonts w:eastAsia="DejaVu Sans" w:cs="Lohit Hindi"/>
          <w:b/>
          <w:kern w:val="3"/>
          <w:szCs w:val="18"/>
          <w:lang w:eastAsia="zh-CN" w:bidi="hi-IN"/>
        </w:rPr>
      </w:pPr>
    </w:p>
    <w:p w:rsidR="00DF597F" w:rsidP="007D5939" w:rsidRDefault="00DF597F">
      <w:pPr>
        <w:pStyle w:val="Paragraaf-Huisstijl"/>
        <w:numPr>
          <w:ilvl w:val="0"/>
          <w:numId w:val="0"/>
        </w:numPr>
        <w:spacing w:before="0" w:line="240" w:lineRule="auto"/>
        <w:rPr>
          <w:sz w:val="18"/>
          <w:szCs w:val="18"/>
          <w:u w:val="single"/>
        </w:rPr>
      </w:pPr>
    </w:p>
    <w:p w:rsidRPr="00D13C0A" w:rsidR="007D5939" w:rsidP="007D5939" w:rsidRDefault="007D5939">
      <w:pPr>
        <w:pStyle w:val="Paragraaf-Huisstijl"/>
        <w:numPr>
          <w:ilvl w:val="0"/>
          <w:numId w:val="0"/>
        </w:numPr>
        <w:spacing w:before="0" w:line="240" w:lineRule="auto"/>
        <w:rPr>
          <w:sz w:val="18"/>
          <w:szCs w:val="18"/>
          <w:u w:val="single"/>
        </w:rPr>
      </w:pPr>
      <w:r w:rsidRPr="00D13C0A">
        <w:rPr>
          <w:sz w:val="18"/>
          <w:szCs w:val="18"/>
          <w:u w:val="single"/>
        </w:rPr>
        <w:t>Interparlementaire themaconferentie over energie</w:t>
      </w:r>
    </w:p>
    <w:p w:rsidR="005C367D" w:rsidP="007D5939" w:rsidRDefault="007D5939">
      <w:pPr>
        <w:pStyle w:val="Normaalweb"/>
        <w:spacing w:after="0" w:line="276" w:lineRule="auto"/>
        <w:rPr>
          <w:rFonts w:ascii="Verdana" w:hAnsi="Verdana"/>
          <w:sz w:val="18"/>
          <w:szCs w:val="18"/>
          <w:lang w:eastAsia="zh-CN" w:bidi="hi-IN"/>
        </w:rPr>
      </w:pPr>
      <w:r w:rsidRPr="007D5939">
        <w:rPr>
          <w:rFonts w:ascii="Verdana" w:hAnsi="Verdana"/>
          <w:sz w:val="18"/>
          <w:szCs w:val="18"/>
          <w:lang w:eastAsia="zh-CN" w:bidi="hi-IN"/>
        </w:rPr>
        <w:t xml:space="preserve">Op 3 en 4 april vind een interparlementaire bijeenkomst over </w:t>
      </w:r>
      <w:r w:rsidR="007C39A5">
        <w:rPr>
          <w:rFonts w:ascii="Verdana" w:hAnsi="Verdana"/>
          <w:sz w:val="18"/>
          <w:szCs w:val="18"/>
          <w:lang w:eastAsia="zh-CN" w:bidi="hi-IN"/>
        </w:rPr>
        <w:t xml:space="preserve">Energie, innovatie en circulaire economie </w:t>
      </w:r>
      <w:r w:rsidRPr="007D5939">
        <w:rPr>
          <w:rFonts w:ascii="Verdana" w:hAnsi="Verdana"/>
          <w:sz w:val="18"/>
          <w:szCs w:val="18"/>
          <w:lang w:eastAsia="zh-CN" w:bidi="hi-IN"/>
        </w:rPr>
        <w:t xml:space="preserve">plaats in het kader van de parlementaire dimensie van het EU-voorzitterschap. </w:t>
      </w:r>
      <w:r w:rsidR="005C367D">
        <w:rPr>
          <w:rFonts w:ascii="Verdana" w:hAnsi="Verdana"/>
          <w:sz w:val="18"/>
          <w:szCs w:val="18"/>
          <w:lang w:eastAsia="zh-CN" w:bidi="hi-IN"/>
        </w:rPr>
        <w:t xml:space="preserve">Doelgroep van de conferentie zijn nationale parlementsleden uit de andere EU-hoofdsteden alsmede Leden van het Europees Parlement. </w:t>
      </w:r>
    </w:p>
    <w:p w:rsidR="007C39A5" w:rsidP="007D5939" w:rsidRDefault="005C367D">
      <w:pPr>
        <w:pStyle w:val="Normaalweb"/>
        <w:spacing w:after="0" w:line="276" w:lineRule="auto"/>
        <w:rPr>
          <w:rFonts w:ascii="Verdana" w:hAnsi="Verdana"/>
          <w:sz w:val="18"/>
          <w:szCs w:val="18"/>
          <w:lang w:eastAsia="zh-CN" w:bidi="hi-IN"/>
        </w:rPr>
      </w:pPr>
      <w:r>
        <w:rPr>
          <w:rFonts w:ascii="Verdana" w:hAnsi="Verdana"/>
          <w:sz w:val="18"/>
          <w:szCs w:val="18"/>
          <w:lang w:eastAsia="zh-CN" w:bidi="hi-IN"/>
        </w:rPr>
        <w:t xml:space="preserve">Vanuit de </w:t>
      </w:r>
      <w:r w:rsidR="007C39A5">
        <w:rPr>
          <w:rFonts w:ascii="Verdana" w:hAnsi="Verdana"/>
          <w:sz w:val="18"/>
          <w:szCs w:val="18"/>
          <w:lang w:eastAsia="zh-CN" w:bidi="hi-IN"/>
        </w:rPr>
        <w:t xml:space="preserve">commissies EZ en I&amp;M zijn </w:t>
      </w:r>
      <w:r>
        <w:rPr>
          <w:rFonts w:ascii="Verdana" w:hAnsi="Verdana"/>
          <w:sz w:val="18"/>
          <w:szCs w:val="18"/>
          <w:lang w:eastAsia="zh-CN" w:bidi="hi-IN"/>
        </w:rPr>
        <w:t xml:space="preserve">verschillende Leden actief </w:t>
      </w:r>
      <w:r w:rsidR="007C39A5">
        <w:rPr>
          <w:rFonts w:ascii="Verdana" w:hAnsi="Verdana"/>
          <w:sz w:val="18"/>
          <w:szCs w:val="18"/>
          <w:lang w:eastAsia="zh-CN" w:bidi="hi-IN"/>
        </w:rPr>
        <w:t xml:space="preserve">betrokken bij de voorbereiding van deze conferentie en spelen die dag een rol in het programma. Overige Kamerleden zijn uitgenodigd om zich desgewenst als ‘observer’ aan te melden. </w:t>
      </w:r>
    </w:p>
    <w:p w:rsidR="00C017CC" w:rsidP="007D5939" w:rsidRDefault="007D5939">
      <w:pPr>
        <w:pStyle w:val="Normaalweb"/>
        <w:spacing w:after="0" w:line="276" w:lineRule="auto"/>
        <w:rPr>
          <w:rFonts w:ascii="Verdana" w:hAnsi="Verdana" w:cs="Arial"/>
          <w:color w:val="222222"/>
          <w:sz w:val="18"/>
          <w:szCs w:val="18"/>
        </w:rPr>
      </w:pPr>
      <w:r w:rsidRPr="007D5939">
        <w:rPr>
          <w:rFonts w:ascii="Verdana" w:hAnsi="Verdana" w:cs="Arial"/>
          <w:color w:val="222222"/>
          <w:sz w:val="18"/>
          <w:szCs w:val="18"/>
        </w:rPr>
        <w:t xml:space="preserve">De centrale vraag van deze conferentie is: hoe versnellen we een kostenefficiënte overgang naar een schone, concurrerende en veilige Energietoekomst? </w:t>
      </w:r>
      <w:r w:rsidRPr="007D5939">
        <w:rPr>
          <w:rFonts w:ascii="Verdana" w:hAnsi="Verdana"/>
          <w:sz w:val="18"/>
          <w:szCs w:val="18"/>
          <w:lang w:eastAsia="zh-CN" w:bidi="hi-IN"/>
        </w:rPr>
        <w:t xml:space="preserve">De minister van Economische Zaken en de Eurocommissarissen </w:t>
      </w:r>
      <w:r w:rsidRPr="007D5939">
        <w:rPr>
          <w:rFonts w:ascii="Verdana" w:hAnsi="Verdana" w:cs="Arial"/>
          <w:color w:val="222222"/>
          <w:sz w:val="18"/>
          <w:szCs w:val="18"/>
        </w:rPr>
        <w:t xml:space="preserve">Šefčovič en Vella zullen presentaties houden tijdens het plenaire deel van de conferentie. </w:t>
      </w:r>
      <w:r w:rsidR="00C017CC">
        <w:rPr>
          <w:rFonts w:ascii="Verdana" w:hAnsi="Verdana" w:cs="Arial"/>
          <w:color w:val="222222"/>
          <w:sz w:val="18"/>
          <w:szCs w:val="18"/>
        </w:rPr>
        <w:t xml:space="preserve">Verder hebben de heer Fatih Birol </w:t>
      </w:r>
      <w:r w:rsidR="00C017CC">
        <w:rPr>
          <w:rFonts w:ascii="Verdana" w:hAnsi="Verdana" w:cs="Arial"/>
          <w:color w:val="222222"/>
          <w:sz w:val="18"/>
          <w:szCs w:val="18"/>
        </w:rPr>
        <w:lastRenderedPageBreak/>
        <w:t xml:space="preserve">(executive director van het Internationaal Energie Agentschap), de heer Andrew Steer van het World Resources Institute en de heer Feike Sijbesma hun deelname aan de plenaire paneldiscussie in de ochtend toegezegd. </w:t>
      </w:r>
    </w:p>
    <w:p w:rsidR="006343E0" w:rsidP="007D5939" w:rsidRDefault="00C017CC">
      <w:pPr>
        <w:pStyle w:val="Normaalweb"/>
        <w:spacing w:after="0" w:line="276" w:lineRule="auto"/>
        <w:rPr>
          <w:rFonts w:ascii="Verdana" w:hAnsi="Verdana" w:cs="Arial"/>
          <w:color w:val="222222"/>
          <w:sz w:val="18"/>
          <w:szCs w:val="18"/>
        </w:rPr>
      </w:pPr>
      <w:r>
        <w:rPr>
          <w:rFonts w:ascii="Verdana" w:hAnsi="Verdana" w:cs="Arial"/>
          <w:color w:val="222222"/>
          <w:sz w:val="18"/>
          <w:szCs w:val="18"/>
        </w:rPr>
        <w:t xml:space="preserve">In de middag vinden 4 </w:t>
      </w:r>
      <w:r w:rsidRPr="007D5939" w:rsidR="007D5939">
        <w:rPr>
          <w:rFonts w:ascii="Verdana" w:hAnsi="Verdana" w:cs="Arial"/>
          <w:color w:val="222222"/>
          <w:sz w:val="18"/>
          <w:szCs w:val="18"/>
        </w:rPr>
        <w:t xml:space="preserve">parallelle deelsessies </w:t>
      </w:r>
      <w:r>
        <w:rPr>
          <w:rFonts w:ascii="Verdana" w:hAnsi="Verdana" w:cs="Arial"/>
          <w:color w:val="222222"/>
          <w:sz w:val="18"/>
          <w:szCs w:val="18"/>
        </w:rPr>
        <w:t xml:space="preserve">plaats die in het teken staan van </w:t>
      </w:r>
      <w:r w:rsidRPr="007D5939" w:rsidR="007D5939">
        <w:rPr>
          <w:rFonts w:ascii="Verdana" w:hAnsi="Verdana" w:cs="Arial"/>
          <w:color w:val="222222"/>
          <w:sz w:val="18"/>
          <w:szCs w:val="18"/>
        </w:rPr>
        <w:t xml:space="preserve">energie-infrastructuur en leveringszekerheid, energiebesparing (met name op stedelijk niveau), duurzame energiebronnen en circulaire economie. Meer informatie vindt u op </w:t>
      </w:r>
      <w:hyperlink w:history="1" r:id="rId16">
        <w:r w:rsidRPr="007D5939" w:rsidR="007D5939">
          <w:rPr>
            <w:rStyle w:val="Hyperlink"/>
            <w:rFonts w:ascii="Verdana" w:hAnsi="Verdana" w:cs="Arial"/>
            <w:sz w:val="18"/>
            <w:szCs w:val="18"/>
          </w:rPr>
          <w:t>https://parleu2016.nl</w:t>
        </w:r>
      </w:hyperlink>
      <w:r w:rsidRPr="007D5939" w:rsidR="007D5939">
        <w:rPr>
          <w:rFonts w:ascii="Verdana" w:hAnsi="Verdana" w:cs="Arial"/>
          <w:color w:val="222222"/>
          <w:sz w:val="18"/>
          <w:szCs w:val="18"/>
        </w:rPr>
        <w:t xml:space="preserve">. </w:t>
      </w:r>
    </w:p>
    <w:p w:rsidR="006C7FE6" w:rsidRDefault="006C7FE6">
      <w:pPr>
        <w:rPr>
          <w:rFonts w:cs="Arial"/>
          <w:color w:val="222222"/>
          <w:szCs w:val="18"/>
        </w:rPr>
      </w:pPr>
    </w:p>
    <w:p w:rsidRPr="002B271B" w:rsidR="006C7FE6" w:rsidP="006C7FE6" w:rsidRDefault="006C7FE6">
      <w:r w:rsidRPr="002B271B">
        <w:t xml:space="preserve">De </w:t>
      </w:r>
      <w:r>
        <w:t>co-rapporteurs Energie-Unie,</w:t>
      </w:r>
    </w:p>
    <w:p w:rsidR="006C7FE6" w:rsidP="006C7FE6" w:rsidRDefault="006C7FE6"/>
    <w:p w:rsidRPr="002B271B" w:rsidR="006C7FE6" w:rsidP="006C7FE6" w:rsidRDefault="006C7FE6">
      <w:r>
        <w:t>Remco Dijkstra (namens de commissie I&amp;M)</w:t>
      </w:r>
    </w:p>
    <w:p w:rsidR="006C7FE6" w:rsidP="006C7FE6" w:rsidRDefault="006C7FE6">
      <w:r>
        <w:t>Stientje van Veldhoven (namens de commissie EZ)</w:t>
      </w:r>
    </w:p>
    <w:p w:rsidR="006C7FE6" w:rsidP="006C7FE6" w:rsidRDefault="006C7FE6">
      <w:pPr>
        <w:rPr>
          <w:b/>
          <w:szCs w:val="17"/>
        </w:rPr>
      </w:pPr>
    </w:p>
    <w:p w:rsidR="006343E0" w:rsidRDefault="006343E0">
      <w:pPr>
        <w:rPr>
          <w:rFonts w:eastAsia="Times New Roman" w:cs="Arial"/>
          <w:color w:val="222222"/>
          <w:szCs w:val="18"/>
          <w:lang w:eastAsia="nl-NL"/>
        </w:rPr>
      </w:pPr>
      <w:r>
        <w:rPr>
          <w:rFonts w:cs="Arial"/>
          <w:color w:val="222222"/>
          <w:szCs w:val="18"/>
        </w:rPr>
        <w:br w:type="page"/>
      </w:r>
    </w:p>
    <w:p w:rsidRPr="006343E0" w:rsidR="006343E0" w:rsidP="006343E0" w:rsidRDefault="006343E0">
      <w:pPr>
        <w:tabs>
          <w:tab w:val="left" w:pos="3377"/>
        </w:tabs>
        <w:rPr>
          <w:b/>
          <w:sz w:val="17"/>
        </w:rPr>
      </w:pPr>
      <w:r w:rsidRPr="006343E0">
        <w:rPr>
          <w:b/>
          <w:sz w:val="17"/>
        </w:rPr>
        <w:lastRenderedPageBreak/>
        <w:t>Bijlage 1: actueel overzicht wetgevende voorstellen Energie-Unie d.d. 18 november 2015, inclusief voortouwcommissies in de Tweede Kamer</w:t>
      </w:r>
    </w:p>
    <w:p w:rsidRPr="006343E0" w:rsidR="006343E0" w:rsidP="006343E0" w:rsidRDefault="006343E0">
      <w:pPr>
        <w:tabs>
          <w:tab w:val="left" w:pos="3377"/>
        </w:tabs>
        <w:rPr>
          <w:b/>
          <w:sz w:val="17"/>
        </w:rPr>
      </w:pPr>
    </w:p>
    <w:tbl>
      <w:tblPr>
        <w:tblW w:w="8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1E0" w:firstRow="1" w:lastRow="1" w:firstColumn="1" w:lastColumn="1" w:noHBand="0" w:noVBand="0"/>
      </w:tblPr>
      <w:tblGrid>
        <w:gridCol w:w="8613"/>
      </w:tblGrid>
      <w:tr w:rsidRPr="006343E0" w:rsidR="006343E0" w:rsidTr="00F04D67">
        <w:trPr>
          <w:trHeight w:val="361"/>
        </w:trPr>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lang w:eastAsia="nl-NL" w:bidi="nl-NL"/>
              </w:rPr>
            </w:pPr>
            <w:r w:rsidRPr="006343E0">
              <w:rPr>
                <w:rFonts w:eastAsia="Times New Roman"/>
                <w:b/>
                <w:noProof/>
                <w:sz w:val="16"/>
                <w:lang w:eastAsia="nl-NL" w:bidi="nl-NL"/>
              </w:rPr>
              <w:t>Elektriciteit (voortouw EZ)</w:t>
            </w:r>
          </w:p>
        </w:tc>
      </w:tr>
      <w:tr w:rsidRPr="006343E0" w:rsidR="006343E0" w:rsidTr="00F04D67">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numPr>
                <w:ilvl w:val="0"/>
                <w:numId w:val="18"/>
              </w:numPr>
              <w:spacing w:after="200"/>
              <w:rPr>
                <w:rFonts w:eastAsia="Times New Roman"/>
                <w:noProof/>
                <w:sz w:val="16"/>
                <w:lang w:eastAsia="nl-NL" w:bidi="nl-NL"/>
              </w:rPr>
            </w:pPr>
            <w:r w:rsidRPr="006343E0">
              <w:rPr>
                <w:rFonts w:eastAsia="Times New Roman"/>
                <w:sz w:val="16"/>
                <w:lang w:eastAsia="nl-NL" w:bidi="nl-NL"/>
              </w:rPr>
              <w:t>Initiatief betreffende marktopzet en regionale elektriciteitsmarkten, en coördinatie van capaciteiten om de voorzieningszekerheid te waarborgen, grensoverschrijdende handel te bevorderen en integratie van hernieuwbare energie te vergemakkelijken</w:t>
            </w:r>
          </w:p>
        </w:tc>
      </w:tr>
      <w:tr w:rsidRPr="006343E0" w:rsidR="006343E0" w:rsidTr="00F04D67">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numPr>
                <w:ilvl w:val="0"/>
                <w:numId w:val="18"/>
              </w:numPr>
              <w:spacing w:after="200"/>
              <w:rPr>
                <w:rFonts w:eastAsia="Times New Roman"/>
                <w:noProof/>
                <w:sz w:val="16"/>
                <w:lang w:eastAsia="nl-NL" w:bidi="nl-NL"/>
              </w:rPr>
            </w:pPr>
            <w:r w:rsidRPr="006343E0">
              <w:rPr>
                <w:rFonts w:eastAsia="Times New Roman"/>
                <w:sz w:val="16"/>
                <w:lang w:eastAsia="nl-NL" w:bidi="nl-NL"/>
              </w:rPr>
              <w:t>Herziening van de richtlijn inzake maatregelen om de elektriciteitsvoorziening veilig te stellen</w:t>
            </w:r>
          </w:p>
        </w:tc>
      </w:tr>
      <w:tr w:rsidRPr="006343E0" w:rsidR="006343E0" w:rsidTr="00F04D67">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lang w:eastAsia="nl-NL" w:bidi="nl-NL"/>
              </w:rPr>
            </w:pPr>
            <w:r w:rsidRPr="006343E0">
              <w:rPr>
                <w:rFonts w:eastAsia="Times New Roman"/>
                <w:b/>
                <w:noProof/>
                <w:sz w:val="16"/>
                <w:lang w:eastAsia="nl-NL" w:bidi="nl-NL"/>
              </w:rPr>
              <w:t>Kleinhandel (voortouw EZ)</w:t>
            </w:r>
          </w:p>
        </w:tc>
      </w:tr>
      <w:tr w:rsidRPr="006343E0" w:rsidR="006343E0" w:rsidTr="00F04D67">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numPr>
                <w:ilvl w:val="0"/>
                <w:numId w:val="19"/>
              </w:numPr>
              <w:spacing w:after="200"/>
              <w:rPr>
                <w:rFonts w:eastAsia="Times New Roman"/>
                <w:noProof/>
                <w:sz w:val="16"/>
                <w:lang w:eastAsia="nl-NL" w:bidi="nl-NL"/>
              </w:rPr>
            </w:pPr>
            <w:r w:rsidRPr="006343E0">
              <w:rPr>
                <w:rFonts w:eastAsia="Times New Roman"/>
                <w:sz w:val="16"/>
                <w:lang w:eastAsia="nl-NL" w:bidi="nl-NL"/>
              </w:rPr>
              <w:t>"New Deal" voor energieverbruikers: consumenten mondig maken; ontwikkeling van vraagrespons; gebruik van slimme technologieën; koppeling van groot- en kleinhandelsmarkten; geleidelijke uitbanning van gereguleerde tarieven; begeleidende maatregelen om kwetsbare afnemers te beschermen</w:t>
            </w:r>
          </w:p>
        </w:tc>
      </w:tr>
      <w:tr w:rsidRPr="006343E0" w:rsidR="006343E0" w:rsidTr="00F04D67">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lang w:eastAsia="nl-NL" w:bidi="nl-NL"/>
              </w:rPr>
            </w:pPr>
            <w:r w:rsidRPr="006343E0">
              <w:rPr>
                <w:rFonts w:eastAsia="Times New Roman"/>
                <w:b/>
                <w:noProof/>
                <w:sz w:val="16"/>
                <w:lang w:eastAsia="nl-NL" w:bidi="nl-NL"/>
              </w:rPr>
              <w:t>Gas (voortouw EZ)</w:t>
            </w:r>
          </w:p>
        </w:tc>
      </w:tr>
      <w:tr w:rsidRPr="006343E0" w:rsidR="006343E0" w:rsidTr="00F04D67">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numPr>
                <w:ilvl w:val="0"/>
                <w:numId w:val="20"/>
              </w:numPr>
              <w:spacing w:after="200"/>
              <w:rPr>
                <w:rFonts w:eastAsia="Times New Roman"/>
                <w:noProof/>
                <w:sz w:val="16"/>
                <w:lang w:eastAsia="nl-NL" w:bidi="nl-NL"/>
              </w:rPr>
            </w:pPr>
            <w:r w:rsidRPr="006343E0">
              <w:rPr>
                <w:rFonts w:eastAsia="Times New Roman"/>
                <w:sz w:val="16"/>
                <w:lang w:eastAsia="nl-NL" w:bidi="nl-NL"/>
              </w:rPr>
              <w:t>Herziening van de verordening inzake veiligstelling van de aardgasvoorziening</w:t>
            </w:r>
          </w:p>
        </w:tc>
      </w:tr>
      <w:tr w:rsidRPr="006343E0" w:rsidR="006343E0" w:rsidTr="00F04D67">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b/>
                <w:sz w:val="16"/>
                <w:lang w:eastAsia="nl-NL" w:bidi="nl-NL"/>
              </w:rPr>
            </w:pPr>
            <w:r w:rsidRPr="006343E0">
              <w:rPr>
                <w:rFonts w:eastAsia="Times New Roman"/>
                <w:b/>
                <w:sz w:val="16"/>
                <w:lang w:eastAsia="nl-NL" w:bidi="nl-NL"/>
              </w:rPr>
              <w:t xml:space="preserve">Regelgevingskader </w:t>
            </w:r>
            <w:r w:rsidRPr="006343E0">
              <w:rPr>
                <w:rFonts w:eastAsia="Times New Roman"/>
                <w:b/>
                <w:noProof/>
                <w:sz w:val="16"/>
                <w:lang w:eastAsia="nl-NL" w:bidi="nl-NL"/>
              </w:rPr>
              <w:t>(voortouw EZ)</w:t>
            </w:r>
          </w:p>
        </w:tc>
      </w:tr>
      <w:tr w:rsidRPr="006343E0" w:rsidR="006343E0" w:rsidTr="00F04D67">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numPr>
                <w:ilvl w:val="0"/>
                <w:numId w:val="21"/>
              </w:numPr>
              <w:spacing w:after="200"/>
              <w:rPr>
                <w:rFonts w:eastAsia="Times New Roman"/>
                <w:sz w:val="16"/>
                <w:lang w:eastAsia="nl-NL" w:bidi="nl-NL"/>
              </w:rPr>
            </w:pPr>
            <w:r w:rsidRPr="006343E0">
              <w:rPr>
                <w:rFonts w:eastAsia="Times New Roman"/>
                <w:sz w:val="16"/>
                <w:lang w:eastAsia="nl-NL" w:bidi="nl-NL"/>
              </w:rPr>
              <w:t>Herziening van de bevoegdheden van het Agentschap voor de samenwerking tussen energieregulators (ACER) en van het regelgevingskader voor energie</w:t>
            </w:r>
          </w:p>
        </w:tc>
      </w:tr>
      <w:tr w:rsidRPr="006343E0" w:rsidR="006343E0" w:rsidTr="00F04D67">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b/>
                <w:sz w:val="16"/>
                <w:lang w:eastAsia="nl-NL" w:bidi="nl-NL"/>
              </w:rPr>
            </w:pPr>
            <w:r w:rsidRPr="006343E0">
              <w:rPr>
                <w:rFonts w:eastAsia="Times New Roman"/>
                <w:b/>
                <w:sz w:val="16"/>
                <w:lang w:eastAsia="nl-NL" w:bidi="nl-NL"/>
              </w:rPr>
              <w:t xml:space="preserve">Hernieuwbare energie </w:t>
            </w:r>
            <w:r w:rsidRPr="006343E0">
              <w:rPr>
                <w:rFonts w:eastAsia="Times New Roman"/>
                <w:b/>
                <w:noProof/>
                <w:sz w:val="16"/>
                <w:lang w:eastAsia="nl-NL" w:bidi="nl-NL"/>
              </w:rPr>
              <w:t>(voortouw EZ)</w:t>
            </w:r>
          </w:p>
        </w:tc>
      </w:tr>
      <w:tr w:rsidRPr="006343E0" w:rsidR="006343E0" w:rsidTr="00F04D67">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numPr>
                <w:ilvl w:val="0"/>
                <w:numId w:val="22"/>
              </w:numPr>
              <w:spacing w:after="200"/>
              <w:rPr>
                <w:rFonts w:eastAsia="Times New Roman"/>
                <w:sz w:val="16"/>
                <w:lang w:eastAsia="nl-NL" w:bidi="nl-NL"/>
              </w:rPr>
            </w:pPr>
            <w:r w:rsidRPr="006343E0">
              <w:rPr>
                <w:rFonts w:eastAsia="Times New Roman"/>
                <w:sz w:val="16"/>
                <w:lang w:eastAsia="nl-NL" w:bidi="nl-NL"/>
              </w:rPr>
              <w:t>Pakket hernieuwbare energie: nieuwe richtlijn betreffende hernieuwbare energie voor 2030; beste praktijken bij eigen verbruik van hernieuwbare energie en steunregelingen; duurzaamheidsbeleid voor bio-energie</w:t>
            </w:r>
          </w:p>
        </w:tc>
      </w:tr>
      <w:tr w:rsidRPr="006343E0" w:rsidR="006343E0" w:rsidTr="00F04D67">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b/>
                <w:sz w:val="16"/>
                <w:lang w:eastAsia="nl-NL" w:bidi="nl-NL"/>
              </w:rPr>
            </w:pPr>
            <w:r w:rsidRPr="006343E0">
              <w:rPr>
                <w:rFonts w:eastAsia="Times New Roman"/>
                <w:b/>
                <w:sz w:val="16"/>
                <w:lang w:eastAsia="nl-NL" w:bidi="nl-NL"/>
              </w:rPr>
              <w:t xml:space="preserve">Klimaatactie </w:t>
            </w:r>
            <w:r w:rsidRPr="006343E0">
              <w:rPr>
                <w:rFonts w:eastAsia="Times New Roman"/>
                <w:b/>
                <w:noProof/>
                <w:sz w:val="16"/>
                <w:lang w:eastAsia="nl-NL" w:bidi="nl-NL"/>
              </w:rPr>
              <w:t>(voortouw IenM)</w:t>
            </w:r>
          </w:p>
        </w:tc>
      </w:tr>
      <w:tr w:rsidRPr="006343E0" w:rsidR="006343E0" w:rsidTr="00F04D67">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numPr>
                <w:ilvl w:val="0"/>
                <w:numId w:val="23"/>
              </w:numPr>
              <w:spacing w:after="200"/>
              <w:rPr>
                <w:rFonts w:eastAsia="Times New Roman"/>
                <w:sz w:val="16"/>
                <w:lang w:eastAsia="nl-NL" w:bidi="nl-NL"/>
              </w:rPr>
            </w:pPr>
            <w:r w:rsidRPr="006343E0">
              <w:rPr>
                <w:rFonts w:eastAsia="Times New Roman"/>
                <w:sz w:val="16"/>
                <w:lang w:eastAsia="nl-NL" w:bidi="nl-NL"/>
              </w:rPr>
              <w:t xml:space="preserve">Wetgevingsvoorstellen inzake a. emissiereducties voor de sectoren die buiten het ETS vallen (het zogeheten ‘effort sharing’- besluit’) ; 2. opname van landgebruik, verandering in landgebruik en bosbouw (LULUCF) in het klimaat- en energiekader voor 2030 </w:t>
            </w:r>
          </w:p>
        </w:tc>
      </w:tr>
      <w:tr w:rsidRPr="006343E0" w:rsidR="006343E0" w:rsidTr="00F04D67">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b/>
                <w:sz w:val="16"/>
                <w:lang w:eastAsia="nl-NL" w:bidi="nl-NL"/>
              </w:rPr>
            </w:pPr>
            <w:r w:rsidRPr="006343E0">
              <w:rPr>
                <w:rFonts w:eastAsia="Times New Roman"/>
                <w:b/>
                <w:sz w:val="16"/>
                <w:lang w:eastAsia="nl-NL" w:bidi="nl-NL"/>
              </w:rPr>
              <w:t xml:space="preserve">Vervoer </w:t>
            </w:r>
            <w:r w:rsidRPr="006343E0">
              <w:rPr>
                <w:rFonts w:eastAsia="Times New Roman"/>
                <w:b/>
                <w:noProof/>
                <w:sz w:val="16"/>
                <w:lang w:eastAsia="nl-NL" w:bidi="nl-NL"/>
              </w:rPr>
              <w:t>(voortouw IenM)</w:t>
            </w:r>
          </w:p>
        </w:tc>
      </w:tr>
      <w:tr w:rsidRPr="006343E0" w:rsidR="006343E0" w:rsidTr="00F04D67">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numPr>
                <w:ilvl w:val="0"/>
                <w:numId w:val="24"/>
              </w:numPr>
              <w:spacing w:after="200"/>
              <w:rPr>
                <w:rFonts w:eastAsia="Times New Roman"/>
                <w:sz w:val="16"/>
                <w:lang w:eastAsia="nl-NL" w:bidi="nl-NL"/>
              </w:rPr>
            </w:pPr>
            <w:r w:rsidRPr="006343E0">
              <w:rPr>
                <w:rFonts w:eastAsia="Times New Roman"/>
                <w:sz w:val="16"/>
                <w:lang w:eastAsia="nl-NL" w:bidi="nl-NL"/>
              </w:rPr>
              <w:t>Eerlijke en efficiënte prijsstelling voor duurzaam vervoer – herziening van de Eurovignet-richtlijn en kader om Europese elektronisch tolheffing te bevorderen</w:t>
            </w:r>
          </w:p>
        </w:tc>
      </w:tr>
      <w:tr w:rsidRPr="006343E0" w:rsidR="006343E0" w:rsidTr="00F04D67">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numPr>
                <w:ilvl w:val="0"/>
                <w:numId w:val="24"/>
              </w:numPr>
              <w:spacing w:after="200"/>
              <w:rPr>
                <w:rFonts w:eastAsia="Times New Roman"/>
                <w:sz w:val="16"/>
                <w:lang w:eastAsia="nl-NL" w:bidi="nl-NL"/>
              </w:rPr>
            </w:pPr>
            <w:r w:rsidRPr="006343E0">
              <w:rPr>
                <w:rFonts w:eastAsia="Times New Roman"/>
                <w:sz w:val="16"/>
                <w:lang w:eastAsia="nl-NL" w:bidi="nl-NL"/>
              </w:rPr>
              <w:t>Herziening van de regels voor markttoegang tot het wegvervoer om de energie-efficiëntie daarvan te verbeteren</w:t>
            </w:r>
          </w:p>
        </w:tc>
      </w:tr>
      <w:tr w:rsidRPr="006343E0" w:rsidR="006343E0" w:rsidTr="00F04D67">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numPr>
                <w:ilvl w:val="0"/>
                <w:numId w:val="24"/>
              </w:numPr>
              <w:spacing w:after="200"/>
              <w:rPr>
                <w:rFonts w:eastAsia="Times New Roman"/>
                <w:sz w:val="16"/>
                <w:lang w:eastAsia="nl-NL" w:bidi="nl-NL"/>
              </w:rPr>
            </w:pPr>
            <w:r w:rsidRPr="006343E0">
              <w:rPr>
                <w:rFonts w:eastAsia="Times New Roman"/>
                <w:sz w:val="16"/>
                <w:lang w:eastAsia="nl-NL" w:bidi="nl-NL"/>
              </w:rPr>
              <w:t xml:space="preserve">Herziening van de verordeningen betreffende emissieprestatienormen teneinde streefcijfers voor </w:t>
            </w:r>
            <w:r w:rsidRPr="006343E0">
              <w:rPr>
                <w:rFonts w:eastAsia="Times New Roman"/>
                <w:sz w:val="16"/>
                <w:lang w:eastAsia="nl-NL" w:bidi="nl-NL"/>
              </w:rPr>
              <w:lastRenderedPageBreak/>
              <w:t>de uitstoot van auto's en bestelwagens voor de periode na 2020 vast te stellen</w:t>
            </w:r>
          </w:p>
        </w:tc>
      </w:tr>
      <w:tr w:rsidRPr="006343E0" w:rsidR="006343E0" w:rsidTr="00F04D67">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numPr>
                <w:ilvl w:val="0"/>
                <w:numId w:val="24"/>
              </w:numPr>
              <w:spacing w:after="200"/>
              <w:rPr>
                <w:rFonts w:eastAsia="Times New Roman"/>
                <w:sz w:val="16"/>
                <w:lang w:eastAsia="nl-NL" w:bidi="nl-NL"/>
              </w:rPr>
            </w:pPr>
            <w:r w:rsidRPr="006343E0">
              <w:rPr>
                <w:rFonts w:eastAsia="Times New Roman"/>
                <w:sz w:val="16"/>
                <w:lang w:eastAsia="nl-NL" w:bidi="nl-NL"/>
              </w:rPr>
              <w:lastRenderedPageBreak/>
              <w:t>Herziening van de richtlijn betreffende de bevordering van schone en energie-efficiënte voertuigen voor het wegvervoer</w:t>
            </w:r>
          </w:p>
        </w:tc>
      </w:tr>
      <w:tr w:rsidRPr="006343E0" w:rsidR="006343E0" w:rsidTr="00F04D67">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b/>
                <w:sz w:val="16"/>
                <w:lang w:eastAsia="nl-NL" w:bidi="nl-NL"/>
              </w:rPr>
            </w:pPr>
            <w:r w:rsidRPr="006343E0">
              <w:rPr>
                <w:rFonts w:eastAsia="Times New Roman"/>
                <w:b/>
                <w:sz w:val="16"/>
                <w:lang w:eastAsia="nl-NL" w:bidi="nl-NL"/>
              </w:rPr>
              <w:t xml:space="preserve">Energie-efficiëntie </w:t>
            </w:r>
          </w:p>
        </w:tc>
      </w:tr>
      <w:tr w:rsidRPr="006343E0" w:rsidR="006343E0" w:rsidTr="00F04D67">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numPr>
                <w:ilvl w:val="0"/>
                <w:numId w:val="25"/>
              </w:numPr>
              <w:spacing w:after="200"/>
              <w:rPr>
                <w:rFonts w:eastAsia="Times New Roman"/>
                <w:sz w:val="16"/>
                <w:lang w:eastAsia="nl-NL" w:bidi="nl-NL"/>
              </w:rPr>
            </w:pPr>
            <w:r w:rsidRPr="006343E0">
              <w:rPr>
                <w:rFonts w:eastAsia="Times New Roman"/>
                <w:sz w:val="16"/>
                <w:lang w:eastAsia="nl-NL" w:bidi="nl-NL"/>
              </w:rPr>
              <w:t>Herziening van de energie-efficiëntierichtlijn (voortouw EZ)</w:t>
            </w:r>
          </w:p>
        </w:tc>
      </w:tr>
      <w:tr w:rsidRPr="006343E0" w:rsidR="006343E0" w:rsidTr="00F04D67">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numPr>
                <w:ilvl w:val="0"/>
                <w:numId w:val="25"/>
              </w:numPr>
              <w:spacing w:after="200"/>
              <w:rPr>
                <w:rFonts w:eastAsia="Times New Roman"/>
                <w:sz w:val="16"/>
                <w:lang w:eastAsia="nl-NL" w:bidi="nl-NL"/>
              </w:rPr>
            </w:pPr>
            <w:r w:rsidRPr="006343E0">
              <w:rPr>
                <w:rFonts w:eastAsia="Times New Roman"/>
                <w:sz w:val="16"/>
                <w:lang w:eastAsia="nl-NL" w:bidi="nl-NL"/>
              </w:rPr>
              <w:t>Herziening van de richtlijn betreffende de energieprestatie van gebouwen, met inbegrip van het initiatief "Slimme financiering voor slimme gebouwen" (Voortouw W&amp;R)</w:t>
            </w:r>
          </w:p>
        </w:tc>
      </w:tr>
      <w:tr w:rsidRPr="006343E0" w:rsidR="006343E0" w:rsidTr="00F04D67">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b/>
                <w:sz w:val="16"/>
                <w:lang w:eastAsia="nl-NL" w:bidi="nl-NL"/>
              </w:rPr>
            </w:pPr>
            <w:r w:rsidRPr="006343E0">
              <w:rPr>
                <w:rFonts w:eastAsia="Times New Roman"/>
                <w:b/>
                <w:sz w:val="16"/>
                <w:lang w:eastAsia="nl-NL" w:bidi="nl-NL"/>
              </w:rPr>
              <w:t xml:space="preserve">Kernenergie </w:t>
            </w:r>
            <w:r w:rsidRPr="006343E0">
              <w:rPr>
                <w:rFonts w:eastAsia="Times New Roman"/>
                <w:b/>
                <w:noProof/>
                <w:sz w:val="16"/>
                <w:lang w:eastAsia="nl-NL" w:bidi="nl-NL"/>
              </w:rPr>
              <w:t>(voortouw EZ)</w:t>
            </w:r>
          </w:p>
        </w:tc>
      </w:tr>
      <w:tr w:rsidRPr="006343E0" w:rsidR="006343E0" w:rsidTr="00F04D67">
        <w:tc>
          <w:tcPr>
            <w:tcW w:w="8613"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numPr>
                <w:ilvl w:val="0"/>
                <w:numId w:val="26"/>
              </w:numPr>
              <w:spacing w:after="200"/>
              <w:rPr>
                <w:rFonts w:eastAsia="Times New Roman"/>
                <w:sz w:val="16"/>
                <w:lang w:eastAsia="nl-NL" w:bidi="nl-NL"/>
              </w:rPr>
            </w:pPr>
            <w:r w:rsidRPr="006343E0">
              <w:rPr>
                <w:rFonts w:eastAsia="Times New Roman"/>
                <w:sz w:val="16"/>
                <w:lang w:eastAsia="nl-NL" w:bidi="nl-NL"/>
              </w:rPr>
              <w:t>Verordening van de Raad ter actualisering van de informatie-eisen overeenkomstig artikel 41 van het Euratom-Verdrag in het licht van de Europese strategie voor energiezekerheid</w:t>
            </w:r>
          </w:p>
        </w:tc>
      </w:tr>
    </w:tbl>
    <w:p w:rsidRPr="006343E0" w:rsidR="006343E0" w:rsidP="006343E0" w:rsidRDefault="006343E0">
      <w:pPr>
        <w:rPr>
          <w:sz w:val="17"/>
        </w:rPr>
      </w:pPr>
    </w:p>
    <w:p w:rsidRPr="006343E0" w:rsidR="006343E0" w:rsidP="006343E0" w:rsidRDefault="006343E0">
      <w:pPr>
        <w:tabs>
          <w:tab w:val="left" w:pos="3377"/>
        </w:tabs>
        <w:rPr>
          <w:b/>
          <w:sz w:val="17"/>
        </w:rPr>
      </w:pPr>
    </w:p>
    <w:p w:rsidRPr="006343E0" w:rsidR="006343E0" w:rsidP="006343E0" w:rsidRDefault="006343E0">
      <w:pPr>
        <w:tabs>
          <w:tab w:val="left" w:pos="3377"/>
        </w:tabs>
        <w:rPr>
          <w:sz w:val="17"/>
        </w:rPr>
      </w:pPr>
    </w:p>
    <w:p w:rsidR="00F04D67" w:rsidP="006343E0" w:rsidRDefault="00F04D67">
      <w:pPr>
        <w:rPr>
          <w:sz w:val="17"/>
          <w:szCs w:val="17"/>
        </w:rPr>
        <w:sectPr w:rsidR="00F04D67" w:rsidSect="00F04D67">
          <w:footerReference w:type="default" r:id="rId17"/>
          <w:pgSz w:w="11907" w:h="16840" w:code="9"/>
          <w:pgMar w:top="3255" w:right="1701" w:bottom="1418" w:left="2211" w:header="2370" w:footer="709" w:gutter="0"/>
          <w:cols w:space="708"/>
          <w:docGrid w:type="lines" w:linePitch="284"/>
        </w:sectPr>
      </w:pPr>
    </w:p>
    <w:p w:rsidR="00F04D67" w:rsidP="006343E0" w:rsidRDefault="00F04D67">
      <w:pPr>
        <w:tabs>
          <w:tab w:val="left" w:pos="3377"/>
        </w:tabs>
        <w:rPr>
          <w:b/>
          <w:sz w:val="17"/>
        </w:rPr>
      </w:pPr>
    </w:p>
    <w:p w:rsidR="00F04D67" w:rsidP="006343E0" w:rsidRDefault="00F04D67">
      <w:pPr>
        <w:tabs>
          <w:tab w:val="left" w:pos="3377"/>
        </w:tabs>
        <w:rPr>
          <w:b/>
          <w:sz w:val="17"/>
        </w:rPr>
      </w:pPr>
    </w:p>
    <w:p w:rsidR="00F04D67" w:rsidP="006343E0" w:rsidRDefault="00F04D67">
      <w:pPr>
        <w:tabs>
          <w:tab w:val="left" w:pos="3377"/>
        </w:tabs>
        <w:rPr>
          <w:b/>
          <w:sz w:val="17"/>
        </w:rPr>
      </w:pPr>
    </w:p>
    <w:p w:rsidRPr="006343E0" w:rsidR="006343E0" w:rsidP="006343E0" w:rsidRDefault="006343E0">
      <w:pPr>
        <w:tabs>
          <w:tab w:val="left" w:pos="3377"/>
        </w:tabs>
        <w:rPr>
          <w:b/>
          <w:sz w:val="17"/>
        </w:rPr>
      </w:pPr>
      <w:r w:rsidRPr="006343E0">
        <w:rPr>
          <w:b/>
          <w:sz w:val="17"/>
        </w:rPr>
        <w:t>Bijlage 2: actueel totaaloverzicht (wetgevende en niet-wetgevende) voorstellen Energie-Unie d.d. 18 november 2015</w:t>
      </w:r>
    </w:p>
    <w:p w:rsidRPr="006343E0" w:rsidR="006343E0" w:rsidP="006343E0" w:rsidRDefault="006343E0">
      <w:pPr>
        <w:spacing w:after="240"/>
        <w:ind w:left="482"/>
        <w:jc w:val="center"/>
        <w:rPr>
          <w:rFonts w:ascii="Times New Roman" w:hAnsi="Times New Roman" w:eastAsia="Times New Roman"/>
          <w:b/>
          <w:noProof/>
          <w:sz w:val="17"/>
          <w:szCs w:val="17"/>
          <w:lang w:eastAsia="nl-NL" w:bidi="nl-NL"/>
        </w:rPr>
      </w:pPr>
    </w:p>
    <w:p w:rsidRPr="006343E0" w:rsidR="006343E0" w:rsidP="006343E0" w:rsidRDefault="006343E0">
      <w:pPr>
        <w:spacing w:after="240"/>
        <w:ind w:left="482"/>
        <w:jc w:val="center"/>
        <w:rPr>
          <w:rFonts w:eastAsia="Times New Roman"/>
          <w:b/>
          <w:noProof/>
          <w:sz w:val="17"/>
          <w:szCs w:val="17"/>
          <w:lang w:eastAsia="nl-NL" w:bidi="nl-NL"/>
        </w:rPr>
      </w:pPr>
      <w:r w:rsidRPr="006343E0">
        <w:rPr>
          <w:rFonts w:eastAsia="Times New Roman"/>
          <w:b/>
          <w:noProof/>
          <w:sz w:val="17"/>
          <w:szCs w:val="17"/>
          <w:lang w:eastAsia="nl-NL" w:bidi="nl-NL"/>
        </w:rPr>
        <w:t xml:space="preserve">Bijgewerkt stappenplan voor de energie-unie – </w:t>
      </w:r>
      <w:r w:rsidRPr="006343E0">
        <w:rPr>
          <w:rFonts w:eastAsia="Times New Roman"/>
          <w:b/>
          <w:noProof/>
          <w:sz w:val="17"/>
          <w:szCs w:val="17"/>
          <w:lang w:eastAsia="nl-NL" w:bidi="nl-NL"/>
        </w:rPr>
        <w:br/>
        <w:t>november 2015 (op basis van COM(2015) 572 – Annex 1)</w:t>
      </w:r>
    </w:p>
    <w:p w:rsidRPr="006343E0" w:rsidR="006343E0" w:rsidP="006343E0" w:rsidRDefault="006343E0">
      <w:pPr>
        <w:spacing w:after="240"/>
        <w:rPr>
          <w:rFonts w:eastAsia="Times New Roman"/>
          <w:noProof/>
          <w:sz w:val="17"/>
          <w:szCs w:val="17"/>
          <w:lang w:eastAsia="nl-NL" w:bidi="nl-NL"/>
        </w:rPr>
      </w:pPr>
      <w:r w:rsidRPr="006343E0">
        <w:rPr>
          <w:rFonts w:eastAsia="Times New Roman"/>
          <w:sz w:val="17"/>
          <w:szCs w:val="17"/>
          <w:lang w:eastAsia="nl-NL" w:bidi="nl-NL"/>
        </w:rPr>
        <w:t>CEV: continuïteit energievoorziening / IEM = interne energiemarkt / EE = energie-efficiëntie / BKG = broeikasgassen / O&amp;I = onderzoek en innovatie</w:t>
      </w:r>
    </w:p>
    <w:p w:rsidRPr="006343E0" w:rsidR="006343E0" w:rsidP="006343E0" w:rsidRDefault="006343E0">
      <w:pPr>
        <w:spacing w:after="240"/>
        <w:jc w:val="both"/>
        <w:rPr>
          <w:rFonts w:eastAsia="Times New Roman"/>
          <w:noProof/>
          <w:sz w:val="17"/>
          <w:szCs w:val="17"/>
          <w:lang w:eastAsia="nl-NL" w:bidi="nl-NL"/>
        </w:rPr>
      </w:pPr>
      <w:r w:rsidRPr="006343E0">
        <w:rPr>
          <w:rFonts w:eastAsia="Times New Roman"/>
          <w:sz w:val="17"/>
          <w:szCs w:val="17"/>
          <w:lang w:eastAsia="nl-NL" w:bidi="nl-NL"/>
        </w:rPr>
        <w:t xml:space="preserve">Dit stappenplan komt overeen met het stappenplan dat is opgenomen in de bijlage bij de mededeling van de Commissie " Een kaderstrategie voor een schokbestendige energie-unie met een toekomstgericht beleid inzake klimaatverandering" die op 25 februari 2015 is uitgebracht (COM(2015) 80 final). De enige nieuwe informatie in deze tabel is de laatste kolom die een update bevat met betrekking tot de initiatieven die reeds zijn vastgesteld of waarvan het tijdschema is gewijzigd. De tabel bevat geen nieuwe informatie over initiatieven die oorspronkelijk voor 2016 of later waren voorzien. </w:t>
      </w:r>
    </w:p>
    <w:p w:rsidRPr="006343E0" w:rsidR="006343E0" w:rsidP="006343E0" w:rsidRDefault="006343E0">
      <w:pPr>
        <w:rPr>
          <w:sz w:val="17"/>
          <w:szCs w:val="17"/>
        </w:rPr>
      </w:pPr>
    </w:p>
    <w:tbl>
      <w:tblPr>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1E0" w:firstRow="1" w:lastRow="1" w:firstColumn="1" w:lastColumn="1" w:noHBand="0" w:noVBand="0"/>
      </w:tblPr>
      <w:tblGrid>
        <w:gridCol w:w="3227"/>
        <w:gridCol w:w="2126"/>
        <w:gridCol w:w="1985"/>
        <w:gridCol w:w="709"/>
        <w:gridCol w:w="850"/>
        <w:gridCol w:w="851"/>
        <w:gridCol w:w="850"/>
        <w:gridCol w:w="851"/>
        <w:gridCol w:w="3260"/>
      </w:tblGrid>
      <w:tr w:rsidRPr="006343E0" w:rsidR="006343E0" w:rsidTr="00F04D67">
        <w:trPr>
          <w:tblHeader/>
        </w:trPr>
        <w:tc>
          <w:tcPr>
            <w:tcW w:w="3227" w:type="dxa"/>
            <w:tcBorders>
              <w:top w:val="single" w:color="auto" w:sz="12" w:space="0"/>
              <w:left w:val="single" w:color="auto" w:sz="12" w:space="0"/>
              <w:bottom w:val="single" w:color="auto" w:sz="12" w:space="0"/>
              <w:right w:val="single" w:color="auto" w:sz="12" w:space="0"/>
            </w:tcBorders>
            <w:shd w:val="pct10" w:color="auto" w:fill="auto"/>
          </w:tcPr>
          <w:p w:rsidRPr="006343E0" w:rsidR="006343E0" w:rsidP="006343E0" w:rsidRDefault="006343E0">
            <w:pPr>
              <w:spacing w:after="200"/>
              <w:ind w:left="55"/>
              <w:rPr>
                <w:rFonts w:eastAsia="Times New Roman"/>
                <w:b/>
                <w:noProof/>
                <w:sz w:val="16"/>
                <w:szCs w:val="16"/>
                <w:lang w:eastAsia="nl-NL" w:bidi="nl-NL"/>
              </w:rPr>
            </w:pPr>
            <w:r w:rsidRPr="006343E0">
              <w:rPr>
                <w:rFonts w:eastAsia="Times New Roman"/>
                <w:b/>
                <w:noProof/>
                <w:sz w:val="16"/>
                <w:szCs w:val="16"/>
                <w:lang w:eastAsia="nl-NL" w:bidi="nl-NL"/>
              </w:rPr>
              <w:t>Acties</w:t>
            </w:r>
          </w:p>
        </w:tc>
        <w:tc>
          <w:tcPr>
            <w:tcW w:w="2126" w:type="dxa"/>
            <w:tcBorders>
              <w:top w:val="single" w:color="auto" w:sz="12" w:space="0"/>
              <w:left w:val="single" w:color="auto" w:sz="12" w:space="0"/>
              <w:bottom w:val="single" w:color="auto" w:sz="12" w:space="0"/>
              <w:right w:val="single" w:color="auto" w:sz="12" w:space="0"/>
            </w:tcBorders>
            <w:shd w:val="pct10" w:color="auto" w:fill="auto"/>
          </w:tcPr>
          <w:p w:rsidRPr="006343E0" w:rsidR="006343E0" w:rsidP="006343E0" w:rsidRDefault="006343E0">
            <w:pPr>
              <w:spacing w:after="240"/>
              <w:ind w:left="176"/>
              <w:rPr>
                <w:rFonts w:eastAsia="Times New Roman"/>
                <w:noProof/>
                <w:sz w:val="16"/>
                <w:szCs w:val="16"/>
                <w:lang w:eastAsia="nl-NL" w:bidi="nl-NL"/>
              </w:rPr>
            </w:pPr>
            <w:r w:rsidRPr="006343E0">
              <w:rPr>
                <w:rFonts w:eastAsia="Times New Roman"/>
                <w:b/>
                <w:noProof/>
                <w:sz w:val="16"/>
                <w:szCs w:val="16"/>
                <w:lang w:eastAsia="nl-NL" w:bidi="nl-NL"/>
              </w:rPr>
              <w:t>Verantwoorde-lijke instantie</w:t>
            </w:r>
          </w:p>
        </w:tc>
        <w:tc>
          <w:tcPr>
            <w:tcW w:w="1985" w:type="dxa"/>
            <w:tcBorders>
              <w:top w:val="single" w:color="auto" w:sz="12" w:space="0"/>
              <w:left w:val="single" w:color="auto" w:sz="12" w:space="0"/>
              <w:bottom w:val="single" w:color="auto" w:sz="12" w:space="0"/>
              <w:right w:val="single" w:color="auto" w:sz="12" w:space="0"/>
            </w:tcBorders>
            <w:shd w:val="pct10" w:color="auto" w:fill="auto"/>
          </w:tcPr>
          <w:p w:rsidRPr="006343E0" w:rsidR="006343E0" w:rsidP="006343E0" w:rsidRDefault="006343E0">
            <w:pPr>
              <w:spacing w:after="240"/>
              <w:ind w:left="132"/>
              <w:rPr>
                <w:rFonts w:eastAsia="Times New Roman"/>
                <w:noProof/>
                <w:sz w:val="16"/>
                <w:szCs w:val="16"/>
                <w:lang w:eastAsia="nl-NL" w:bidi="nl-NL"/>
              </w:rPr>
            </w:pPr>
            <w:r w:rsidRPr="006343E0">
              <w:rPr>
                <w:rFonts w:eastAsia="Times New Roman"/>
                <w:b/>
                <w:noProof/>
                <w:sz w:val="16"/>
                <w:szCs w:val="16"/>
                <w:lang w:eastAsia="nl-NL" w:bidi="nl-NL"/>
              </w:rPr>
              <w:t xml:space="preserve">Tijdschema </w:t>
            </w:r>
            <w:r w:rsidRPr="006343E0">
              <w:rPr>
                <w:rFonts w:eastAsia="Times New Roman"/>
                <w:sz w:val="16"/>
                <w:szCs w:val="16"/>
                <w:lang w:eastAsia="nl-NL" w:bidi="nl-NL"/>
              </w:rPr>
              <w:t>(overeenkomstig bijlage bij COM(2015) 80)</w:t>
            </w:r>
          </w:p>
        </w:tc>
        <w:tc>
          <w:tcPr>
            <w:tcW w:w="709" w:type="dxa"/>
            <w:tcBorders>
              <w:top w:val="single" w:color="auto" w:sz="12" w:space="0"/>
              <w:left w:val="single" w:color="auto" w:sz="12" w:space="0"/>
              <w:bottom w:val="single" w:color="auto" w:sz="12" w:space="0"/>
              <w:right w:val="single" w:color="auto" w:sz="12" w:space="0"/>
            </w:tcBorders>
            <w:shd w:val="pct10" w:color="auto" w:fill="auto"/>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b/>
                <w:noProof/>
                <w:sz w:val="16"/>
                <w:szCs w:val="16"/>
                <w:lang w:eastAsia="nl-NL" w:bidi="nl-NL"/>
              </w:rPr>
              <w:t>CEV</w:t>
            </w:r>
          </w:p>
        </w:tc>
        <w:tc>
          <w:tcPr>
            <w:tcW w:w="850" w:type="dxa"/>
            <w:tcBorders>
              <w:top w:val="single" w:color="auto" w:sz="12" w:space="0"/>
              <w:left w:val="single" w:color="auto" w:sz="12" w:space="0"/>
              <w:bottom w:val="single" w:color="auto" w:sz="12" w:space="0"/>
              <w:right w:val="single" w:color="auto" w:sz="12" w:space="0"/>
            </w:tcBorders>
            <w:shd w:val="pct10" w:color="auto" w:fill="auto"/>
          </w:tcPr>
          <w:p w:rsidRPr="006343E0" w:rsidR="006343E0" w:rsidP="006343E0" w:rsidRDefault="006343E0">
            <w:pPr>
              <w:spacing w:after="240"/>
              <w:ind w:left="121"/>
              <w:jc w:val="center"/>
              <w:rPr>
                <w:rFonts w:eastAsia="Times New Roman"/>
                <w:noProof/>
                <w:sz w:val="16"/>
                <w:szCs w:val="16"/>
                <w:lang w:eastAsia="nl-NL" w:bidi="nl-NL"/>
              </w:rPr>
            </w:pPr>
            <w:r w:rsidRPr="006343E0">
              <w:rPr>
                <w:rFonts w:eastAsia="Times New Roman"/>
                <w:b/>
                <w:noProof/>
                <w:sz w:val="16"/>
                <w:szCs w:val="16"/>
                <w:lang w:eastAsia="nl-NL" w:bidi="nl-NL"/>
              </w:rPr>
              <w:t>IEM</w:t>
            </w:r>
          </w:p>
        </w:tc>
        <w:tc>
          <w:tcPr>
            <w:tcW w:w="851" w:type="dxa"/>
            <w:tcBorders>
              <w:top w:val="single" w:color="auto" w:sz="12" w:space="0"/>
              <w:left w:val="single" w:color="auto" w:sz="12" w:space="0"/>
              <w:bottom w:val="single" w:color="auto" w:sz="12" w:space="0"/>
              <w:right w:val="single" w:color="auto" w:sz="12" w:space="0"/>
            </w:tcBorders>
            <w:shd w:val="pct10" w:color="auto" w:fill="auto"/>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b/>
                <w:noProof/>
                <w:sz w:val="16"/>
                <w:szCs w:val="16"/>
                <w:lang w:eastAsia="nl-NL" w:bidi="nl-NL"/>
              </w:rPr>
              <w:t>EE</w:t>
            </w:r>
          </w:p>
        </w:tc>
        <w:tc>
          <w:tcPr>
            <w:tcW w:w="850" w:type="dxa"/>
            <w:tcBorders>
              <w:top w:val="single" w:color="auto" w:sz="12" w:space="0"/>
              <w:left w:val="single" w:color="auto" w:sz="12" w:space="0"/>
              <w:bottom w:val="single" w:color="auto" w:sz="12" w:space="0"/>
              <w:right w:val="single" w:color="auto" w:sz="12" w:space="0"/>
            </w:tcBorders>
            <w:shd w:val="pct10" w:color="auto" w:fill="auto"/>
          </w:tcPr>
          <w:p w:rsidRPr="006343E0" w:rsidR="006343E0" w:rsidP="006343E0" w:rsidRDefault="006343E0">
            <w:pPr>
              <w:spacing w:after="240"/>
              <w:jc w:val="center"/>
              <w:rPr>
                <w:rFonts w:eastAsia="Times New Roman"/>
                <w:b/>
                <w:noProof/>
                <w:sz w:val="16"/>
                <w:szCs w:val="16"/>
                <w:lang w:eastAsia="nl-NL" w:bidi="nl-NL"/>
              </w:rPr>
            </w:pPr>
            <w:r w:rsidRPr="006343E0">
              <w:rPr>
                <w:rFonts w:eastAsia="Times New Roman"/>
                <w:b/>
                <w:noProof/>
                <w:sz w:val="16"/>
                <w:szCs w:val="16"/>
                <w:lang w:eastAsia="nl-NL" w:bidi="nl-NL"/>
              </w:rPr>
              <w:t>BKG</w:t>
            </w:r>
          </w:p>
        </w:tc>
        <w:tc>
          <w:tcPr>
            <w:tcW w:w="851" w:type="dxa"/>
            <w:tcBorders>
              <w:top w:val="single" w:color="auto" w:sz="12" w:space="0"/>
              <w:left w:val="single" w:color="auto" w:sz="12" w:space="0"/>
              <w:bottom w:val="single" w:color="auto" w:sz="12" w:space="0"/>
              <w:right w:val="single" w:color="auto" w:sz="12" w:space="0"/>
            </w:tcBorders>
            <w:shd w:val="pct10" w:color="auto" w:fill="auto"/>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b/>
                <w:noProof/>
                <w:sz w:val="16"/>
                <w:szCs w:val="16"/>
                <w:lang w:eastAsia="nl-NL" w:bidi="nl-NL"/>
              </w:rPr>
              <w:t>O&amp;I</w:t>
            </w:r>
          </w:p>
        </w:tc>
        <w:tc>
          <w:tcPr>
            <w:tcW w:w="3260" w:type="dxa"/>
            <w:tcBorders>
              <w:top w:val="single" w:color="auto" w:sz="12" w:space="0"/>
              <w:left w:val="single" w:color="auto" w:sz="12" w:space="0"/>
              <w:bottom w:val="single" w:color="auto" w:sz="12" w:space="0"/>
              <w:right w:val="single" w:color="auto" w:sz="12" w:space="0"/>
            </w:tcBorders>
            <w:shd w:val="pct10" w:color="auto" w:fill="auto"/>
          </w:tcPr>
          <w:p w:rsidRPr="006343E0" w:rsidR="006343E0" w:rsidP="006343E0" w:rsidRDefault="006343E0">
            <w:pPr>
              <w:spacing w:after="240"/>
              <w:ind w:left="176"/>
              <w:rPr>
                <w:rFonts w:eastAsia="Times New Roman"/>
                <w:noProof/>
                <w:sz w:val="16"/>
                <w:szCs w:val="16"/>
                <w:lang w:eastAsia="nl-NL" w:bidi="nl-NL"/>
              </w:rPr>
            </w:pPr>
            <w:r w:rsidRPr="006343E0">
              <w:rPr>
                <w:rFonts w:eastAsia="Times New Roman"/>
                <w:b/>
                <w:i/>
                <w:noProof/>
                <w:sz w:val="16"/>
                <w:szCs w:val="16"/>
                <w:lang w:eastAsia="nl-NL" w:bidi="nl-NL"/>
              </w:rPr>
              <w:t>Opmerkingen</w:t>
            </w:r>
            <w:r w:rsidRPr="006343E0">
              <w:rPr>
                <w:rFonts w:eastAsia="Times New Roman"/>
                <w:b/>
                <w:noProof/>
                <w:sz w:val="16"/>
                <w:szCs w:val="16"/>
                <w:lang w:eastAsia="nl-NL" w:bidi="nl-NL"/>
              </w:rPr>
              <w:t>/update</w:t>
            </w:r>
          </w:p>
        </w:tc>
      </w:tr>
      <w:tr w:rsidRPr="006343E0" w:rsidR="006343E0" w:rsidTr="00F04D67">
        <w:tc>
          <w:tcPr>
            <w:tcW w:w="3227" w:type="dxa"/>
            <w:shd w:val="clear" w:color="auto" w:fill="auto"/>
            <w:vAlign w:val="bottom"/>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b/>
                <w:noProof/>
                <w:sz w:val="16"/>
                <w:szCs w:val="16"/>
                <w:lang w:eastAsia="nl-NL" w:bidi="nl-NL"/>
              </w:rPr>
              <w:t>Infrastructuur</w:t>
            </w:r>
          </w:p>
        </w:tc>
        <w:tc>
          <w:tcPr>
            <w:tcW w:w="2126" w:type="dxa"/>
            <w:shd w:val="clear" w:color="auto" w:fill="auto"/>
          </w:tcPr>
          <w:p w:rsidRPr="006343E0" w:rsidR="006343E0" w:rsidP="006343E0" w:rsidRDefault="006343E0">
            <w:pPr>
              <w:spacing w:after="240"/>
              <w:ind w:left="176"/>
              <w:rPr>
                <w:rFonts w:eastAsia="Times New Roman"/>
                <w:noProof/>
                <w:sz w:val="16"/>
                <w:szCs w:val="16"/>
                <w:lang w:eastAsia="nl-NL" w:bidi="nl-NL"/>
              </w:rPr>
            </w:pPr>
          </w:p>
        </w:tc>
        <w:tc>
          <w:tcPr>
            <w:tcW w:w="1985" w:type="dxa"/>
            <w:shd w:val="clear" w:color="auto" w:fill="auto"/>
          </w:tcPr>
          <w:p w:rsidRPr="006343E0" w:rsidR="006343E0" w:rsidP="006343E0" w:rsidRDefault="006343E0">
            <w:pPr>
              <w:spacing w:after="240"/>
              <w:ind w:left="132"/>
              <w:rPr>
                <w:rFonts w:eastAsia="Times New Roman"/>
                <w:noProof/>
                <w:sz w:val="16"/>
                <w:szCs w:val="16"/>
                <w:lang w:eastAsia="nl-NL" w:bidi="nl-NL"/>
              </w:rPr>
            </w:pPr>
          </w:p>
        </w:tc>
        <w:tc>
          <w:tcPr>
            <w:tcW w:w="709" w:type="dxa"/>
          </w:tcPr>
          <w:p w:rsidRPr="006343E0" w:rsidR="006343E0" w:rsidP="006343E0" w:rsidRDefault="006343E0">
            <w:pPr>
              <w:spacing w:after="240"/>
              <w:ind w:left="482"/>
              <w:jc w:val="center"/>
              <w:rPr>
                <w:rFonts w:eastAsia="Times New Roman"/>
                <w:noProof/>
                <w:sz w:val="16"/>
                <w:szCs w:val="16"/>
                <w:lang w:eastAsia="nl-NL" w:bidi="nl-NL"/>
              </w:rPr>
            </w:pPr>
          </w:p>
        </w:tc>
        <w:tc>
          <w:tcPr>
            <w:tcW w:w="850" w:type="dxa"/>
          </w:tcPr>
          <w:p w:rsidRPr="006343E0" w:rsidR="006343E0" w:rsidP="006343E0" w:rsidRDefault="006343E0">
            <w:pPr>
              <w:spacing w:after="240"/>
              <w:ind w:left="121"/>
              <w:jc w:val="center"/>
              <w:rPr>
                <w:rFonts w:eastAsia="Times New Roman"/>
                <w:noProof/>
                <w:sz w:val="16"/>
                <w:szCs w:val="16"/>
                <w:lang w:eastAsia="nl-NL" w:bidi="nl-NL"/>
              </w:rPr>
            </w:pPr>
          </w:p>
        </w:tc>
        <w:tc>
          <w:tcPr>
            <w:tcW w:w="851" w:type="dxa"/>
          </w:tcPr>
          <w:p w:rsidRPr="006343E0" w:rsidR="006343E0" w:rsidP="006343E0" w:rsidRDefault="006343E0">
            <w:pPr>
              <w:spacing w:after="240"/>
              <w:ind w:left="482"/>
              <w:jc w:val="center"/>
              <w:rPr>
                <w:rFonts w:eastAsia="Times New Roman"/>
                <w:noProof/>
                <w:sz w:val="16"/>
                <w:szCs w:val="16"/>
                <w:lang w:eastAsia="nl-NL" w:bidi="nl-NL"/>
              </w:rPr>
            </w:pPr>
          </w:p>
        </w:tc>
        <w:tc>
          <w:tcPr>
            <w:tcW w:w="850" w:type="dxa"/>
          </w:tcPr>
          <w:p w:rsidRPr="006343E0" w:rsidR="006343E0" w:rsidP="006343E0" w:rsidRDefault="006343E0">
            <w:pPr>
              <w:spacing w:after="240"/>
              <w:ind w:left="225"/>
              <w:jc w:val="center"/>
              <w:rPr>
                <w:rFonts w:eastAsia="Times New Roman"/>
                <w:noProof/>
                <w:sz w:val="16"/>
                <w:szCs w:val="16"/>
                <w:lang w:eastAsia="nl-NL" w:bidi="nl-NL"/>
              </w:rPr>
            </w:pPr>
          </w:p>
        </w:tc>
        <w:tc>
          <w:tcPr>
            <w:tcW w:w="851" w:type="dxa"/>
          </w:tcPr>
          <w:p w:rsidRPr="006343E0" w:rsidR="006343E0" w:rsidP="006343E0" w:rsidRDefault="006343E0">
            <w:pPr>
              <w:spacing w:after="240"/>
              <w:ind w:left="482"/>
              <w:jc w:val="center"/>
              <w:rPr>
                <w:rFonts w:eastAsia="Times New Roman"/>
                <w:noProof/>
                <w:sz w:val="16"/>
                <w:szCs w:val="16"/>
                <w:lang w:eastAsia="nl-NL" w:bidi="nl-NL"/>
              </w:rPr>
            </w:pPr>
          </w:p>
        </w:tc>
        <w:tc>
          <w:tcPr>
            <w:tcW w:w="3260" w:type="dxa"/>
          </w:tcPr>
          <w:p w:rsidRPr="006343E0" w:rsidR="006343E0" w:rsidP="006343E0" w:rsidRDefault="006343E0">
            <w:pPr>
              <w:spacing w:after="240"/>
              <w:ind w:left="176"/>
              <w:rPr>
                <w:rFonts w:eastAsia="Times New Roman"/>
                <w:noProof/>
                <w:sz w:val="16"/>
                <w:szCs w:val="16"/>
                <w:lang w:eastAsia="nl-NL" w:bidi="nl-NL"/>
              </w:rPr>
            </w:pPr>
          </w:p>
        </w:tc>
      </w:tr>
      <w:tr w:rsidRPr="006343E0" w:rsidR="006343E0" w:rsidTr="00F04D67">
        <w:tc>
          <w:tcPr>
            <w:tcW w:w="3227" w:type="dxa"/>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Daadwerkelijk behalen van het 10%-streefcijfer voor elektriciteitsinterconnecties</w:t>
            </w:r>
          </w:p>
        </w:tc>
        <w:tc>
          <w:tcPr>
            <w:tcW w:w="2126" w:type="dxa"/>
            <w:shd w:val="clear" w:color="auto" w:fill="auto"/>
          </w:tcPr>
          <w:p w:rsidRPr="006343E0" w:rsidR="006343E0" w:rsidP="006343E0" w:rsidRDefault="006343E0">
            <w:pPr>
              <w:spacing w:after="120"/>
              <w:ind w:left="176"/>
              <w:rPr>
                <w:rFonts w:eastAsia="Times New Roman"/>
                <w:noProof/>
                <w:sz w:val="16"/>
                <w:szCs w:val="16"/>
                <w:lang w:eastAsia="nl-NL" w:bidi="nl-NL"/>
              </w:rPr>
            </w:pPr>
            <w:r w:rsidRPr="006343E0">
              <w:rPr>
                <w:rFonts w:eastAsia="Times New Roman"/>
                <w:sz w:val="16"/>
                <w:szCs w:val="16"/>
                <w:lang w:eastAsia="nl-NL" w:bidi="nl-NL"/>
              </w:rPr>
              <w:t>Commissie</w:t>
            </w:r>
          </w:p>
          <w:p w:rsidRPr="006343E0" w:rsidR="006343E0" w:rsidP="006343E0" w:rsidRDefault="006343E0">
            <w:pPr>
              <w:spacing w:after="120"/>
              <w:ind w:left="176"/>
              <w:rPr>
                <w:rFonts w:eastAsia="Times New Roman"/>
                <w:noProof/>
                <w:sz w:val="16"/>
                <w:szCs w:val="16"/>
                <w:lang w:eastAsia="nl-NL" w:bidi="nl-NL"/>
              </w:rPr>
            </w:pPr>
            <w:r w:rsidRPr="006343E0">
              <w:rPr>
                <w:rFonts w:eastAsia="Times New Roman"/>
                <w:sz w:val="16"/>
                <w:szCs w:val="16"/>
                <w:lang w:eastAsia="nl-NL" w:bidi="nl-NL"/>
              </w:rPr>
              <w:t>Lidstaten</w:t>
            </w:r>
          </w:p>
          <w:p w:rsidRPr="006343E0" w:rsidR="006343E0" w:rsidP="006343E0" w:rsidRDefault="006343E0">
            <w:pPr>
              <w:spacing w:after="120"/>
              <w:ind w:left="176"/>
              <w:rPr>
                <w:rFonts w:eastAsia="Times New Roman"/>
                <w:noProof/>
                <w:sz w:val="16"/>
                <w:szCs w:val="16"/>
                <w:lang w:eastAsia="nl-NL" w:bidi="nl-NL"/>
              </w:rPr>
            </w:pPr>
            <w:r w:rsidRPr="006343E0">
              <w:rPr>
                <w:rFonts w:eastAsia="Times New Roman"/>
                <w:sz w:val="16"/>
                <w:szCs w:val="16"/>
                <w:lang w:eastAsia="nl-NL" w:bidi="nl-NL"/>
              </w:rPr>
              <w:t>Nationale regelgevende instanties</w:t>
            </w:r>
          </w:p>
          <w:p w:rsidRPr="006343E0" w:rsidR="006343E0" w:rsidP="006343E0" w:rsidRDefault="006343E0">
            <w:pPr>
              <w:spacing w:after="120"/>
              <w:ind w:left="176"/>
              <w:rPr>
                <w:rFonts w:eastAsia="Times New Roman"/>
                <w:noProof/>
                <w:sz w:val="16"/>
                <w:szCs w:val="16"/>
                <w:lang w:eastAsia="nl-NL" w:bidi="nl-NL"/>
              </w:rPr>
            </w:pPr>
            <w:r w:rsidRPr="006343E0">
              <w:rPr>
                <w:rFonts w:eastAsia="Times New Roman"/>
                <w:sz w:val="16"/>
                <w:szCs w:val="16"/>
                <w:lang w:eastAsia="nl-NL" w:bidi="nl-NL"/>
              </w:rPr>
              <w:t>Transmissie-systeem-beheerders</w:t>
            </w:r>
          </w:p>
        </w:tc>
        <w:tc>
          <w:tcPr>
            <w:tcW w:w="1985" w:type="dxa"/>
            <w:shd w:val="clear" w:color="auto" w:fill="auto"/>
          </w:tcPr>
          <w:p w:rsidRPr="006343E0" w:rsidR="006343E0" w:rsidP="006343E0" w:rsidRDefault="006343E0">
            <w:pPr>
              <w:spacing w:after="240"/>
              <w:ind w:left="132"/>
              <w:rPr>
                <w:rFonts w:eastAsia="Times New Roman"/>
                <w:noProof/>
                <w:sz w:val="16"/>
                <w:szCs w:val="16"/>
                <w:lang w:eastAsia="nl-NL" w:bidi="nl-NL"/>
              </w:rPr>
            </w:pPr>
            <w:r w:rsidRPr="006343E0">
              <w:rPr>
                <w:rFonts w:eastAsia="Times New Roman"/>
                <w:sz w:val="16"/>
                <w:szCs w:val="16"/>
                <w:lang w:eastAsia="nl-NL" w:bidi="nl-NL"/>
              </w:rPr>
              <w:t>2015-20</w:t>
            </w:r>
          </w:p>
        </w:tc>
        <w:tc>
          <w:tcPr>
            <w:tcW w:w="709" w:type="dxa"/>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Pr>
          <w:p w:rsidRPr="006343E0" w:rsidR="006343E0" w:rsidP="006343E0" w:rsidRDefault="006343E0">
            <w:pPr>
              <w:spacing w:after="240"/>
              <w:ind w:left="482"/>
              <w:jc w:val="center"/>
              <w:rPr>
                <w:rFonts w:eastAsia="Times New Roman"/>
                <w:noProof/>
                <w:sz w:val="16"/>
                <w:szCs w:val="16"/>
                <w:lang w:eastAsia="nl-NL" w:bidi="nl-NL"/>
              </w:rPr>
            </w:pPr>
          </w:p>
        </w:tc>
        <w:tc>
          <w:tcPr>
            <w:tcW w:w="850" w:type="dxa"/>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Pr>
          <w:p w:rsidRPr="006343E0" w:rsidR="006343E0" w:rsidP="006343E0" w:rsidRDefault="006343E0">
            <w:pPr>
              <w:spacing w:after="240"/>
              <w:ind w:left="482"/>
              <w:jc w:val="center"/>
              <w:rPr>
                <w:rFonts w:eastAsia="Times New Roman"/>
                <w:noProof/>
                <w:sz w:val="16"/>
                <w:szCs w:val="16"/>
                <w:lang w:eastAsia="nl-NL" w:bidi="nl-NL"/>
              </w:rPr>
            </w:pPr>
          </w:p>
        </w:tc>
        <w:tc>
          <w:tcPr>
            <w:tcW w:w="3260" w:type="dxa"/>
          </w:tcPr>
          <w:p w:rsidRPr="006343E0" w:rsidR="006343E0" w:rsidP="006343E0" w:rsidRDefault="006343E0">
            <w:pPr>
              <w:spacing w:after="240"/>
              <w:ind w:left="55"/>
              <w:rPr>
                <w:rFonts w:eastAsia="Times New Roman"/>
                <w:i/>
                <w:noProof/>
                <w:sz w:val="16"/>
                <w:szCs w:val="16"/>
                <w:lang w:eastAsia="nl-NL" w:bidi="nl-NL"/>
              </w:rPr>
            </w:pPr>
            <w:r w:rsidRPr="006343E0">
              <w:rPr>
                <w:rFonts w:eastAsia="Times New Roman"/>
                <w:i/>
                <w:noProof/>
                <w:sz w:val="16"/>
                <w:szCs w:val="16"/>
                <w:lang w:eastAsia="nl-NL" w:bidi="nl-NL"/>
              </w:rPr>
              <w:t>Vastgesteld op 25 februari 2015 (COM(2015) 82)</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 xml:space="preserve">Tweede lijst projecten van gemeenschappelijk belang – resulterend in gedelegeerde handeling van de Commissie </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176"/>
              <w:rPr>
                <w:rFonts w:eastAsia="Times New Roman"/>
                <w:noProof/>
                <w:sz w:val="16"/>
                <w:szCs w:val="16"/>
                <w:lang w:eastAsia="nl-NL" w:bidi="nl-NL"/>
              </w:rPr>
            </w:pPr>
            <w:r w:rsidRPr="006343E0">
              <w:rPr>
                <w:rFonts w:eastAsia="Times New Roman"/>
                <w:sz w:val="16"/>
                <w:szCs w:val="16"/>
                <w:lang w:eastAsia="nl-NL" w:bidi="nl-NL"/>
              </w:rPr>
              <w:t>Commissie</w:t>
            </w:r>
          </w:p>
          <w:p w:rsidRPr="006343E0" w:rsidR="006343E0" w:rsidP="006343E0" w:rsidRDefault="006343E0">
            <w:pPr>
              <w:spacing w:after="120"/>
              <w:ind w:left="176"/>
              <w:rPr>
                <w:rFonts w:eastAsia="Times New Roman"/>
                <w:noProof/>
                <w:sz w:val="16"/>
                <w:szCs w:val="16"/>
                <w:lang w:eastAsia="nl-NL" w:bidi="nl-NL"/>
              </w:rPr>
            </w:pPr>
            <w:r w:rsidRPr="006343E0">
              <w:rPr>
                <w:rFonts w:eastAsia="Times New Roman"/>
                <w:sz w:val="16"/>
                <w:szCs w:val="16"/>
                <w:lang w:eastAsia="nl-NL" w:bidi="nl-NL"/>
              </w:rPr>
              <w:t>Lidstaten</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132"/>
              <w:rPr>
                <w:rFonts w:eastAsia="Times New Roman"/>
                <w:noProof/>
                <w:sz w:val="16"/>
                <w:szCs w:val="16"/>
                <w:lang w:eastAsia="nl-NL" w:bidi="nl-NL"/>
              </w:rPr>
            </w:pPr>
            <w:r w:rsidRPr="006343E0">
              <w:rPr>
                <w:rFonts w:eastAsia="Times New Roman"/>
                <w:sz w:val="16"/>
                <w:szCs w:val="16"/>
                <w:lang w:eastAsia="nl-NL" w:bidi="nl-NL"/>
              </w:rPr>
              <w:t>2015</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i/>
                <w:noProof/>
                <w:sz w:val="16"/>
                <w:szCs w:val="16"/>
                <w:lang w:eastAsia="nl-NL" w:bidi="nl-NL"/>
              </w:rPr>
            </w:pPr>
            <w:r w:rsidRPr="006343E0">
              <w:rPr>
                <w:rFonts w:eastAsia="Times New Roman"/>
                <w:i/>
                <w:noProof/>
                <w:sz w:val="16"/>
                <w:szCs w:val="16"/>
                <w:lang w:eastAsia="nl-NL" w:bidi="nl-NL"/>
              </w:rPr>
              <w:t>Gedelegeerde handeling vastgesteld op 18 november 2015 (</w:t>
            </w:r>
            <w:r w:rsidRPr="006343E0">
              <w:rPr>
                <w:rFonts w:eastAsia="Times New Roman"/>
                <w:i/>
                <w:color w:val="FF0000"/>
                <w:sz w:val="16"/>
                <w:szCs w:val="16"/>
                <w:lang w:eastAsia="nl-NL" w:bidi="nl-NL"/>
              </w:rPr>
              <w:t>C</w:t>
            </w:r>
            <w:r w:rsidR="005A7E97">
              <w:rPr>
                <w:rFonts w:eastAsia="Times New Roman"/>
                <w:i/>
                <w:color w:val="FF0000"/>
                <w:sz w:val="16"/>
                <w:szCs w:val="16"/>
                <w:lang w:eastAsia="nl-NL" w:bidi="nl-NL"/>
              </w:rPr>
              <w:t>OM</w:t>
            </w:r>
            <w:r w:rsidRPr="006343E0">
              <w:rPr>
                <w:rFonts w:eastAsia="Times New Roman"/>
                <w:i/>
                <w:color w:val="FF0000"/>
                <w:sz w:val="16"/>
                <w:szCs w:val="16"/>
                <w:lang w:eastAsia="nl-NL" w:bidi="nl-NL"/>
              </w:rPr>
              <w:t>(2015) 8052)</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 xml:space="preserve">Mededeling betreffende de voortgang naar de voltooiing van de </w:t>
            </w:r>
            <w:r w:rsidRPr="006343E0">
              <w:rPr>
                <w:rFonts w:eastAsia="Times New Roman"/>
                <w:sz w:val="16"/>
                <w:szCs w:val="16"/>
                <w:lang w:eastAsia="nl-NL" w:bidi="nl-NL"/>
              </w:rPr>
              <w:lastRenderedPageBreak/>
              <w:t>lijst van de meest cruciale energie-infrastructuren en betreffende de maatregelen die nodig zijn om het interconnectiestreefcijfer van 15% tegen 2030 te bereiken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176"/>
              <w:rPr>
                <w:rFonts w:eastAsia="Times New Roman"/>
                <w:noProof/>
                <w:sz w:val="16"/>
                <w:szCs w:val="16"/>
                <w:lang w:eastAsia="nl-NL" w:bidi="nl-NL"/>
              </w:rPr>
            </w:pPr>
            <w:r w:rsidRPr="006343E0">
              <w:rPr>
                <w:rFonts w:eastAsia="Times New Roman"/>
                <w:sz w:val="16"/>
                <w:szCs w:val="16"/>
                <w:lang w:eastAsia="nl-NL" w:bidi="nl-NL"/>
              </w:rPr>
              <w:lastRenderedPageBreak/>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132"/>
              <w:rPr>
                <w:rFonts w:eastAsia="Times New Roman"/>
                <w:noProof/>
                <w:sz w:val="16"/>
                <w:szCs w:val="16"/>
                <w:lang w:eastAsia="nl-NL" w:bidi="nl-NL"/>
              </w:rPr>
            </w:pPr>
            <w:r w:rsidRPr="006343E0">
              <w:rPr>
                <w:rFonts w:eastAsia="Times New Roman"/>
                <w:sz w:val="16"/>
                <w:szCs w:val="16"/>
                <w:lang w:eastAsia="nl-NL" w:bidi="nl-NL"/>
              </w:rPr>
              <w:t>2016</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176"/>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lastRenderedPageBreak/>
              <w:t>Oprichting van een Forum inzake energie-infrastructuur</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176"/>
              <w:rPr>
                <w:rFonts w:eastAsia="Times New Roman"/>
                <w:noProof/>
                <w:sz w:val="16"/>
                <w:szCs w:val="16"/>
                <w:lang w:eastAsia="nl-NL" w:bidi="nl-NL"/>
              </w:rPr>
            </w:pPr>
            <w:r w:rsidRPr="006343E0">
              <w:rPr>
                <w:rFonts w:eastAsia="Times New Roman"/>
                <w:sz w:val="16"/>
                <w:szCs w:val="16"/>
                <w:lang w:eastAsia="nl-NL" w:bidi="nl-NL"/>
              </w:rPr>
              <w:t>Commissie</w:t>
            </w:r>
          </w:p>
          <w:p w:rsidRPr="006343E0" w:rsidR="006343E0" w:rsidP="006343E0" w:rsidRDefault="006343E0">
            <w:pPr>
              <w:spacing w:after="120"/>
              <w:ind w:left="176"/>
              <w:rPr>
                <w:rFonts w:eastAsia="Times New Roman"/>
                <w:noProof/>
                <w:sz w:val="16"/>
                <w:szCs w:val="16"/>
                <w:lang w:eastAsia="nl-NL" w:bidi="nl-NL"/>
              </w:rPr>
            </w:pPr>
            <w:r w:rsidRPr="006343E0">
              <w:rPr>
                <w:rFonts w:eastAsia="Times New Roman"/>
                <w:sz w:val="16"/>
                <w:szCs w:val="16"/>
                <w:lang w:eastAsia="nl-NL" w:bidi="nl-NL"/>
              </w:rPr>
              <w:t>Lidstaten</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132"/>
              <w:rPr>
                <w:rFonts w:eastAsia="Times New Roman"/>
                <w:noProof/>
                <w:sz w:val="16"/>
                <w:szCs w:val="16"/>
                <w:lang w:eastAsia="nl-NL" w:bidi="nl-NL"/>
              </w:rPr>
            </w:pPr>
            <w:r w:rsidRPr="006343E0">
              <w:rPr>
                <w:rFonts w:eastAsia="Times New Roman"/>
                <w:sz w:val="16"/>
                <w:szCs w:val="16"/>
                <w:lang w:eastAsia="nl-NL" w:bidi="nl-NL"/>
              </w:rPr>
              <w:t>2015</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176"/>
              <w:rPr>
                <w:rFonts w:eastAsia="Times New Roman"/>
                <w:i/>
                <w:noProof/>
                <w:sz w:val="16"/>
                <w:szCs w:val="16"/>
                <w:lang w:eastAsia="nl-NL" w:bidi="nl-NL"/>
              </w:rPr>
            </w:pPr>
            <w:r w:rsidRPr="006343E0">
              <w:rPr>
                <w:rFonts w:eastAsia="Times New Roman"/>
                <w:i/>
                <w:noProof/>
                <w:sz w:val="16"/>
                <w:szCs w:val="16"/>
                <w:lang w:eastAsia="nl-NL" w:bidi="nl-NL"/>
              </w:rPr>
              <w:t>Eerste bijeenkomst Forum inzake energie-infrastructuur op 9-10 november 2015 in Kopenhagen</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b/>
                <w:noProof/>
                <w:sz w:val="16"/>
                <w:szCs w:val="16"/>
                <w:lang w:eastAsia="nl-NL" w:bidi="nl-NL"/>
              </w:rPr>
              <w:t>Elektriciteit</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176"/>
              <w:rPr>
                <w:rFonts w:eastAsia="Times New Roman"/>
                <w:noProof/>
                <w:sz w:val="16"/>
                <w:szCs w:val="16"/>
                <w:lang w:eastAsia="nl-NL" w:bidi="nl-NL"/>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132"/>
              <w:rPr>
                <w:rFonts w:eastAsia="Times New Roman"/>
                <w:noProof/>
                <w:sz w:val="16"/>
                <w:szCs w:val="16"/>
                <w:lang w:eastAsia="nl-NL" w:bidi="nl-NL"/>
              </w:rPr>
            </w:pP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176"/>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120"/>
              <w:rPr>
                <w:rFonts w:eastAsia="Times New Roman"/>
                <w:noProof/>
                <w:sz w:val="16"/>
                <w:szCs w:val="16"/>
                <w:lang w:eastAsia="nl-NL" w:bidi="nl-NL"/>
              </w:rPr>
            </w:pPr>
            <w:r w:rsidRPr="006343E0">
              <w:rPr>
                <w:rFonts w:eastAsia="Times New Roman"/>
                <w:sz w:val="16"/>
                <w:szCs w:val="16"/>
                <w:lang w:eastAsia="nl-NL" w:bidi="nl-NL"/>
              </w:rPr>
              <w:t>Initiatief betreffende marktopzet en regionale elektriciteitsmarkten, en coördinatie van capaciteiten om de voorzieningszekerheid te waarborgen, grensoverschrijdende handel te bevorderen en integratie van hernieuwbare energie te vergemakkelijken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176"/>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2015-2016</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121"/>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176"/>
              <w:rPr>
                <w:rFonts w:eastAsia="Times New Roman"/>
                <w:i/>
                <w:noProof/>
                <w:sz w:val="16"/>
                <w:szCs w:val="16"/>
                <w:lang w:eastAsia="nl-NL" w:bidi="nl-NL"/>
              </w:rPr>
            </w:pPr>
            <w:r w:rsidRPr="006343E0">
              <w:rPr>
                <w:rFonts w:eastAsia="Times New Roman"/>
                <w:i/>
                <w:noProof/>
                <w:sz w:val="16"/>
                <w:szCs w:val="16"/>
                <w:lang w:eastAsia="nl-NL" w:bidi="nl-NL"/>
              </w:rPr>
              <w:t>Consultatieve mededeling uitgebracht op 15 juli 2015 (COM(2015) 340), wetgevingsvoorstellen volgen in 2016</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120"/>
              <w:rPr>
                <w:rFonts w:eastAsia="Times New Roman"/>
                <w:noProof/>
                <w:sz w:val="16"/>
                <w:szCs w:val="16"/>
                <w:lang w:eastAsia="nl-NL" w:bidi="nl-NL"/>
              </w:rPr>
            </w:pPr>
            <w:r w:rsidRPr="006343E0">
              <w:rPr>
                <w:rFonts w:eastAsia="Times New Roman"/>
                <w:sz w:val="16"/>
                <w:szCs w:val="16"/>
                <w:lang w:eastAsia="nl-NL" w:bidi="nl-NL"/>
              </w:rPr>
              <w:t>Herziening van de richtlijn inzake maatregelen om de elektriciteitsvoorziening veilig te stellen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176"/>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2016</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121"/>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176"/>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b/>
                <w:noProof/>
                <w:sz w:val="16"/>
                <w:szCs w:val="16"/>
                <w:lang w:eastAsia="nl-NL" w:bidi="nl-NL"/>
              </w:rPr>
              <w:t>Kleinhandel</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 xml:space="preserve">"New Deal" voor energieverbruikers: consumenten mondig maken; ontwikkeling van vraagrespons; gebruik van slimme technologieën; koppeling van groot- en kleinhandelsmarkten; geleidelijke uitbanning van </w:t>
            </w:r>
            <w:r w:rsidRPr="006343E0">
              <w:rPr>
                <w:rFonts w:eastAsia="Times New Roman"/>
                <w:sz w:val="16"/>
                <w:szCs w:val="16"/>
                <w:lang w:eastAsia="nl-NL" w:bidi="nl-NL"/>
              </w:rPr>
              <w:lastRenderedPageBreak/>
              <w:t>gereguleerde tarieven; begeleidende maatregelen om kwetsbare afnemers te beschermen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lastRenderedPageBreak/>
              <w:t>Commissie</w:t>
            </w:r>
          </w:p>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Lidstaten</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2015-2016</w:t>
            </w:r>
          </w:p>
          <w:p w:rsidRPr="006343E0" w:rsidR="006343E0" w:rsidP="006343E0" w:rsidRDefault="006343E0">
            <w:pPr>
              <w:spacing w:after="240"/>
              <w:ind w:left="55"/>
              <w:rPr>
                <w:rFonts w:eastAsia="Times New Roman"/>
                <w:noProof/>
                <w:sz w:val="16"/>
                <w:szCs w:val="16"/>
                <w:lang w:eastAsia="nl-NL" w:bidi="nl-NL"/>
              </w:rPr>
            </w:pP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i/>
                <w:noProof/>
                <w:sz w:val="16"/>
                <w:szCs w:val="16"/>
                <w:lang w:eastAsia="nl-NL" w:bidi="nl-NL"/>
              </w:rPr>
            </w:pPr>
            <w:r w:rsidRPr="006343E0">
              <w:rPr>
                <w:rFonts w:eastAsia="Times New Roman"/>
                <w:i/>
                <w:noProof/>
                <w:sz w:val="16"/>
                <w:szCs w:val="16"/>
                <w:lang w:eastAsia="nl-NL" w:bidi="nl-NL"/>
              </w:rPr>
              <w:t>Consultatieve mededeling uitgebracht op 15 juli 2015 (COM(2015) 339), wetgevingsvoorstellen volgen in 2016</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b/>
                <w:noProof/>
                <w:sz w:val="16"/>
                <w:szCs w:val="16"/>
                <w:lang w:eastAsia="nl-NL" w:bidi="nl-NL"/>
              </w:rPr>
              <w:lastRenderedPageBreak/>
              <w:t>Gas</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Herziening van de verordening inzake veiligstelling van de aardgasvoorziening</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2015-2016</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Gepland voor 2016</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Strategie voor vloeibaar aardgas en aardgasopslag</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2015-2016</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Gepland voor 2016</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b/>
                <w:noProof/>
                <w:sz w:val="16"/>
                <w:szCs w:val="16"/>
                <w:lang w:eastAsia="nl-NL" w:bidi="nl-NL"/>
              </w:rPr>
            </w:pPr>
            <w:r w:rsidRPr="006343E0">
              <w:rPr>
                <w:rFonts w:eastAsia="Times New Roman"/>
                <w:b/>
                <w:noProof/>
                <w:sz w:val="16"/>
                <w:szCs w:val="16"/>
                <w:lang w:eastAsia="nl-NL" w:bidi="nl-NL"/>
              </w:rPr>
              <w:t>Regelgevingskader</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482"/>
              <w:rPr>
                <w:rFonts w:eastAsia="Times New Roman"/>
                <w:noProof/>
                <w:sz w:val="16"/>
                <w:szCs w:val="16"/>
                <w:lang w:eastAsia="nl-NL" w:bidi="nl-NL"/>
              </w:rPr>
            </w:pP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Herziening van de bevoegdheden van het Agentschap voor de samenwerking tussen energieregulators (ACER) en van het regelgevingskader voor energie</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b/>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2015-16</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i/>
                <w:noProof/>
                <w:sz w:val="16"/>
                <w:szCs w:val="16"/>
                <w:lang w:eastAsia="nl-NL" w:bidi="nl-NL"/>
              </w:rPr>
            </w:pPr>
            <w:r w:rsidRPr="006343E0">
              <w:rPr>
                <w:rFonts w:eastAsia="Times New Roman"/>
                <w:i/>
                <w:noProof/>
                <w:sz w:val="16"/>
                <w:szCs w:val="16"/>
                <w:lang w:eastAsia="nl-NL" w:bidi="nl-NL"/>
              </w:rPr>
              <w:t>Behandeld in consultatieve mededeling van 15 juli 2015 (COM(2015) 340), wetgevingsvoorstellen volgen in 2016</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b/>
                <w:noProof/>
                <w:sz w:val="16"/>
                <w:szCs w:val="16"/>
                <w:lang w:eastAsia="nl-NL" w:bidi="nl-NL"/>
              </w:rPr>
              <w:t>Hernieuwbare energie</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Pakket hernieuwbare energie: nieuwe richtlijn betreffende hernieuwbare energie voor 2030; beste praktijken bij eigen verbruik van hernieuwbare energie en steunregelingen; duurzaamheidsbeleid voor bio-energie</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2015-2017</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i/>
                <w:noProof/>
                <w:sz w:val="16"/>
                <w:szCs w:val="16"/>
                <w:lang w:eastAsia="nl-NL" w:bidi="nl-NL"/>
              </w:rPr>
            </w:pPr>
            <w:r w:rsidRPr="006343E0">
              <w:rPr>
                <w:rFonts w:eastAsia="Times New Roman"/>
                <w:i/>
                <w:noProof/>
                <w:sz w:val="16"/>
                <w:szCs w:val="16"/>
                <w:lang w:eastAsia="nl-NL" w:bidi="nl-NL"/>
              </w:rPr>
              <w:t>Richtsnoeren betreffende beste praktijken inzake eigen verbruik van hernieuwbare energie vastgesteld op 15 juli 2015 (SWD(2015) 141)</w:t>
            </w:r>
          </w:p>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Pakket hernieuwbare energie gepland voor 2016</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lastRenderedPageBreak/>
              <w:t>Mededeling betreffende energie uit afval</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2016</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121"/>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b/>
                <w:noProof/>
                <w:sz w:val="16"/>
                <w:szCs w:val="16"/>
                <w:lang w:eastAsia="nl-NL" w:bidi="nl-NL"/>
              </w:rPr>
              <w:t>Klimaatactie</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Wetgevingsvoorstel om het EU-emissiehandelssysteem te herzien, 2021-2030</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2015</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i/>
                <w:noProof/>
                <w:sz w:val="16"/>
                <w:szCs w:val="16"/>
                <w:lang w:eastAsia="nl-NL" w:bidi="nl-NL"/>
              </w:rPr>
            </w:pPr>
            <w:r w:rsidRPr="006343E0">
              <w:rPr>
                <w:rFonts w:eastAsia="Times New Roman"/>
                <w:i/>
                <w:noProof/>
                <w:sz w:val="16"/>
                <w:szCs w:val="16"/>
                <w:lang w:eastAsia="nl-NL" w:bidi="nl-NL"/>
              </w:rPr>
              <w:t>Voorstel aangenomen op 15 juli 2015 (COM(2015) 337)</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 xml:space="preserve">Wetgevingsvoorstellen inzake het besluit betreffende het delen van de inspanning en de opname van landgebruik, verandering in landgebruik en bosbouw (LULUCF) in het klimaat- en energiekader voor 2030 </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2016</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b/>
                <w:noProof/>
                <w:sz w:val="16"/>
                <w:szCs w:val="16"/>
                <w:lang w:eastAsia="nl-NL" w:bidi="nl-NL"/>
              </w:rPr>
              <w:t>Vervoer</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Eerlijke en efficiënte prijsstelling voor duurzaam vervoer – herziening van de Eurovignet-richtlijn en kader om Europese elektronisch tolheffing te bevorderen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2016</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Herziening van de regels voor markttoegang tot het wegvervoer om de energie-efficiëntie daarvan te verbeteren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2016</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Masterplan voor de uitrol van samenwerkende intelligente vervoersystemen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Lidstaten</w:t>
            </w:r>
          </w:p>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lastRenderedPageBreak/>
              <w:t>Industrie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lastRenderedPageBreak/>
              <w:t>2016</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lastRenderedPageBreak/>
              <w:t>Herziening van de verordeningen betreffende emissieprestatienormen teneinde streefcijfers voor de uitstoot van auto's en bestelwagens voor de periode na 2020 vast te stellen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2016-2017</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Vaststelling van een monitoring- en rapportagesysteem voor zware wegvoertuigen (vrachtwagens en autobussen) met het oog op betere voorlichting van de aankoper</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2016-2017</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tabs>
                <w:tab w:val="left" w:pos="960"/>
              </w:tabs>
              <w:spacing w:after="200"/>
              <w:ind w:left="55"/>
              <w:rPr>
                <w:rFonts w:eastAsia="Times New Roman"/>
                <w:noProof/>
                <w:sz w:val="16"/>
                <w:szCs w:val="16"/>
                <w:lang w:eastAsia="nl-NL" w:bidi="nl-NL"/>
              </w:rPr>
            </w:pPr>
            <w:r w:rsidRPr="006343E0">
              <w:rPr>
                <w:rFonts w:eastAsia="Times New Roman"/>
                <w:sz w:val="16"/>
                <w:szCs w:val="16"/>
                <w:lang w:eastAsia="nl-NL" w:bidi="nl-NL"/>
              </w:rPr>
              <w:t>Herziening van de richtlijn betreffende de bevordering van schone en energie-efficiënte voertuigen voor het wegvervoer</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2017</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Mededeling betreffende het koolstofarm maken van de vervoersector, inclusief een actieplan inzake biobrandstoffen van de tweede en derde generatie en andere alternatieve duurzame brandstoffen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2017</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 xml:space="preserve">Gepland voor 2016 </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b/>
                <w:noProof/>
                <w:sz w:val="16"/>
                <w:szCs w:val="16"/>
                <w:lang w:eastAsia="nl-NL" w:bidi="nl-NL"/>
              </w:rPr>
              <w:t>Energie-efficiëntie</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Herziening van de energie-efficiëntierichtlijn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2016</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 xml:space="preserve">Herziening van de richtlijn betreffende de energieprestatie van </w:t>
            </w:r>
            <w:r w:rsidRPr="006343E0">
              <w:rPr>
                <w:rFonts w:eastAsia="Times New Roman"/>
                <w:sz w:val="16"/>
                <w:szCs w:val="16"/>
                <w:lang w:eastAsia="nl-NL" w:bidi="nl-NL"/>
              </w:rPr>
              <w:lastRenderedPageBreak/>
              <w:t>gebouwen, met inbegrip van het initiatief "Slimme financiering voor slimme gebouwen"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lastRenderedPageBreak/>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2016</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lastRenderedPageBreak/>
              <w:t>Herziening van het energie-efficiëntiekader voor producten (energie-etiketteringsrichtlijn en richtlijnen betreffende ecologisch ontwerp)</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2015</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i/>
                <w:noProof/>
                <w:sz w:val="16"/>
                <w:szCs w:val="16"/>
                <w:lang w:eastAsia="nl-NL" w:bidi="nl-NL"/>
              </w:rPr>
            </w:pPr>
            <w:r w:rsidRPr="006343E0">
              <w:rPr>
                <w:rFonts w:eastAsia="Times New Roman"/>
                <w:i/>
                <w:noProof/>
                <w:sz w:val="16"/>
                <w:szCs w:val="16"/>
                <w:lang w:eastAsia="nl-NL" w:bidi="nl-NL"/>
              </w:rPr>
              <w:t>Voorstel voor verordening energie-etikettering aangenomen op 15 juli 2015 (COM(2015) 341)</w:t>
            </w:r>
          </w:p>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Werkplan ecologisch ontwerp houdt verband met pakket kringloopeconomie van december 2015</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Versterking van het gericht gebruik van financieringsinstrumenten om investeringen in energie-efficiëntie te bevorderen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2015-</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b/>
                <w:noProof/>
                <w:sz w:val="16"/>
                <w:szCs w:val="16"/>
                <w:lang w:eastAsia="nl-NL" w:bidi="nl-NL"/>
              </w:rPr>
              <w:t>Verwarming en koeling</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EU-strategie voor verwarming en koeling – de bijdrage van verwarming en koeling voor de verwezenlijking van de energie- en klimaatdoelstellingen van de EU</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 xml:space="preserve">2015 </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Gepland voor 2016</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b/>
                <w:noProof/>
                <w:sz w:val="16"/>
                <w:szCs w:val="16"/>
                <w:lang w:eastAsia="nl-NL" w:bidi="nl-NL"/>
              </w:rPr>
              <w:t>Extern energie- en klimaatbeleid</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0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EU-diplomatie voor het energie- en klimaatbeleid</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 xml:space="preserve">Commissie </w:t>
            </w:r>
          </w:p>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 xml:space="preserve">Hoge vertegenwoordiger/vicevoorzitter </w:t>
            </w:r>
          </w:p>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Lidstaten</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2015</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00"/>
              <w:ind w:left="55"/>
              <w:rPr>
                <w:rFonts w:eastAsia="Times New Roman"/>
                <w:i/>
                <w:noProof/>
                <w:sz w:val="16"/>
                <w:szCs w:val="16"/>
                <w:lang w:eastAsia="nl-NL" w:bidi="nl-NL"/>
              </w:rPr>
            </w:pPr>
            <w:r w:rsidRPr="006343E0">
              <w:rPr>
                <w:rFonts w:eastAsia="Times New Roman"/>
                <w:i/>
                <w:noProof/>
                <w:sz w:val="16"/>
                <w:szCs w:val="16"/>
                <w:lang w:eastAsia="nl-NL" w:bidi="nl-NL"/>
              </w:rPr>
              <w:t>Conclusies van de Raad over klimaatdiplomatie op 20 juli 2015 aangenomen door de Raad Buitenlandse Zaken (11029/15)</w:t>
            </w:r>
          </w:p>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i/>
                <w:noProof/>
                <w:sz w:val="16"/>
                <w:szCs w:val="16"/>
                <w:lang w:eastAsia="nl-NL" w:bidi="nl-NL"/>
              </w:rPr>
              <w:t xml:space="preserve">Conclusies van de Raad over </w:t>
            </w:r>
            <w:r w:rsidRPr="006343E0">
              <w:rPr>
                <w:rFonts w:eastAsia="Times New Roman"/>
                <w:i/>
                <w:noProof/>
                <w:sz w:val="16"/>
                <w:szCs w:val="16"/>
                <w:lang w:eastAsia="nl-NL" w:bidi="nl-NL"/>
              </w:rPr>
              <w:lastRenderedPageBreak/>
              <w:t>energiediplomatie op 20 juli 2015 aangenomen door de Raad Buitenlandse Zaken (10995/15)</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lastRenderedPageBreak/>
              <w:t>Herziening van het besluit betreffende het informatie-uitwisselingsmechanisme in verband met intergouvernementele overeenkomsten tussen lidstaten en derde landen op het gebied van energie</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Hoge vertegenwoordiger/vicevoorzitter</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2016</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199"/>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175"/>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0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Nieuwe en versterkte energiedialoog met landen die belangrijk zijn voor het energiebeleid van de EU</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Hoge vertegenwoordiger/vicevoorzitter</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2015-</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0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Intentieverklaring betreffende een versterkt strategisch partnerschap met Oekraïne</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Hoge vertegenwoordiger/vicevoorzitter</w:t>
            </w:r>
          </w:p>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Europees Parlement</w:t>
            </w:r>
          </w:p>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Raad</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2015</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Gepland voor 2016</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Trilaterale intentieverklaring betreffende de trans-Kaspische pijpleidingen met Azerbeidzjan en Turkmenistan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Hoge vertegenwoordiger/vicevoorzitter</w:t>
            </w:r>
          </w:p>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Europees Parlement</w:t>
            </w:r>
          </w:p>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Raad</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2015</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Gepland voor 2016</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 xml:space="preserve">Initiatief ter versterking van de </w:t>
            </w:r>
            <w:r w:rsidRPr="006343E0">
              <w:rPr>
                <w:rFonts w:eastAsia="Times New Roman"/>
                <w:sz w:val="16"/>
                <w:szCs w:val="16"/>
                <w:lang w:eastAsia="nl-NL" w:bidi="nl-NL"/>
              </w:rPr>
              <w:lastRenderedPageBreak/>
              <w:t>Energiegemeenschap</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lastRenderedPageBreak/>
              <w:t>Commissie</w:t>
            </w:r>
          </w:p>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lastRenderedPageBreak/>
              <w:t>Partijen bij de Energie-gemeenschap</w:t>
            </w:r>
          </w:p>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Hoge vertegenwoordiger/vicevoorzitter</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lastRenderedPageBreak/>
              <w:t>2015</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00"/>
              <w:ind w:left="55"/>
              <w:rPr>
                <w:rFonts w:eastAsia="Times New Roman"/>
                <w:i/>
                <w:noProof/>
                <w:sz w:val="16"/>
                <w:szCs w:val="16"/>
                <w:lang w:eastAsia="nl-NL" w:bidi="nl-NL"/>
              </w:rPr>
            </w:pPr>
            <w:r w:rsidRPr="006343E0">
              <w:rPr>
                <w:rFonts w:eastAsia="Times New Roman"/>
                <w:i/>
                <w:noProof/>
                <w:sz w:val="16"/>
                <w:szCs w:val="16"/>
                <w:lang w:eastAsia="nl-NL" w:bidi="nl-NL"/>
              </w:rPr>
              <w:t xml:space="preserve">Belangrijke beslissingen genomen op de ministerraad van de </w:t>
            </w:r>
            <w:r w:rsidRPr="006343E0">
              <w:rPr>
                <w:rFonts w:eastAsia="Times New Roman"/>
                <w:i/>
                <w:noProof/>
                <w:sz w:val="16"/>
                <w:szCs w:val="16"/>
                <w:lang w:eastAsia="nl-NL" w:bidi="nl-NL"/>
              </w:rPr>
              <w:lastRenderedPageBreak/>
              <w:t>Energiegemeenschap in oktober 2015</w:t>
            </w:r>
          </w:p>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Gemeenschappelijke handeling inzake continuïteit energievoorziening volgt</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lastRenderedPageBreak/>
              <w:t>Versterking van de Euromed-samenwerking op het gebied van gas, elektriciteit, energie-efficiëntie en hernieuwbare energie</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Hoge vertegenwoordiger/vicevoorzitter</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2015-2016</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00"/>
              <w:ind w:left="55"/>
              <w:rPr>
                <w:rFonts w:eastAsia="Times New Roman"/>
                <w:i/>
                <w:noProof/>
                <w:sz w:val="16"/>
                <w:szCs w:val="16"/>
                <w:lang w:eastAsia="nl-NL" w:bidi="nl-NL"/>
              </w:rPr>
            </w:pPr>
            <w:r w:rsidRPr="006343E0">
              <w:rPr>
                <w:rFonts w:eastAsia="Times New Roman"/>
                <w:i/>
                <w:noProof/>
                <w:sz w:val="16"/>
                <w:szCs w:val="16"/>
                <w:lang w:eastAsia="nl-NL" w:bidi="nl-NL"/>
              </w:rPr>
              <w:t>Platform inzake gas in juni 2015 gelanceerd</w:t>
            </w:r>
          </w:p>
          <w:p w:rsidRPr="006343E0" w:rsidR="006343E0" w:rsidP="006343E0" w:rsidRDefault="006343E0">
            <w:pPr>
              <w:spacing w:after="200"/>
              <w:ind w:left="55"/>
              <w:rPr>
                <w:rFonts w:eastAsia="Times New Roman"/>
                <w:i/>
                <w:noProof/>
                <w:sz w:val="16"/>
                <w:szCs w:val="16"/>
                <w:lang w:eastAsia="nl-NL" w:bidi="nl-NL"/>
              </w:rPr>
            </w:pPr>
            <w:r w:rsidRPr="006343E0">
              <w:rPr>
                <w:rFonts w:eastAsia="Times New Roman"/>
                <w:i/>
                <w:noProof/>
                <w:sz w:val="16"/>
                <w:szCs w:val="16"/>
                <w:lang w:eastAsia="nl-NL" w:bidi="nl-NL"/>
              </w:rPr>
              <w:t>Regionaal platform inzake elektriciteitsmarkt in oktober 2015 gelanceerd</w:t>
            </w:r>
          </w:p>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Platform inzake hernieuwbare energie en energie-efficiëntie wordt in 2016 gelanceerd</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120"/>
              <w:rPr>
                <w:rFonts w:eastAsia="Times New Roman"/>
                <w:noProof/>
                <w:sz w:val="16"/>
                <w:szCs w:val="16"/>
                <w:lang w:eastAsia="nl-NL" w:bidi="nl-NL"/>
              </w:rPr>
            </w:pPr>
            <w:r w:rsidRPr="006343E0">
              <w:rPr>
                <w:rFonts w:eastAsia="Times New Roman"/>
                <w:sz w:val="16"/>
                <w:szCs w:val="16"/>
                <w:lang w:eastAsia="nl-NL" w:bidi="nl-NL"/>
              </w:rPr>
              <w:t>Vaststelling en ondertekening van een nieuw Internationaal Energiehandvest namens de EU en Euratom</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Hoge vertegenwoordiger/vicevoorzitter</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2015</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00"/>
              <w:ind w:left="55"/>
              <w:rPr>
                <w:rFonts w:eastAsia="Times New Roman"/>
                <w:i/>
                <w:noProof/>
                <w:sz w:val="16"/>
                <w:szCs w:val="16"/>
                <w:lang w:eastAsia="nl-NL" w:bidi="nl-NL"/>
              </w:rPr>
            </w:pPr>
            <w:r w:rsidRPr="006343E0">
              <w:rPr>
                <w:rFonts w:eastAsia="Times New Roman"/>
                <w:i/>
                <w:noProof/>
                <w:sz w:val="16"/>
                <w:szCs w:val="16"/>
                <w:lang w:eastAsia="nl-NL" w:bidi="nl-NL"/>
              </w:rPr>
              <w:t>De Europese Commissie heeft op de conferentie op 20-21 mei 2015 in Den Haag het Internationaal Energiehandvest mede ondertekend.</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b/>
                <w:noProof/>
                <w:sz w:val="16"/>
                <w:szCs w:val="16"/>
                <w:lang w:eastAsia="nl-NL" w:bidi="nl-NL"/>
              </w:rPr>
              <w:t>Industrieel concurrentievermogen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 xml:space="preserve">Een nieuwe Europese O&amp;I-aanpak inzake energie om de transformatie van het energiesysteem te versnellen, bestaande uit: </w:t>
            </w:r>
          </w:p>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 een geïntegreerd plan voor strategische energietechnologie (SET)</w:t>
            </w:r>
          </w:p>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 xml:space="preserve">– een strategische O&amp;I-agenda voor </w:t>
            </w:r>
            <w:r w:rsidRPr="006343E0">
              <w:rPr>
                <w:rFonts w:eastAsia="Times New Roman"/>
                <w:sz w:val="16"/>
                <w:szCs w:val="16"/>
                <w:lang w:eastAsia="nl-NL" w:bidi="nl-NL"/>
              </w:rPr>
              <w:lastRenderedPageBreak/>
              <w:t>het vervoer</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lastRenderedPageBreak/>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2015-2017</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i/>
                <w:noProof/>
                <w:sz w:val="16"/>
                <w:szCs w:val="16"/>
                <w:lang w:eastAsia="nl-NL" w:bidi="nl-NL"/>
              </w:rPr>
            </w:pPr>
            <w:r w:rsidRPr="006343E0">
              <w:rPr>
                <w:rFonts w:eastAsia="Times New Roman"/>
                <w:i/>
                <w:noProof/>
                <w:sz w:val="16"/>
                <w:szCs w:val="16"/>
                <w:lang w:eastAsia="nl-NL" w:bidi="nl-NL"/>
              </w:rPr>
              <w:t>Mededeling betreffende SET-plan uitgebracht op 15 september 2015 (C(2015) 6317)</w:t>
            </w:r>
          </w:p>
          <w:p w:rsidRPr="006343E0" w:rsidR="006343E0" w:rsidP="006343E0" w:rsidRDefault="006343E0">
            <w:pPr>
              <w:spacing w:after="240"/>
              <w:ind w:left="55"/>
              <w:rPr>
                <w:rFonts w:eastAsia="Times New Roman"/>
                <w:i/>
                <w:noProof/>
                <w:sz w:val="16"/>
                <w:szCs w:val="16"/>
                <w:lang w:eastAsia="nl-NL" w:bidi="nl-NL"/>
              </w:rPr>
            </w:pPr>
            <w:r w:rsidRPr="006343E0">
              <w:rPr>
                <w:rFonts w:eastAsia="Times New Roman"/>
                <w:i/>
                <w:noProof/>
                <w:sz w:val="16"/>
                <w:szCs w:val="16"/>
                <w:lang w:eastAsia="nl-NL" w:bidi="nl-NL"/>
              </w:rPr>
              <w:t>Platform voor slimme specialisatie inzake energie is in 2015 gelanceerd</w:t>
            </w:r>
          </w:p>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 xml:space="preserve">Geïntegreerde strategie betreffende onderzoek, innovatie en concurrentievermogen in verband </w:t>
            </w:r>
            <w:r w:rsidRPr="006343E0">
              <w:rPr>
                <w:rFonts w:eastAsia="Times New Roman"/>
                <w:sz w:val="16"/>
                <w:szCs w:val="16"/>
                <w:lang w:eastAsia="nl-NL" w:bidi="nl-NL"/>
              </w:rPr>
              <w:lastRenderedPageBreak/>
              <w:t>met de energie-unie is gepland voor 2016</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lastRenderedPageBreak/>
              <w:t>Analyse van energieprijzen en -kosten (inclusief belastingen en subsidies)</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2016 en vervolgens om de 2 jaar</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Initiatief betreffende het mondiale technologie- en innovatieleiderschap van de EU op het vlak van energie en klimaat teneinde groei en werkgelegenheid te bevorderen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2015-2016</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Houdt verband met de geïntegreerde en alomvattende strategie betreffende onderzoek, innovatie en concurrentievermogen inzake de energie-unie</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Versterkt handelsbeleid om de uitvoer van EU-technologieën te bevorderen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2015-2019</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b/>
                <w:noProof/>
                <w:sz w:val="16"/>
                <w:szCs w:val="16"/>
                <w:lang w:eastAsia="nl-NL" w:bidi="nl-NL"/>
              </w:rPr>
              <w:t>Transversale maatregelen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252"/>
              <w:rPr>
                <w:rFonts w:eastAsia="Times New Roman"/>
                <w:noProof/>
                <w:sz w:val="16"/>
                <w:szCs w:val="16"/>
                <w:lang w:eastAsia="nl-NL" w:bidi="nl-NL"/>
              </w:rPr>
            </w:pP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 xml:space="preserve">Herziening van de richtsnoeren inzake staatssteun voor milieubescherming en energie </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r w:rsidRPr="006343E0">
              <w:rPr>
                <w:rFonts w:eastAsia="Times New Roman"/>
                <w:sz w:val="16"/>
                <w:szCs w:val="16"/>
                <w:lang w:eastAsia="nl-NL" w:bidi="nl-NL"/>
              </w:rPr>
              <w:tab/>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252"/>
              <w:rPr>
                <w:rFonts w:eastAsia="Times New Roman"/>
                <w:noProof/>
                <w:sz w:val="16"/>
                <w:szCs w:val="16"/>
                <w:lang w:eastAsia="nl-NL" w:bidi="nl-NL"/>
              </w:rPr>
            </w:pPr>
            <w:r w:rsidRPr="006343E0">
              <w:rPr>
                <w:rFonts w:eastAsia="Times New Roman"/>
                <w:sz w:val="16"/>
                <w:szCs w:val="16"/>
                <w:lang w:eastAsia="nl-NL" w:bidi="nl-NL"/>
              </w:rPr>
              <w:t>2017-2019</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Verslag betreffende de Europese strategie voor energiezekerheid, inclusief een platform en een stappenplan voor Euromed en strategieën voor LNG, energieopslag en de zuidelijke gascorridor</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252"/>
              <w:rPr>
                <w:rFonts w:eastAsia="Times New Roman"/>
                <w:noProof/>
                <w:sz w:val="16"/>
                <w:szCs w:val="16"/>
                <w:lang w:eastAsia="nl-NL" w:bidi="nl-NL"/>
              </w:rPr>
            </w:pPr>
            <w:r w:rsidRPr="006343E0">
              <w:rPr>
                <w:rFonts w:eastAsia="Times New Roman"/>
                <w:sz w:val="16"/>
                <w:szCs w:val="16"/>
                <w:lang w:eastAsia="nl-NL" w:bidi="nl-NL"/>
              </w:rPr>
              <w:t>2015-2016</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i/>
                <w:noProof/>
                <w:sz w:val="16"/>
                <w:szCs w:val="16"/>
                <w:lang w:eastAsia="nl-NL" w:bidi="nl-NL"/>
              </w:rPr>
            </w:pPr>
            <w:r w:rsidRPr="006343E0">
              <w:rPr>
                <w:rFonts w:eastAsia="Times New Roman"/>
                <w:i/>
                <w:noProof/>
                <w:sz w:val="16"/>
                <w:szCs w:val="16"/>
                <w:lang w:eastAsia="nl-NL" w:bidi="nl-NL"/>
              </w:rPr>
              <w:t>Verslag (werkdocument) aangenomen op 18 november 2015 (SWD(2015) 404)</w:t>
            </w:r>
          </w:p>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Strategie betreffende opslag van LNG en gas gepland voor 2016</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55"/>
              <w:rPr>
                <w:rFonts w:eastAsia="Times New Roman"/>
                <w:noProof/>
                <w:sz w:val="16"/>
                <w:szCs w:val="16"/>
                <w:lang w:eastAsia="nl-NL" w:bidi="nl-NL"/>
              </w:rPr>
            </w:pPr>
            <w:r w:rsidRPr="006343E0">
              <w:rPr>
                <w:rFonts w:eastAsia="Times New Roman"/>
                <w:sz w:val="16"/>
                <w:szCs w:val="16"/>
                <w:lang w:eastAsia="nl-NL" w:bidi="nl-NL"/>
              </w:rPr>
              <w:t xml:space="preserve">Data, analyse en inlichtingen voor de energie-unie: initiatief ter bundeling en ter vergemakkelijking van de toegang tot alle relevante </w:t>
            </w:r>
            <w:r w:rsidRPr="006343E0">
              <w:rPr>
                <w:rFonts w:eastAsia="Times New Roman"/>
                <w:sz w:val="16"/>
                <w:szCs w:val="16"/>
                <w:lang w:eastAsia="nl-NL" w:bidi="nl-NL"/>
              </w:rPr>
              <w:lastRenderedPageBreak/>
              <w:t xml:space="preserve">kennis in de Commissie en de lidstaten </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lastRenderedPageBreak/>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252"/>
              <w:rPr>
                <w:rFonts w:eastAsia="Times New Roman"/>
                <w:noProof/>
                <w:sz w:val="16"/>
                <w:szCs w:val="16"/>
                <w:lang w:eastAsia="nl-NL" w:bidi="nl-NL"/>
              </w:rPr>
            </w:pPr>
            <w:r w:rsidRPr="006343E0">
              <w:rPr>
                <w:rFonts w:eastAsia="Times New Roman"/>
                <w:sz w:val="16"/>
                <w:szCs w:val="16"/>
                <w:lang w:eastAsia="nl-NL" w:bidi="nl-NL"/>
              </w:rPr>
              <w:t>2016</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120"/>
              <w:rPr>
                <w:rFonts w:eastAsia="Times New Roman"/>
                <w:noProof/>
                <w:sz w:val="16"/>
                <w:szCs w:val="16"/>
                <w:lang w:eastAsia="nl-NL" w:bidi="nl-NL"/>
              </w:rPr>
            </w:pPr>
            <w:r w:rsidRPr="006343E0">
              <w:rPr>
                <w:rFonts w:eastAsia="Times New Roman"/>
                <w:b/>
                <w:noProof/>
                <w:sz w:val="16"/>
                <w:szCs w:val="16"/>
                <w:lang w:eastAsia="nl-NL" w:bidi="nl-NL"/>
              </w:rPr>
              <w:lastRenderedPageBreak/>
              <w:t>Kernenergie</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121"/>
              <w:jc w:val="center"/>
              <w:rPr>
                <w:rFonts w:eastAsia="Times New Roman"/>
                <w:b/>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121"/>
              <w:jc w:val="center"/>
              <w:rPr>
                <w:rFonts w:eastAsia="Times New Roman"/>
                <w:b/>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199"/>
              <w:jc w:val="center"/>
              <w:rPr>
                <w:rFonts w:eastAsia="Times New Roman"/>
                <w:b/>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225"/>
              <w:jc w:val="center"/>
              <w:rPr>
                <w:rFonts w:eastAsia="Times New Roman"/>
                <w:b/>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175"/>
              <w:jc w:val="center"/>
              <w:rPr>
                <w:rFonts w:eastAsia="Times New Roman"/>
                <w:b/>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120"/>
              <w:rPr>
                <w:rFonts w:eastAsia="Times New Roman"/>
                <w:noProof/>
                <w:sz w:val="16"/>
                <w:szCs w:val="16"/>
                <w:lang w:eastAsia="nl-NL" w:bidi="nl-NL"/>
              </w:rPr>
            </w:pPr>
            <w:r w:rsidRPr="006343E0">
              <w:rPr>
                <w:rFonts w:eastAsia="Times New Roman"/>
                <w:sz w:val="16"/>
                <w:szCs w:val="16"/>
                <w:lang w:eastAsia="nl-NL" w:bidi="nl-NL"/>
              </w:rPr>
              <w:t>Verordening van de Raad ter actualisering van de informatie-eisen overeenkomstig artikel 41 van het Euratom-Verdrag in het licht van de Europese strategie voor energiezekerheid</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2015</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121"/>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Gepland voor 2016</w:t>
            </w:r>
          </w:p>
        </w:tc>
      </w:tr>
      <w:tr w:rsidRPr="006343E0" w:rsidR="006343E0" w:rsidTr="00F04D67">
        <w:tc>
          <w:tcPr>
            <w:tcW w:w="3227"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00"/>
              <w:ind w:left="120"/>
              <w:rPr>
                <w:rFonts w:eastAsia="Times New Roman"/>
                <w:noProof/>
                <w:sz w:val="16"/>
                <w:szCs w:val="16"/>
                <w:lang w:eastAsia="nl-NL" w:bidi="nl-NL"/>
              </w:rPr>
            </w:pPr>
            <w:r w:rsidRPr="006343E0">
              <w:rPr>
                <w:rFonts w:eastAsia="Times New Roman"/>
                <w:sz w:val="16"/>
                <w:szCs w:val="16"/>
                <w:lang w:eastAsia="nl-NL" w:bidi="nl-NL"/>
              </w:rPr>
              <w:t>Mededeling betreffende een indicatief programma op het gebied van kernenergie overeenkomstig artikel 40 van het Euratom-Verdrag</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120"/>
              <w:ind w:left="55"/>
              <w:rPr>
                <w:rFonts w:eastAsia="Times New Roman"/>
                <w:noProof/>
                <w:sz w:val="16"/>
                <w:szCs w:val="16"/>
                <w:lang w:eastAsia="nl-NL" w:bidi="nl-NL"/>
              </w:rPr>
            </w:pPr>
            <w:r w:rsidRPr="006343E0">
              <w:rPr>
                <w:rFonts w:eastAsia="Times New Roman"/>
                <w:sz w:val="16"/>
                <w:szCs w:val="16"/>
                <w:lang w:eastAsia="nl-NL" w:bidi="nl-NL"/>
              </w:rPr>
              <w:t>Commissie</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2015</w:t>
            </w:r>
          </w:p>
        </w:tc>
        <w:tc>
          <w:tcPr>
            <w:tcW w:w="709"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121"/>
              <w:jc w:val="center"/>
              <w:rPr>
                <w:rFonts w:eastAsia="Times New Roman"/>
                <w:noProof/>
                <w:sz w:val="16"/>
                <w:szCs w:val="16"/>
                <w:lang w:eastAsia="nl-NL" w:bidi="nl-NL"/>
              </w:rPr>
            </w:pP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85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jc w:val="center"/>
              <w:rPr>
                <w:rFonts w:eastAsia="Times New Roman"/>
                <w:noProof/>
                <w:sz w:val="16"/>
                <w:szCs w:val="16"/>
                <w:lang w:eastAsia="nl-NL" w:bidi="nl-NL"/>
              </w:rPr>
            </w:pPr>
            <w:r w:rsidRPr="006343E0">
              <w:rPr>
                <w:rFonts w:eastAsia="Times New Roman"/>
                <w:sz w:val="16"/>
                <w:szCs w:val="16"/>
                <w:lang w:eastAsia="nl-NL" w:bidi="nl-NL"/>
              </w:rPr>
              <w:t>X</w:t>
            </w:r>
          </w:p>
        </w:tc>
        <w:tc>
          <w:tcPr>
            <w:tcW w:w="851"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482"/>
              <w:jc w:val="center"/>
              <w:rPr>
                <w:rFonts w:eastAsia="Times New Roman"/>
                <w:noProof/>
                <w:sz w:val="16"/>
                <w:szCs w:val="16"/>
                <w:lang w:eastAsia="nl-NL" w:bidi="nl-NL"/>
              </w:rPr>
            </w:pPr>
          </w:p>
        </w:tc>
        <w:tc>
          <w:tcPr>
            <w:tcW w:w="3260" w:type="dxa"/>
            <w:tcBorders>
              <w:top w:val="single" w:color="auto" w:sz="4" w:space="0"/>
              <w:left w:val="single" w:color="auto" w:sz="4" w:space="0"/>
              <w:bottom w:val="single" w:color="auto" w:sz="4" w:space="0"/>
              <w:right w:val="single" w:color="auto" w:sz="4" w:space="0"/>
            </w:tcBorders>
          </w:tcPr>
          <w:p w:rsidRPr="006343E0" w:rsidR="006343E0" w:rsidP="006343E0" w:rsidRDefault="006343E0">
            <w:pPr>
              <w:spacing w:after="240"/>
              <w:ind w:left="55"/>
              <w:rPr>
                <w:rFonts w:eastAsia="Times New Roman"/>
                <w:noProof/>
                <w:sz w:val="16"/>
                <w:szCs w:val="16"/>
                <w:lang w:eastAsia="nl-NL" w:bidi="nl-NL"/>
              </w:rPr>
            </w:pPr>
            <w:r w:rsidRPr="006343E0">
              <w:rPr>
                <w:rFonts w:eastAsia="Times New Roman"/>
                <w:sz w:val="16"/>
                <w:szCs w:val="16"/>
                <w:lang w:eastAsia="nl-NL" w:bidi="nl-NL"/>
              </w:rPr>
              <w:t>Gepland voor 2016</w:t>
            </w:r>
          </w:p>
        </w:tc>
      </w:tr>
    </w:tbl>
    <w:p w:rsidRPr="006343E0" w:rsidR="006343E0" w:rsidP="006343E0" w:rsidRDefault="006343E0">
      <w:pPr>
        <w:rPr>
          <w:sz w:val="17"/>
          <w:szCs w:val="17"/>
        </w:rPr>
      </w:pPr>
    </w:p>
    <w:p w:rsidRPr="006343E0" w:rsidR="006343E0" w:rsidP="006343E0" w:rsidRDefault="006343E0">
      <w:pPr>
        <w:spacing w:line="276" w:lineRule="auto"/>
        <w:rPr>
          <w:sz w:val="17"/>
        </w:rPr>
      </w:pPr>
    </w:p>
    <w:p w:rsidRPr="008A0025" w:rsidR="002E72DB" w:rsidP="008A0025" w:rsidRDefault="002E72DB">
      <w:pPr>
        <w:widowControl w:val="0"/>
        <w:tabs>
          <w:tab w:val="left" w:pos="0"/>
        </w:tabs>
        <w:suppressAutoHyphens/>
        <w:autoSpaceDN w:val="0"/>
        <w:spacing w:line="276" w:lineRule="auto"/>
        <w:ind w:left="720"/>
        <w:textAlignment w:val="baseline"/>
        <w:outlineLvl w:val="0"/>
        <w:rPr>
          <w:rFonts w:eastAsia="DejaVu Sans" w:cs="Lohit Hindi"/>
          <w:b/>
          <w:kern w:val="3"/>
          <w:szCs w:val="18"/>
          <w:lang w:eastAsia="zh-CN" w:bidi="hi-IN"/>
        </w:rPr>
      </w:pPr>
    </w:p>
    <w:sectPr w:rsidRPr="008A0025" w:rsidR="002E72DB" w:rsidSect="00F04D67">
      <w:headerReference w:type="default" r:id="rId18"/>
      <w:footerReference w:type="default" r:id="rId19"/>
      <w:pgSz w:w="16838" w:h="11906" w:orient="landscape"/>
      <w:pgMar w:top="1417" w:right="2269" w:bottom="1417" w:left="1134" w:header="1247"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D67" w:rsidRDefault="00F04D67">
      <w:r>
        <w:separator/>
      </w:r>
    </w:p>
  </w:endnote>
  <w:endnote w:type="continuationSeparator" w:id="0">
    <w:p w:rsidR="00F04D67" w:rsidRDefault="00F0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DejaVu Sans">
    <w:altName w:val="Arial"/>
    <w:charset w:val="00"/>
    <w:family w:val="swiss"/>
    <w:pitch w:val="variable"/>
    <w:sig w:usb0="E7000EFF" w:usb1="5200FDFF" w:usb2="0A242021" w:usb3="00000000" w:csb0="000001BF" w:csb1="00000000"/>
  </w:font>
  <w:font w:name="FiraSans-Ligh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319980"/>
      <w:docPartObj>
        <w:docPartGallery w:val="Page Numbers (Bottom of Page)"/>
        <w:docPartUnique/>
      </w:docPartObj>
    </w:sdtPr>
    <w:sdtEndPr/>
    <w:sdtContent>
      <w:p w:rsidR="00F04D67" w:rsidRDefault="00F04D67">
        <w:pPr>
          <w:pStyle w:val="Voettekst"/>
          <w:jc w:val="right"/>
        </w:pPr>
        <w:r>
          <w:fldChar w:fldCharType="begin"/>
        </w:r>
        <w:r>
          <w:instrText>PAGE   \* MERGEFORMAT</w:instrText>
        </w:r>
        <w:r>
          <w:fldChar w:fldCharType="separate"/>
        </w:r>
        <w:r w:rsidR="00B849A6">
          <w:rPr>
            <w:noProof/>
          </w:rPr>
          <w:t>1</w:t>
        </w:r>
        <w:r>
          <w:fldChar w:fldCharType="end"/>
        </w:r>
      </w:p>
    </w:sdtContent>
  </w:sdt>
  <w:p w:rsidR="00F04D67" w:rsidRDefault="00F04D6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134099"/>
      <w:docPartObj>
        <w:docPartGallery w:val="Page Numbers (Bottom of Page)"/>
        <w:docPartUnique/>
      </w:docPartObj>
    </w:sdtPr>
    <w:sdtEndPr/>
    <w:sdtContent>
      <w:p w:rsidR="00F04D67" w:rsidRDefault="00F04D67">
        <w:pPr>
          <w:pStyle w:val="Voettekst"/>
          <w:jc w:val="center"/>
        </w:pPr>
        <w:r>
          <w:fldChar w:fldCharType="begin"/>
        </w:r>
        <w:r>
          <w:instrText>PAGE   \* MERGEFORMAT</w:instrText>
        </w:r>
        <w:r>
          <w:fldChar w:fldCharType="separate"/>
        </w:r>
        <w:r w:rsidR="00B849A6">
          <w:rPr>
            <w:noProof/>
          </w:rPr>
          <w:t>19</w:t>
        </w:r>
        <w:r>
          <w:fldChar w:fldCharType="end"/>
        </w:r>
      </w:p>
    </w:sdtContent>
  </w:sdt>
  <w:p w:rsidR="00F04D67" w:rsidRDefault="00F04D6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D67" w:rsidRDefault="00F04D67">
      <w:r>
        <w:separator/>
      </w:r>
    </w:p>
  </w:footnote>
  <w:footnote w:type="continuationSeparator" w:id="0">
    <w:p w:rsidR="00F04D67" w:rsidRDefault="00F04D67">
      <w:r>
        <w:continuationSeparator/>
      </w:r>
    </w:p>
  </w:footnote>
  <w:footnote w:id="1">
    <w:p w:rsidR="00F04D67" w:rsidRPr="00160A5E" w:rsidRDefault="00F04D67" w:rsidP="002E72DB">
      <w:pPr>
        <w:pStyle w:val="Voetnoottekst"/>
        <w:rPr>
          <w:sz w:val="16"/>
          <w:szCs w:val="16"/>
        </w:rPr>
      </w:pPr>
      <w:r w:rsidRPr="00160A5E">
        <w:rPr>
          <w:rStyle w:val="Voetnootmarkering"/>
          <w:sz w:val="16"/>
          <w:szCs w:val="16"/>
        </w:rPr>
        <w:footnoteRef/>
      </w:r>
      <w:r w:rsidRPr="00160A5E">
        <w:rPr>
          <w:sz w:val="16"/>
          <w:szCs w:val="16"/>
        </w:rPr>
        <w:t xml:space="preserve"> COM(2015) 572 final</w:t>
      </w:r>
      <w:r>
        <w:rPr>
          <w:sz w:val="16"/>
          <w:szCs w:val="16"/>
        </w:rPr>
        <w:t xml:space="preserve">, </w:t>
      </w:r>
      <w:r w:rsidRPr="00160A5E">
        <w:rPr>
          <w:sz w:val="16"/>
          <w:szCs w:val="16"/>
        </w:rPr>
        <w:t>Extranet nr. 14015/15.</w:t>
      </w:r>
      <w:r w:rsidRPr="00160A5E">
        <w:rPr>
          <w:sz w:val="18"/>
          <w:szCs w:val="18"/>
        </w:rPr>
        <w:t xml:space="preserve"> </w:t>
      </w:r>
      <w:r w:rsidRPr="00160A5E">
        <w:rPr>
          <w:sz w:val="16"/>
          <w:szCs w:val="16"/>
        </w:rPr>
        <w:t xml:space="preserve">Alle documenten incl. annexen zijn in het Nederlands te vinden op </w:t>
      </w:r>
      <w:hyperlink r:id="rId1" w:history="1">
        <w:r w:rsidRPr="00160A5E">
          <w:rPr>
            <w:rStyle w:val="Hyperlink"/>
            <w:sz w:val="16"/>
            <w:szCs w:val="16"/>
          </w:rPr>
          <w:t>http://eur-lex.europa.eu/legal-content/NL/TXT/?uri=CELEX:52015DC0572</w:t>
        </w:r>
      </w:hyperlink>
      <w:r>
        <w:rPr>
          <w:sz w:val="16"/>
          <w:szCs w:val="16"/>
        </w:rPr>
        <w:t xml:space="preserve"> en (vooralsnog alleen </w:t>
      </w:r>
      <w:r w:rsidRPr="00160A5E">
        <w:rPr>
          <w:sz w:val="16"/>
          <w:szCs w:val="16"/>
        </w:rPr>
        <w:t xml:space="preserve">Engelstalig) op </w:t>
      </w:r>
      <w:hyperlink r:id="rId2" w:history="1">
        <w:r w:rsidRPr="00160A5E">
          <w:rPr>
            <w:rStyle w:val="Hyperlink"/>
            <w:sz w:val="16"/>
            <w:szCs w:val="16"/>
          </w:rPr>
          <w:t>http://ec.europa.eu/priorities/energy-union/state-energy-union/index_en.htm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D67" w:rsidRDefault="00F04D67">
    <w:pPr>
      <w:pStyle w:val="Koptekst"/>
    </w:pPr>
    <w:r>
      <w:rPr>
        <w:noProof/>
        <w:lang w:eastAsia="nl-NL"/>
      </w:rPr>
      <w:drawing>
        <wp:anchor distT="0" distB="0" distL="114300" distR="114300" simplePos="0" relativeHeight="251672064" behindDoc="1" locked="0" layoutInCell="1" allowOverlap="1" wp14:anchorId="060CF67E" wp14:editId="3A58E876">
          <wp:simplePos x="0" y="0"/>
          <wp:positionH relativeFrom="page">
            <wp:posOffset>626745</wp:posOffset>
          </wp:positionH>
          <wp:positionV relativeFrom="page">
            <wp:posOffset>374650</wp:posOffset>
          </wp:positionV>
          <wp:extent cx="432000" cy="123840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07AC"/>
    <w:multiLevelType w:val="hybridMultilevel"/>
    <w:tmpl w:val="B74A13B4"/>
    <w:lvl w:ilvl="0" w:tplc="2F7CF4E0">
      <w:start w:val="1"/>
      <w:numFmt w:val="decimal"/>
      <w:lvlText w:val="%1."/>
      <w:lvlJc w:val="left"/>
      <w:pPr>
        <w:ind w:left="415" w:hanging="360"/>
      </w:pPr>
      <w:rPr>
        <w:rFonts w:hint="default"/>
      </w:rPr>
    </w:lvl>
    <w:lvl w:ilvl="1" w:tplc="04130019" w:tentative="1">
      <w:start w:val="1"/>
      <w:numFmt w:val="lowerLetter"/>
      <w:lvlText w:val="%2."/>
      <w:lvlJc w:val="left"/>
      <w:pPr>
        <w:ind w:left="1135" w:hanging="360"/>
      </w:pPr>
    </w:lvl>
    <w:lvl w:ilvl="2" w:tplc="0413001B" w:tentative="1">
      <w:start w:val="1"/>
      <w:numFmt w:val="lowerRoman"/>
      <w:lvlText w:val="%3."/>
      <w:lvlJc w:val="right"/>
      <w:pPr>
        <w:ind w:left="1855" w:hanging="180"/>
      </w:pPr>
    </w:lvl>
    <w:lvl w:ilvl="3" w:tplc="0413000F" w:tentative="1">
      <w:start w:val="1"/>
      <w:numFmt w:val="decimal"/>
      <w:lvlText w:val="%4."/>
      <w:lvlJc w:val="left"/>
      <w:pPr>
        <w:ind w:left="2575" w:hanging="360"/>
      </w:pPr>
    </w:lvl>
    <w:lvl w:ilvl="4" w:tplc="04130019" w:tentative="1">
      <w:start w:val="1"/>
      <w:numFmt w:val="lowerLetter"/>
      <w:lvlText w:val="%5."/>
      <w:lvlJc w:val="left"/>
      <w:pPr>
        <w:ind w:left="3295" w:hanging="360"/>
      </w:pPr>
    </w:lvl>
    <w:lvl w:ilvl="5" w:tplc="0413001B" w:tentative="1">
      <w:start w:val="1"/>
      <w:numFmt w:val="lowerRoman"/>
      <w:lvlText w:val="%6."/>
      <w:lvlJc w:val="right"/>
      <w:pPr>
        <w:ind w:left="4015" w:hanging="180"/>
      </w:pPr>
    </w:lvl>
    <w:lvl w:ilvl="6" w:tplc="0413000F" w:tentative="1">
      <w:start w:val="1"/>
      <w:numFmt w:val="decimal"/>
      <w:lvlText w:val="%7."/>
      <w:lvlJc w:val="left"/>
      <w:pPr>
        <w:ind w:left="4735" w:hanging="360"/>
      </w:pPr>
    </w:lvl>
    <w:lvl w:ilvl="7" w:tplc="04130019" w:tentative="1">
      <w:start w:val="1"/>
      <w:numFmt w:val="lowerLetter"/>
      <w:lvlText w:val="%8."/>
      <w:lvlJc w:val="left"/>
      <w:pPr>
        <w:ind w:left="5455" w:hanging="360"/>
      </w:pPr>
    </w:lvl>
    <w:lvl w:ilvl="8" w:tplc="0413001B" w:tentative="1">
      <w:start w:val="1"/>
      <w:numFmt w:val="lowerRoman"/>
      <w:lvlText w:val="%9."/>
      <w:lvlJc w:val="right"/>
      <w:pPr>
        <w:ind w:left="6175" w:hanging="180"/>
      </w:pPr>
    </w:lvl>
  </w:abstractNum>
  <w:abstractNum w:abstractNumId="1">
    <w:nsid w:val="1A032527"/>
    <w:multiLevelType w:val="multilevel"/>
    <w:tmpl w:val="50146636"/>
    <w:lvl w:ilvl="0">
      <w:start w:val="1"/>
      <w:numFmt w:val="decimal"/>
      <w:pStyle w:val="Paragraaf-Huisstijl"/>
      <w:lvlText w:val="%1."/>
      <w:lvlJc w:val="left"/>
      <w:pPr>
        <w:ind w:left="284" w:hanging="284"/>
      </w:pPr>
      <w:rPr>
        <w:rFonts w:cs="Times New Roman" w:hint="default"/>
      </w:rPr>
    </w:lvl>
    <w:lvl w:ilvl="1">
      <w:start w:val="1"/>
      <w:numFmt w:val="decimal"/>
      <w:pStyle w:val="Subparagraaf-Huisstijl"/>
      <w:lvlText w:val="%1.%2"/>
      <w:lvlJc w:val="left"/>
      <w:pPr>
        <w:tabs>
          <w:tab w:val="num" w:pos="340"/>
        </w:tabs>
        <w:ind w:left="340" w:hanging="340"/>
      </w:pPr>
      <w:rPr>
        <w:rFonts w:cs="Times New Roman" w:hint="default"/>
      </w:rPr>
    </w:lvl>
    <w:lvl w:ilvl="2">
      <w:start w:val="1"/>
      <w:numFmt w:val="decimal"/>
      <w:lvlText w:val="%1.%2.%3"/>
      <w:lvlJc w:val="left"/>
      <w:pPr>
        <w:ind w:left="340" w:hanging="340"/>
      </w:pPr>
      <w:rPr>
        <w:rFonts w:cs="Times New Roman" w:hint="default"/>
      </w:rPr>
    </w:lvl>
    <w:lvl w:ilvl="3">
      <w:start w:val="1"/>
      <w:numFmt w:val="decimal"/>
      <w:lvlText w:val="%1.%2.%3.%4"/>
      <w:lvlJc w:val="left"/>
      <w:pPr>
        <w:ind w:left="340" w:hanging="340"/>
      </w:pPr>
      <w:rPr>
        <w:rFonts w:cs="Times New Roman" w:hint="default"/>
      </w:rPr>
    </w:lvl>
    <w:lvl w:ilvl="4">
      <w:start w:val="1"/>
      <w:numFmt w:val="none"/>
      <w:lvlText w:val="%5"/>
      <w:lvlJc w:val="left"/>
      <w:pPr>
        <w:ind w:left="340" w:hanging="340"/>
      </w:pPr>
      <w:rPr>
        <w:rFonts w:cs="Times New Roman" w:hint="default"/>
      </w:rPr>
    </w:lvl>
    <w:lvl w:ilvl="5">
      <w:start w:val="1"/>
      <w:numFmt w:val="none"/>
      <w:lvlText w:val="%6"/>
      <w:lvlJc w:val="left"/>
      <w:pPr>
        <w:ind w:left="340" w:hanging="340"/>
      </w:pPr>
      <w:rPr>
        <w:rFonts w:cs="Times New Roman" w:hint="default"/>
      </w:rPr>
    </w:lvl>
    <w:lvl w:ilvl="6">
      <w:start w:val="1"/>
      <w:numFmt w:val="none"/>
      <w:lvlText w:val="%7"/>
      <w:lvlJc w:val="left"/>
      <w:pPr>
        <w:ind w:left="340" w:hanging="340"/>
      </w:pPr>
      <w:rPr>
        <w:rFonts w:cs="Times New Roman" w:hint="default"/>
      </w:rPr>
    </w:lvl>
    <w:lvl w:ilvl="7">
      <w:start w:val="1"/>
      <w:numFmt w:val="none"/>
      <w:lvlText w:val="%8"/>
      <w:lvlJc w:val="left"/>
      <w:pPr>
        <w:ind w:left="340" w:hanging="340"/>
      </w:pPr>
      <w:rPr>
        <w:rFonts w:cs="Times New Roman" w:hint="default"/>
      </w:rPr>
    </w:lvl>
    <w:lvl w:ilvl="8">
      <w:start w:val="1"/>
      <w:numFmt w:val="none"/>
      <w:lvlText w:val="%9"/>
      <w:lvlJc w:val="left"/>
      <w:pPr>
        <w:ind w:left="340" w:hanging="340"/>
      </w:pPr>
      <w:rPr>
        <w:rFonts w:cs="Times New Roman" w:hint="default"/>
      </w:rPr>
    </w:lvl>
  </w:abstractNum>
  <w:abstractNum w:abstractNumId="2">
    <w:nsid w:val="1C115F35"/>
    <w:multiLevelType w:val="hybridMultilevel"/>
    <w:tmpl w:val="54ACD0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E4325B2"/>
    <w:multiLevelType w:val="hybridMultilevel"/>
    <w:tmpl w:val="7D0A4840"/>
    <w:lvl w:ilvl="0" w:tplc="250E0F48">
      <w:start w:val="1"/>
      <w:numFmt w:val="decimal"/>
      <w:lvlText w:val="%1."/>
      <w:lvlJc w:val="left"/>
      <w:pPr>
        <w:ind w:left="415" w:hanging="360"/>
      </w:pPr>
      <w:rPr>
        <w:rFonts w:hint="default"/>
      </w:rPr>
    </w:lvl>
    <w:lvl w:ilvl="1" w:tplc="04130019" w:tentative="1">
      <w:start w:val="1"/>
      <w:numFmt w:val="lowerLetter"/>
      <w:lvlText w:val="%2."/>
      <w:lvlJc w:val="left"/>
      <w:pPr>
        <w:ind w:left="1135" w:hanging="360"/>
      </w:pPr>
    </w:lvl>
    <w:lvl w:ilvl="2" w:tplc="0413001B" w:tentative="1">
      <w:start w:val="1"/>
      <w:numFmt w:val="lowerRoman"/>
      <w:lvlText w:val="%3."/>
      <w:lvlJc w:val="right"/>
      <w:pPr>
        <w:ind w:left="1855" w:hanging="180"/>
      </w:pPr>
    </w:lvl>
    <w:lvl w:ilvl="3" w:tplc="0413000F" w:tentative="1">
      <w:start w:val="1"/>
      <w:numFmt w:val="decimal"/>
      <w:lvlText w:val="%4."/>
      <w:lvlJc w:val="left"/>
      <w:pPr>
        <w:ind w:left="2575" w:hanging="360"/>
      </w:pPr>
    </w:lvl>
    <w:lvl w:ilvl="4" w:tplc="04130019" w:tentative="1">
      <w:start w:val="1"/>
      <w:numFmt w:val="lowerLetter"/>
      <w:lvlText w:val="%5."/>
      <w:lvlJc w:val="left"/>
      <w:pPr>
        <w:ind w:left="3295" w:hanging="360"/>
      </w:pPr>
    </w:lvl>
    <w:lvl w:ilvl="5" w:tplc="0413001B" w:tentative="1">
      <w:start w:val="1"/>
      <w:numFmt w:val="lowerRoman"/>
      <w:lvlText w:val="%6."/>
      <w:lvlJc w:val="right"/>
      <w:pPr>
        <w:ind w:left="4015" w:hanging="180"/>
      </w:pPr>
    </w:lvl>
    <w:lvl w:ilvl="6" w:tplc="0413000F" w:tentative="1">
      <w:start w:val="1"/>
      <w:numFmt w:val="decimal"/>
      <w:lvlText w:val="%7."/>
      <w:lvlJc w:val="left"/>
      <w:pPr>
        <w:ind w:left="4735" w:hanging="360"/>
      </w:pPr>
    </w:lvl>
    <w:lvl w:ilvl="7" w:tplc="04130019" w:tentative="1">
      <w:start w:val="1"/>
      <w:numFmt w:val="lowerLetter"/>
      <w:lvlText w:val="%8."/>
      <w:lvlJc w:val="left"/>
      <w:pPr>
        <w:ind w:left="5455" w:hanging="360"/>
      </w:pPr>
    </w:lvl>
    <w:lvl w:ilvl="8" w:tplc="0413001B" w:tentative="1">
      <w:start w:val="1"/>
      <w:numFmt w:val="lowerRoman"/>
      <w:lvlText w:val="%9."/>
      <w:lvlJc w:val="right"/>
      <w:pPr>
        <w:ind w:left="6175" w:hanging="180"/>
      </w:pPr>
    </w:lvl>
  </w:abstractNum>
  <w:abstractNum w:abstractNumId="4">
    <w:nsid w:val="2B406075"/>
    <w:multiLevelType w:val="hybridMultilevel"/>
    <w:tmpl w:val="669E46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E8F589F"/>
    <w:multiLevelType w:val="hybridMultilevel"/>
    <w:tmpl w:val="E81C3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52E6EE4"/>
    <w:multiLevelType w:val="hybridMultilevel"/>
    <w:tmpl w:val="A74CA1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66D436C"/>
    <w:multiLevelType w:val="hybridMultilevel"/>
    <w:tmpl w:val="8294D1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7A60E84"/>
    <w:multiLevelType w:val="hybridMultilevel"/>
    <w:tmpl w:val="4F060B00"/>
    <w:lvl w:ilvl="0" w:tplc="08F4C3A6">
      <w:start w:val="1"/>
      <w:numFmt w:val="decimal"/>
      <w:lvlText w:val="%1."/>
      <w:lvlJc w:val="left"/>
      <w:pPr>
        <w:ind w:left="415" w:hanging="360"/>
      </w:pPr>
      <w:rPr>
        <w:rFonts w:hint="default"/>
      </w:rPr>
    </w:lvl>
    <w:lvl w:ilvl="1" w:tplc="04130019" w:tentative="1">
      <w:start w:val="1"/>
      <w:numFmt w:val="lowerLetter"/>
      <w:lvlText w:val="%2."/>
      <w:lvlJc w:val="left"/>
      <w:pPr>
        <w:ind w:left="1135" w:hanging="360"/>
      </w:pPr>
    </w:lvl>
    <w:lvl w:ilvl="2" w:tplc="0413001B" w:tentative="1">
      <w:start w:val="1"/>
      <w:numFmt w:val="lowerRoman"/>
      <w:lvlText w:val="%3."/>
      <w:lvlJc w:val="right"/>
      <w:pPr>
        <w:ind w:left="1855" w:hanging="180"/>
      </w:pPr>
    </w:lvl>
    <w:lvl w:ilvl="3" w:tplc="0413000F" w:tentative="1">
      <w:start w:val="1"/>
      <w:numFmt w:val="decimal"/>
      <w:lvlText w:val="%4."/>
      <w:lvlJc w:val="left"/>
      <w:pPr>
        <w:ind w:left="2575" w:hanging="360"/>
      </w:pPr>
    </w:lvl>
    <w:lvl w:ilvl="4" w:tplc="04130019" w:tentative="1">
      <w:start w:val="1"/>
      <w:numFmt w:val="lowerLetter"/>
      <w:lvlText w:val="%5."/>
      <w:lvlJc w:val="left"/>
      <w:pPr>
        <w:ind w:left="3295" w:hanging="360"/>
      </w:pPr>
    </w:lvl>
    <w:lvl w:ilvl="5" w:tplc="0413001B" w:tentative="1">
      <w:start w:val="1"/>
      <w:numFmt w:val="lowerRoman"/>
      <w:lvlText w:val="%6."/>
      <w:lvlJc w:val="right"/>
      <w:pPr>
        <w:ind w:left="4015" w:hanging="180"/>
      </w:pPr>
    </w:lvl>
    <w:lvl w:ilvl="6" w:tplc="0413000F" w:tentative="1">
      <w:start w:val="1"/>
      <w:numFmt w:val="decimal"/>
      <w:lvlText w:val="%7."/>
      <w:lvlJc w:val="left"/>
      <w:pPr>
        <w:ind w:left="4735" w:hanging="360"/>
      </w:pPr>
    </w:lvl>
    <w:lvl w:ilvl="7" w:tplc="04130019" w:tentative="1">
      <w:start w:val="1"/>
      <w:numFmt w:val="lowerLetter"/>
      <w:lvlText w:val="%8."/>
      <w:lvlJc w:val="left"/>
      <w:pPr>
        <w:ind w:left="5455" w:hanging="360"/>
      </w:pPr>
    </w:lvl>
    <w:lvl w:ilvl="8" w:tplc="0413001B" w:tentative="1">
      <w:start w:val="1"/>
      <w:numFmt w:val="lowerRoman"/>
      <w:lvlText w:val="%9."/>
      <w:lvlJc w:val="right"/>
      <w:pPr>
        <w:ind w:left="6175" w:hanging="180"/>
      </w:pPr>
    </w:lvl>
  </w:abstractNum>
  <w:abstractNum w:abstractNumId="9">
    <w:nsid w:val="41853F7E"/>
    <w:multiLevelType w:val="hybridMultilevel"/>
    <w:tmpl w:val="848086BA"/>
    <w:lvl w:ilvl="0" w:tplc="2C16C030">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B22194C"/>
    <w:multiLevelType w:val="hybridMultilevel"/>
    <w:tmpl w:val="6BFE7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EA84475"/>
    <w:multiLevelType w:val="hybridMultilevel"/>
    <w:tmpl w:val="5F7CAA00"/>
    <w:lvl w:ilvl="0" w:tplc="F10AA7D0">
      <w:start w:val="1"/>
      <w:numFmt w:val="decimal"/>
      <w:lvlText w:val="%1."/>
      <w:lvlJc w:val="left"/>
      <w:pPr>
        <w:ind w:left="415" w:hanging="360"/>
      </w:pPr>
      <w:rPr>
        <w:rFonts w:hint="default"/>
      </w:rPr>
    </w:lvl>
    <w:lvl w:ilvl="1" w:tplc="04130019" w:tentative="1">
      <w:start w:val="1"/>
      <w:numFmt w:val="lowerLetter"/>
      <w:lvlText w:val="%2."/>
      <w:lvlJc w:val="left"/>
      <w:pPr>
        <w:ind w:left="1135" w:hanging="360"/>
      </w:pPr>
    </w:lvl>
    <w:lvl w:ilvl="2" w:tplc="0413001B" w:tentative="1">
      <w:start w:val="1"/>
      <w:numFmt w:val="lowerRoman"/>
      <w:lvlText w:val="%3."/>
      <w:lvlJc w:val="right"/>
      <w:pPr>
        <w:ind w:left="1855" w:hanging="180"/>
      </w:pPr>
    </w:lvl>
    <w:lvl w:ilvl="3" w:tplc="0413000F" w:tentative="1">
      <w:start w:val="1"/>
      <w:numFmt w:val="decimal"/>
      <w:lvlText w:val="%4."/>
      <w:lvlJc w:val="left"/>
      <w:pPr>
        <w:ind w:left="2575" w:hanging="360"/>
      </w:pPr>
    </w:lvl>
    <w:lvl w:ilvl="4" w:tplc="04130019" w:tentative="1">
      <w:start w:val="1"/>
      <w:numFmt w:val="lowerLetter"/>
      <w:lvlText w:val="%5."/>
      <w:lvlJc w:val="left"/>
      <w:pPr>
        <w:ind w:left="3295" w:hanging="360"/>
      </w:pPr>
    </w:lvl>
    <w:lvl w:ilvl="5" w:tplc="0413001B" w:tentative="1">
      <w:start w:val="1"/>
      <w:numFmt w:val="lowerRoman"/>
      <w:lvlText w:val="%6."/>
      <w:lvlJc w:val="right"/>
      <w:pPr>
        <w:ind w:left="4015" w:hanging="180"/>
      </w:pPr>
    </w:lvl>
    <w:lvl w:ilvl="6" w:tplc="0413000F" w:tentative="1">
      <w:start w:val="1"/>
      <w:numFmt w:val="decimal"/>
      <w:lvlText w:val="%7."/>
      <w:lvlJc w:val="left"/>
      <w:pPr>
        <w:ind w:left="4735" w:hanging="360"/>
      </w:pPr>
    </w:lvl>
    <w:lvl w:ilvl="7" w:tplc="04130019" w:tentative="1">
      <w:start w:val="1"/>
      <w:numFmt w:val="lowerLetter"/>
      <w:lvlText w:val="%8."/>
      <w:lvlJc w:val="left"/>
      <w:pPr>
        <w:ind w:left="5455" w:hanging="360"/>
      </w:pPr>
    </w:lvl>
    <w:lvl w:ilvl="8" w:tplc="0413001B" w:tentative="1">
      <w:start w:val="1"/>
      <w:numFmt w:val="lowerRoman"/>
      <w:lvlText w:val="%9."/>
      <w:lvlJc w:val="right"/>
      <w:pPr>
        <w:ind w:left="6175" w:hanging="180"/>
      </w:pPr>
    </w:lvl>
  </w:abstractNum>
  <w:abstractNum w:abstractNumId="12">
    <w:nsid w:val="4FA11290"/>
    <w:multiLevelType w:val="hybridMultilevel"/>
    <w:tmpl w:val="C6DA2046"/>
    <w:lvl w:ilvl="0" w:tplc="A12469A2">
      <w:start w:val="1"/>
      <w:numFmt w:val="decimal"/>
      <w:lvlText w:val="%1."/>
      <w:lvlJc w:val="left"/>
      <w:pPr>
        <w:ind w:left="415" w:hanging="360"/>
      </w:pPr>
      <w:rPr>
        <w:rFonts w:hint="default"/>
      </w:rPr>
    </w:lvl>
    <w:lvl w:ilvl="1" w:tplc="04130019" w:tentative="1">
      <w:start w:val="1"/>
      <w:numFmt w:val="lowerLetter"/>
      <w:lvlText w:val="%2."/>
      <w:lvlJc w:val="left"/>
      <w:pPr>
        <w:ind w:left="1135" w:hanging="360"/>
      </w:pPr>
    </w:lvl>
    <w:lvl w:ilvl="2" w:tplc="0413001B" w:tentative="1">
      <w:start w:val="1"/>
      <w:numFmt w:val="lowerRoman"/>
      <w:lvlText w:val="%3."/>
      <w:lvlJc w:val="right"/>
      <w:pPr>
        <w:ind w:left="1855" w:hanging="180"/>
      </w:pPr>
    </w:lvl>
    <w:lvl w:ilvl="3" w:tplc="0413000F" w:tentative="1">
      <w:start w:val="1"/>
      <w:numFmt w:val="decimal"/>
      <w:lvlText w:val="%4."/>
      <w:lvlJc w:val="left"/>
      <w:pPr>
        <w:ind w:left="2575" w:hanging="360"/>
      </w:pPr>
    </w:lvl>
    <w:lvl w:ilvl="4" w:tplc="04130019" w:tentative="1">
      <w:start w:val="1"/>
      <w:numFmt w:val="lowerLetter"/>
      <w:lvlText w:val="%5."/>
      <w:lvlJc w:val="left"/>
      <w:pPr>
        <w:ind w:left="3295" w:hanging="360"/>
      </w:pPr>
    </w:lvl>
    <w:lvl w:ilvl="5" w:tplc="0413001B" w:tentative="1">
      <w:start w:val="1"/>
      <w:numFmt w:val="lowerRoman"/>
      <w:lvlText w:val="%6."/>
      <w:lvlJc w:val="right"/>
      <w:pPr>
        <w:ind w:left="4015" w:hanging="180"/>
      </w:pPr>
    </w:lvl>
    <w:lvl w:ilvl="6" w:tplc="0413000F" w:tentative="1">
      <w:start w:val="1"/>
      <w:numFmt w:val="decimal"/>
      <w:lvlText w:val="%7."/>
      <w:lvlJc w:val="left"/>
      <w:pPr>
        <w:ind w:left="4735" w:hanging="360"/>
      </w:pPr>
    </w:lvl>
    <w:lvl w:ilvl="7" w:tplc="04130019" w:tentative="1">
      <w:start w:val="1"/>
      <w:numFmt w:val="lowerLetter"/>
      <w:lvlText w:val="%8."/>
      <w:lvlJc w:val="left"/>
      <w:pPr>
        <w:ind w:left="5455" w:hanging="360"/>
      </w:pPr>
    </w:lvl>
    <w:lvl w:ilvl="8" w:tplc="0413001B" w:tentative="1">
      <w:start w:val="1"/>
      <w:numFmt w:val="lowerRoman"/>
      <w:lvlText w:val="%9."/>
      <w:lvlJc w:val="right"/>
      <w:pPr>
        <w:ind w:left="6175" w:hanging="180"/>
      </w:pPr>
    </w:lvl>
  </w:abstractNum>
  <w:abstractNum w:abstractNumId="13">
    <w:nsid w:val="50564C81"/>
    <w:multiLevelType w:val="hybridMultilevel"/>
    <w:tmpl w:val="853CEDEE"/>
    <w:lvl w:ilvl="0" w:tplc="1096C74E">
      <w:start w:val="1"/>
      <w:numFmt w:val="decimal"/>
      <w:lvlText w:val="%1."/>
      <w:lvlJc w:val="left"/>
      <w:pPr>
        <w:ind w:left="415" w:hanging="360"/>
      </w:pPr>
      <w:rPr>
        <w:rFonts w:hint="default"/>
      </w:rPr>
    </w:lvl>
    <w:lvl w:ilvl="1" w:tplc="04130019" w:tentative="1">
      <w:start w:val="1"/>
      <w:numFmt w:val="lowerLetter"/>
      <w:lvlText w:val="%2."/>
      <w:lvlJc w:val="left"/>
      <w:pPr>
        <w:ind w:left="1135" w:hanging="360"/>
      </w:pPr>
    </w:lvl>
    <w:lvl w:ilvl="2" w:tplc="0413001B" w:tentative="1">
      <w:start w:val="1"/>
      <w:numFmt w:val="lowerRoman"/>
      <w:lvlText w:val="%3."/>
      <w:lvlJc w:val="right"/>
      <w:pPr>
        <w:ind w:left="1855" w:hanging="180"/>
      </w:pPr>
    </w:lvl>
    <w:lvl w:ilvl="3" w:tplc="0413000F" w:tentative="1">
      <w:start w:val="1"/>
      <w:numFmt w:val="decimal"/>
      <w:lvlText w:val="%4."/>
      <w:lvlJc w:val="left"/>
      <w:pPr>
        <w:ind w:left="2575" w:hanging="360"/>
      </w:pPr>
    </w:lvl>
    <w:lvl w:ilvl="4" w:tplc="04130019" w:tentative="1">
      <w:start w:val="1"/>
      <w:numFmt w:val="lowerLetter"/>
      <w:lvlText w:val="%5."/>
      <w:lvlJc w:val="left"/>
      <w:pPr>
        <w:ind w:left="3295" w:hanging="360"/>
      </w:pPr>
    </w:lvl>
    <w:lvl w:ilvl="5" w:tplc="0413001B" w:tentative="1">
      <w:start w:val="1"/>
      <w:numFmt w:val="lowerRoman"/>
      <w:lvlText w:val="%6."/>
      <w:lvlJc w:val="right"/>
      <w:pPr>
        <w:ind w:left="4015" w:hanging="180"/>
      </w:pPr>
    </w:lvl>
    <w:lvl w:ilvl="6" w:tplc="0413000F" w:tentative="1">
      <w:start w:val="1"/>
      <w:numFmt w:val="decimal"/>
      <w:lvlText w:val="%7."/>
      <w:lvlJc w:val="left"/>
      <w:pPr>
        <w:ind w:left="4735" w:hanging="360"/>
      </w:pPr>
    </w:lvl>
    <w:lvl w:ilvl="7" w:tplc="04130019" w:tentative="1">
      <w:start w:val="1"/>
      <w:numFmt w:val="lowerLetter"/>
      <w:lvlText w:val="%8."/>
      <w:lvlJc w:val="left"/>
      <w:pPr>
        <w:ind w:left="5455" w:hanging="360"/>
      </w:pPr>
    </w:lvl>
    <w:lvl w:ilvl="8" w:tplc="0413001B" w:tentative="1">
      <w:start w:val="1"/>
      <w:numFmt w:val="lowerRoman"/>
      <w:lvlText w:val="%9."/>
      <w:lvlJc w:val="right"/>
      <w:pPr>
        <w:ind w:left="6175" w:hanging="180"/>
      </w:pPr>
    </w:lvl>
  </w:abstractNum>
  <w:abstractNum w:abstractNumId="14">
    <w:nsid w:val="51E80806"/>
    <w:multiLevelType w:val="hybridMultilevel"/>
    <w:tmpl w:val="86120974"/>
    <w:lvl w:ilvl="0" w:tplc="F5F68B5A">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4E819FC"/>
    <w:multiLevelType w:val="hybridMultilevel"/>
    <w:tmpl w:val="18D8A09C"/>
    <w:lvl w:ilvl="0" w:tplc="4A20264A">
      <w:numFmt w:val="bullet"/>
      <w:lvlText w:val="-"/>
      <w:lvlJc w:val="left"/>
      <w:pPr>
        <w:ind w:left="397" w:hanging="397"/>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B4E081E"/>
    <w:multiLevelType w:val="hybridMultilevel"/>
    <w:tmpl w:val="46C8BD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C5D2450"/>
    <w:multiLevelType w:val="hybridMultilevel"/>
    <w:tmpl w:val="A7641A62"/>
    <w:lvl w:ilvl="0" w:tplc="4A20264A">
      <w:numFmt w:val="bullet"/>
      <w:lvlText w:val="-"/>
      <w:lvlJc w:val="left"/>
      <w:pPr>
        <w:ind w:left="397" w:hanging="397"/>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E8025DC"/>
    <w:multiLevelType w:val="hybridMultilevel"/>
    <w:tmpl w:val="5574B750"/>
    <w:lvl w:ilvl="0" w:tplc="C23630D2">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19">
    <w:nsid w:val="5F0D4C99"/>
    <w:multiLevelType w:val="hybridMultilevel"/>
    <w:tmpl w:val="F440C258"/>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61E48BA"/>
    <w:multiLevelType w:val="hybridMultilevel"/>
    <w:tmpl w:val="72A0D4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69BD49E4"/>
    <w:multiLevelType w:val="hybridMultilevel"/>
    <w:tmpl w:val="B1F6A42E"/>
    <w:lvl w:ilvl="0" w:tplc="BD808856">
      <w:start w:val="1"/>
      <w:numFmt w:val="decimal"/>
      <w:lvlText w:val="%1."/>
      <w:lvlJc w:val="left"/>
      <w:pPr>
        <w:ind w:left="415" w:hanging="360"/>
      </w:pPr>
      <w:rPr>
        <w:rFonts w:hint="default"/>
      </w:rPr>
    </w:lvl>
    <w:lvl w:ilvl="1" w:tplc="04130019" w:tentative="1">
      <w:start w:val="1"/>
      <w:numFmt w:val="lowerLetter"/>
      <w:lvlText w:val="%2."/>
      <w:lvlJc w:val="left"/>
      <w:pPr>
        <w:ind w:left="1135" w:hanging="360"/>
      </w:pPr>
    </w:lvl>
    <w:lvl w:ilvl="2" w:tplc="0413001B" w:tentative="1">
      <w:start w:val="1"/>
      <w:numFmt w:val="lowerRoman"/>
      <w:lvlText w:val="%3."/>
      <w:lvlJc w:val="right"/>
      <w:pPr>
        <w:ind w:left="1855" w:hanging="180"/>
      </w:pPr>
    </w:lvl>
    <w:lvl w:ilvl="3" w:tplc="0413000F" w:tentative="1">
      <w:start w:val="1"/>
      <w:numFmt w:val="decimal"/>
      <w:lvlText w:val="%4."/>
      <w:lvlJc w:val="left"/>
      <w:pPr>
        <w:ind w:left="2575" w:hanging="360"/>
      </w:pPr>
    </w:lvl>
    <w:lvl w:ilvl="4" w:tplc="04130019" w:tentative="1">
      <w:start w:val="1"/>
      <w:numFmt w:val="lowerLetter"/>
      <w:lvlText w:val="%5."/>
      <w:lvlJc w:val="left"/>
      <w:pPr>
        <w:ind w:left="3295" w:hanging="360"/>
      </w:pPr>
    </w:lvl>
    <w:lvl w:ilvl="5" w:tplc="0413001B" w:tentative="1">
      <w:start w:val="1"/>
      <w:numFmt w:val="lowerRoman"/>
      <w:lvlText w:val="%6."/>
      <w:lvlJc w:val="right"/>
      <w:pPr>
        <w:ind w:left="4015" w:hanging="180"/>
      </w:pPr>
    </w:lvl>
    <w:lvl w:ilvl="6" w:tplc="0413000F" w:tentative="1">
      <w:start w:val="1"/>
      <w:numFmt w:val="decimal"/>
      <w:lvlText w:val="%7."/>
      <w:lvlJc w:val="left"/>
      <w:pPr>
        <w:ind w:left="4735" w:hanging="360"/>
      </w:pPr>
    </w:lvl>
    <w:lvl w:ilvl="7" w:tplc="04130019" w:tentative="1">
      <w:start w:val="1"/>
      <w:numFmt w:val="lowerLetter"/>
      <w:lvlText w:val="%8."/>
      <w:lvlJc w:val="left"/>
      <w:pPr>
        <w:ind w:left="5455" w:hanging="360"/>
      </w:pPr>
    </w:lvl>
    <w:lvl w:ilvl="8" w:tplc="0413001B" w:tentative="1">
      <w:start w:val="1"/>
      <w:numFmt w:val="lowerRoman"/>
      <w:lvlText w:val="%9."/>
      <w:lvlJc w:val="right"/>
      <w:pPr>
        <w:ind w:left="6175" w:hanging="180"/>
      </w:pPr>
    </w:lvl>
  </w:abstractNum>
  <w:abstractNum w:abstractNumId="22">
    <w:nsid w:val="6BF017DA"/>
    <w:multiLevelType w:val="hybridMultilevel"/>
    <w:tmpl w:val="6CD468DC"/>
    <w:lvl w:ilvl="0" w:tplc="8932E1FE">
      <w:start w:val="1"/>
      <w:numFmt w:val="decimal"/>
      <w:lvlText w:val="%1."/>
      <w:lvlJc w:val="left"/>
      <w:pPr>
        <w:ind w:left="415" w:hanging="360"/>
      </w:pPr>
      <w:rPr>
        <w:rFonts w:hint="default"/>
      </w:rPr>
    </w:lvl>
    <w:lvl w:ilvl="1" w:tplc="04130019" w:tentative="1">
      <w:start w:val="1"/>
      <w:numFmt w:val="lowerLetter"/>
      <w:lvlText w:val="%2."/>
      <w:lvlJc w:val="left"/>
      <w:pPr>
        <w:ind w:left="1135" w:hanging="360"/>
      </w:pPr>
    </w:lvl>
    <w:lvl w:ilvl="2" w:tplc="0413001B" w:tentative="1">
      <w:start w:val="1"/>
      <w:numFmt w:val="lowerRoman"/>
      <w:lvlText w:val="%3."/>
      <w:lvlJc w:val="right"/>
      <w:pPr>
        <w:ind w:left="1855" w:hanging="180"/>
      </w:pPr>
    </w:lvl>
    <w:lvl w:ilvl="3" w:tplc="0413000F" w:tentative="1">
      <w:start w:val="1"/>
      <w:numFmt w:val="decimal"/>
      <w:lvlText w:val="%4."/>
      <w:lvlJc w:val="left"/>
      <w:pPr>
        <w:ind w:left="2575" w:hanging="360"/>
      </w:pPr>
    </w:lvl>
    <w:lvl w:ilvl="4" w:tplc="04130019" w:tentative="1">
      <w:start w:val="1"/>
      <w:numFmt w:val="lowerLetter"/>
      <w:lvlText w:val="%5."/>
      <w:lvlJc w:val="left"/>
      <w:pPr>
        <w:ind w:left="3295" w:hanging="360"/>
      </w:pPr>
    </w:lvl>
    <w:lvl w:ilvl="5" w:tplc="0413001B" w:tentative="1">
      <w:start w:val="1"/>
      <w:numFmt w:val="lowerRoman"/>
      <w:lvlText w:val="%6."/>
      <w:lvlJc w:val="right"/>
      <w:pPr>
        <w:ind w:left="4015" w:hanging="180"/>
      </w:pPr>
    </w:lvl>
    <w:lvl w:ilvl="6" w:tplc="0413000F" w:tentative="1">
      <w:start w:val="1"/>
      <w:numFmt w:val="decimal"/>
      <w:lvlText w:val="%7."/>
      <w:lvlJc w:val="left"/>
      <w:pPr>
        <w:ind w:left="4735" w:hanging="360"/>
      </w:pPr>
    </w:lvl>
    <w:lvl w:ilvl="7" w:tplc="04130019" w:tentative="1">
      <w:start w:val="1"/>
      <w:numFmt w:val="lowerLetter"/>
      <w:lvlText w:val="%8."/>
      <w:lvlJc w:val="left"/>
      <w:pPr>
        <w:ind w:left="5455" w:hanging="360"/>
      </w:pPr>
    </w:lvl>
    <w:lvl w:ilvl="8" w:tplc="0413001B" w:tentative="1">
      <w:start w:val="1"/>
      <w:numFmt w:val="lowerRoman"/>
      <w:lvlText w:val="%9."/>
      <w:lvlJc w:val="right"/>
      <w:pPr>
        <w:ind w:left="6175" w:hanging="180"/>
      </w:pPr>
    </w:lvl>
  </w:abstractNum>
  <w:abstractNum w:abstractNumId="23">
    <w:nsid w:val="6BFD06B6"/>
    <w:multiLevelType w:val="hybridMultilevel"/>
    <w:tmpl w:val="721402FC"/>
    <w:lvl w:ilvl="0" w:tplc="4A20264A">
      <w:numFmt w:val="bullet"/>
      <w:lvlText w:val="-"/>
      <w:lvlJc w:val="left"/>
      <w:pPr>
        <w:ind w:left="397" w:hanging="397"/>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DF81536"/>
    <w:multiLevelType w:val="hybridMultilevel"/>
    <w:tmpl w:val="C64493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50926AA"/>
    <w:multiLevelType w:val="hybridMultilevel"/>
    <w:tmpl w:val="0F908484"/>
    <w:lvl w:ilvl="0" w:tplc="170C7BFC">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78D8481A"/>
    <w:multiLevelType w:val="hybridMultilevel"/>
    <w:tmpl w:val="4D9E0C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3"/>
  </w:num>
  <w:num w:numId="2">
    <w:abstractNumId w:val="14"/>
  </w:num>
  <w:num w:numId="3">
    <w:abstractNumId w:val="9"/>
  </w:num>
  <w:num w:numId="4">
    <w:abstractNumId w:val="19"/>
  </w:num>
  <w:num w:numId="5">
    <w:abstractNumId w:val="2"/>
  </w:num>
  <w:num w:numId="6">
    <w:abstractNumId w:val="15"/>
  </w:num>
  <w:num w:numId="7">
    <w:abstractNumId w:val="7"/>
  </w:num>
  <w:num w:numId="8">
    <w:abstractNumId w:val="17"/>
  </w:num>
  <w:num w:numId="9">
    <w:abstractNumId w:val="5"/>
  </w:num>
  <w:num w:numId="10">
    <w:abstractNumId w:val="4"/>
  </w:num>
  <w:num w:numId="11">
    <w:abstractNumId w:val="24"/>
  </w:num>
  <w:num w:numId="12">
    <w:abstractNumId w:val="16"/>
  </w:num>
  <w:num w:numId="13">
    <w:abstractNumId w:val="20"/>
  </w:num>
  <w:num w:numId="14">
    <w:abstractNumId w:val="6"/>
  </w:num>
  <w:num w:numId="15">
    <w:abstractNumId w:val="25"/>
  </w:num>
  <w:num w:numId="16">
    <w:abstractNumId w:val="1"/>
  </w:num>
  <w:num w:numId="17">
    <w:abstractNumId w:val="10"/>
  </w:num>
  <w:num w:numId="18">
    <w:abstractNumId w:val="18"/>
  </w:num>
  <w:num w:numId="19">
    <w:abstractNumId w:val="13"/>
  </w:num>
  <w:num w:numId="20">
    <w:abstractNumId w:val="12"/>
  </w:num>
  <w:num w:numId="21">
    <w:abstractNumId w:val="21"/>
  </w:num>
  <w:num w:numId="22">
    <w:abstractNumId w:val="3"/>
  </w:num>
  <w:num w:numId="23">
    <w:abstractNumId w:val="0"/>
  </w:num>
  <w:num w:numId="24">
    <w:abstractNumId w:val="8"/>
  </w:num>
  <w:num w:numId="25">
    <w:abstractNumId w:val="11"/>
  </w:num>
  <w:num w:numId="26">
    <w:abstractNumId w:val="22"/>
  </w:num>
  <w:num w:numId="27">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drawingGridHorizontalSpacing w:val="90"/>
  <w:drawingGridVerticalSpacing w:val="142"/>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9DB"/>
    <w:rsid w:val="000033E5"/>
    <w:rsid w:val="0001201F"/>
    <w:rsid w:val="00012151"/>
    <w:rsid w:val="0001561F"/>
    <w:rsid w:val="00021664"/>
    <w:rsid w:val="00022CF4"/>
    <w:rsid w:val="00024CB3"/>
    <w:rsid w:val="00030C6E"/>
    <w:rsid w:val="000337AA"/>
    <w:rsid w:val="00036AFB"/>
    <w:rsid w:val="0003765D"/>
    <w:rsid w:val="00041255"/>
    <w:rsid w:val="00041CED"/>
    <w:rsid w:val="00044F16"/>
    <w:rsid w:val="00046619"/>
    <w:rsid w:val="000522CB"/>
    <w:rsid w:val="00052AA7"/>
    <w:rsid w:val="0006193A"/>
    <w:rsid w:val="00063064"/>
    <w:rsid w:val="00063767"/>
    <w:rsid w:val="000647AC"/>
    <w:rsid w:val="00076842"/>
    <w:rsid w:val="00077D08"/>
    <w:rsid w:val="0008103C"/>
    <w:rsid w:val="00081D45"/>
    <w:rsid w:val="00085B38"/>
    <w:rsid w:val="00086E10"/>
    <w:rsid w:val="0008777A"/>
    <w:rsid w:val="000A140A"/>
    <w:rsid w:val="000A18CF"/>
    <w:rsid w:val="000A211E"/>
    <w:rsid w:val="000A21BD"/>
    <w:rsid w:val="000A60C0"/>
    <w:rsid w:val="000A7D65"/>
    <w:rsid w:val="000B6CC2"/>
    <w:rsid w:val="000B73BE"/>
    <w:rsid w:val="000B790D"/>
    <w:rsid w:val="000C0783"/>
    <w:rsid w:val="000D00AD"/>
    <w:rsid w:val="000D08B3"/>
    <w:rsid w:val="000D1228"/>
    <w:rsid w:val="000D1765"/>
    <w:rsid w:val="000D28D6"/>
    <w:rsid w:val="000D39B8"/>
    <w:rsid w:val="000D39DB"/>
    <w:rsid w:val="000D6BFD"/>
    <w:rsid w:val="000D7A35"/>
    <w:rsid w:val="000E0ED1"/>
    <w:rsid w:val="000F0095"/>
    <w:rsid w:val="000F00F7"/>
    <w:rsid w:val="00100A53"/>
    <w:rsid w:val="00105C0C"/>
    <w:rsid w:val="0011157E"/>
    <w:rsid w:val="001172CB"/>
    <w:rsid w:val="00121458"/>
    <w:rsid w:val="00123A0E"/>
    <w:rsid w:val="00131D07"/>
    <w:rsid w:val="00133E5C"/>
    <w:rsid w:val="001348C0"/>
    <w:rsid w:val="0013611C"/>
    <w:rsid w:val="001425A2"/>
    <w:rsid w:val="00142FB1"/>
    <w:rsid w:val="0015350D"/>
    <w:rsid w:val="00157A79"/>
    <w:rsid w:val="00160423"/>
    <w:rsid w:val="00170401"/>
    <w:rsid w:val="001842E4"/>
    <w:rsid w:val="00185E0D"/>
    <w:rsid w:val="00187B93"/>
    <w:rsid w:val="0019120A"/>
    <w:rsid w:val="001922D1"/>
    <w:rsid w:val="00193A79"/>
    <w:rsid w:val="001B090D"/>
    <w:rsid w:val="001B5C08"/>
    <w:rsid w:val="001C00E9"/>
    <w:rsid w:val="001C04E5"/>
    <w:rsid w:val="001D4185"/>
    <w:rsid w:val="001E0683"/>
    <w:rsid w:val="001E524D"/>
    <w:rsid w:val="001F2ABD"/>
    <w:rsid w:val="001F3022"/>
    <w:rsid w:val="001F3E09"/>
    <w:rsid w:val="001F7660"/>
    <w:rsid w:val="0020340A"/>
    <w:rsid w:val="002039FE"/>
    <w:rsid w:val="00214EC9"/>
    <w:rsid w:val="00215DF9"/>
    <w:rsid w:val="002240D8"/>
    <w:rsid w:val="00226B19"/>
    <w:rsid w:val="00226EC2"/>
    <w:rsid w:val="00230376"/>
    <w:rsid w:val="002343A5"/>
    <w:rsid w:val="00237753"/>
    <w:rsid w:val="00245667"/>
    <w:rsid w:val="002642FC"/>
    <w:rsid w:val="00271594"/>
    <w:rsid w:val="00273CDF"/>
    <w:rsid w:val="00275BD1"/>
    <w:rsid w:val="00275F14"/>
    <w:rsid w:val="00276A98"/>
    <w:rsid w:val="00277DBC"/>
    <w:rsid w:val="00280C0D"/>
    <w:rsid w:val="00281BEC"/>
    <w:rsid w:val="00286646"/>
    <w:rsid w:val="00292D3D"/>
    <w:rsid w:val="002A2B50"/>
    <w:rsid w:val="002A6423"/>
    <w:rsid w:val="002A6F16"/>
    <w:rsid w:val="002B3BCE"/>
    <w:rsid w:val="002B497A"/>
    <w:rsid w:val="002C4CAF"/>
    <w:rsid w:val="002C7E3A"/>
    <w:rsid w:val="002D12AC"/>
    <w:rsid w:val="002D1612"/>
    <w:rsid w:val="002D288E"/>
    <w:rsid w:val="002D3410"/>
    <w:rsid w:val="002D4F6B"/>
    <w:rsid w:val="002D5755"/>
    <w:rsid w:val="002D6866"/>
    <w:rsid w:val="002E72DB"/>
    <w:rsid w:val="002F18C5"/>
    <w:rsid w:val="002F1FDE"/>
    <w:rsid w:val="00301BAD"/>
    <w:rsid w:val="00304F71"/>
    <w:rsid w:val="003126D4"/>
    <w:rsid w:val="00313C5E"/>
    <w:rsid w:val="003163A9"/>
    <w:rsid w:val="00316637"/>
    <w:rsid w:val="00320013"/>
    <w:rsid w:val="00323D35"/>
    <w:rsid w:val="003247DE"/>
    <w:rsid w:val="003309AD"/>
    <w:rsid w:val="0033115A"/>
    <w:rsid w:val="003363CE"/>
    <w:rsid w:val="00337BB2"/>
    <w:rsid w:val="00341DFE"/>
    <w:rsid w:val="00345340"/>
    <w:rsid w:val="00346AA8"/>
    <w:rsid w:val="00351733"/>
    <w:rsid w:val="00352778"/>
    <w:rsid w:val="0035424F"/>
    <w:rsid w:val="0035484F"/>
    <w:rsid w:val="00354AD4"/>
    <w:rsid w:val="00356BEF"/>
    <w:rsid w:val="003576EE"/>
    <w:rsid w:val="00365647"/>
    <w:rsid w:val="003658D8"/>
    <w:rsid w:val="00366CCA"/>
    <w:rsid w:val="00366F54"/>
    <w:rsid w:val="00367975"/>
    <w:rsid w:val="003705FD"/>
    <w:rsid w:val="00376F19"/>
    <w:rsid w:val="00380735"/>
    <w:rsid w:val="003814ED"/>
    <w:rsid w:val="00381668"/>
    <w:rsid w:val="00382EE9"/>
    <w:rsid w:val="00382F58"/>
    <w:rsid w:val="00384AAF"/>
    <w:rsid w:val="00384CE0"/>
    <w:rsid w:val="00385C4B"/>
    <w:rsid w:val="003923FB"/>
    <w:rsid w:val="00396643"/>
    <w:rsid w:val="003A62E9"/>
    <w:rsid w:val="003A666A"/>
    <w:rsid w:val="003B4DCB"/>
    <w:rsid w:val="003B773A"/>
    <w:rsid w:val="003C1851"/>
    <w:rsid w:val="003C2841"/>
    <w:rsid w:val="003C3EDC"/>
    <w:rsid w:val="003C5957"/>
    <w:rsid w:val="003C5D96"/>
    <w:rsid w:val="003C5FA4"/>
    <w:rsid w:val="003D0433"/>
    <w:rsid w:val="003D104E"/>
    <w:rsid w:val="003D15CD"/>
    <w:rsid w:val="003D1733"/>
    <w:rsid w:val="003D691A"/>
    <w:rsid w:val="003E0C91"/>
    <w:rsid w:val="003E1C77"/>
    <w:rsid w:val="003E37B9"/>
    <w:rsid w:val="003E3964"/>
    <w:rsid w:val="003E7681"/>
    <w:rsid w:val="003E76A0"/>
    <w:rsid w:val="003F021A"/>
    <w:rsid w:val="003F2D84"/>
    <w:rsid w:val="003F3485"/>
    <w:rsid w:val="003F5835"/>
    <w:rsid w:val="003F69A2"/>
    <w:rsid w:val="003F6E47"/>
    <w:rsid w:val="003F753D"/>
    <w:rsid w:val="0040271B"/>
    <w:rsid w:val="00405849"/>
    <w:rsid w:val="004207C4"/>
    <w:rsid w:val="004212DC"/>
    <w:rsid w:val="00422EF6"/>
    <w:rsid w:val="00423A30"/>
    <w:rsid w:val="00423DC2"/>
    <w:rsid w:val="00424253"/>
    <w:rsid w:val="004253B2"/>
    <w:rsid w:val="00430629"/>
    <w:rsid w:val="0043333D"/>
    <w:rsid w:val="0043519C"/>
    <w:rsid w:val="0044438F"/>
    <w:rsid w:val="00445B6F"/>
    <w:rsid w:val="0045714A"/>
    <w:rsid w:val="004578C8"/>
    <w:rsid w:val="0046510C"/>
    <w:rsid w:val="004671FF"/>
    <w:rsid w:val="00475F7D"/>
    <w:rsid w:val="0047698B"/>
    <w:rsid w:val="004805AB"/>
    <w:rsid w:val="00480C20"/>
    <w:rsid w:val="00487272"/>
    <w:rsid w:val="004916DB"/>
    <w:rsid w:val="00492856"/>
    <w:rsid w:val="00493D30"/>
    <w:rsid w:val="00496CD0"/>
    <w:rsid w:val="0049747C"/>
    <w:rsid w:val="004A0604"/>
    <w:rsid w:val="004A45B4"/>
    <w:rsid w:val="004A4B7F"/>
    <w:rsid w:val="004B09D0"/>
    <w:rsid w:val="004B44C1"/>
    <w:rsid w:val="004C23AC"/>
    <w:rsid w:val="004C71AD"/>
    <w:rsid w:val="004D36F1"/>
    <w:rsid w:val="004D44BB"/>
    <w:rsid w:val="004D6215"/>
    <w:rsid w:val="004D67BD"/>
    <w:rsid w:val="004E0C39"/>
    <w:rsid w:val="004E3AFD"/>
    <w:rsid w:val="004E54F4"/>
    <w:rsid w:val="004E72EB"/>
    <w:rsid w:val="004E77AD"/>
    <w:rsid w:val="004F6751"/>
    <w:rsid w:val="004F7393"/>
    <w:rsid w:val="00501600"/>
    <w:rsid w:val="00501A24"/>
    <w:rsid w:val="00501B8B"/>
    <w:rsid w:val="00502BA2"/>
    <w:rsid w:val="00503180"/>
    <w:rsid w:val="005033EF"/>
    <w:rsid w:val="00504ACD"/>
    <w:rsid w:val="00507531"/>
    <w:rsid w:val="00513F96"/>
    <w:rsid w:val="00521541"/>
    <w:rsid w:val="00521B1D"/>
    <w:rsid w:val="005268E0"/>
    <w:rsid w:val="00527700"/>
    <w:rsid w:val="00531B81"/>
    <w:rsid w:val="00531DCB"/>
    <w:rsid w:val="005350AE"/>
    <w:rsid w:val="005359AD"/>
    <w:rsid w:val="00535B1B"/>
    <w:rsid w:val="00541584"/>
    <w:rsid w:val="00545539"/>
    <w:rsid w:val="0055036D"/>
    <w:rsid w:val="00556437"/>
    <w:rsid w:val="00556A98"/>
    <w:rsid w:val="00557B9E"/>
    <w:rsid w:val="0056275F"/>
    <w:rsid w:val="00563BB1"/>
    <w:rsid w:val="00564178"/>
    <w:rsid w:val="00570CD6"/>
    <w:rsid w:val="005719C8"/>
    <w:rsid w:val="00572225"/>
    <w:rsid w:val="00573B34"/>
    <w:rsid w:val="005904B2"/>
    <w:rsid w:val="0059348B"/>
    <w:rsid w:val="005968D3"/>
    <w:rsid w:val="005A0F1C"/>
    <w:rsid w:val="005A2A68"/>
    <w:rsid w:val="005A3537"/>
    <w:rsid w:val="005A47A3"/>
    <w:rsid w:val="005A4DE9"/>
    <w:rsid w:val="005A54B0"/>
    <w:rsid w:val="005A587B"/>
    <w:rsid w:val="005A7E97"/>
    <w:rsid w:val="005B20B8"/>
    <w:rsid w:val="005C367D"/>
    <w:rsid w:val="005C5EDA"/>
    <w:rsid w:val="005D0577"/>
    <w:rsid w:val="005D3F7C"/>
    <w:rsid w:val="005D4AE8"/>
    <w:rsid w:val="005E1E0E"/>
    <w:rsid w:val="005E4CCA"/>
    <w:rsid w:val="005E5F98"/>
    <w:rsid w:val="005E61A2"/>
    <w:rsid w:val="005E6DB7"/>
    <w:rsid w:val="005E7110"/>
    <w:rsid w:val="005F16C0"/>
    <w:rsid w:val="005F5474"/>
    <w:rsid w:val="005F5A5D"/>
    <w:rsid w:val="005F5B43"/>
    <w:rsid w:val="0060121B"/>
    <w:rsid w:val="00601690"/>
    <w:rsid w:val="006020E6"/>
    <w:rsid w:val="00605C1C"/>
    <w:rsid w:val="006064F8"/>
    <w:rsid w:val="00607475"/>
    <w:rsid w:val="00610391"/>
    <w:rsid w:val="00610BB2"/>
    <w:rsid w:val="00611521"/>
    <w:rsid w:val="006120AC"/>
    <w:rsid w:val="0062326A"/>
    <w:rsid w:val="00623D7E"/>
    <w:rsid w:val="006244E9"/>
    <w:rsid w:val="006268AE"/>
    <w:rsid w:val="006300D3"/>
    <w:rsid w:val="006343E0"/>
    <w:rsid w:val="0063558D"/>
    <w:rsid w:val="00641842"/>
    <w:rsid w:val="0064311A"/>
    <w:rsid w:val="006466A1"/>
    <w:rsid w:val="006501A9"/>
    <w:rsid w:val="00651600"/>
    <w:rsid w:val="00654256"/>
    <w:rsid w:val="00655C7A"/>
    <w:rsid w:val="006560DE"/>
    <w:rsid w:val="006625EE"/>
    <w:rsid w:val="00663912"/>
    <w:rsid w:val="00663EF8"/>
    <w:rsid w:val="00666A9C"/>
    <w:rsid w:val="0066751D"/>
    <w:rsid w:val="0067173A"/>
    <w:rsid w:val="00672601"/>
    <w:rsid w:val="00680438"/>
    <w:rsid w:val="00680718"/>
    <w:rsid w:val="006813CC"/>
    <w:rsid w:val="00682BA9"/>
    <w:rsid w:val="00683CCD"/>
    <w:rsid w:val="00687C77"/>
    <w:rsid w:val="00690420"/>
    <w:rsid w:val="00692C52"/>
    <w:rsid w:val="006932A3"/>
    <w:rsid w:val="00694154"/>
    <w:rsid w:val="006955C7"/>
    <w:rsid w:val="006A4CA8"/>
    <w:rsid w:val="006B07B6"/>
    <w:rsid w:val="006B1135"/>
    <w:rsid w:val="006B16C6"/>
    <w:rsid w:val="006B1749"/>
    <w:rsid w:val="006B4CBF"/>
    <w:rsid w:val="006B5BC1"/>
    <w:rsid w:val="006B7934"/>
    <w:rsid w:val="006C7FE6"/>
    <w:rsid w:val="006D4F95"/>
    <w:rsid w:val="006D5430"/>
    <w:rsid w:val="006D73FD"/>
    <w:rsid w:val="006E03B1"/>
    <w:rsid w:val="006E0491"/>
    <w:rsid w:val="006E66FD"/>
    <w:rsid w:val="006E6E43"/>
    <w:rsid w:val="006F0D1A"/>
    <w:rsid w:val="006F31BE"/>
    <w:rsid w:val="006F52B8"/>
    <w:rsid w:val="00700E88"/>
    <w:rsid w:val="00711B91"/>
    <w:rsid w:val="00724A1E"/>
    <w:rsid w:val="007279DD"/>
    <w:rsid w:val="00732288"/>
    <w:rsid w:val="007405EC"/>
    <w:rsid w:val="007409C1"/>
    <w:rsid w:val="00746A64"/>
    <w:rsid w:val="00750077"/>
    <w:rsid w:val="00750905"/>
    <w:rsid w:val="00752C4D"/>
    <w:rsid w:val="00756252"/>
    <w:rsid w:val="00756AFD"/>
    <w:rsid w:val="00763C2E"/>
    <w:rsid w:val="007644A8"/>
    <w:rsid w:val="00766D17"/>
    <w:rsid w:val="007728F6"/>
    <w:rsid w:val="0077298B"/>
    <w:rsid w:val="00773E12"/>
    <w:rsid w:val="00775D7F"/>
    <w:rsid w:val="00775EB2"/>
    <w:rsid w:val="00775FE5"/>
    <w:rsid w:val="007777A8"/>
    <w:rsid w:val="00777DD4"/>
    <w:rsid w:val="00780452"/>
    <w:rsid w:val="007824AD"/>
    <w:rsid w:val="00785475"/>
    <w:rsid w:val="00786538"/>
    <w:rsid w:val="007901CA"/>
    <w:rsid w:val="00795AB1"/>
    <w:rsid w:val="007A2112"/>
    <w:rsid w:val="007A2142"/>
    <w:rsid w:val="007A2E4B"/>
    <w:rsid w:val="007A37AA"/>
    <w:rsid w:val="007A3844"/>
    <w:rsid w:val="007A4CFA"/>
    <w:rsid w:val="007A5CEF"/>
    <w:rsid w:val="007A6DFD"/>
    <w:rsid w:val="007B32F9"/>
    <w:rsid w:val="007B3B6C"/>
    <w:rsid w:val="007B48EC"/>
    <w:rsid w:val="007B4B7E"/>
    <w:rsid w:val="007B6665"/>
    <w:rsid w:val="007B67DA"/>
    <w:rsid w:val="007B76E0"/>
    <w:rsid w:val="007C39A5"/>
    <w:rsid w:val="007C7189"/>
    <w:rsid w:val="007D17FF"/>
    <w:rsid w:val="007D5939"/>
    <w:rsid w:val="007D7AD4"/>
    <w:rsid w:val="007E13F7"/>
    <w:rsid w:val="007E63E3"/>
    <w:rsid w:val="007E6764"/>
    <w:rsid w:val="007E7409"/>
    <w:rsid w:val="007E7B39"/>
    <w:rsid w:val="007F39F7"/>
    <w:rsid w:val="007F72CB"/>
    <w:rsid w:val="007F7CCE"/>
    <w:rsid w:val="008020EC"/>
    <w:rsid w:val="00803CAA"/>
    <w:rsid w:val="00807198"/>
    <w:rsid w:val="00810B81"/>
    <w:rsid w:val="00813009"/>
    <w:rsid w:val="0081492D"/>
    <w:rsid w:val="00820ED6"/>
    <w:rsid w:val="00821715"/>
    <w:rsid w:val="00824C42"/>
    <w:rsid w:val="00831CE9"/>
    <w:rsid w:val="00835C89"/>
    <w:rsid w:val="00836F75"/>
    <w:rsid w:val="0084084B"/>
    <w:rsid w:val="00842A29"/>
    <w:rsid w:val="00843B2D"/>
    <w:rsid w:val="008458BA"/>
    <w:rsid w:val="00847798"/>
    <w:rsid w:val="00856C58"/>
    <w:rsid w:val="008570ED"/>
    <w:rsid w:val="0086136E"/>
    <w:rsid w:val="008643F0"/>
    <w:rsid w:val="008754D1"/>
    <w:rsid w:val="00882B15"/>
    <w:rsid w:val="00883CF0"/>
    <w:rsid w:val="008844C5"/>
    <w:rsid w:val="0088590A"/>
    <w:rsid w:val="0089176B"/>
    <w:rsid w:val="008A0025"/>
    <w:rsid w:val="008A1817"/>
    <w:rsid w:val="008A37EF"/>
    <w:rsid w:val="008A62D2"/>
    <w:rsid w:val="008A7206"/>
    <w:rsid w:val="008B07A5"/>
    <w:rsid w:val="008C3D91"/>
    <w:rsid w:val="008C45E9"/>
    <w:rsid w:val="008C4C3F"/>
    <w:rsid w:val="008C61D8"/>
    <w:rsid w:val="008D1A08"/>
    <w:rsid w:val="008D4064"/>
    <w:rsid w:val="008D40CB"/>
    <w:rsid w:val="008D4995"/>
    <w:rsid w:val="008D6F18"/>
    <w:rsid w:val="008E093D"/>
    <w:rsid w:val="008E1539"/>
    <w:rsid w:val="008E5299"/>
    <w:rsid w:val="008E57B3"/>
    <w:rsid w:val="008F24D6"/>
    <w:rsid w:val="008F3053"/>
    <w:rsid w:val="008F3116"/>
    <w:rsid w:val="008F4E34"/>
    <w:rsid w:val="009005A2"/>
    <w:rsid w:val="00901026"/>
    <w:rsid w:val="009057CC"/>
    <w:rsid w:val="009062AB"/>
    <w:rsid w:val="009102F8"/>
    <w:rsid w:val="009108AE"/>
    <w:rsid w:val="00921744"/>
    <w:rsid w:val="0092366B"/>
    <w:rsid w:val="00924A74"/>
    <w:rsid w:val="00925854"/>
    <w:rsid w:val="00925E8B"/>
    <w:rsid w:val="00930507"/>
    <w:rsid w:val="00930E0B"/>
    <w:rsid w:val="00931B15"/>
    <w:rsid w:val="009376A9"/>
    <w:rsid w:val="009444DA"/>
    <w:rsid w:val="009465D7"/>
    <w:rsid w:val="00951543"/>
    <w:rsid w:val="00955BBA"/>
    <w:rsid w:val="00960587"/>
    <w:rsid w:val="009609C1"/>
    <w:rsid w:val="009664A2"/>
    <w:rsid w:val="00971208"/>
    <w:rsid w:val="009721BB"/>
    <w:rsid w:val="0097431D"/>
    <w:rsid w:val="00974B62"/>
    <w:rsid w:val="009753A8"/>
    <w:rsid w:val="009827E9"/>
    <w:rsid w:val="009862D3"/>
    <w:rsid w:val="00991ED8"/>
    <w:rsid w:val="00993C3B"/>
    <w:rsid w:val="009972CA"/>
    <w:rsid w:val="00997D61"/>
    <w:rsid w:val="009A097C"/>
    <w:rsid w:val="009A1360"/>
    <w:rsid w:val="009A5C37"/>
    <w:rsid w:val="009B1359"/>
    <w:rsid w:val="009C1C9E"/>
    <w:rsid w:val="009C1D2B"/>
    <w:rsid w:val="009C58E6"/>
    <w:rsid w:val="009C5AE6"/>
    <w:rsid w:val="009C7076"/>
    <w:rsid w:val="009D0B86"/>
    <w:rsid w:val="009D27DD"/>
    <w:rsid w:val="009D342D"/>
    <w:rsid w:val="009D41BA"/>
    <w:rsid w:val="009D4F50"/>
    <w:rsid w:val="009E0206"/>
    <w:rsid w:val="009E0477"/>
    <w:rsid w:val="009E2012"/>
    <w:rsid w:val="009F1027"/>
    <w:rsid w:val="009F5819"/>
    <w:rsid w:val="009F60DE"/>
    <w:rsid w:val="009F6B3F"/>
    <w:rsid w:val="009F7D9F"/>
    <w:rsid w:val="00A0059E"/>
    <w:rsid w:val="00A07340"/>
    <w:rsid w:val="00A073FE"/>
    <w:rsid w:val="00A20F33"/>
    <w:rsid w:val="00A20F50"/>
    <w:rsid w:val="00A2428E"/>
    <w:rsid w:val="00A264A8"/>
    <w:rsid w:val="00A26BD3"/>
    <w:rsid w:val="00A26EF2"/>
    <w:rsid w:val="00A27BE9"/>
    <w:rsid w:val="00A30D86"/>
    <w:rsid w:val="00A318D3"/>
    <w:rsid w:val="00A31BCD"/>
    <w:rsid w:val="00A32BE3"/>
    <w:rsid w:val="00A336F7"/>
    <w:rsid w:val="00A37888"/>
    <w:rsid w:val="00A44B73"/>
    <w:rsid w:val="00A4643E"/>
    <w:rsid w:val="00A46865"/>
    <w:rsid w:val="00A46E86"/>
    <w:rsid w:val="00A46EC8"/>
    <w:rsid w:val="00A47ED4"/>
    <w:rsid w:val="00A50180"/>
    <w:rsid w:val="00A5079D"/>
    <w:rsid w:val="00A55583"/>
    <w:rsid w:val="00A601F5"/>
    <w:rsid w:val="00A65FF9"/>
    <w:rsid w:val="00A66ECF"/>
    <w:rsid w:val="00A7653B"/>
    <w:rsid w:val="00A81317"/>
    <w:rsid w:val="00A82F28"/>
    <w:rsid w:val="00A867A0"/>
    <w:rsid w:val="00A9089A"/>
    <w:rsid w:val="00A96CBD"/>
    <w:rsid w:val="00AA4260"/>
    <w:rsid w:val="00AA61D5"/>
    <w:rsid w:val="00AA6225"/>
    <w:rsid w:val="00AB0B7D"/>
    <w:rsid w:val="00AB15E8"/>
    <w:rsid w:val="00AB1644"/>
    <w:rsid w:val="00AB2B9E"/>
    <w:rsid w:val="00AB50B8"/>
    <w:rsid w:val="00AC0DEB"/>
    <w:rsid w:val="00AC2E76"/>
    <w:rsid w:val="00AC7C13"/>
    <w:rsid w:val="00AD08BE"/>
    <w:rsid w:val="00AD392F"/>
    <w:rsid w:val="00AD45CB"/>
    <w:rsid w:val="00AD49F7"/>
    <w:rsid w:val="00AD518F"/>
    <w:rsid w:val="00AF07DF"/>
    <w:rsid w:val="00AF6634"/>
    <w:rsid w:val="00B004E8"/>
    <w:rsid w:val="00B008B8"/>
    <w:rsid w:val="00B04958"/>
    <w:rsid w:val="00B13B8D"/>
    <w:rsid w:val="00B14760"/>
    <w:rsid w:val="00B16FC7"/>
    <w:rsid w:val="00B179D3"/>
    <w:rsid w:val="00B2134E"/>
    <w:rsid w:val="00B23058"/>
    <w:rsid w:val="00B3122B"/>
    <w:rsid w:val="00B36367"/>
    <w:rsid w:val="00B37961"/>
    <w:rsid w:val="00B404C0"/>
    <w:rsid w:val="00B421AC"/>
    <w:rsid w:val="00B5060F"/>
    <w:rsid w:val="00B5132A"/>
    <w:rsid w:val="00B51425"/>
    <w:rsid w:val="00B53CF0"/>
    <w:rsid w:val="00B5406B"/>
    <w:rsid w:val="00B555FE"/>
    <w:rsid w:val="00B5579D"/>
    <w:rsid w:val="00B6186F"/>
    <w:rsid w:val="00B623EB"/>
    <w:rsid w:val="00B73701"/>
    <w:rsid w:val="00B83D23"/>
    <w:rsid w:val="00B849A6"/>
    <w:rsid w:val="00B86DEA"/>
    <w:rsid w:val="00B90A02"/>
    <w:rsid w:val="00B91860"/>
    <w:rsid w:val="00B975E1"/>
    <w:rsid w:val="00BA11CA"/>
    <w:rsid w:val="00BA5052"/>
    <w:rsid w:val="00BA6533"/>
    <w:rsid w:val="00BB2B52"/>
    <w:rsid w:val="00BD01A4"/>
    <w:rsid w:val="00BD0ACA"/>
    <w:rsid w:val="00BD0BFC"/>
    <w:rsid w:val="00BD3C32"/>
    <w:rsid w:val="00BD54A5"/>
    <w:rsid w:val="00BD77C3"/>
    <w:rsid w:val="00BE0861"/>
    <w:rsid w:val="00BE2881"/>
    <w:rsid w:val="00C017CC"/>
    <w:rsid w:val="00C03FA8"/>
    <w:rsid w:val="00C04466"/>
    <w:rsid w:val="00C0610A"/>
    <w:rsid w:val="00C13208"/>
    <w:rsid w:val="00C136B8"/>
    <w:rsid w:val="00C13A9E"/>
    <w:rsid w:val="00C14D73"/>
    <w:rsid w:val="00C17BE3"/>
    <w:rsid w:val="00C213D1"/>
    <w:rsid w:val="00C21D9B"/>
    <w:rsid w:val="00C228D8"/>
    <w:rsid w:val="00C252DF"/>
    <w:rsid w:val="00C2596F"/>
    <w:rsid w:val="00C32795"/>
    <w:rsid w:val="00C32FA9"/>
    <w:rsid w:val="00C406F0"/>
    <w:rsid w:val="00C460FC"/>
    <w:rsid w:val="00C461C4"/>
    <w:rsid w:val="00C516FD"/>
    <w:rsid w:val="00C51BF6"/>
    <w:rsid w:val="00C578CB"/>
    <w:rsid w:val="00C57FB5"/>
    <w:rsid w:val="00C600C6"/>
    <w:rsid w:val="00C62FA0"/>
    <w:rsid w:val="00C707A2"/>
    <w:rsid w:val="00C70D5B"/>
    <w:rsid w:val="00C716B5"/>
    <w:rsid w:val="00C72CD5"/>
    <w:rsid w:val="00C72D1F"/>
    <w:rsid w:val="00C90855"/>
    <w:rsid w:val="00C956DB"/>
    <w:rsid w:val="00CA0C44"/>
    <w:rsid w:val="00CA0F7C"/>
    <w:rsid w:val="00CA14C0"/>
    <w:rsid w:val="00CA3528"/>
    <w:rsid w:val="00CA522A"/>
    <w:rsid w:val="00CA7190"/>
    <w:rsid w:val="00CB2A2E"/>
    <w:rsid w:val="00CB2C74"/>
    <w:rsid w:val="00CB3E71"/>
    <w:rsid w:val="00CB5716"/>
    <w:rsid w:val="00CB65FD"/>
    <w:rsid w:val="00CC1E0C"/>
    <w:rsid w:val="00CC4B38"/>
    <w:rsid w:val="00CC5ABD"/>
    <w:rsid w:val="00CC68DA"/>
    <w:rsid w:val="00CD4FEF"/>
    <w:rsid w:val="00CD5482"/>
    <w:rsid w:val="00CD7B04"/>
    <w:rsid w:val="00CE225D"/>
    <w:rsid w:val="00CE4F66"/>
    <w:rsid w:val="00CE70AD"/>
    <w:rsid w:val="00CF552B"/>
    <w:rsid w:val="00CF640C"/>
    <w:rsid w:val="00D00044"/>
    <w:rsid w:val="00D00D10"/>
    <w:rsid w:val="00D0447B"/>
    <w:rsid w:val="00D04A6B"/>
    <w:rsid w:val="00D059DA"/>
    <w:rsid w:val="00D05C73"/>
    <w:rsid w:val="00D1340C"/>
    <w:rsid w:val="00D13C0A"/>
    <w:rsid w:val="00D16B30"/>
    <w:rsid w:val="00D17E31"/>
    <w:rsid w:val="00D21B6F"/>
    <w:rsid w:val="00D22FEC"/>
    <w:rsid w:val="00D3385B"/>
    <w:rsid w:val="00D33E8D"/>
    <w:rsid w:val="00D340D2"/>
    <w:rsid w:val="00D3475A"/>
    <w:rsid w:val="00D34AD4"/>
    <w:rsid w:val="00D37222"/>
    <w:rsid w:val="00D46E21"/>
    <w:rsid w:val="00D4730A"/>
    <w:rsid w:val="00D54112"/>
    <w:rsid w:val="00D54B20"/>
    <w:rsid w:val="00D63A18"/>
    <w:rsid w:val="00D66976"/>
    <w:rsid w:val="00D7223A"/>
    <w:rsid w:val="00D73CBB"/>
    <w:rsid w:val="00D76BC2"/>
    <w:rsid w:val="00D81945"/>
    <w:rsid w:val="00D81F3E"/>
    <w:rsid w:val="00D82AAD"/>
    <w:rsid w:val="00D84905"/>
    <w:rsid w:val="00D84AF1"/>
    <w:rsid w:val="00D95C8D"/>
    <w:rsid w:val="00DA03CB"/>
    <w:rsid w:val="00DA3FE1"/>
    <w:rsid w:val="00DA3FEA"/>
    <w:rsid w:val="00DA6621"/>
    <w:rsid w:val="00DB6269"/>
    <w:rsid w:val="00DB6783"/>
    <w:rsid w:val="00DC42FD"/>
    <w:rsid w:val="00DC442D"/>
    <w:rsid w:val="00DC782F"/>
    <w:rsid w:val="00DD1D9A"/>
    <w:rsid w:val="00DD5F62"/>
    <w:rsid w:val="00DD7367"/>
    <w:rsid w:val="00DE2E50"/>
    <w:rsid w:val="00DF1D64"/>
    <w:rsid w:val="00DF2BFB"/>
    <w:rsid w:val="00DF2D26"/>
    <w:rsid w:val="00DF44B4"/>
    <w:rsid w:val="00DF45E7"/>
    <w:rsid w:val="00DF597F"/>
    <w:rsid w:val="00DF6F1E"/>
    <w:rsid w:val="00E001DC"/>
    <w:rsid w:val="00E029DE"/>
    <w:rsid w:val="00E02EF3"/>
    <w:rsid w:val="00E03E66"/>
    <w:rsid w:val="00E20262"/>
    <w:rsid w:val="00E20573"/>
    <w:rsid w:val="00E23FC6"/>
    <w:rsid w:val="00E25605"/>
    <w:rsid w:val="00E25F4B"/>
    <w:rsid w:val="00E34F63"/>
    <w:rsid w:val="00E36228"/>
    <w:rsid w:val="00E40F04"/>
    <w:rsid w:val="00E50664"/>
    <w:rsid w:val="00E511D7"/>
    <w:rsid w:val="00E52D60"/>
    <w:rsid w:val="00E54658"/>
    <w:rsid w:val="00E54AFE"/>
    <w:rsid w:val="00E61951"/>
    <w:rsid w:val="00E65834"/>
    <w:rsid w:val="00E65A9B"/>
    <w:rsid w:val="00E71D65"/>
    <w:rsid w:val="00E748FB"/>
    <w:rsid w:val="00E7649A"/>
    <w:rsid w:val="00E80602"/>
    <w:rsid w:val="00E8681E"/>
    <w:rsid w:val="00E92FCB"/>
    <w:rsid w:val="00E93F2C"/>
    <w:rsid w:val="00E95DB4"/>
    <w:rsid w:val="00EA0108"/>
    <w:rsid w:val="00EA1F51"/>
    <w:rsid w:val="00EA5E14"/>
    <w:rsid w:val="00EB02CC"/>
    <w:rsid w:val="00EB5706"/>
    <w:rsid w:val="00EC2F2C"/>
    <w:rsid w:val="00ED2F10"/>
    <w:rsid w:val="00ED3785"/>
    <w:rsid w:val="00ED47E7"/>
    <w:rsid w:val="00EE2261"/>
    <w:rsid w:val="00EE477C"/>
    <w:rsid w:val="00EE4CBA"/>
    <w:rsid w:val="00EF1E0B"/>
    <w:rsid w:val="00EF4DD1"/>
    <w:rsid w:val="00EF6A66"/>
    <w:rsid w:val="00F01218"/>
    <w:rsid w:val="00F04D67"/>
    <w:rsid w:val="00F06D78"/>
    <w:rsid w:val="00F105F1"/>
    <w:rsid w:val="00F14714"/>
    <w:rsid w:val="00F24A3C"/>
    <w:rsid w:val="00F31781"/>
    <w:rsid w:val="00F34EF1"/>
    <w:rsid w:val="00F37B15"/>
    <w:rsid w:val="00F45D40"/>
    <w:rsid w:val="00F46185"/>
    <w:rsid w:val="00F475E1"/>
    <w:rsid w:val="00F5306D"/>
    <w:rsid w:val="00F5471A"/>
    <w:rsid w:val="00F667DA"/>
    <w:rsid w:val="00F70A63"/>
    <w:rsid w:val="00F73949"/>
    <w:rsid w:val="00F754F0"/>
    <w:rsid w:val="00F82A62"/>
    <w:rsid w:val="00F82B70"/>
    <w:rsid w:val="00F83906"/>
    <w:rsid w:val="00F83E87"/>
    <w:rsid w:val="00F84DC0"/>
    <w:rsid w:val="00F872AD"/>
    <w:rsid w:val="00F917E3"/>
    <w:rsid w:val="00F92709"/>
    <w:rsid w:val="00F93698"/>
    <w:rsid w:val="00F9476A"/>
    <w:rsid w:val="00F96979"/>
    <w:rsid w:val="00F9748D"/>
    <w:rsid w:val="00FA0BDF"/>
    <w:rsid w:val="00FA5D63"/>
    <w:rsid w:val="00FB2093"/>
    <w:rsid w:val="00FB3C4E"/>
    <w:rsid w:val="00FB4C38"/>
    <w:rsid w:val="00FC12E2"/>
    <w:rsid w:val="00FC16C8"/>
    <w:rsid w:val="00FC251F"/>
    <w:rsid w:val="00FD117D"/>
    <w:rsid w:val="00FD273F"/>
    <w:rsid w:val="00FD33DD"/>
    <w:rsid w:val="00FD6BEA"/>
    <w:rsid w:val="00FE604A"/>
    <w:rsid w:val="00FE7CDD"/>
    <w:rsid w:val="00FF26F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character" w:styleId="Verwijzingopmerking">
    <w:name w:val="annotation reference"/>
    <w:basedOn w:val="Standaardalinea-lettertype"/>
    <w:uiPriority w:val="99"/>
    <w:semiHidden/>
    <w:unhideWhenUsed/>
    <w:rsid w:val="00974B62"/>
    <w:rPr>
      <w:sz w:val="16"/>
      <w:szCs w:val="16"/>
    </w:rPr>
  </w:style>
  <w:style w:type="paragraph" w:styleId="Tekstopmerking">
    <w:name w:val="annotation text"/>
    <w:basedOn w:val="Standaard"/>
    <w:link w:val="TekstopmerkingChar"/>
    <w:uiPriority w:val="99"/>
    <w:semiHidden/>
    <w:unhideWhenUsed/>
    <w:rsid w:val="00974B62"/>
    <w:rPr>
      <w:sz w:val="20"/>
      <w:szCs w:val="20"/>
    </w:rPr>
  </w:style>
  <w:style w:type="character" w:customStyle="1" w:styleId="TekstopmerkingChar">
    <w:name w:val="Tekst opmerking Char"/>
    <w:basedOn w:val="Standaardalinea-lettertype"/>
    <w:link w:val="Tekstopmerking"/>
    <w:uiPriority w:val="99"/>
    <w:semiHidden/>
    <w:rsid w:val="00974B6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74B62"/>
    <w:rPr>
      <w:b/>
      <w:bCs/>
    </w:rPr>
  </w:style>
  <w:style w:type="character" w:customStyle="1" w:styleId="OnderwerpvanopmerkingChar">
    <w:name w:val="Onderwerp van opmerking Char"/>
    <w:basedOn w:val="TekstopmerkingChar"/>
    <w:link w:val="Onderwerpvanopmerking"/>
    <w:uiPriority w:val="99"/>
    <w:semiHidden/>
    <w:rsid w:val="00974B62"/>
    <w:rPr>
      <w:rFonts w:ascii="Verdana" w:hAnsi="Verdana"/>
      <w:b/>
      <w:bCs/>
      <w:lang w:eastAsia="en-US"/>
    </w:rPr>
  </w:style>
  <w:style w:type="paragraph" w:styleId="Lijstalinea">
    <w:name w:val="List Paragraph"/>
    <w:basedOn w:val="Standaard"/>
    <w:uiPriority w:val="34"/>
    <w:qFormat/>
    <w:rsid w:val="004E0C39"/>
    <w:pPr>
      <w:ind w:left="720"/>
      <w:contextualSpacing/>
    </w:pPr>
  </w:style>
  <w:style w:type="character" w:styleId="Hyperlink">
    <w:name w:val="Hyperlink"/>
    <w:basedOn w:val="Standaardalinea-lettertype"/>
    <w:uiPriority w:val="99"/>
    <w:unhideWhenUsed/>
    <w:rsid w:val="00304F71"/>
    <w:rPr>
      <w:color w:val="0000FF" w:themeColor="hyperlink"/>
      <w:u w:val="single"/>
    </w:rPr>
  </w:style>
  <w:style w:type="character" w:styleId="GevolgdeHyperlink">
    <w:name w:val="FollowedHyperlink"/>
    <w:basedOn w:val="Standaardalinea-lettertype"/>
    <w:uiPriority w:val="99"/>
    <w:semiHidden/>
    <w:unhideWhenUsed/>
    <w:rsid w:val="003C2841"/>
    <w:rPr>
      <w:color w:val="800080" w:themeColor="followedHyperlink"/>
      <w:u w:val="single"/>
    </w:rPr>
  </w:style>
  <w:style w:type="paragraph" w:customStyle="1" w:styleId="Text1">
    <w:name w:val="Text 1"/>
    <w:basedOn w:val="Standaard"/>
    <w:link w:val="Text1Char"/>
    <w:rsid w:val="00ED2F10"/>
    <w:pPr>
      <w:spacing w:after="240"/>
      <w:ind w:left="482"/>
      <w:jc w:val="both"/>
    </w:pPr>
    <w:rPr>
      <w:rFonts w:ascii="Times New Roman" w:eastAsia="Times New Roman" w:hAnsi="Times New Roman"/>
      <w:sz w:val="24"/>
      <w:szCs w:val="20"/>
      <w:lang w:val="en-GB"/>
    </w:rPr>
  </w:style>
  <w:style w:type="character" w:customStyle="1" w:styleId="Text1Char">
    <w:name w:val="Text 1 Char"/>
    <w:link w:val="Text1"/>
    <w:rsid w:val="00ED2F10"/>
    <w:rPr>
      <w:rFonts w:ascii="Times New Roman" w:eastAsia="Times New Roman" w:hAnsi="Times New Roman"/>
      <w:sz w:val="24"/>
      <w:lang w:val="en-GB" w:eastAsia="en-US"/>
    </w:rPr>
  </w:style>
  <w:style w:type="paragraph" w:styleId="Voetnoottekst">
    <w:name w:val="footnote text"/>
    <w:basedOn w:val="Standaard"/>
    <w:link w:val="VoetnoottekstChar"/>
    <w:uiPriority w:val="99"/>
    <w:semiHidden/>
    <w:unhideWhenUsed/>
    <w:rsid w:val="00AB1644"/>
    <w:rPr>
      <w:sz w:val="20"/>
      <w:szCs w:val="20"/>
    </w:rPr>
  </w:style>
  <w:style w:type="character" w:customStyle="1" w:styleId="VoetnoottekstChar">
    <w:name w:val="Voetnoottekst Char"/>
    <w:basedOn w:val="Standaardalinea-lettertype"/>
    <w:link w:val="Voetnoottekst"/>
    <w:uiPriority w:val="99"/>
    <w:semiHidden/>
    <w:rsid w:val="00AB1644"/>
    <w:rPr>
      <w:rFonts w:ascii="Verdana" w:hAnsi="Verdana"/>
      <w:lang w:eastAsia="en-US"/>
    </w:rPr>
  </w:style>
  <w:style w:type="character" w:styleId="Voetnootmarkering">
    <w:name w:val="footnote reference"/>
    <w:basedOn w:val="Standaardalinea-lettertype"/>
    <w:uiPriority w:val="99"/>
    <w:semiHidden/>
    <w:unhideWhenUsed/>
    <w:rsid w:val="00AB1644"/>
    <w:rPr>
      <w:vertAlign w:val="superscript"/>
    </w:rPr>
  </w:style>
  <w:style w:type="paragraph" w:customStyle="1" w:styleId="Default">
    <w:name w:val="Default"/>
    <w:rsid w:val="007A2E4B"/>
    <w:pPr>
      <w:autoSpaceDE w:val="0"/>
      <w:autoSpaceDN w:val="0"/>
      <w:adjustRightInd w:val="0"/>
    </w:pPr>
    <w:rPr>
      <w:rFonts w:ascii="Verdana" w:hAnsi="Verdana" w:cs="Verdana"/>
      <w:color w:val="000000"/>
      <w:sz w:val="24"/>
      <w:szCs w:val="24"/>
    </w:rPr>
  </w:style>
  <w:style w:type="paragraph" w:customStyle="1" w:styleId="Paragraaf-Huisstijl">
    <w:name w:val="Paragraaf - Huisstijl"/>
    <w:basedOn w:val="Standaard"/>
    <w:next w:val="Standaard"/>
    <w:uiPriority w:val="3"/>
    <w:qFormat/>
    <w:rsid w:val="007D5939"/>
    <w:pPr>
      <w:widowControl w:val="0"/>
      <w:numPr>
        <w:numId w:val="16"/>
      </w:numPr>
      <w:tabs>
        <w:tab w:val="left" w:pos="0"/>
      </w:tabs>
      <w:suppressAutoHyphens/>
      <w:autoSpaceDN w:val="0"/>
      <w:spacing w:before="200" w:line="284" w:lineRule="exact"/>
      <w:textAlignment w:val="baseline"/>
      <w:outlineLvl w:val="0"/>
    </w:pPr>
    <w:rPr>
      <w:rFonts w:eastAsia="DejaVu Sans" w:cs="Lohit Hindi"/>
      <w:b/>
      <w:kern w:val="3"/>
      <w:sz w:val="17"/>
      <w:szCs w:val="24"/>
      <w:lang w:eastAsia="zh-CN" w:bidi="hi-IN"/>
    </w:rPr>
  </w:style>
  <w:style w:type="paragraph" w:customStyle="1" w:styleId="Subparagraaf-Huisstijl">
    <w:name w:val="Subparagraaf - Huisstijl"/>
    <w:basedOn w:val="Paragraaf-Huisstijl"/>
    <w:next w:val="Standaard"/>
    <w:uiPriority w:val="4"/>
    <w:qFormat/>
    <w:rsid w:val="007D5939"/>
    <w:pPr>
      <w:numPr>
        <w:ilvl w:val="1"/>
      </w:numPr>
      <w:outlineLvl w:val="1"/>
    </w:pPr>
    <w:rPr>
      <w:b w:val="0"/>
      <w:i/>
    </w:rPr>
  </w:style>
  <w:style w:type="paragraph" w:styleId="Normaalweb">
    <w:name w:val="Normal (Web)"/>
    <w:basedOn w:val="Standaard"/>
    <w:uiPriority w:val="99"/>
    <w:semiHidden/>
    <w:unhideWhenUsed/>
    <w:rsid w:val="007D5939"/>
    <w:pPr>
      <w:spacing w:after="150"/>
    </w:pPr>
    <w:rPr>
      <w:rFonts w:ascii="FiraSans-Light" w:eastAsia="Times New Roman" w:hAnsi="FiraSans-Light"/>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character" w:styleId="Verwijzingopmerking">
    <w:name w:val="annotation reference"/>
    <w:basedOn w:val="Standaardalinea-lettertype"/>
    <w:uiPriority w:val="99"/>
    <w:semiHidden/>
    <w:unhideWhenUsed/>
    <w:rsid w:val="00974B62"/>
    <w:rPr>
      <w:sz w:val="16"/>
      <w:szCs w:val="16"/>
    </w:rPr>
  </w:style>
  <w:style w:type="paragraph" w:styleId="Tekstopmerking">
    <w:name w:val="annotation text"/>
    <w:basedOn w:val="Standaard"/>
    <w:link w:val="TekstopmerkingChar"/>
    <w:uiPriority w:val="99"/>
    <w:semiHidden/>
    <w:unhideWhenUsed/>
    <w:rsid w:val="00974B62"/>
    <w:rPr>
      <w:sz w:val="20"/>
      <w:szCs w:val="20"/>
    </w:rPr>
  </w:style>
  <w:style w:type="character" w:customStyle="1" w:styleId="TekstopmerkingChar">
    <w:name w:val="Tekst opmerking Char"/>
    <w:basedOn w:val="Standaardalinea-lettertype"/>
    <w:link w:val="Tekstopmerking"/>
    <w:uiPriority w:val="99"/>
    <w:semiHidden/>
    <w:rsid w:val="00974B6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74B62"/>
    <w:rPr>
      <w:b/>
      <w:bCs/>
    </w:rPr>
  </w:style>
  <w:style w:type="character" w:customStyle="1" w:styleId="OnderwerpvanopmerkingChar">
    <w:name w:val="Onderwerp van opmerking Char"/>
    <w:basedOn w:val="TekstopmerkingChar"/>
    <w:link w:val="Onderwerpvanopmerking"/>
    <w:uiPriority w:val="99"/>
    <w:semiHidden/>
    <w:rsid w:val="00974B62"/>
    <w:rPr>
      <w:rFonts w:ascii="Verdana" w:hAnsi="Verdana"/>
      <w:b/>
      <w:bCs/>
      <w:lang w:eastAsia="en-US"/>
    </w:rPr>
  </w:style>
  <w:style w:type="paragraph" w:styleId="Lijstalinea">
    <w:name w:val="List Paragraph"/>
    <w:basedOn w:val="Standaard"/>
    <w:uiPriority w:val="34"/>
    <w:qFormat/>
    <w:rsid w:val="004E0C39"/>
    <w:pPr>
      <w:ind w:left="720"/>
      <w:contextualSpacing/>
    </w:pPr>
  </w:style>
  <w:style w:type="character" w:styleId="Hyperlink">
    <w:name w:val="Hyperlink"/>
    <w:basedOn w:val="Standaardalinea-lettertype"/>
    <w:uiPriority w:val="99"/>
    <w:unhideWhenUsed/>
    <w:rsid w:val="00304F71"/>
    <w:rPr>
      <w:color w:val="0000FF" w:themeColor="hyperlink"/>
      <w:u w:val="single"/>
    </w:rPr>
  </w:style>
  <w:style w:type="character" w:styleId="GevolgdeHyperlink">
    <w:name w:val="FollowedHyperlink"/>
    <w:basedOn w:val="Standaardalinea-lettertype"/>
    <w:uiPriority w:val="99"/>
    <w:semiHidden/>
    <w:unhideWhenUsed/>
    <w:rsid w:val="003C2841"/>
    <w:rPr>
      <w:color w:val="800080" w:themeColor="followedHyperlink"/>
      <w:u w:val="single"/>
    </w:rPr>
  </w:style>
  <w:style w:type="paragraph" w:customStyle="1" w:styleId="Text1">
    <w:name w:val="Text 1"/>
    <w:basedOn w:val="Standaard"/>
    <w:link w:val="Text1Char"/>
    <w:rsid w:val="00ED2F10"/>
    <w:pPr>
      <w:spacing w:after="240"/>
      <w:ind w:left="482"/>
      <w:jc w:val="both"/>
    </w:pPr>
    <w:rPr>
      <w:rFonts w:ascii="Times New Roman" w:eastAsia="Times New Roman" w:hAnsi="Times New Roman"/>
      <w:sz w:val="24"/>
      <w:szCs w:val="20"/>
      <w:lang w:val="en-GB"/>
    </w:rPr>
  </w:style>
  <w:style w:type="character" w:customStyle="1" w:styleId="Text1Char">
    <w:name w:val="Text 1 Char"/>
    <w:link w:val="Text1"/>
    <w:rsid w:val="00ED2F10"/>
    <w:rPr>
      <w:rFonts w:ascii="Times New Roman" w:eastAsia="Times New Roman" w:hAnsi="Times New Roman"/>
      <w:sz w:val="24"/>
      <w:lang w:val="en-GB" w:eastAsia="en-US"/>
    </w:rPr>
  </w:style>
  <w:style w:type="paragraph" w:styleId="Voetnoottekst">
    <w:name w:val="footnote text"/>
    <w:basedOn w:val="Standaard"/>
    <w:link w:val="VoetnoottekstChar"/>
    <w:uiPriority w:val="99"/>
    <w:semiHidden/>
    <w:unhideWhenUsed/>
    <w:rsid w:val="00AB1644"/>
    <w:rPr>
      <w:sz w:val="20"/>
      <w:szCs w:val="20"/>
    </w:rPr>
  </w:style>
  <w:style w:type="character" w:customStyle="1" w:styleId="VoetnoottekstChar">
    <w:name w:val="Voetnoottekst Char"/>
    <w:basedOn w:val="Standaardalinea-lettertype"/>
    <w:link w:val="Voetnoottekst"/>
    <w:uiPriority w:val="99"/>
    <w:semiHidden/>
    <w:rsid w:val="00AB1644"/>
    <w:rPr>
      <w:rFonts w:ascii="Verdana" w:hAnsi="Verdana"/>
      <w:lang w:eastAsia="en-US"/>
    </w:rPr>
  </w:style>
  <w:style w:type="character" w:styleId="Voetnootmarkering">
    <w:name w:val="footnote reference"/>
    <w:basedOn w:val="Standaardalinea-lettertype"/>
    <w:uiPriority w:val="99"/>
    <w:semiHidden/>
    <w:unhideWhenUsed/>
    <w:rsid w:val="00AB1644"/>
    <w:rPr>
      <w:vertAlign w:val="superscript"/>
    </w:rPr>
  </w:style>
  <w:style w:type="paragraph" w:customStyle="1" w:styleId="Default">
    <w:name w:val="Default"/>
    <w:rsid w:val="007A2E4B"/>
    <w:pPr>
      <w:autoSpaceDE w:val="0"/>
      <w:autoSpaceDN w:val="0"/>
      <w:adjustRightInd w:val="0"/>
    </w:pPr>
    <w:rPr>
      <w:rFonts w:ascii="Verdana" w:hAnsi="Verdana" w:cs="Verdana"/>
      <w:color w:val="000000"/>
      <w:sz w:val="24"/>
      <w:szCs w:val="24"/>
    </w:rPr>
  </w:style>
  <w:style w:type="paragraph" w:customStyle="1" w:styleId="Paragraaf-Huisstijl">
    <w:name w:val="Paragraaf - Huisstijl"/>
    <w:basedOn w:val="Standaard"/>
    <w:next w:val="Standaard"/>
    <w:uiPriority w:val="3"/>
    <w:qFormat/>
    <w:rsid w:val="007D5939"/>
    <w:pPr>
      <w:widowControl w:val="0"/>
      <w:numPr>
        <w:numId w:val="16"/>
      </w:numPr>
      <w:tabs>
        <w:tab w:val="left" w:pos="0"/>
      </w:tabs>
      <w:suppressAutoHyphens/>
      <w:autoSpaceDN w:val="0"/>
      <w:spacing w:before="200" w:line="284" w:lineRule="exact"/>
      <w:textAlignment w:val="baseline"/>
      <w:outlineLvl w:val="0"/>
    </w:pPr>
    <w:rPr>
      <w:rFonts w:eastAsia="DejaVu Sans" w:cs="Lohit Hindi"/>
      <w:b/>
      <w:kern w:val="3"/>
      <w:sz w:val="17"/>
      <w:szCs w:val="24"/>
      <w:lang w:eastAsia="zh-CN" w:bidi="hi-IN"/>
    </w:rPr>
  </w:style>
  <w:style w:type="paragraph" w:customStyle="1" w:styleId="Subparagraaf-Huisstijl">
    <w:name w:val="Subparagraaf - Huisstijl"/>
    <w:basedOn w:val="Paragraaf-Huisstijl"/>
    <w:next w:val="Standaard"/>
    <w:uiPriority w:val="4"/>
    <w:qFormat/>
    <w:rsid w:val="007D5939"/>
    <w:pPr>
      <w:numPr>
        <w:ilvl w:val="1"/>
      </w:numPr>
      <w:outlineLvl w:val="1"/>
    </w:pPr>
    <w:rPr>
      <w:b w:val="0"/>
      <w:i/>
    </w:rPr>
  </w:style>
  <w:style w:type="paragraph" w:styleId="Normaalweb">
    <w:name w:val="Normal (Web)"/>
    <w:basedOn w:val="Standaard"/>
    <w:uiPriority w:val="99"/>
    <w:semiHidden/>
    <w:unhideWhenUsed/>
    <w:rsid w:val="007D5939"/>
    <w:pPr>
      <w:spacing w:after="150"/>
    </w:pPr>
    <w:rPr>
      <w:rFonts w:ascii="FiraSans-Light" w:eastAsia="Times New Roman" w:hAnsi="FiraSans-Light"/>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07572">
      <w:bodyDiv w:val="1"/>
      <w:marLeft w:val="0"/>
      <w:marRight w:val="0"/>
      <w:marTop w:val="0"/>
      <w:marBottom w:val="0"/>
      <w:divBdr>
        <w:top w:val="none" w:sz="0" w:space="0" w:color="auto"/>
        <w:left w:val="none" w:sz="0" w:space="0" w:color="auto"/>
        <w:bottom w:val="none" w:sz="0" w:space="0" w:color="auto"/>
        <w:right w:val="none" w:sz="0" w:space="0" w:color="auto"/>
      </w:divBdr>
    </w:div>
    <w:div w:id="710230798">
      <w:bodyDiv w:val="1"/>
      <w:marLeft w:val="0"/>
      <w:marRight w:val="0"/>
      <w:marTop w:val="0"/>
      <w:marBottom w:val="0"/>
      <w:divBdr>
        <w:top w:val="none" w:sz="0" w:space="0" w:color="auto"/>
        <w:left w:val="none" w:sz="0" w:space="0" w:color="auto"/>
        <w:bottom w:val="none" w:sz="0" w:space="0" w:color="auto"/>
        <w:right w:val="none" w:sz="0" w:space="0" w:color="auto"/>
      </w:divBdr>
    </w:div>
    <w:div w:id="788669529">
      <w:bodyDiv w:val="1"/>
      <w:marLeft w:val="0"/>
      <w:marRight w:val="0"/>
      <w:marTop w:val="0"/>
      <w:marBottom w:val="0"/>
      <w:divBdr>
        <w:top w:val="none" w:sz="0" w:space="0" w:color="auto"/>
        <w:left w:val="none" w:sz="0" w:space="0" w:color="auto"/>
        <w:bottom w:val="none" w:sz="0" w:space="0" w:color="auto"/>
        <w:right w:val="none" w:sz="0" w:space="0" w:color="auto"/>
      </w:divBdr>
    </w:div>
    <w:div w:id="831064729">
      <w:bodyDiv w:val="1"/>
      <w:marLeft w:val="0"/>
      <w:marRight w:val="0"/>
      <w:marTop w:val="0"/>
      <w:marBottom w:val="0"/>
      <w:divBdr>
        <w:top w:val="none" w:sz="0" w:space="0" w:color="auto"/>
        <w:left w:val="none" w:sz="0" w:space="0" w:color="auto"/>
        <w:bottom w:val="none" w:sz="0" w:space="0" w:color="auto"/>
        <w:right w:val="none" w:sz="0" w:space="0" w:color="auto"/>
      </w:divBdr>
    </w:div>
    <w:div w:id="13169081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966499857">
      <w:bodyDiv w:val="1"/>
      <w:marLeft w:val="0"/>
      <w:marRight w:val="0"/>
      <w:marTop w:val="0"/>
      <w:marBottom w:val="0"/>
      <w:divBdr>
        <w:top w:val="none" w:sz="0" w:space="0" w:color="auto"/>
        <w:left w:val="none" w:sz="0" w:space="0" w:color="auto"/>
        <w:bottom w:val="none" w:sz="0" w:space="0" w:color="auto"/>
        <w:right w:val="none" w:sz="0" w:space="0" w:color="auto"/>
      </w:divBdr>
    </w:div>
    <w:div w:id="208105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parlisweb/parlis/zaak.aspx?id=7c3a3035-9d96-42ca-9dbc-5a84aa30882b" TargetMode="External" Id="rId13" /><Relationship Type="http://schemas.openxmlformats.org/officeDocument/2006/relationships/header" Target="header1.xml"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parlisweb/parlis/zaak.aspx?id=bd715498-9770-4698-bfbb-0d9e5483c74d" TargetMode="External" Id="rId12" /><Relationship Type="http://schemas.openxmlformats.org/officeDocument/2006/relationships/footer" Target="footer1.xml" Id="rId17" /><Relationship Type="http://schemas.openxmlformats.org/officeDocument/2006/relationships/hyperlink" Target="https://parleu2016.nl" TargetMode="External" Id="rId16" /><Relationship Type="http://schemas.openxmlformats.org/officeDocument/2006/relationships/fontTable" Target="fontTable.xml" Id="rId20" /><Relationship Type="http://schemas.openxmlformats.org/officeDocument/2006/relationships/settings" Target="settings.xml" Id="rId6" /><Relationship Type="http://schemas.openxmlformats.org/officeDocument/2006/relationships/hyperlink" Target="http://parlisweb/parlis/zaak.aspx?id=f6683825-4109-49cc-b4d8-2ef849c33979" TargetMode="External" Id="rId11" /><Relationship Type="http://schemas.microsoft.com/office/2007/relationships/stylesWithEffects" Target="stylesWithEffects.xml" Id="rId5" /><Relationship Type="http://schemas.openxmlformats.org/officeDocument/2006/relationships/hyperlink" Target="http://ec.europa.eu/energy/en/consultations/consultation-streamlining-planning-and-reporting-obligations-part-energy-union" TargetMode="External" Id="rId15" /><Relationship Type="http://schemas.openxmlformats.org/officeDocument/2006/relationships/image" Target="media/image1.png" Id="rId10" /><Relationship Type="http://schemas.openxmlformats.org/officeDocument/2006/relationships/footer" Target="footer2.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yperlink" Target="http://parlisweb/parlis/zaak.aspx?id=2278322b-736f-4c58-9441-a4a776fd9476"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http://ec.europa.eu/priorities/energy-union/state-energy-union/index_en.htm" TargetMode="External"/><Relationship Id="rId1" Type="http://schemas.openxmlformats.org/officeDocument/2006/relationships/hyperlink" Target="http://eur-lex.europa.eu/legal-content/NL/TXT/?uri=CELEX:52015DC05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4250</ap:Words>
  <ap:Characters>23378</ap:Characters>
  <ap:DocSecurity>4</ap:DocSecurity>
  <ap:Lines>194</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2016-03-08T15:54:00.0000000Z</lastPrinted>
  <dcterms:created xsi:type="dcterms:W3CDTF">2016-03-10T09:26:00.0000000Z</dcterms:created>
  <dcterms:modified xsi:type="dcterms:W3CDTF">2016-03-10T09:26:00.0000000Z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0x010100A5C641B10F637F4192F9B6D2C73FAEB6</vt:lpwstr>
  </property>
</Properties>
</file>