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W14.15.0319/IV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 december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066FC" w:rsidRDefault="00E90991">
              <w:r>
                <w:t xml:space="preserve">Bij Kabinetsmissive van 18 september 2015, no.2015001581, heeft Uwe Majesteit, op voordracht van de Minister van Infrastructuur en Milieu, bij de Afdeling advisering van de Raad van State ter overweging aanhangig gemaakt het voorstel van wet tot wijziging </w:t>
              </w:r>
              <w:r>
                <w:t>van de Waterwet en enkele andere wetten (nieuwe normering primaire waterkeringen), met memorie van toelichting.</w:t>
              </w:r>
            </w:p>
          </w:sdtContent>
        </w:sdt>
        <w:p w:rsidR="0071031E" w:rsidRDefault="0071031E"/>
        <w:sdt>
          <w:sdtPr>
            <w:alias w:val="VrijeTekst1"/>
            <w:tag w:val="VrijeTekst1"/>
            <w:id w:val="-437221631"/>
            <w:lock w:val="sdtLocked"/>
          </w:sdtPr>
          <w:sdtEndPr/>
          <w:sdtContent>
            <w:p w:rsidR="004E5A0C" w:rsidP="00FF035E" w:rsidRDefault="00E90991">
              <w:r>
                <w:t>Het wetsvoorstel voorziet in nieuwe normen voor primaire waterkeringen in de Waterwet, naar aanleiding van nieuwe inzichten in overstromingsr</w:t>
              </w:r>
              <w:r>
                <w:t xml:space="preserve">isico’s. Hierbij is gekozen voor een risicobenadering, waarbij de normen zijn gebaseerd op het risico dat een overstroming zich voordoet en op de gevolgen van een eventuele overstroming. </w:t>
              </w:r>
              <w:r w:rsidRPr="00CA73B0">
                <w:t>Uitgangspunt bij het bepalen van de normen is dat overal tenminste ee</w:t>
              </w:r>
              <w:r w:rsidRPr="00CA73B0">
                <w:t>n basisbeschermingsniveau van 10</w:t>
              </w:r>
              <w:r w:rsidRPr="00C525A5">
                <w:rPr>
                  <w:szCs w:val="22"/>
                  <w:vertAlign w:val="superscript"/>
                </w:rPr>
                <w:t>-5</w:t>
              </w:r>
              <w:r w:rsidRPr="00CA73B0">
                <w:t xml:space="preserve"> wordt geboden.</w:t>
              </w:r>
              <w:r>
                <w:rPr>
                  <w:rStyle w:val="Voetnootmarkering"/>
                </w:rPr>
                <w:footnoteReference w:id="1"/>
              </w:r>
              <w:r>
                <w:t xml:space="preserve"> De primaire waterkeringen worden in het voorstel onderverdeeld in dijktrajecten, waaraan per traject een norm verbonden is.</w:t>
              </w:r>
            </w:p>
            <w:p w:rsidR="005802FB" w:rsidP="00FF035E" w:rsidRDefault="00E90991"/>
            <w:p w:rsidR="005D1CC6" w:rsidRDefault="00E90991">
              <w:r>
                <w:t>De Afdeling advisering van de Raad van State heeft opmerkingen over het voorstel</w:t>
              </w:r>
              <w:r>
                <w:t xml:space="preserve"> die van dien aard zijn dat zij adviseert het voorstel niet naar de Kamer te zenden dan nadat daarmee rekening is gehouden. De Afdeling onderkent de meerwaarde van voorgestelde nieuwe normen(systematiek) ten opzichte van het huidige normenkader voor primai</w:t>
              </w:r>
              <w:r>
                <w:t>re waterkeringen. Vanwege het belang van de waterveiligheid maakt de Afdeling de volgende opmerkingen.</w:t>
              </w:r>
            </w:p>
            <w:p w:rsidR="00A260C2" w:rsidP="00FF035E" w:rsidRDefault="00E90991"/>
            <w:p w:rsidRPr="00EE2132" w:rsidR="00120BF1" w:rsidP="00FF035E" w:rsidRDefault="00E90991">
              <w:r>
                <w:t>De ondergrenzen voor het beschermingsniveau dat dijktrajecten moeten bieden dienen per dijktraject wettelijk te worden verankerd door deze op te nemen i</w:t>
              </w:r>
              <w:r>
                <w:t>n bijlage II bij de wet nu ondergrenzen een waarborgfunctie hebben en de in het voorstel opgenomen systematiek risico’s op verwarring bevat. Daarnaa</w:t>
              </w:r>
              <w:r>
                <w:t>st dient de bevoegdheid van de M</w:t>
              </w:r>
              <w:r>
                <w:t xml:space="preserve">inister van </w:t>
              </w:r>
              <w:proofErr w:type="spellStart"/>
              <w:r>
                <w:t>IenM</w:t>
              </w:r>
              <w:proofErr w:type="spellEnd"/>
              <w:r>
                <w:t xml:space="preserve"> om af te wijken van de ondergrenzen dragend te worden gemot</w:t>
              </w:r>
              <w:r>
                <w:t>iveerd. Indien niet in een dergelijke motivering kan worden voorzien, acht de Afdeling aanpassing van het voorstel met betrekking tot de afwijkingsbevoegdheid aangewezen. Bij handhaving van de voorgestelde afwijkingsbevoegdheid zou niet alleen in de toelic</w:t>
              </w:r>
              <w:r>
                <w:t>hting maar ook in de wetstekst zelf tot uitdrukking moeten worden gebracht dat het basisbeschermingsniveau steeds gewaarborgd dient te zijn. Voorts is een nadere toelichting op de berekening van de signaleringsnormen aangewezen. Tot slot worden opmerkingen</w:t>
              </w:r>
              <w:r>
                <w:t xml:space="preserve"> gemaakt over de geplande invoeringstermijn van de nieuwe wettelijke normen en over de definitie van de term ‘overstromingskans’. </w:t>
              </w:r>
            </w:p>
            <w:p w:rsidR="00E90991" w:rsidRDefault="00E90991">
              <w:pPr>
                <w:rPr>
                  <w:szCs w:val="22"/>
                </w:rPr>
              </w:pPr>
              <w:r>
                <w:rPr>
                  <w:szCs w:val="22"/>
                </w:rPr>
                <w:br w:type="page"/>
              </w:r>
            </w:p>
            <w:p w:rsidRPr="00C525A5" w:rsidR="000C101F" w:rsidP="00443B62" w:rsidRDefault="00E90991">
              <w:pPr>
                <w:pStyle w:val="Lijstalinea"/>
                <w:ind w:left="0"/>
                <w:rPr>
                  <w:u w:val="single"/>
                </w:rPr>
              </w:pPr>
              <w:bookmarkStart w:name="_GoBack" w:id="0"/>
              <w:bookmarkEnd w:id="0"/>
              <w:r w:rsidRPr="00443B62">
                <w:lastRenderedPageBreak/>
                <w:t>1.</w:t>
              </w:r>
              <w:r w:rsidRPr="00443B62">
                <w:tab/>
              </w:r>
              <w:r w:rsidRPr="00C525A5">
                <w:rPr>
                  <w:u w:val="single"/>
                </w:rPr>
                <w:t>Inleiding</w:t>
              </w:r>
            </w:p>
            <w:p w:rsidR="00AB6201" w:rsidP="00180A9B" w:rsidRDefault="00E90991"/>
            <w:p w:rsidR="00AB6201" w:rsidP="00AB6201" w:rsidRDefault="00E90991">
              <w:r>
                <w:t xml:space="preserve">Het wetsvoorstel strekt tot aanpassing van de normering van de </w:t>
              </w:r>
            </w:p>
            <w:p w:rsidR="00AB6201" w:rsidP="00180A9B" w:rsidRDefault="00E90991">
              <w:r>
                <w:t>primaire</w:t>
              </w:r>
              <w:r>
                <w:t xml:space="preserve"> waterkeringen in Nederland. Voor iedereen die in Nederland achter een primaire waterkering woont, moet uiterlijk in 2050 gelden dat het risico</w:t>
              </w:r>
              <w:r w:rsidRPr="00AB6201">
                <w:t xml:space="preserve"> om te overlijden als gevolg van een overstroming op een bepaalde plaats niet groter </w:t>
              </w:r>
              <w:r>
                <w:t xml:space="preserve">is </w:t>
              </w:r>
              <w:r w:rsidRPr="00AB6201">
                <w:t>dan eens per 100.000 jaar</w:t>
              </w:r>
              <w:r>
                <w:t>. Daartoe wordt voorgesteld nieuwe eisen te stellen aan alle primaire waterkeringen, ook voor de nu nog niet genormeerde primaire waterkeringen die een zee- of rivierarm afsluiten (de huidige zogenoemde b-keringen). In dit kader wordt voorgesteld de huidig</w:t>
              </w:r>
              <w:r>
                <w:t>e overschrijdingskansen te vervangen door overstromingskansen en faalkansen.</w:t>
              </w:r>
              <w:r>
                <w:rPr>
                  <w:rStyle w:val="Voetnootmarkering"/>
                </w:rPr>
                <w:footnoteReference w:id="2"/>
              </w:r>
              <w:r>
                <w:t xml:space="preserve"> Daarnaast wordt de bestaande systematiek met normering van dijkringen vervangen door een systematiek waarbij onderdelen van dijkringen, dijktrajecten, worden genormeerd. Voorts b</w:t>
              </w:r>
              <w:r>
                <w:t>evat het wetsvoorstel een grondslag om bij ministeriële regeling voorschriften te geven die de beheerder moet toepassen bij het bepalen van de hydraulische belasting en het bepalen van de sterkte alsmede een verplichting om overschrijding van de signalerin</w:t>
              </w:r>
              <w:r>
                <w:t xml:space="preserve">gsnorm te melden. Het wetsvoorstel bevat tevens een basis voor subsidie voor waterstaatkundige projecten vanaf het moment waarop een kering niet meer aan de signaleringsnorm voldoet. </w:t>
              </w:r>
            </w:p>
            <w:p w:rsidRPr="00180A9B" w:rsidR="00232654" w:rsidP="00180A9B" w:rsidRDefault="00E90991">
              <w:pPr>
                <w:pStyle w:val="Lijstalinea"/>
                <w:ind w:left="1080"/>
              </w:pPr>
            </w:p>
            <w:p w:rsidR="005D1CC6" w:rsidRDefault="00E90991">
              <w:r w:rsidRPr="00443B62">
                <w:t>2.</w:t>
              </w:r>
              <w:r w:rsidRPr="00443B62">
                <w:tab/>
              </w:r>
              <w:r>
                <w:rPr>
                  <w:u w:val="single"/>
                </w:rPr>
                <w:t>Normering en normeringssystematiek</w:t>
              </w:r>
            </w:p>
            <w:p w:rsidR="001F05B0" w:rsidP="001F05B0" w:rsidRDefault="00E90991">
              <w:pPr>
                <w:pStyle w:val="Lijstalinea"/>
                <w:ind w:left="0"/>
              </w:pPr>
            </w:p>
            <w:p w:rsidR="001F05B0" w:rsidP="001F05B0" w:rsidRDefault="00E90991">
              <w:pPr>
                <w:pStyle w:val="Lijstalinea"/>
                <w:ind w:left="0"/>
              </w:pPr>
              <w:r>
                <w:t>Het voorstel bevat een nieuwe no</w:t>
              </w:r>
              <w:r>
                <w:t xml:space="preserve">rmering en een nieuwe normeringssystematiek. Bij het hiernavolgende </w:t>
              </w:r>
              <w:r w:rsidRPr="004D1805">
                <w:rPr>
                  <w:i/>
                </w:rPr>
                <w:t>onderdeel a</w:t>
              </w:r>
              <w:r>
                <w:t xml:space="preserve"> zal eerst met betrekking tot de voorgestelde ondergrenzen worden weergegeven waarin deze verschillen van de signaleringsnormen. De Afdeling plaatst daarna allereerst opmerkinge</w:t>
              </w:r>
              <w:r>
                <w:t>n bij het ontbreken van de aanduiding van de ondergrens per dijktraject (i). Onverminderd het bij (i) vermelde worden opmerkingen geplaatst bij de gehanteerde rekenfactor ter bepaling van de ondergrens (ii) en bij de juridische gevolgen van het niet meer v</w:t>
              </w:r>
              <w:r>
                <w:t xml:space="preserve">oldoen aan de ondergrens (iii). In </w:t>
              </w:r>
              <w:r w:rsidRPr="004D1805">
                <w:rPr>
                  <w:i/>
                </w:rPr>
                <w:t>onderdeel b</w:t>
              </w:r>
              <w:r>
                <w:t xml:space="preserve"> plaatst de Afdeling opmerkingen bij de signaleringsnorm. </w:t>
              </w:r>
            </w:p>
            <w:p w:rsidR="001F05B0" w:rsidP="001F05B0" w:rsidRDefault="00E90991">
              <w:pPr>
                <w:pStyle w:val="Lijstalinea"/>
                <w:ind w:left="0"/>
              </w:pPr>
            </w:p>
            <w:p w:rsidR="00E241D9" w:rsidP="00443B62" w:rsidRDefault="00E90991">
              <w:pPr>
                <w:pStyle w:val="Lijstalinea"/>
                <w:numPr>
                  <w:ilvl w:val="0"/>
                  <w:numId w:val="5"/>
                </w:numPr>
                <w:ind w:left="0" w:firstLine="0"/>
                <w:rPr>
                  <w:i/>
                </w:rPr>
              </w:pPr>
              <w:r>
                <w:rPr>
                  <w:i/>
                </w:rPr>
                <w:t>De o</w:t>
              </w:r>
              <w:r w:rsidRPr="00E241D9">
                <w:rPr>
                  <w:i/>
                </w:rPr>
                <w:t xml:space="preserve">ndergrenzen </w:t>
              </w:r>
            </w:p>
            <w:p w:rsidRPr="00B90D3F" w:rsidR="00B90D3F" w:rsidP="00B90D3F" w:rsidRDefault="00E90991">
              <w:pPr>
                <w:pStyle w:val="Lijstalinea"/>
                <w:ind w:left="0"/>
              </w:pPr>
            </w:p>
            <w:p w:rsidR="00A37152" w:rsidP="00BD5394" w:rsidRDefault="00E90991">
              <w:pPr>
                <w:rPr>
                  <w:szCs w:val="22"/>
                </w:rPr>
              </w:pPr>
              <w:r w:rsidRPr="00171C72">
                <w:t xml:space="preserve">Het nieuwe normenstelsel is </w:t>
              </w:r>
              <w:r>
                <w:t xml:space="preserve">onder andere </w:t>
              </w:r>
              <w:r w:rsidRPr="00171C72">
                <w:t xml:space="preserve">ingericht op het anticiperen op noodzakelijke </w:t>
              </w:r>
              <w:r>
                <w:t>dijkversterkingen.</w:t>
              </w:r>
              <w:r>
                <w:rPr>
                  <w:rStyle w:val="Voetnootmarkering"/>
                </w:rPr>
                <w:footnoteReference w:id="3"/>
              </w:r>
              <w:r>
                <w:t xml:space="preserve"> In het </w:t>
              </w:r>
              <w:r w:rsidRPr="00171C72">
                <w:t>voorstel heeft dit</w:t>
              </w:r>
              <w:r w:rsidRPr="00171C72">
                <w:t xml:space="preserve"> vorm gekregen door het</w:t>
              </w:r>
              <w:r>
                <w:t xml:space="preserve"> </w:t>
              </w:r>
              <w:r w:rsidRPr="00171C72">
                <w:lastRenderedPageBreak/>
                <w:t>onderscheiden van een signaleringsnorm en een ondergrens</w:t>
              </w:r>
              <w:r>
                <w:t>.</w:t>
              </w:r>
              <w:r>
                <w:rPr>
                  <w:rStyle w:val="Voetnootmarkering"/>
                </w:rPr>
                <w:footnoteReference w:id="4"/>
              </w:r>
              <w:r>
                <w:t xml:space="preserve"> </w:t>
              </w:r>
              <w:r w:rsidRPr="00171C72">
                <w:t xml:space="preserve">De </w:t>
              </w:r>
              <w:r w:rsidRPr="001F05B0">
                <w:rPr>
                  <w:i/>
                </w:rPr>
                <w:t>ondergrens</w:t>
              </w:r>
              <w:r>
                <w:t xml:space="preserve"> is de weergave van het</w:t>
              </w:r>
              <w:r w:rsidRPr="00171C72">
                <w:t xml:space="preserve"> minimale beschermingsniveau dat de kering moet bieden.</w:t>
              </w:r>
              <w:r>
                <w:rPr>
                  <w:rStyle w:val="Voetnootmarkering"/>
                </w:rPr>
                <w:footnoteReference w:id="5"/>
              </w:r>
              <w:r>
                <w:rPr>
                  <w:szCs w:val="22"/>
                </w:rPr>
                <w:t xml:space="preserve"> De functie van de </w:t>
              </w:r>
              <w:r w:rsidRPr="001F05B0">
                <w:rPr>
                  <w:i/>
                  <w:szCs w:val="22"/>
                </w:rPr>
                <w:t>signaleringsnorm</w:t>
              </w:r>
              <w:r>
                <w:rPr>
                  <w:szCs w:val="22"/>
                </w:rPr>
                <w:t xml:space="preserve"> is het tijdig in kaart brengen van versterkin</w:t>
              </w:r>
              <w:r>
                <w:rPr>
                  <w:szCs w:val="22"/>
                </w:rPr>
                <w:t xml:space="preserve">gsopgaven, zodat de ondergrens en daardoor het basisbeschermingsniveau steeds gehandhaafd blijft. </w:t>
              </w:r>
              <w:r w:rsidRPr="00972062">
                <w:rPr>
                  <w:szCs w:val="22"/>
                </w:rPr>
                <w:t>Op grond van het voorgestelde artikel 2.2</w:t>
              </w:r>
              <w:r>
                <w:rPr>
                  <w:szCs w:val="22"/>
                </w:rPr>
                <w:t>, eerste lid onder a en b</w:t>
              </w:r>
              <w:r w:rsidRPr="00972062">
                <w:rPr>
                  <w:szCs w:val="22"/>
                </w:rPr>
                <w:t xml:space="preserve"> zijn </w:t>
              </w:r>
              <w:r>
                <w:rPr>
                  <w:szCs w:val="22"/>
                </w:rPr>
                <w:t>per</w:t>
              </w:r>
              <w:r w:rsidRPr="00972062">
                <w:rPr>
                  <w:szCs w:val="22"/>
                </w:rPr>
                <w:t xml:space="preserve"> dijktraject </w:t>
              </w:r>
              <w:r>
                <w:rPr>
                  <w:szCs w:val="22"/>
                </w:rPr>
                <w:t xml:space="preserve">enkel </w:t>
              </w:r>
              <w:r w:rsidRPr="00972062">
                <w:rPr>
                  <w:szCs w:val="22"/>
                </w:rPr>
                <w:t>de overstromingskansen per jaar als signaleringswaarden opgenome</w:t>
              </w:r>
              <w:r w:rsidRPr="00972062">
                <w:rPr>
                  <w:szCs w:val="22"/>
                </w:rPr>
                <w:t>n in bijlage II bij het wetsvoorstel</w:t>
              </w:r>
              <w:r>
                <w:rPr>
                  <w:szCs w:val="22"/>
                </w:rPr>
                <w:t>. D</w:t>
              </w:r>
              <w:r w:rsidRPr="00AA5EB8">
                <w:rPr>
                  <w:szCs w:val="22"/>
                </w:rPr>
                <w:t>e ondergren</w:t>
              </w:r>
              <w:r>
                <w:rPr>
                  <w:szCs w:val="22"/>
                </w:rPr>
                <w:t>s</w:t>
              </w:r>
              <w:r w:rsidRPr="00AA5EB8">
                <w:rPr>
                  <w:szCs w:val="22"/>
                </w:rPr>
                <w:t xml:space="preserve"> </w:t>
              </w:r>
              <w:r>
                <w:rPr>
                  <w:szCs w:val="22"/>
                </w:rPr>
                <w:t>wordt niet per dijktraject geëxpliciteerd maar moet via een in het voorstel vastgelegde rekenfactor uit de signaleringswaarde worden afgeleid.</w:t>
              </w:r>
              <w:r>
                <w:rPr>
                  <w:rStyle w:val="Voetnootmarkering"/>
                  <w:szCs w:val="22"/>
                </w:rPr>
                <w:footnoteReference w:id="6"/>
              </w:r>
            </w:p>
            <w:p w:rsidR="00527B84" w:rsidP="00BD5394" w:rsidRDefault="00E90991">
              <w:pPr>
                <w:rPr>
                  <w:szCs w:val="22"/>
                </w:rPr>
              </w:pPr>
            </w:p>
            <w:p w:rsidR="00670AB2" w:rsidP="00443B62" w:rsidRDefault="00E90991">
              <w:pPr>
                <w:pStyle w:val="Lijstalinea"/>
                <w:ind w:left="0"/>
                <w:rPr>
                  <w:i/>
                </w:rPr>
              </w:pPr>
              <w:r>
                <w:rPr>
                  <w:i/>
                </w:rPr>
                <w:t xml:space="preserve">i. </w:t>
              </w:r>
              <w:r>
                <w:rPr>
                  <w:i/>
                </w:rPr>
                <w:tab/>
                <w:t>Ondergrens per dijktraject</w:t>
              </w:r>
            </w:p>
            <w:p w:rsidR="00B90D3F" w:rsidP="00443B62" w:rsidRDefault="00E90991">
              <w:pPr>
                <w:pStyle w:val="Lijstalinea"/>
                <w:ind w:left="0"/>
              </w:pPr>
              <w:r>
                <w:t>De Afdeling is van oordeel dat artikel 2.2 van het voorstel en bijlage II aanpassing behoeven vanwege het hierna volgende.</w:t>
              </w:r>
            </w:p>
            <w:p w:rsidRPr="00B90D3F" w:rsidR="002C4B13" w:rsidP="00443B62" w:rsidRDefault="00E90991">
              <w:pPr>
                <w:pStyle w:val="Lijstalinea"/>
                <w:ind w:left="0"/>
              </w:pPr>
            </w:p>
            <w:p w:rsidR="00AA5EB8" w:rsidP="00FF7BBC" w:rsidRDefault="00E90991">
              <w:pPr>
                <w:autoSpaceDE w:val="0"/>
                <w:autoSpaceDN w:val="0"/>
                <w:adjustRightInd w:val="0"/>
                <w:rPr>
                  <w:szCs w:val="22"/>
                </w:rPr>
              </w:pPr>
              <w:r>
                <w:rPr>
                  <w:szCs w:val="22"/>
                </w:rPr>
                <w:t>De toelichting vermeldt dat de voorgestelde signaleringsnormen centraal staan in het nieuwe waterveiligheidsbeleid.</w:t>
              </w:r>
              <w:r>
                <w:rPr>
                  <w:rStyle w:val="Voetnootmarkering"/>
                  <w:szCs w:val="22"/>
                </w:rPr>
                <w:footnoteReference w:id="7"/>
              </w:r>
              <w:r>
                <w:rPr>
                  <w:szCs w:val="22"/>
                </w:rPr>
                <w:t xml:space="preserve"> De Afdeling ond</w:t>
              </w:r>
              <w:r>
                <w:rPr>
                  <w:szCs w:val="22"/>
                </w:rPr>
                <w:t>erkent de meerwaarde van deze normen ten opzichte van de huidige normering en het belang van deze normen die beogen te voorkomen dat in de praktijk een situatie ontstaat dat niet wordt voldaan aan een ondergrens. De signaleringsnormen zelf hebben, zoals hu</w:t>
              </w:r>
              <w:r>
                <w:rPr>
                  <w:szCs w:val="22"/>
                </w:rPr>
                <w:t>n aanduiding al aangeeft, een signaalfunctie. De waarborgfunctie voor de veiligheid is echter gelegen in de ondergrenzen. Gelet op de voorgestelde systeemverandering acht de Afdeling de nadruk die gelegd wordt op de signaleringsnormen en hun aanduiding per</w:t>
              </w:r>
              <w:r>
                <w:rPr>
                  <w:szCs w:val="22"/>
                </w:rPr>
                <w:t xml:space="preserve"> dijktraject begrijpelijk. Dit doet echter niet af aan het belang van een wettelijke waarborging van de ondergrenzen per dijktraject en aan het belang dat deze zelfstandig en eenduidig kenbaar zijn.</w:t>
              </w:r>
              <w:r>
                <w:rPr>
                  <w:rStyle w:val="Voetnootmarkering"/>
                </w:rPr>
                <w:footnoteReference w:id="8"/>
              </w:r>
              <w:r>
                <w:rPr>
                  <w:szCs w:val="22"/>
                </w:rPr>
                <w:t xml:space="preserve"> Het voorstel om via een rekenfactor uit de signaleringsn</w:t>
              </w:r>
              <w:r>
                <w:rPr>
                  <w:szCs w:val="22"/>
                </w:rPr>
                <w:t xml:space="preserve">ormen te moeten afleiden wat de ondergrens is bij een bepaald dijktraject, acht de Afdeling daarom onwenselijk. Dit klemt temeer nu het voorgestelde in de praktijk tot problemen kan leiden. </w:t>
              </w:r>
            </w:p>
            <w:p w:rsidR="00AA5EB8" w:rsidP="00FF7BBC" w:rsidRDefault="00E90991">
              <w:pPr>
                <w:autoSpaceDE w:val="0"/>
                <w:autoSpaceDN w:val="0"/>
                <w:adjustRightInd w:val="0"/>
                <w:rPr>
                  <w:szCs w:val="22"/>
                </w:rPr>
              </w:pPr>
            </w:p>
            <w:p w:rsidR="0033061E" w:rsidP="00FF7BBC" w:rsidRDefault="00E90991">
              <w:pPr>
                <w:autoSpaceDE w:val="0"/>
                <w:autoSpaceDN w:val="0"/>
                <w:adjustRightInd w:val="0"/>
              </w:pPr>
              <w:r>
                <w:rPr>
                  <w:szCs w:val="22"/>
                </w:rPr>
                <w:t>Bij de consultatie is op dit laatste ook door diverse instanties</w:t>
              </w:r>
              <w:r>
                <w:rPr>
                  <w:szCs w:val="22"/>
                </w:rPr>
                <w:t xml:space="preserve"> gewezen. </w:t>
              </w:r>
              <w:r>
                <w:t>Rijkswaterstaat (</w:t>
              </w:r>
              <w:r w:rsidRPr="00B77E34">
                <w:t>RWS</w:t>
              </w:r>
              <w:r>
                <w:t>), IPO</w:t>
              </w:r>
              <w:r w:rsidRPr="00822033">
                <w:t xml:space="preserve">, </w:t>
              </w:r>
              <w:proofErr w:type="spellStart"/>
              <w:r w:rsidRPr="002A319C">
                <w:t>Deltares</w:t>
              </w:r>
              <w:proofErr w:type="spellEnd"/>
              <w:r>
                <w:t xml:space="preserve"> en </w:t>
              </w:r>
              <w:r w:rsidRPr="00FF7BBC">
                <w:t>TU Delft pleiten voor het</w:t>
              </w:r>
              <w:r>
                <w:t xml:space="preserve"> expliciet</w:t>
              </w:r>
              <w:r w:rsidRPr="00FF7BBC">
                <w:t xml:space="preserve"> opnemen van ondergrenzen in de wet, naast of in plaats van de nu opgenomen </w:t>
              </w:r>
              <w:r w:rsidRPr="00FF7BBC">
                <w:lastRenderedPageBreak/>
                <w:t>signaleringswaarden,</w:t>
              </w:r>
              <w:r w:rsidRPr="002857ED">
                <w:t xml:space="preserve"> met het oog op duidelijkheid</w:t>
              </w:r>
              <w:r>
                <w:t>,</w:t>
              </w:r>
              <w:r w:rsidRPr="00FF7BBC">
                <w:t xml:space="preserve"> consistentie</w:t>
              </w:r>
              <w:r>
                <w:t xml:space="preserve"> en uitvoerbaarheid</w:t>
              </w:r>
              <w:r w:rsidRPr="00FF7BBC">
                <w:t xml:space="preserve"> van het nieu</w:t>
              </w:r>
              <w:r w:rsidRPr="00FF7BBC">
                <w:t xml:space="preserve">we normenkader. </w:t>
              </w:r>
              <w:r>
                <w:t>De consultatiereactie van de TU Delft noemt de gekozen wijze van opnemen van enkel signaleringswaarden in het voorstel een “weeffout die voor onnodige verwarring en complexiteit zal zorgen”</w:t>
              </w:r>
              <w:r>
                <w:t>.</w:t>
              </w:r>
              <w:r>
                <w:rPr>
                  <w:rStyle w:val="Voetnootmarkering"/>
                </w:rPr>
                <w:footnoteReference w:id="9"/>
              </w:r>
            </w:p>
            <w:p w:rsidR="00670AB2" w:rsidP="00FF7BBC" w:rsidRDefault="00E90991">
              <w:pPr>
                <w:autoSpaceDE w:val="0"/>
                <w:autoSpaceDN w:val="0"/>
                <w:adjustRightInd w:val="0"/>
              </w:pPr>
              <w:r>
                <w:t>De Afdeling onderschrijft dit risico op complexi</w:t>
              </w:r>
              <w:r>
                <w:t xml:space="preserve">teit en verwarring, nu </w:t>
              </w:r>
              <w:r>
                <w:rPr>
                  <w:szCs w:val="22"/>
                </w:rPr>
                <w:t>er ook dijktrajecten zijn waarvoor geen signaleringswaarden worden vastgesteld (artikel 2.2, eerste lid, onder c)</w:t>
              </w:r>
              <w:r>
                <w:rPr>
                  <w:szCs w:val="22"/>
                </w:rPr>
                <w:t>,</w:t>
              </w:r>
              <w:r>
                <w:rPr>
                  <w:rStyle w:val="Voetnootmarkering"/>
                  <w:szCs w:val="22"/>
                </w:rPr>
                <w:footnoteReference w:id="10"/>
              </w:r>
              <w:r>
                <w:rPr>
                  <w:szCs w:val="22"/>
                </w:rPr>
                <w:t xml:space="preserve"> maar juist wel ondergrenzen zijn bepaald en in bijlage II van de wet opgenomen.</w:t>
              </w:r>
              <w:r>
                <w:t xml:space="preserve"> Bijlage II bevat voor de meeste dijkt</w:t>
              </w:r>
              <w:r>
                <w:t>rajecten signaleringsnormen en voor sommige dijktrajecten ondergrenzen. Omdat de bijlage zowel signaleringsnormen als ondergrenzen bevat, is onvoldoende helder bij welke trajecten de normen uit bijlage II de betekenis hebben van signaleringsnormen en wanne</w:t>
              </w:r>
              <w:r>
                <w:t>er die van ondergrenzen. De TU Delft vermeldt dat deze keuze in het voorstel een bestuurlijk compromis is dat “naar verwachting in de praktijk tot grote verwarring [zal] gaan leiden.”</w:t>
              </w:r>
            </w:p>
            <w:p w:rsidR="0033061E" w:rsidP="00FF7BBC" w:rsidRDefault="00E90991">
              <w:pPr>
                <w:autoSpaceDE w:val="0"/>
                <w:autoSpaceDN w:val="0"/>
                <w:adjustRightInd w:val="0"/>
              </w:pPr>
            </w:p>
            <w:p w:rsidR="00DA1299" w:rsidP="00DA1299" w:rsidRDefault="00E90991">
              <w:r>
                <w:t xml:space="preserve">Volgens de toelichting zijn zowel de signaleringswaarden als de ondergrenzen voor alle dijktrajecten in Nederland feitelijk reeds bepaald. Niet valt </w:t>
              </w:r>
              <w:r w:rsidRPr="008312E3">
                <w:t xml:space="preserve">in te zien waarom </w:t>
              </w:r>
              <w:r>
                <w:t>de reeds bekende ondergrenzen per dijktraject zich niet zouden lenen voor opname in bijla</w:t>
              </w:r>
              <w:r>
                <w:t>ge II bij het voorstel.</w:t>
              </w:r>
              <w:r>
                <w:rPr>
                  <w:rStyle w:val="Voetnootmarkering"/>
                </w:rPr>
                <w:footnoteReference w:id="11"/>
              </w:r>
              <w:r>
                <w:t xml:space="preserve"> Het belang van deze opname is groot, nu de wet maximale helderheid dient te bieden over de te hanteren ondergrensnormen aangezien daarmee de wettelijke waarborg voor de veiligheid gegeven is. </w:t>
              </w:r>
            </w:p>
            <w:p w:rsidR="00DA1299" w:rsidP="00DA1299" w:rsidRDefault="00E90991">
              <w:pPr>
                <w:rPr>
                  <w:szCs w:val="22"/>
                </w:rPr>
              </w:pPr>
              <w:r>
                <w:rPr>
                  <w:szCs w:val="22"/>
                </w:rPr>
                <w:t xml:space="preserve">De Afdeling adviseert gelet op het </w:t>
              </w:r>
              <w:r>
                <w:rPr>
                  <w:szCs w:val="22"/>
                </w:rPr>
                <w:t>voorgaande de ondergrenzen alsnog per dijktraject op te nemen in bijlage II bij het voorstel en het voorgestelde artikel 2.2 en de toelichting daarop dienovereenkomstig aan te passen.</w:t>
              </w:r>
            </w:p>
            <w:p w:rsidR="006D581C" w:rsidP="00DA1299" w:rsidRDefault="00E90991">
              <w:pPr>
                <w:rPr>
                  <w:szCs w:val="22"/>
                </w:rPr>
              </w:pPr>
            </w:p>
            <w:p w:rsidRPr="00E83680" w:rsidR="006D581C" w:rsidP="00DA1299" w:rsidRDefault="00E90991">
              <w:r>
                <w:t>Onverminderd het voorgaande merkt de Afdeling het volgende op.</w:t>
              </w:r>
            </w:p>
            <w:p w:rsidR="00DA1299" w:rsidP="0021470D" w:rsidRDefault="00E90991"/>
            <w:p w:rsidR="00EE2132" w:rsidP="00D068D9" w:rsidRDefault="00E90991">
              <w:pPr>
                <w:pStyle w:val="Lijstalinea"/>
                <w:ind w:left="0"/>
                <w:rPr>
                  <w:i/>
                </w:rPr>
              </w:pPr>
              <w:r>
                <w:rPr>
                  <w:i/>
                </w:rPr>
                <w:t xml:space="preserve">ii. </w:t>
              </w:r>
              <w:r>
                <w:rPr>
                  <w:i/>
                </w:rPr>
                <w:tab/>
                <w:t>Re</w:t>
              </w:r>
              <w:r>
                <w:rPr>
                  <w:i/>
                </w:rPr>
                <w:t>kenfactor</w:t>
              </w:r>
            </w:p>
            <w:p w:rsidR="00F42AE9" w:rsidP="00B1274D" w:rsidRDefault="00E90991">
              <w:r>
                <w:t>In het voorgestelde artikel 2.2, vierde lid is een wettelijke rekenfactor opgenomen waarmee uit de in bijlage II van het voorstel opgenomen signaleringswaarde, de ondergrens per dijktraject kan worden berekend.</w:t>
              </w:r>
              <w:r>
                <w:rPr>
                  <w:rStyle w:val="Voetnootmarkering"/>
                </w:rPr>
                <w:footnoteReference w:id="12"/>
              </w:r>
              <w:r>
                <w:t xml:space="preserve"> De Afdeling maakt de volgende opme</w:t>
              </w:r>
              <w:r>
                <w:t xml:space="preserve">rkingen over deze systematiek. </w:t>
              </w:r>
            </w:p>
            <w:p w:rsidR="00F11FD7" w:rsidP="00B1274D" w:rsidRDefault="00E90991"/>
            <w:p w:rsidR="00F56BBA" w:rsidP="00F42AE9" w:rsidRDefault="00E90991">
              <w:r>
                <w:t xml:space="preserve">De signaleringswaarde bepaalt wanneer een begin moet worden gemaakt met het plannen van herstelwerkzaamheden, om te voorkomen dat de waterkering de ondergrens overschrijdt en daarmee niet meer veilig genoeg is. De </w:t>
              </w:r>
              <w:r>
                <w:lastRenderedPageBreak/>
                <w:t>signaleri</w:t>
              </w:r>
              <w:r>
                <w:t xml:space="preserve">ngwaarde wordt bereikt op een bepaald tijdstip, en op een later tijdstip de ondergrens. </w:t>
              </w:r>
              <w:r w:rsidRPr="008312E3">
                <w:t xml:space="preserve">Volgens de toelichting zijn signaleringswaarden gebaseerd op </w:t>
              </w:r>
              <w:r>
                <w:t>normspecificaties die met gebruikmaking van de informatie uit de MKBA WV 21</w:t>
              </w:r>
              <w:r>
                <w:rPr>
                  <w:rStyle w:val="Voetnootmarkering"/>
                </w:rPr>
                <w:footnoteReference w:id="13"/>
              </w:r>
              <w:r>
                <w:t xml:space="preserve"> en de SLA WV 21</w:t>
              </w:r>
              <w:r>
                <w:rPr>
                  <w:rStyle w:val="Voetnootmarkering"/>
                </w:rPr>
                <w:footnoteReference w:id="14"/>
              </w:r>
              <w:r>
                <w:t xml:space="preserve"> zijn vastgest</w:t>
              </w:r>
              <w:r>
                <w:t xml:space="preserve">eld en waarbij gerekend is met </w:t>
              </w:r>
              <w:r w:rsidRPr="008312E3">
                <w:t xml:space="preserve">zogenoemde </w:t>
              </w:r>
              <w:proofErr w:type="spellStart"/>
              <w:r w:rsidRPr="008312E3">
                <w:t>middenkansen</w:t>
              </w:r>
              <w:proofErr w:type="spellEnd"/>
              <w:r w:rsidRPr="008312E3">
                <w:t>: het gemiddelde beschermingsniveau gedurende de levensduur van een dijktraject.</w:t>
              </w:r>
              <w:r>
                <w:rPr>
                  <w:rStyle w:val="Voetnootmarkering"/>
                </w:rPr>
                <w:footnoteReference w:id="15"/>
              </w:r>
              <w:r w:rsidRPr="008312E3">
                <w:t xml:space="preserve"> </w:t>
              </w:r>
              <w:r>
                <w:t>Voor de ondergrenzen geldt dat deze de maximale overstromingskans of faalkans voor een kering weergeven die hoort bij he</w:t>
              </w:r>
              <w:r>
                <w:t xml:space="preserve">t </w:t>
              </w:r>
              <w:r w:rsidRPr="008312E3">
                <w:t>basisbeschermingsniveau</w:t>
              </w:r>
              <w:r>
                <w:t>.</w:t>
              </w:r>
              <w:r>
                <w:rPr>
                  <w:rStyle w:val="Voetnootmarkering"/>
                </w:rPr>
                <w:footnoteReference w:id="16"/>
              </w:r>
              <w:r>
                <w:t xml:space="preserve"> Zowel de signaleringswaarde als de ondergrens zijn bekend nu deze waarden voor elk dijktraject feitelijk reeds bepaald zijn op basis van uitgevoerde berekeningen.</w:t>
              </w:r>
              <w:r>
                <w:rPr>
                  <w:rStyle w:val="Voetnootmarkering"/>
                </w:rPr>
                <w:footnoteReference w:id="17"/>
              </w:r>
              <w:r>
                <w:t xml:space="preserve"> Om die reden is het de Afdeling niet duidelijk waarom de ene waa</w:t>
              </w:r>
              <w:r>
                <w:t>rde via een rekenfactor uit de andere afgeleid zou moeten worden. Als dit al zou moeten geschieden, ligt het meer voor de hand de signaleringsnorm af te leiden uit de ondergrens voor de overstromingswaarde in plaats van omgekeerd. In de risicosystematiek i</w:t>
              </w:r>
              <w:r>
                <w:t xml:space="preserve">s de ondergrens immers de bepalende waarde. </w:t>
              </w:r>
            </w:p>
            <w:p w:rsidR="00F56BBA" w:rsidP="00F42AE9" w:rsidRDefault="00E90991"/>
            <w:p w:rsidR="001E4A3B" w:rsidP="00F42AE9" w:rsidRDefault="00E90991">
              <w:r>
                <w:t>Dit lijkt temeer van belang vanwege het volgende. Er vindt een indeling in klassen plaats van de getalswaarden van zowel de signaleringsnorm als de ondergrens.</w:t>
              </w:r>
              <w:r>
                <w:rPr>
                  <w:rStyle w:val="Voetnootmarkering"/>
                </w:rPr>
                <w:footnoteReference w:id="18"/>
              </w:r>
              <w:r>
                <w:t xml:space="preserve"> Het daarop toepassen van een rekenfactor en de af</w:t>
              </w:r>
              <w:r>
                <w:t>rondingsvoorschriften leidt tot een grove vereenvoudiging van de verhouding tussen deze waarden. D</w:t>
              </w:r>
              <w:r w:rsidRPr="008312E3">
                <w:t xml:space="preserve">e uit berekening gevonden </w:t>
              </w:r>
              <w:r>
                <w:t xml:space="preserve">verschillen per dijktraject tussen de feitelijk berekende signaleringsnormen en de feitelijk berekende ondergrenzen variëren immers </w:t>
              </w:r>
              <w:r>
                <w:t xml:space="preserve">van een </w:t>
              </w:r>
              <w:r w:rsidRPr="008312E3">
                <w:t>factor 1</w:t>
              </w:r>
              <w:r>
                <w:t xml:space="preserve"> tot een factor </w:t>
              </w:r>
              <w:r w:rsidRPr="008312E3">
                <w:t>5</w:t>
              </w:r>
              <w:r>
                <w:t>. Pas na indeling in klassen blijkt in verreweg de meeste gevallen sprake te zijn van een factor 3.</w:t>
              </w:r>
              <w:r>
                <w:rPr>
                  <w:rStyle w:val="Voetnootmarkering"/>
                </w:rPr>
                <w:footnoteReference w:id="19"/>
              </w:r>
              <w:r>
                <w:t xml:space="preserve"> Het komt de Afdeling voor dat </w:t>
              </w:r>
              <w:r>
                <w:lastRenderedPageBreak/>
                <w:t>deze vereenvoudiging in theorie kan leiden tot vaststelling van een minder bescherming biede</w:t>
              </w:r>
              <w:r>
                <w:t xml:space="preserve">nde ondergrens dan uit de berekende waarden zou volgen. </w:t>
              </w:r>
            </w:p>
            <w:p w:rsidR="00276A62" w:rsidP="00B1274D" w:rsidRDefault="00E90991">
              <w:r>
                <w:t>De voorgestelde systematiek lijkt er derhalve toe te kunnen leiden dat met gebruik van de wettelijke rekenfactor een ondergrens wordt vastgesteld die minder bescherming biedt dan wanneer géén rekenfa</w:t>
              </w:r>
              <w:r>
                <w:t>ctor wordt gehanteerd, maar in plaats daarvan wordt uitgegaan van de daadwerkelijke berekende waarden voor het betreffende dijktraject. In het licht van de doelstellingen van de systematiek is dat niet goed begrijpelijk.</w:t>
              </w:r>
            </w:p>
            <w:p w:rsidR="00277F2C" w:rsidP="0021470D" w:rsidRDefault="00E90991"/>
            <w:p w:rsidR="00231487" w:rsidP="0021470D" w:rsidRDefault="00E90991">
              <w:r>
                <w:t>Tevens merkt de Afdeling op dat ui</w:t>
              </w:r>
              <w:r>
                <w:t>t artikel 2.2, vijfde lid, van het wetsvoorstel en paragraaf 5.5 van de toelichting daarnaast nog volgt dat toepassing van de rekenfactor niet in alle gevallen aangewezen is, zodat voorzien moet wo</w:t>
              </w:r>
              <w:r>
                <w:t>rden in een bevoegdheid van de M</w:t>
              </w:r>
              <w:r>
                <w:t xml:space="preserve">inister van </w:t>
              </w:r>
              <w:proofErr w:type="spellStart"/>
              <w:r>
                <w:t>I</w:t>
              </w:r>
              <w:r>
                <w:t>en</w:t>
              </w:r>
              <w:r>
                <w:t>M</w:t>
              </w:r>
              <w:proofErr w:type="spellEnd"/>
              <w:r>
                <w:t xml:space="preserve"> om hiervan</w:t>
              </w:r>
              <w:r>
                <w:t xml:space="preserve"> binnen de eerder genoemde bandbreedte af te wijken. Ziet de Afdeling het goed dan kunnen deze bevoegdheid en deze procedure gemist worden bij het opnemen van ondergrenzen per dijktraject in de wet. Voor nadere opmerkingen over deze bevoegdheid verwijst de</w:t>
              </w:r>
              <w:r>
                <w:t xml:space="preserve"> Afdeling naar punt 3 van dit advies. </w:t>
              </w:r>
            </w:p>
            <w:p w:rsidR="00DA1299" w:rsidP="0021470D" w:rsidRDefault="00E90991"/>
            <w:p w:rsidR="00DA1299" w:rsidP="0021470D" w:rsidRDefault="00E90991">
              <w:r>
                <w:t>De Afdeling adviseert in de toelichting op het bovenstaande in te gaan en het voorstel zo nodig aan te passen.</w:t>
              </w:r>
            </w:p>
            <w:p w:rsidR="00DA1299" w:rsidP="0021470D" w:rsidRDefault="00E90991"/>
            <w:p w:rsidRPr="00E241D9" w:rsidR="00DA1299" w:rsidP="00443B62" w:rsidRDefault="00E90991">
              <w:pPr>
                <w:pStyle w:val="Lijstalinea"/>
                <w:ind w:left="0"/>
                <w:rPr>
                  <w:i/>
                </w:rPr>
              </w:pPr>
              <w:r>
                <w:rPr>
                  <w:i/>
                </w:rPr>
                <w:t>iii.</w:t>
              </w:r>
              <w:r>
                <w:rPr>
                  <w:i/>
                </w:rPr>
                <w:tab/>
                <w:t xml:space="preserve"> Juridische gevolgen ondergrens</w:t>
              </w:r>
            </w:p>
            <w:p w:rsidR="00FC0B65" w:rsidP="0021470D" w:rsidRDefault="00E90991">
              <w:pPr>
                <w:rPr>
                  <w:szCs w:val="22"/>
                </w:rPr>
              </w:pPr>
              <w:r>
                <w:rPr>
                  <w:szCs w:val="22"/>
                </w:rPr>
                <w:t xml:space="preserve">De Afdeling wijst er op dat </w:t>
              </w:r>
              <w:r w:rsidRPr="00344F51">
                <w:rPr>
                  <w:szCs w:val="22"/>
                </w:rPr>
                <w:t xml:space="preserve">paragraaf 5.3.1 van de toelichting </w:t>
              </w:r>
              <w:r>
                <w:rPr>
                  <w:szCs w:val="22"/>
                </w:rPr>
                <w:t xml:space="preserve">wel ingaat op </w:t>
              </w:r>
              <w:r w:rsidRPr="00344F51">
                <w:rPr>
                  <w:szCs w:val="22"/>
                </w:rPr>
                <w:t>de bet</w:t>
              </w:r>
              <w:r>
                <w:rPr>
                  <w:szCs w:val="22"/>
                </w:rPr>
                <w:t>e</w:t>
              </w:r>
              <w:r w:rsidRPr="00344F51">
                <w:rPr>
                  <w:szCs w:val="22"/>
                </w:rPr>
                <w:t xml:space="preserve">kenis van de ondergrens </w:t>
              </w:r>
              <w:r>
                <w:rPr>
                  <w:szCs w:val="22"/>
                </w:rPr>
                <w:t>voor het beleid en het beheer, maar niet op de</w:t>
              </w:r>
              <w:r w:rsidRPr="009556FF">
                <w:rPr>
                  <w:szCs w:val="22"/>
                </w:rPr>
                <w:t xml:space="preserve"> </w:t>
              </w:r>
              <w:r>
                <w:rPr>
                  <w:szCs w:val="22"/>
                </w:rPr>
                <w:t xml:space="preserve">mogelijke </w:t>
              </w:r>
              <w:r w:rsidRPr="009556FF">
                <w:rPr>
                  <w:szCs w:val="22"/>
                </w:rPr>
                <w:t>juridische gevolgen van het niet meer voldoen aan de ondergrens</w:t>
              </w:r>
              <w:r>
                <w:rPr>
                  <w:szCs w:val="22"/>
                </w:rPr>
                <w:t>. Nu het om wettelijke grenzen gaat die ook belangen van derden raken, adviseert de Afdelin</w:t>
              </w:r>
              <w:r>
                <w:rPr>
                  <w:szCs w:val="22"/>
                </w:rPr>
                <w:t xml:space="preserve">g de toelichting op dit punt aan te vullen. </w:t>
              </w:r>
            </w:p>
            <w:p w:rsidR="0021470D" w:rsidP="0021470D" w:rsidRDefault="00E90991">
              <w:pPr>
                <w:rPr>
                  <w:szCs w:val="22"/>
                </w:rPr>
              </w:pPr>
            </w:p>
            <w:p w:rsidRPr="00F95865" w:rsidR="008C3357" w:rsidP="008C3357" w:rsidRDefault="00E90991">
              <w:pPr>
                <w:rPr>
                  <w:i/>
                  <w:szCs w:val="22"/>
                </w:rPr>
              </w:pPr>
              <w:r w:rsidRPr="00F95865">
                <w:rPr>
                  <w:i/>
                  <w:szCs w:val="22"/>
                </w:rPr>
                <w:t>b</w:t>
              </w:r>
              <w:r>
                <w:rPr>
                  <w:i/>
                  <w:szCs w:val="22"/>
                </w:rPr>
                <w:t>.</w:t>
              </w:r>
              <w:r w:rsidRPr="00F95865">
                <w:rPr>
                  <w:i/>
                  <w:szCs w:val="22"/>
                </w:rPr>
                <w:t xml:space="preserve"> </w:t>
              </w:r>
              <w:r>
                <w:rPr>
                  <w:i/>
                  <w:szCs w:val="22"/>
                </w:rPr>
                <w:tab/>
              </w:r>
              <w:r>
                <w:rPr>
                  <w:i/>
                </w:rPr>
                <w:t>De signaleringsnorm</w:t>
              </w:r>
              <w:r w:rsidRPr="00F95865">
                <w:rPr>
                  <w:i/>
                  <w:u w:val="single"/>
                </w:rPr>
                <w:t xml:space="preserve"> </w:t>
              </w:r>
            </w:p>
            <w:p w:rsidR="002D7A8C" w:rsidP="008C3357" w:rsidRDefault="00E90991">
              <w:r w:rsidRPr="00BC5CDD">
                <w:t>Paragraaf 4.3.4 van de toelichting</w:t>
              </w:r>
              <w:r>
                <w:t xml:space="preserve"> geeft aan de hand van vier stappen weer hoe de normen zijn berekend voor primaire waterkeringen die het achterland rechtstreeks beschermen tegen overs</w:t>
              </w:r>
              <w:r>
                <w:t>troming. De normering wordt in het wetsvoorstel uitgedrukt in een overstromingskans per jaar</w:t>
              </w:r>
              <w:r>
                <w:t>.</w:t>
              </w:r>
              <w:r>
                <w:rPr>
                  <w:rStyle w:val="Voetnootmarkering"/>
                </w:rPr>
                <w:footnoteReference w:id="20"/>
              </w:r>
              <w:r>
                <w:t xml:space="preserve"> Met betrekking tot de eerste stap is in de toelichting kortweg gesteld dat per dijktraject de eis is bepaald, die volgt uit het basisbeschermingsniveau en de ken</w:t>
              </w:r>
              <w:r>
                <w:t xml:space="preserve">merken van het te beschermen gebied. Niet wordt toegelicht welke gebiedskenmerken dit precies betreft. Evenmin is inzichtelijk gemaakt de wijze waarop die gebiedskenmerken worden gewogen. De tweede stap betreft volgens de toelichting “de eis die volgt uit </w:t>
              </w:r>
              <w:r>
                <w:t xml:space="preserve">de MKBA WV21 bepaald aan de hand van de economische schade (inclusief </w:t>
              </w:r>
              <w:r>
                <w:lastRenderedPageBreak/>
                <w:t>dodelijke slachtoffers) en de kosten om de overstromingskans te verkleinen”. Onvoldoende inzichtelijk is hoe deze tweede stap zich verhoudt tot de eerste. De toelichting vermeldt na de e</w:t>
              </w:r>
              <w:r>
                <w:t xml:space="preserve">erste twee stappen: “Van deze uitkomsten is de strengste eis opgenomen en ingedeeld in een klasse”. Dit suggereert een keuze, terwijl de vormgeving van paragraaf 4.3.4 een volgordelijkheid van verschillende stappen suggereert. </w:t>
              </w:r>
            </w:p>
            <w:p w:rsidR="000A24AA" w:rsidP="008C3357" w:rsidRDefault="00E90991"/>
            <w:p w:rsidR="00C077B3" w:rsidP="00C077B3" w:rsidRDefault="00E90991">
              <w:r>
                <w:t>Nu paragraaf 4.3.4 cruciaal</w:t>
              </w:r>
              <w:r>
                <w:t xml:space="preserve"> is voor het inzicht in de onderbouwing van de nieuwe normering, behoeven de in deze paragraaf beschreven stappen een nadere uitleg, zodat inzichtelijk wordt hoe de voorgestelde wettelijke normen tot stand gekomen zijn. In de toelichting dient tevens beter</w:t>
              </w:r>
              <w:r>
                <w:t xml:space="preserve"> naar voren te komen wat het verband is tussen hetgeen in de paragrafen 2.2, 4.3.4 en in hoofdstuk 5 is uiteengezet over de nieuwe normering, zodat een integraal uitgewerkte toelichting ontstaat op de voorgestelde normeringssystematiek. Paragraaf 2.2 bespr</w:t>
              </w:r>
              <w:r>
                <w:t>eekt de uitkomsten van de ten behoeve van de nieuwe normering uitgevoerde maatschappelijke kosten-baten analyse en slachtofferanalyse. In hoofdstuk 5 van de toelichting worden de functies van de signaleringsnorm en de ondergrens en hun onderlinge verhoudin</w:t>
              </w:r>
              <w:r>
                <w:t xml:space="preserve">g uiteengezet. </w:t>
              </w:r>
            </w:p>
            <w:p w:rsidR="001B46B8" w:rsidP="008C3357" w:rsidRDefault="00E90991"/>
            <w:p w:rsidR="008C3357" w:rsidP="008C3357" w:rsidRDefault="00E90991">
              <w:r>
                <w:t xml:space="preserve">De Afdeling gaat er overigens op grond van voetnoot 58 bij paragraaf 4.3.4 van uit dat het hier het berekenen van signaleringnormen betreft. De Afdeling adviseert in de tekst van de paragraaf expliciet tot uitdrukking te brengen om welk </w:t>
              </w:r>
              <w:r>
                <w:t>type normen het hier gaat.</w:t>
              </w:r>
            </w:p>
            <w:p w:rsidRPr="00AD38D3" w:rsidR="002D7A8C" w:rsidP="008C3357" w:rsidRDefault="00E90991"/>
            <w:p w:rsidRPr="00AD38D3" w:rsidR="008C3357" w:rsidP="008C3357" w:rsidRDefault="00E90991">
              <w:r w:rsidRPr="00AD38D3">
                <w:t>De Afdeling adviseert</w:t>
              </w:r>
              <w:r>
                <w:t xml:space="preserve"> </w:t>
              </w:r>
              <w:r w:rsidRPr="00AD38D3">
                <w:t xml:space="preserve">de </w:t>
              </w:r>
              <w:r>
                <w:t>voorgestelde systematiek</w:t>
              </w:r>
              <w:r w:rsidRPr="00AD38D3">
                <w:t xml:space="preserve"> beter inzichtelijk te maken door de toelichting op dit punt aan te vullen</w:t>
              </w:r>
              <w:r>
                <w:t xml:space="preserve"> met inachtneming van het bovenstaande</w:t>
              </w:r>
              <w:r w:rsidRPr="00AD38D3">
                <w:t xml:space="preserve">. </w:t>
              </w:r>
            </w:p>
            <w:p w:rsidRPr="00AD38D3" w:rsidR="008C3357" w:rsidP="0021470D" w:rsidRDefault="00E90991">
              <w:pPr>
                <w:rPr>
                  <w:szCs w:val="22"/>
                </w:rPr>
              </w:pPr>
            </w:p>
            <w:p w:rsidR="0021470D" w:rsidP="0021470D" w:rsidRDefault="00E90991">
              <w:pPr>
                <w:rPr>
                  <w:szCs w:val="22"/>
                  <w:u w:val="single"/>
                </w:rPr>
              </w:pPr>
              <w:r>
                <w:rPr>
                  <w:szCs w:val="22"/>
                </w:rPr>
                <w:t>3</w:t>
              </w:r>
              <w:r w:rsidRPr="00AD38D3">
                <w:rPr>
                  <w:szCs w:val="22"/>
                </w:rPr>
                <w:t xml:space="preserve">. </w:t>
              </w:r>
              <w:r>
                <w:rPr>
                  <w:szCs w:val="22"/>
                </w:rPr>
                <w:tab/>
              </w:r>
              <w:r w:rsidRPr="00443B62">
                <w:rPr>
                  <w:szCs w:val="22"/>
                  <w:u w:val="single"/>
                </w:rPr>
                <w:t>Bevoegdheid af te wijken van ondergrenzen</w:t>
              </w:r>
            </w:p>
            <w:p w:rsidR="00B01145" w:rsidP="0021470D" w:rsidRDefault="00E90991">
              <w:pPr>
                <w:rPr>
                  <w:szCs w:val="22"/>
                  <w:u w:val="single"/>
                </w:rPr>
              </w:pPr>
            </w:p>
            <w:p w:rsidRPr="007531D1" w:rsidR="00743CD7" w:rsidP="0021470D" w:rsidRDefault="00E90991">
              <w:pPr>
                <w:rPr>
                  <w:szCs w:val="22"/>
                  <w:u w:val="single"/>
                </w:rPr>
              </w:pPr>
              <w:r>
                <w:t xml:space="preserve">Het voorgestelde </w:t>
              </w:r>
              <w:r w:rsidRPr="00AD38D3">
                <w:t>artikel 2.2, vijfde lid</w:t>
              </w:r>
              <w:r>
                <w:t xml:space="preserve">, </w:t>
              </w:r>
              <w:r w:rsidRPr="00AD38D3">
                <w:t xml:space="preserve">regelt dat de minister op verzoek van de beheerder een andere dan in het vierde lid van artikel 2.2 geregelde </w:t>
              </w:r>
              <w:r>
                <w:t>reken</w:t>
              </w:r>
              <w:r w:rsidRPr="00AD38D3">
                <w:t>factor kan vaststellen voor het berekenen van de ondergrens voor dijkveiligheid voor een bepaald di</w:t>
              </w:r>
              <w:r w:rsidRPr="00AD38D3">
                <w:t xml:space="preserve">jktraject. </w:t>
              </w:r>
              <w:r w:rsidRPr="00AC1972">
                <w:rPr>
                  <w:szCs w:val="22"/>
                </w:rPr>
                <w:t xml:space="preserve">De Afdeling adviseert onder 2a (i) om ondergrenzen per dijktraject in </w:t>
              </w:r>
              <w:r>
                <w:rPr>
                  <w:szCs w:val="22"/>
                </w:rPr>
                <w:t>b</w:t>
              </w:r>
              <w:r w:rsidRPr="00AC1972">
                <w:rPr>
                  <w:szCs w:val="22"/>
                </w:rPr>
                <w:t>ijlage II van de wet op te nemen. Volgt de regering dat advies op, dan lijkt het de Afdeling dat daarmee de noodza</w:t>
              </w:r>
              <w:r>
                <w:rPr>
                  <w:szCs w:val="22"/>
                </w:rPr>
                <w:t>ak voor de bevoegdheid voor de M</w:t>
              </w:r>
              <w:r w:rsidRPr="00AC1972">
                <w:rPr>
                  <w:szCs w:val="22"/>
                </w:rPr>
                <w:t xml:space="preserve">inister van </w:t>
              </w:r>
              <w:proofErr w:type="spellStart"/>
              <w:r w:rsidRPr="00AC1972">
                <w:rPr>
                  <w:szCs w:val="22"/>
                </w:rPr>
                <w:t>IenM</w:t>
              </w:r>
              <w:proofErr w:type="spellEnd"/>
              <w:r w:rsidRPr="00AC1972">
                <w:rPr>
                  <w:szCs w:val="22"/>
                </w:rPr>
                <w:t xml:space="preserve"> </w:t>
              </w:r>
              <w:r w:rsidRPr="00AC1972">
                <w:t>om</w:t>
              </w:r>
              <w:r>
                <w:t xml:space="preserve"> af te wi</w:t>
              </w:r>
              <w:r>
                <w:t>jken van ondergrenzen wegvalt. De normen voor elk dijktraject zijn dan immers direct uit de wet kenbaar, zonder toepassing van de hierboven besproken rekenfactor die een gemiddelde betreft en mogelijk noopt tot maatwerk. Ingeval de regering de voorgestelde</w:t>
              </w:r>
              <w:r>
                <w:t xml:space="preserve"> bevoegdheid om af te wijken van de wettelijke ondergrenzen handhaaft, dient daarbij naar het oordeel van de Afdeling het volgende in acht te worden genomen.</w:t>
              </w:r>
            </w:p>
            <w:p w:rsidR="00743CD7" w:rsidP="0021470D" w:rsidRDefault="00E90991"/>
            <w:p w:rsidR="00242966" w:rsidP="00242966" w:rsidRDefault="00E90991">
              <w:r>
                <w:t>De Afdeling maakt ten eerste een opmerking over de afwijkingsbevoegdheid in relatie tot het basis</w:t>
              </w:r>
              <w:r>
                <w:t xml:space="preserve">beschermingsniveau dat het voorstel beoogt te bieden. </w:t>
              </w:r>
              <w:r w:rsidRPr="00AD38D3">
                <w:t xml:space="preserve">Bij het vaststellen van een afwijkende ondergrens moet het basisbeschermingsniveau </w:t>
              </w:r>
              <w:r w:rsidRPr="00AD38D3">
                <w:lastRenderedPageBreak/>
                <w:t>gegarandeerd blijven</w:t>
              </w:r>
              <w:r>
                <w:t>, aldus de toelichting</w:t>
              </w:r>
              <w:r w:rsidRPr="00AD38D3">
                <w:t>.</w:t>
              </w:r>
              <w:r w:rsidRPr="00AD38D3">
                <w:rPr>
                  <w:rStyle w:val="Voetnootmarkering"/>
                </w:rPr>
                <w:footnoteReference w:id="21"/>
              </w:r>
              <w:r>
                <w:t xml:space="preserve"> H</w:t>
              </w:r>
              <w:r w:rsidRPr="00AD38D3">
                <w:t xml:space="preserve">et </w:t>
              </w:r>
              <w:r>
                <w:t xml:space="preserve">is </w:t>
              </w:r>
              <w:r w:rsidRPr="00AD38D3">
                <w:t>aangewezen in de toelichting te verduidelijken hoe het basisbescher</w:t>
              </w:r>
              <w:r w:rsidRPr="00AD38D3">
                <w:t xml:space="preserve">mingsniveau gewaarborgd kan blijven, wanneer afgeweken wordt van de ondergrenzen. Die vraagt rijst, omdat de toelichting stelt dat de ondergrens de weergave is van het </w:t>
              </w:r>
              <w:r w:rsidRPr="00AD38D3">
                <w:rPr>
                  <w:i/>
                </w:rPr>
                <w:t>minimale</w:t>
              </w:r>
              <w:r w:rsidRPr="00AD38D3">
                <w:t xml:space="preserve"> beschermingsniveau dat een dijktraject moet bieden.</w:t>
              </w:r>
              <w:r w:rsidRPr="00AD38D3">
                <w:rPr>
                  <w:rStyle w:val="Voetnootmarkering"/>
                </w:rPr>
                <w:footnoteReference w:id="22"/>
              </w:r>
            </w:p>
            <w:p w:rsidR="00A260C2" w:rsidP="00242966" w:rsidRDefault="00E90991"/>
            <w:p w:rsidR="00242966" w:rsidP="00242966" w:rsidRDefault="00E90991">
              <w:r>
                <w:t xml:space="preserve">Voorts is niet duidelijk </w:t>
              </w:r>
              <w:r>
                <w:t>waarom gekozen is voor een</w:t>
              </w:r>
              <w:r w:rsidRPr="00AD38D3">
                <w:t xml:space="preserve"> bevoegdheid tot afwijk</w:t>
              </w:r>
              <w:r>
                <w:t>ing</w:t>
              </w:r>
              <w:r w:rsidRPr="00AD38D3">
                <w:t xml:space="preserve"> van de </w:t>
              </w:r>
              <w:r>
                <w:t>ondergrenzen. De ondergrenzen hebben immers een wettelijke waarborgfunctie voor de waterveiligheid. Een afwijkingsbevoegdheid ten aanzien daarvan lijkt minder voor de hand te liggen dan een afwijk</w:t>
              </w:r>
              <w:r>
                <w:t>ingsbevoegdheid ten aanzien van de signaleringsgrenzen. Bij de signaleringsgrenzen is immers geen sprake van een wettelijke waarborgfunctie met betrekking tot het basisbeschermingsniveau. Bij een bevoegdheid tot afwijken van de signaleringsnormen zou het g</w:t>
              </w:r>
              <w:r>
                <w:t>ewenste maatwerk kunnen plaatsvinden zonder dat het basisbeschermingsniveau in geding is. De Afdeling acht het aangewezen dat in de toelichting wordt ingegaan op de keuze voor een afwijkingsbevoegdheid bij ondergrenzen in plaats van bij signaleringsnormen.</w:t>
              </w:r>
            </w:p>
            <w:p w:rsidR="00A260C2" w:rsidP="00242966" w:rsidRDefault="00E90991"/>
            <w:p w:rsidR="00B74134" w:rsidP="00242966" w:rsidRDefault="00E90991">
              <w:r>
                <w:t xml:space="preserve">Tot slot merkt de Afdeling op dat, zoals hierboven reeds gesteld, bij het vaststellen van een afwijkende ondergrens door de minister het basisbeschermingsniveau gegarandeerd moet blijven. </w:t>
              </w:r>
              <w:r w:rsidRPr="00AD38D3">
                <w:t xml:space="preserve">Dit blijkt echter enkel uit de toelichting en komt niet expliciet </w:t>
              </w:r>
              <w:r w:rsidRPr="00AD38D3">
                <w:t xml:space="preserve">tot uitdrukking in </w:t>
              </w:r>
              <w:r>
                <w:t>de voorgestelde wettekst</w:t>
              </w:r>
              <w:r w:rsidRPr="00AD38D3">
                <w:t xml:space="preserve">. </w:t>
              </w:r>
              <w:r>
                <w:t>Indien al de bevoegdheid tot afwijking van de ondergrenzen per dijktraject in de wet zelf noodzakelijk wordt geacht, acht d</w:t>
              </w:r>
              <w:r w:rsidRPr="00AD38D3">
                <w:t xml:space="preserve">e Afdeling het </w:t>
              </w:r>
              <w:r>
                <w:t>aangewezen</w:t>
              </w:r>
              <w:r w:rsidRPr="00AD38D3">
                <w:t xml:space="preserve"> dat</w:t>
              </w:r>
              <w:r>
                <w:t xml:space="preserve"> het oogmerk van</w:t>
              </w:r>
              <w:r w:rsidRPr="00AD38D3">
                <w:t xml:space="preserve"> </w:t>
              </w:r>
              <w:r>
                <w:t xml:space="preserve">een gegarandeerd minimaal beschermingsniveau in de wettekst zelf </w:t>
              </w:r>
              <w:r w:rsidRPr="00AD38D3">
                <w:t>wordt verankerd.</w:t>
              </w:r>
              <w:r>
                <w:t xml:space="preserve"> Daartoe kan in artikel 2.2, vijfde lid, expliciet tot uitdrukking worden gebracht dat bij hantering van de afwijkingsbevoegdheid het basisbeschermingsniveau steeds gewaarborg</w:t>
              </w:r>
              <w:r>
                <w:t>d dient te zijn.</w:t>
              </w:r>
            </w:p>
            <w:p w:rsidR="00397F5C" w:rsidP="00A566DB" w:rsidRDefault="00E90991"/>
            <w:p w:rsidR="005D1CC6" w:rsidRDefault="00E90991">
              <w:r>
                <w:t>De Afdeling adviseert op het voorgaande in te gaan en het voorstel zo nodig aan te passen. Indien de noodzaak van de afwijkingsbevoegdheid met betrekking tot de ondergrenzen niet dragend kan worden gemotiveerd, adviseert de Afdeling daarv</w:t>
              </w:r>
              <w:r>
                <w:t xml:space="preserve">an af te zien en te bezien of een afwijkingsbevoegdheid van de signaleringsnormen aangewezen is. Tevens adviseert de Afdeling in de tekst van artikel 2.2, vijfde lid, expliciet tot uitdrukking te brengen dat </w:t>
              </w:r>
              <w:r w:rsidRPr="00673196">
                <w:t xml:space="preserve">bij gebruikmaking van de </w:t>
              </w:r>
              <w:r>
                <w:t>voorgestelde afwijkings</w:t>
              </w:r>
              <w:r w:rsidRPr="00673196">
                <w:t>bevoegdheid</w:t>
              </w:r>
              <w:r>
                <w:t>, indien deze wordt gehandhaafd,</w:t>
              </w:r>
              <w:r w:rsidRPr="00673196">
                <w:t xml:space="preserve"> het basisbeschermingsniveau steeds gewaarborgd moet zijn.</w:t>
              </w:r>
            </w:p>
            <w:p w:rsidRPr="00AD38D3" w:rsidR="001178E9" w:rsidP="0021470D" w:rsidRDefault="00E90991"/>
            <w:p w:rsidR="0021470D" w:rsidP="0021470D" w:rsidRDefault="00E90991">
              <w:r>
                <w:t>Een tweede opmerking betreft de vraag wanneer gebruik gemaakt zou moeten van deze bevoegdheid.</w:t>
              </w:r>
              <w:r w:rsidRPr="00AD38D3">
                <w:t xml:space="preserve"> </w:t>
              </w:r>
              <w:r>
                <w:t>De bevoegdheid kan worden ingezet</w:t>
              </w:r>
              <w:r w:rsidRPr="00AD38D3">
                <w:t xml:space="preserve"> vanwege “bijzondere kenm</w:t>
              </w:r>
              <w:r w:rsidRPr="00AD38D3">
                <w:t>erken” van het betreffende dijktraject, aldus de voorgestelde wettekst.</w:t>
              </w:r>
              <w:r>
                <w:t xml:space="preserve"> </w:t>
              </w:r>
              <w:r w:rsidRPr="00AD38D3">
                <w:t xml:space="preserve">De toelichting geeft </w:t>
              </w:r>
              <w:r>
                <w:t>echter</w:t>
              </w:r>
              <w:r w:rsidRPr="00AD38D3">
                <w:t xml:space="preserve"> geen concrete invulling aan of verduidelijking van de term ‘bijzondere kenmerken’ </w:t>
              </w:r>
              <w:r>
                <w:t xml:space="preserve">waarvan sprake moet zijn bij hantering van de </w:t>
              </w:r>
              <w:r>
                <w:lastRenderedPageBreak/>
                <w:t>voorgestelde afwijkingsbevoe</w:t>
              </w:r>
              <w:r>
                <w:t xml:space="preserve">gdheid </w:t>
              </w:r>
              <w:r w:rsidRPr="00AD38D3">
                <w:t>maar stelt enkel: “Het kan zijn dat in uitzonderlijke gevallen, wanneer bijzondere kenmerken van een dijktraject dit noodzakelijk maken, het bepalen van de ondergrens meer maatwerk vergt dat het hanteren van de factor 3.“</w:t>
              </w:r>
              <w:r w:rsidRPr="00AD38D3">
                <w:rPr>
                  <w:rStyle w:val="Voetnootmarkering"/>
                </w:rPr>
                <w:footnoteReference w:id="23"/>
              </w:r>
              <w:r w:rsidRPr="00AD38D3">
                <w:t xml:space="preserve"> Hiermee wordt onvoldoende </w:t>
              </w:r>
              <w:r w:rsidRPr="00AD38D3">
                <w:t>duidelijk op welke situaties de voorgestelde afwijkingsbevoegdheid ziet</w:t>
              </w:r>
              <w:r>
                <w:t>.</w:t>
              </w:r>
              <w:r w:rsidRPr="00AD38D3">
                <w:t xml:space="preserve"> </w:t>
              </w:r>
            </w:p>
            <w:p w:rsidR="00B74134" w:rsidP="0021470D" w:rsidRDefault="00E90991"/>
            <w:p w:rsidR="0021470D" w:rsidP="00A566DB" w:rsidRDefault="00E90991">
              <w:r>
                <w:t>Gelet op het voorgaande adviseert de Afdeling om mede aan de hand van concrete situaties te verduidelijken wanneer de noodzaak tot hantering van de voorgestelde afwijkingsbevoegdhei</w:t>
              </w:r>
              <w:r>
                <w:t xml:space="preserve">d zich voordoet. </w:t>
              </w:r>
            </w:p>
            <w:p w:rsidR="00D068D9" w:rsidP="00FF035E" w:rsidRDefault="00E90991">
              <w:pPr>
                <w:rPr>
                  <w:szCs w:val="22"/>
                </w:rPr>
              </w:pPr>
            </w:p>
            <w:p w:rsidRPr="00B04BEB" w:rsidR="005802FB" w:rsidP="00D068D9" w:rsidRDefault="00E90991">
              <w:pPr>
                <w:rPr>
                  <w:u w:val="single"/>
                </w:rPr>
              </w:pPr>
              <w:r>
                <w:t>4.</w:t>
              </w:r>
              <w:r>
                <w:tab/>
              </w:r>
              <w:r w:rsidRPr="00D068D9">
                <w:rPr>
                  <w:u w:val="single"/>
                </w:rPr>
                <w:t>Invoeringstermijn</w:t>
              </w:r>
            </w:p>
            <w:p w:rsidR="0056323E" w:rsidP="005520BD" w:rsidRDefault="00E90991"/>
            <w:p w:rsidR="0021470D" w:rsidP="00D75702" w:rsidRDefault="00E90991">
              <w:pPr>
                <w:pStyle w:val="Tekstopmerking"/>
                <w:rPr>
                  <w:i/>
                  <w:sz w:val="22"/>
                  <w:szCs w:val="24"/>
                </w:rPr>
              </w:pPr>
              <w:r>
                <w:rPr>
                  <w:i/>
                  <w:sz w:val="22"/>
                  <w:szCs w:val="24"/>
                </w:rPr>
                <w:t>a</w:t>
              </w:r>
              <w:r>
                <w:rPr>
                  <w:sz w:val="22"/>
                  <w:szCs w:val="24"/>
                </w:rPr>
                <w:t xml:space="preserve">. </w:t>
              </w:r>
              <w:r>
                <w:rPr>
                  <w:sz w:val="22"/>
                  <w:szCs w:val="24"/>
                </w:rPr>
                <w:tab/>
              </w:r>
              <w:r>
                <w:rPr>
                  <w:i/>
                  <w:sz w:val="22"/>
                  <w:szCs w:val="24"/>
                </w:rPr>
                <w:t xml:space="preserve">Planning periodieke </w:t>
              </w:r>
              <w:proofErr w:type="spellStart"/>
              <w:r>
                <w:rPr>
                  <w:i/>
                  <w:sz w:val="22"/>
                  <w:szCs w:val="24"/>
                </w:rPr>
                <w:t>toetsronde</w:t>
              </w:r>
              <w:proofErr w:type="spellEnd"/>
              <w:r>
                <w:rPr>
                  <w:i/>
                  <w:sz w:val="22"/>
                  <w:szCs w:val="24"/>
                </w:rPr>
                <w:t xml:space="preserve"> 2017</w:t>
              </w:r>
            </w:p>
            <w:p w:rsidRPr="0054378B" w:rsidR="0056323E" w:rsidP="00D068D9" w:rsidRDefault="00E90991">
              <w:pPr>
                <w:pStyle w:val="Voetnoottekst"/>
                <w:tabs>
                  <w:tab w:val="clear" w:pos="227"/>
                  <w:tab w:val="left" w:pos="0"/>
                </w:tabs>
                <w:ind w:left="0" w:firstLine="0"/>
              </w:pPr>
              <w:r w:rsidRPr="000940AE">
                <w:rPr>
                  <w:sz w:val="22"/>
                  <w:szCs w:val="24"/>
                </w:rPr>
                <w:t>Het voorstel betekent een ingrijpende wijziging van de normering voor dij</w:t>
              </w:r>
              <w:r>
                <w:rPr>
                  <w:sz w:val="22"/>
                  <w:szCs w:val="24"/>
                </w:rPr>
                <w:t>ktrajecten en daarmee van het kader waaraan dijktrajecten getoetst moeten worden. Uit de toelichting blijkt onvoldoende dat 2017 voor alle relevante partijen haalbaar is als startmoment om te gaan werken met en te gaan toetsen aan de nieuwe wettelijke norm</w:t>
              </w:r>
              <w:r>
                <w:rPr>
                  <w:sz w:val="22"/>
                  <w:szCs w:val="24"/>
                </w:rPr>
                <w:t xml:space="preserve">en. De Unie van Waterschappen geeft in haar consultatiereactie weliswaar niet aan dat deze datum niet haalbaar zou zijn, maar de Inspectie Leefomgeving en Transport (ILT) maakt hier in de door haar uitgevoerde uitvoerbaarheidstoetsen wel opmerkingen over. </w:t>
              </w:r>
              <w:r w:rsidRPr="00B77E34">
                <w:rPr>
                  <w:sz w:val="22"/>
                  <w:szCs w:val="24"/>
                </w:rPr>
                <w:t>De ILT noemt deze datum als een risico voor succesvolle invoering van de nieuwe normen, onder meer vanwege de aanpassingen die de ILT aan haar ICT voorzieningen moet maken als gevolg van het voorstel.</w:t>
              </w:r>
              <w:r>
                <w:rPr>
                  <w:sz w:val="22"/>
                  <w:szCs w:val="24"/>
                </w:rPr>
                <w:t xml:space="preserve"> De ILT noemt daarnaast in het kader van de uitvoerbaarh</w:t>
              </w:r>
              <w:r>
                <w:rPr>
                  <w:sz w:val="22"/>
                  <w:szCs w:val="24"/>
                </w:rPr>
                <w:t xml:space="preserve">eid als aandachtspunt dat voor de inrichting van het proces van veiligheidsbeoordeling en de totstandkoming van het wettelijk </w:t>
              </w:r>
              <w:proofErr w:type="spellStart"/>
              <w:r>
                <w:rPr>
                  <w:sz w:val="22"/>
                  <w:szCs w:val="24"/>
                </w:rPr>
                <w:t>toetsinstrumentarium</w:t>
              </w:r>
              <w:proofErr w:type="spellEnd"/>
              <w:r>
                <w:rPr>
                  <w:sz w:val="22"/>
                  <w:szCs w:val="24"/>
                </w:rPr>
                <w:t xml:space="preserve"> de voorbereidingstijd erg beperkt is.</w:t>
              </w:r>
              <w:r w:rsidRPr="00B77E34">
                <w:rPr>
                  <w:sz w:val="22"/>
                  <w:szCs w:val="24"/>
                </w:rPr>
                <w:t xml:space="preserve"> Ook het IPO </w:t>
              </w:r>
              <w:r>
                <w:rPr>
                  <w:sz w:val="22"/>
                  <w:szCs w:val="24"/>
                </w:rPr>
                <w:t>wijst op het belang van</w:t>
              </w:r>
              <w:r w:rsidRPr="00B77E34">
                <w:rPr>
                  <w:sz w:val="22"/>
                  <w:szCs w:val="24"/>
                </w:rPr>
                <w:t xml:space="preserve"> een goede implementatie van de wet</w:t>
              </w:r>
              <w:r>
                <w:rPr>
                  <w:sz w:val="22"/>
                  <w:szCs w:val="24"/>
                </w:rPr>
                <w:t>,</w:t>
              </w:r>
              <w:r>
                <w:rPr>
                  <w:sz w:val="22"/>
                  <w:szCs w:val="24"/>
                </w:rPr>
                <w:t xml:space="preserve"> onder andere door zorgvuldige communicatie</w:t>
              </w:r>
              <w:r w:rsidRPr="00B77E34">
                <w:rPr>
                  <w:sz w:val="22"/>
                  <w:szCs w:val="24"/>
                </w:rPr>
                <w:t>.</w:t>
              </w:r>
              <w:r w:rsidRPr="0054378B">
                <w:rPr>
                  <w:sz w:val="22"/>
                  <w:szCs w:val="24"/>
                </w:rPr>
                <w:t xml:space="preserve"> </w:t>
              </w:r>
              <w:r>
                <w:rPr>
                  <w:sz w:val="22"/>
                  <w:szCs w:val="24"/>
                </w:rPr>
                <w:t>De toelichting vermeldt enkel dat in samenwerking met betrokken partijen hard gewerkt wordt aan een goede implementatie.</w:t>
              </w:r>
              <w:r>
                <w:rPr>
                  <w:rStyle w:val="Voetnootmarkering"/>
                  <w:sz w:val="22"/>
                  <w:szCs w:val="24"/>
                </w:rPr>
                <w:footnoteReference w:id="24"/>
              </w:r>
              <w:r>
                <w:rPr>
                  <w:sz w:val="22"/>
                  <w:szCs w:val="24"/>
                </w:rPr>
                <w:t xml:space="preserve"> De Afdeling acht dit onvoldoende gelet op het belang dat met de nieuwe systematiek is gem</w:t>
              </w:r>
              <w:r>
                <w:rPr>
                  <w:sz w:val="22"/>
                  <w:szCs w:val="24"/>
                </w:rPr>
                <w:t>oeid.</w:t>
              </w:r>
            </w:p>
            <w:p w:rsidR="0056323E" w:rsidP="00D75702" w:rsidRDefault="00E90991">
              <w:pPr>
                <w:pStyle w:val="Tekstopmerking"/>
                <w:rPr>
                  <w:sz w:val="22"/>
                  <w:szCs w:val="24"/>
                </w:rPr>
              </w:pPr>
            </w:p>
            <w:p w:rsidRPr="00FD0B45" w:rsidR="00162AA1" w:rsidP="00FD0B45" w:rsidRDefault="00E90991">
              <w:pPr>
                <w:pStyle w:val="Tekstopmerking"/>
                <w:rPr>
                  <w:sz w:val="22"/>
                  <w:szCs w:val="24"/>
                </w:rPr>
              </w:pPr>
              <w:r>
                <w:rPr>
                  <w:sz w:val="22"/>
                  <w:szCs w:val="24"/>
                </w:rPr>
                <w:t xml:space="preserve">De Afdeling adviseert de praktische haalbaarheid van de beoogde termijn voor het invoeren van de nieuwe normen nader toe te lichten. </w:t>
              </w:r>
            </w:p>
            <w:p w:rsidR="00BC5CDD" w:rsidP="009A7F4D" w:rsidRDefault="00E90991">
              <w:pPr>
                <w:pStyle w:val="Lijstalinea"/>
                <w:ind w:left="720"/>
              </w:pPr>
              <w:r>
                <w:tab/>
              </w:r>
            </w:p>
            <w:p w:rsidRPr="00C24DE8" w:rsidR="005A603C" w:rsidP="005A603C" w:rsidRDefault="00E90991">
              <w:pPr>
                <w:rPr>
                  <w:i/>
                </w:rPr>
              </w:pPr>
              <w:r w:rsidRPr="00C24DE8">
                <w:rPr>
                  <w:i/>
                </w:rPr>
                <w:t>b.</w:t>
              </w:r>
              <w:r w:rsidRPr="00C24DE8">
                <w:t xml:space="preserve"> </w:t>
              </w:r>
              <w:r w:rsidRPr="00C24DE8">
                <w:tab/>
              </w:r>
              <w:r w:rsidRPr="00C24DE8">
                <w:rPr>
                  <w:i/>
                </w:rPr>
                <w:t>Terugwerkende kracht</w:t>
              </w:r>
            </w:p>
            <w:p w:rsidR="005A603C" w:rsidP="005A603C" w:rsidRDefault="00E90991">
              <w:r>
                <w:t>De inwerkingtredingsbepaling van het voorstel regelt dat indien de wet in werking treedt</w:t>
              </w:r>
              <w:r>
                <w:t xml:space="preserve"> na 1 januari 2017, de artikelen I en II terugwerken tot en met die datum.</w:t>
              </w:r>
              <w:r>
                <w:rPr>
                  <w:rStyle w:val="Voetnootmarkering"/>
                </w:rPr>
                <w:footnoteReference w:id="25"/>
              </w:r>
              <w:r>
                <w:t xml:space="preserve"> De wenselijkheid van de terugwerkende kracht wordt toegelicht onder verwijzing naar het begin van de volgende periodieke </w:t>
              </w:r>
              <w:proofErr w:type="spellStart"/>
              <w:r>
                <w:t>toetsronde</w:t>
              </w:r>
              <w:proofErr w:type="spellEnd"/>
              <w:r>
                <w:t xml:space="preserve"> van primaire waterkeringen. </w:t>
              </w:r>
              <w:r>
                <w:lastRenderedPageBreak/>
                <w:t xml:space="preserve">Artikel 2.12, derde </w:t>
              </w:r>
              <w:r>
                <w:t xml:space="preserve">lid, van de Waterwet schrijft voor dat de minister elke twaalf jaar verslag uitbrengt aan de beide Kamers der Staten-Generaal </w:t>
              </w:r>
              <w:r w:rsidRPr="00F12658">
                <w:t>over de waterstaatkundige toestan</w:t>
              </w:r>
              <w:r>
                <w:t>d van de primaire waterkeringen</w:t>
              </w:r>
              <w:r w:rsidRPr="009C1C98">
                <w:t>.</w:t>
              </w:r>
              <w:r>
                <w:t xml:space="preserve"> De toelichting gaat uit van de start van die </w:t>
              </w:r>
              <w:proofErr w:type="spellStart"/>
              <w:r>
                <w:t>toetsronde</w:t>
              </w:r>
              <w:proofErr w:type="spellEnd"/>
              <w:r>
                <w:t xml:space="preserve"> in 2017.</w:t>
              </w:r>
              <w:r>
                <w:rPr>
                  <w:rStyle w:val="Voetnootmarkering"/>
                </w:rPr>
                <w:footnoteReference w:id="26"/>
              </w:r>
              <w:r>
                <w:t xml:space="preserve"> De laatste rapportage was in 2011, de eerstvolgende zou op basis daarvan in 2023 moeten zijn. </w:t>
              </w:r>
              <w:r w:rsidRPr="00FE1CBF">
                <w:t xml:space="preserve">De duur of ingangsdatum van </w:t>
              </w:r>
              <w:proofErr w:type="spellStart"/>
              <w:r w:rsidRPr="00FE1CBF">
                <w:t>toetsrondes</w:t>
              </w:r>
              <w:proofErr w:type="spellEnd"/>
              <w:r w:rsidRPr="00FE1CBF">
                <w:t xml:space="preserve"> die tot die</w:t>
              </w:r>
              <w:r>
                <w:t xml:space="preserve"> rapportage moeten leiden, zijn</w:t>
              </w:r>
              <w:r w:rsidRPr="00FE1CBF">
                <w:t xml:space="preserve"> niet in de wet bepaald. </w:t>
              </w:r>
              <w:r>
                <w:t>De toelichting bij het voorstel verwijst in dit kader</w:t>
              </w:r>
              <w:r>
                <w:t xml:space="preserve"> naar</w:t>
              </w:r>
              <w:r w:rsidRPr="00FE1CBF">
                <w:t xml:space="preserve"> de Deltabes</w:t>
              </w:r>
              <w:r>
                <w:t xml:space="preserve">lissing Waterveiligheid uit 2015, waar 2017 als beginmoment voor de volgende </w:t>
              </w:r>
              <w:proofErr w:type="spellStart"/>
              <w:r>
                <w:t>toetsronde</w:t>
              </w:r>
              <w:proofErr w:type="spellEnd"/>
              <w:r>
                <w:t xml:space="preserve"> voor primaire waterkeringen genoemd wordt</w:t>
              </w:r>
              <w:r w:rsidRPr="00FE1CBF">
                <w:t>.</w:t>
              </w:r>
              <w:r>
                <w:rPr>
                  <w:rStyle w:val="Voetnootmarkering"/>
                </w:rPr>
                <w:footnoteReference w:id="27"/>
              </w:r>
              <w:r w:rsidRPr="00FE1CBF">
                <w:t xml:space="preserve"> </w:t>
              </w:r>
            </w:p>
            <w:p w:rsidR="005A603C" w:rsidP="005A603C" w:rsidRDefault="00E90991">
              <w:pPr>
                <w:pStyle w:val="Tekstopmerking"/>
                <w:rPr>
                  <w:sz w:val="22"/>
                  <w:szCs w:val="24"/>
                </w:rPr>
              </w:pPr>
              <w:r>
                <w:rPr>
                  <w:sz w:val="22"/>
                  <w:szCs w:val="24"/>
                </w:rPr>
                <w:t>De Afdeling merkt op dat t</w:t>
              </w:r>
              <w:r w:rsidRPr="00BC0ADC">
                <w:rPr>
                  <w:sz w:val="22"/>
                  <w:szCs w:val="24"/>
                </w:rPr>
                <w:t xml:space="preserve">erugwerkende kracht </w:t>
              </w:r>
              <w:r>
                <w:rPr>
                  <w:sz w:val="22"/>
                  <w:szCs w:val="24"/>
                </w:rPr>
                <w:t xml:space="preserve">alleen wordt verleend indien daar een bijzondere reden voor </w:t>
              </w:r>
              <w:r>
                <w:rPr>
                  <w:sz w:val="22"/>
                  <w:szCs w:val="24"/>
                </w:rPr>
                <w:t>is en in beginsel niet aan belastende regelingen wordt toegekend</w:t>
              </w:r>
              <w:r w:rsidRPr="00BC0ADC">
                <w:rPr>
                  <w:sz w:val="22"/>
                  <w:szCs w:val="24"/>
                </w:rPr>
                <w:t>.</w:t>
              </w:r>
              <w:r>
                <w:rPr>
                  <w:rStyle w:val="Voetnootmarkering"/>
                  <w:sz w:val="22"/>
                  <w:szCs w:val="24"/>
                </w:rPr>
                <w:footnoteReference w:id="28"/>
              </w:r>
              <w:r w:rsidRPr="00BC0ADC">
                <w:rPr>
                  <w:sz w:val="22"/>
                  <w:szCs w:val="24"/>
                </w:rPr>
                <w:t xml:space="preserve"> </w:t>
              </w:r>
              <w:r>
                <w:rPr>
                  <w:sz w:val="22"/>
                  <w:szCs w:val="24"/>
                </w:rPr>
                <w:t>Uit de toelichting blijkt niet of minder ingrijpende alternatieven voor terugwerkende kracht zijn overwogen, zoals bijvoorbeeld het eenmalig uitstellen van de rapportageverplichting op gron</w:t>
              </w:r>
              <w:r>
                <w:rPr>
                  <w:sz w:val="22"/>
                  <w:szCs w:val="24"/>
                </w:rPr>
                <w:t xml:space="preserve">d van artikel 2.12, derde lid, van de Waterwet. </w:t>
              </w:r>
            </w:p>
            <w:p w:rsidR="005A603C" w:rsidP="005A603C" w:rsidRDefault="00E90991">
              <w:pPr>
                <w:pStyle w:val="Tekstopmerking"/>
                <w:rPr>
                  <w:sz w:val="22"/>
                  <w:szCs w:val="24"/>
                </w:rPr>
              </w:pPr>
            </w:p>
            <w:p w:rsidR="005A603C" w:rsidP="005A603C" w:rsidRDefault="00E90991">
              <w:pPr>
                <w:pStyle w:val="Tekstopmerking"/>
                <w:rPr>
                  <w:sz w:val="22"/>
                  <w:szCs w:val="22"/>
                </w:rPr>
              </w:pPr>
              <w:r w:rsidRPr="009774E8">
                <w:rPr>
                  <w:sz w:val="22"/>
                  <w:szCs w:val="22"/>
                </w:rPr>
                <w:t xml:space="preserve">De Afdeling adviseert de noodzaak van terugwerkende kracht </w:t>
              </w:r>
              <w:r>
                <w:rPr>
                  <w:sz w:val="22"/>
                  <w:szCs w:val="22"/>
                </w:rPr>
                <w:t xml:space="preserve">in het licht van mogelijke alternatieven </w:t>
              </w:r>
              <w:r w:rsidRPr="009774E8">
                <w:rPr>
                  <w:sz w:val="22"/>
                  <w:szCs w:val="22"/>
                </w:rPr>
                <w:t xml:space="preserve">toe te lichten en het voorstel zo nodig aan te passen. </w:t>
              </w:r>
            </w:p>
            <w:p w:rsidR="00367557" w:rsidP="005A603C" w:rsidRDefault="00E90991">
              <w:pPr>
                <w:pStyle w:val="Tekstopmerking"/>
                <w:rPr>
                  <w:sz w:val="22"/>
                  <w:szCs w:val="22"/>
                </w:rPr>
              </w:pPr>
            </w:p>
            <w:p w:rsidR="005D1CC6" w:rsidRDefault="00E90991">
              <w:pPr>
                <w:rPr>
                  <w:u w:val="single"/>
                </w:rPr>
              </w:pPr>
              <w:r>
                <w:t>5.</w:t>
              </w:r>
              <w:r>
                <w:tab/>
              </w:r>
              <w:r>
                <w:rPr>
                  <w:u w:val="single"/>
                </w:rPr>
                <w:t>Definitie van overstromingskans</w:t>
              </w:r>
            </w:p>
            <w:p w:rsidR="009D544A" w:rsidP="009D544A" w:rsidRDefault="00E90991">
              <w:pPr>
                <w:rPr>
                  <w:u w:val="single"/>
                </w:rPr>
              </w:pPr>
            </w:p>
            <w:p w:rsidRPr="00A260C2" w:rsidR="0018496D" w:rsidP="009D544A" w:rsidRDefault="00E90991">
              <w:r w:rsidRPr="00A260C2">
                <w:t xml:space="preserve">In de </w:t>
              </w:r>
              <w:r w:rsidRPr="00A260C2">
                <w:t>toelichting wordt het begrip overstromingskans gedefinieerd als de kans op een overstroming door het bezwijken van een primaire waterkering door welke oorzaak dan ook.</w:t>
              </w:r>
              <w:r w:rsidRPr="00A260C2">
                <w:rPr>
                  <w:rStyle w:val="Voetnootmarkering"/>
                </w:rPr>
                <w:footnoteReference w:id="29"/>
              </w:r>
              <w:r w:rsidRPr="00A260C2">
                <w:t xml:space="preserve"> De toelichting geeft uitvoerig aan hoe bij de opstelling van normen voor toetsing van d</w:t>
              </w:r>
              <w:r w:rsidRPr="00A260C2">
                <w:t xml:space="preserve">e overstromingskansen rekening gehouden wordt met economische schade en het aantal dodelijke slachtoffers. De Afdeling merkt op dat, anders dan in de toelichting, de criteria economische schade en het aantal dodelijke slachtoffers ook deel uitmaken van de </w:t>
              </w:r>
              <w:r w:rsidRPr="00A260C2">
                <w:t xml:space="preserve">definitie van de overstromingskans in de voorgestelde wettekst. </w:t>
              </w:r>
            </w:p>
            <w:p w:rsidRPr="00A260C2" w:rsidR="0018496D" w:rsidP="009D544A" w:rsidRDefault="00E90991"/>
            <w:p w:rsidRPr="00A260C2" w:rsidR="009D544A" w:rsidP="009D544A" w:rsidRDefault="00E90991">
              <w:r w:rsidRPr="00A260C2">
                <w:t xml:space="preserve">De Afdeling adviseert de wettekst en de toelichting met elkaar in overeenstemming te brengen.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6066FC" w:rsidRDefault="00E90991">
              <w:r>
                <w:t>De Afdeling advisering van de Raad van State geeft U in overweging het voorstel van wet niet</w:t>
              </w:r>
              <w:r>
                <w:t xml:space="preserve"> te zenden aan de Tweede Kamer der Staten-Generaal dan nadat met het vorenstaande rekening zal zijn gehouden.</w:t>
              </w:r>
              <w:r>
                <w:br/>
              </w:r>
              <w:r>
                <w:br/>
              </w:r>
              <w:r>
                <w:br/>
                <w:t>De vice-president van de Raad van State,</w:t>
              </w:r>
            </w:p>
          </w:sdtContent>
        </w:sdt>
      </w:sdtContent>
    </w:sdt>
    <w:sectPr w:rsidR="006066FC"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582" w:rsidRDefault="00E90991" w:rsidP="005B3E03">
      <w:r>
        <w:separator/>
      </w:r>
    </w:p>
    <w:p w:rsidR="000A7582" w:rsidRDefault="00E90991"/>
  </w:endnote>
  <w:endnote w:type="continuationSeparator" w:id="0">
    <w:p w:rsidR="000A7582" w:rsidRDefault="00E90991" w:rsidP="005B3E03">
      <w:r>
        <w:continuationSeparator/>
      </w:r>
    </w:p>
    <w:p w:rsidR="000A7582" w:rsidRDefault="00E90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Verdana">
    <w:panose1 w:val="020B06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582" w:rsidRDefault="00E90991" w:rsidP="005B3E03">
      <w:r>
        <w:separator/>
      </w:r>
    </w:p>
    <w:p w:rsidR="000A7582" w:rsidRDefault="00E90991"/>
  </w:footnote>
  <w:footnote w:type="continuationSeparator" w:id="0">
    <w:p w:rsidR="000A7582" w:rsidRDefault="00E90991" w:rsidP="005B3E03">
      <w:r>
        <w:continuationSeparator/>
      </w:r>
    </w:p>
    <w:p w:rsidR="000A7582" w:rsidRDefault="00E90991"/>
  </w:footnote>
  <w:footnote w:id="1">
    <w:p w:rsidR="00CA73B0" w:rsidRDefault="00E90991">
      <w:pPr>
        <w:pStyle w:val="Voetnoottekst"/>
      </w:pPr>
      <w:r>
        <w:rPr>
          <w:rStyle w:val="Voetnootmarkering"/>
        </w:rPr>
        <w:footnoteRef/>
      </w:r>
      <w:r>
        <w:t xml:space="preserve"> </w:t>
      </w:r>
      <w:r>
        <w:tab/>
      </w:r>
      <w:r>
        <w:rPr>
          <w:szCs w:val="18"/>
        </w:rPr>
        <w:t xml:space="preserve">Dit wil zeggen dat de kans om te overlijden als gevolg van </w:t>
      </w:r>
      <w:r>
        <w:rPr>
          <w:szCs w:val="18"/>
        </w:rPr>
        <w:t>een overstroming op een bepaalde plaats (het lokaal individueel risico of ‘LIR’) niet groter mag zijn dan eens per 100.000 jaar. Zie toelichting, paragraaf 2.2.</w:t>
      </w:r>
    </w:p>
  </w:footnote>
  <w:footnote w:id="2">
    <w:p w:rsidR="00A3608E" w:rsidRDefault="00E90991">
      <w:pPr>
        <w:pStyle w:val="Voetnoottekst"/>
      </w:pPr>
      <w:r>
        <w:rPr>
          <w:rStyle w:val="Voetnootmarkering"/>
        </w:rPr>
        <w:footnoteRef/>
      </w:r>
      <w:r>
        <w:t xml:space="preserve"> </w:t>
      </w:r>
      <w:r>
        <w:tab/>
        <w:t>Toelichting, paragraaf 2.1: “</w:t>
      </w:r>
      <w:r>
        <w:rPr>
          <w:szCs w:val="18"/>
        </w:rPr>
        <w:t>De huidige normen, die worden uitgedrukt in een overschrijdings</w:t>
      </w:r>
      <w:r>
        <w:rPr>
          <w:szCs w:val="18"/>
        </w:rPr>
        <w:t>kans, houden alleen rekening met de kans van een overstroming door het overschrijden van een bepaalde waterstand - die overigens een belangrijke oorzaak van het falen van waterkeringen blijft. Een overstromingskans is de kans op een overstroming door het b</w:t>
      </w:r>
      <w:r>
        <w:rPr>
          <w:szCs w:val="18"/>
        </w:rPr>
        <w:t>ezwijken van een primaire waterkering door welke oorzaak dan ook.” In een overstromingskans zoals deze in het voorstel wordt gedefinieerd zijn meer faalfactoren verdisconteerd dan in de overschrijdingskans, dit als gevolg van verbeterde technische inzichte</w:t>
      </w:r>
      <w:r>
        <w:rPr>
          <w:szCs w:val="18"/>
        </w:rPr>
        <w:t xml:space="preserve">n in de manieren waarop waterkeringen aan waterkerend vermogen kunnen verliezen. </w:t>
      </w:r>
    </w:p>
  </w:footnote>
  <w:footnote w:id="3">
    <w:p w:rsidR="005252E3" w:rsidRDefault="00E90991">
      <w:pPr>
        <w:pStyle w:val="Voetnoottekst"/>
      </w:pPr>
      <w:r>
        <w:rPr>
          <w:rStyle w:val="Voetnootmarkering"/>
        </w:rPr>
        <w:footnoteRef/>
      </w:r>
      <w:r>
        <w:t xml:space="preserve"> </w:t>
      </w:r>
      <w:r>
        <w:tab/>
        <w:t>Toelichting, paragraaf 5.1 en 5.3.1.</w:t>
      </w:r>
    </w:p>
  </w:footnote>
  <w:footnote w:id="4">
    <w:p w:rsidR="00D068D9" w:rsidRDefault="00E90991">
      <w:pPr>
        <w:pStyle w:val="Voetnoottekst"/>
      </w:pPr>
      <w:r>
        <w:rPr>
          <w:rStyle w:val="Voetnootmarkering"/>
        </w:rPr>
        <w:footnoteRef/>
      </w:r>
      <w:r>
        <w:t xml:space="preserve"> </w:t>
      </w:r>
      <w:r>
        <w:tab/>
      </w:r>
      <w:r w:rsidRPr="00D068D9">
        <w:t xml:space="preserve">Toelichting, paragraaf 5.3.2:“Door </w:t>
      </w:r>
      <w:proofErr w:type="spellStart"/>
      <w:r w:rsidRPr="00D068D9">
        <w:t>Deltares</w:t>
      </w:r>
      <w:proofErr w:type="spellEnd"/>
      <w:r w:rsidRPr="00D068D9">
        <w:t xml:space="preserve"> zijn berek</w:t>
      </w:r>
      <w:r>
        <w:t xml:space="preserve">eningen uitgevoerd om voor elk </w:t>
      </w:r>
      <w:r w:rsidRPr="00D068D9">
        <w:t>dijktraject een ondergrens te bepalen.”</w:t>
      </w:r>
    </w:p>
  </w:footnote>
  <w:footnote w:id="5">
    <w:p w:rsidR="0021470D" w:rsidRDefault="00E90991" w:rsidP="0021470D">
      <w:pPr>
        <w:pStyle w:val="Voetnoottekst"/>
      </w:pPr>
      <w:r>
        <w:rPr>
          <w:rStyle w:val="Voetnootmarkering"/>
        </w:rPr>
        <w:footnoteRef/>
      </w:r>
      <w:r>
        <w:t xml:space="preserve"> </w:t>
      </w:r>
      <w:r>
        <w:tab/>
        <w:t>Toe</w:t>
      </w:r>
      <w:r>
        <w:t>lichting, paragraaf 2.4.5.</w:t>
      </w:r>
    </w:p>
  </w:footnote>
  <w:footnote w:id="6">
    <w:p w:rsidR="00D068D9" w:rsidRDefault="00E90991" w:rsidP="00D068D9">
      <w:pPr>
        <w:pStyle w:val="Voetnoottekst"/>
      </w:pPr>
      <w:r>
        <w:rPr>
          <w:rStyle w:val="Voetnootmarkering"/>
        </w:rPr>
        <w:footnoteRef/>
      </w:r>
      <w:r>
        <w:t xml:space="preserve"> </w:t>
      </w:r>
      <w:r>
        <w:tab/>
        <w:t>Het voorgestelde vierde lid van artikel 2.2 regelt dit en luidt: “De overstromingskans per jaar waarop een dijktraject, niet zijnde een dijktraject als bedoeld in het eerste lid, onderdeel b of c, onderscheidenlijk de faalkans</w:t>
      </w:r>
      <w:r>
        <w:t xml:space="preserve"> per jaar waarop een dijktraject, genoemd in het eerste lid, onderdeel b, ten minste berekend moet zijn, is telkens een factor drie groter dan de overstromingskans, bedoeld in het eerste lid, onderdeel a, onderscheidenlijk de faalkans, bedoeld in het eerst</w:t>
      </w:r>
      <w:r>
        <w:t xml:space="preserve">e lid, onderdeel b, met dien verstande dat de eerstgenoemde overstromingskans onderscheidenlijk faalkans wordt afgerond op: </w:t>
      </w:r>
    </w:p>
    <w:p w:rsidR="00D068D9" w:rsidRDefault="00E90991" w:rsidP="00D068D9">
      <w:pPr>
        <w:pStyle w:val="Voetnoottekst"/>
      </w:pPr>
      <w:r>
        <w:tab/>
        <w:t xml:space="preserve">a. 1/300, als deze kleiner is dan 1/300, maar groter dan 1/1000; </w:t>
      </w:r>
    </w:p>
    <w:p w:rsidR="00D068D9" w:rsidRDefault="00E90991" w:rsidP="00D068D9">
      <w:pPr>
        <w:pStyle w:val="Voetnoottekst"/>
      </w:pPr>
      <w:r>
        <w:tab/>
        <w:t>b. 1/3000, als deze kleiner is dan 1/3000, maar groter dan 1/10</w:t>
      </w:r>
      <w:r>
        <w:t xml:space="preserve">.000; en </w:t>
      </w:r>
    </w:p>
    <w:p w:rsidR="00D068D9" w:rsidRDefault="00E90991" w:rsidP="00D068D9">
      <w:pPr>
        <w:pStyle w:val="Voetnoottekst"/>
      </w:pPr>
      <w:r>
        <w:tab/>
        <w:t>c. 1/30.000, als deze kleiner is dan 1/30.000, maar groter dan 1/100.000.”</w:t>
      </w:r>
    </w:p>
  </w:footnote>
  <w:footnote w:id="7">
    <w:p w:rsidR="00E42687" w:rsidRDefault="00E90991">
      <w:pPr>
        <w:pStyle w:val="Voetnoottekst"/>
      </w:pPr>
      <w:r>
        <w:rPr>
          <w:rStyle w:val="Voetnootmarkering"/>
        </w:rPr>
        <w:footnoteRef/>
      </w:r>
      <w:r>
        <w:t xml:space="preserve"> </w:t>
      </w:r>
      <w:r>
        <w:tab/>
        <w:t>Toelichting, paragraaf 5.2.1.</w:t>
      </w:r>
    </w:p>
  </w:footnote>
  <w:footnote w:id="8">
    <w:p w:rsidR="002C5F48" w:rsidRDefault="00E90991" w:rsidP="002C5F48">
      <w:pPr>
        <w:pStyle w:val="Voetnoottekst"/>
      </w:pPr>
      <w:r>
        <w:rPr>
          <w:rStyle w:val="Voetnootmarkering"/>
        </w:rPr>
        <w:footnoteRef/>
      </w:r>
      <w:r>
        <w:t xml:space="preserve"> </w:t>
      </w:r>
      <w:r>
        <w:tab/>
        <w:t xml:space="preserve">In </w:t>
      </w:r>
      <w:r w:rsidRPr="00E73055">
        <w:t>het bijzonder toegelicht in paragraaf 5.3.1 van de toelichting</w:t>
      </w:r>
      <w:r>
        <w:t>.</w:t>
      </w:r>
      <w:r w:rsidRPr="00E73055">
        <w:t xml:space="preserve"> </w:t>
      </w:r>
    </w:p>
  </w:footnote>
  <w:footnote w:id="9">
    <w:p w:rsidR="00B33BB3" w:rsidRDefault="00E90991" w:rsidP="00B33BB3">
      <w:pPr>
        <w:pStyle w:val="Voetnoottekst"/>
      </w:pPr>
      <w:r>
        <w:rPr>
          <w:rStyle w:val="Voetnootmarkering"/>
        </w:rPr>
        <w:footnoteRef/>
      </w:r>
      <w:r>
        <w:t xml:space="preserve"> </w:t>
      </w:r>
      <w:r>
        <w:tab/>
      </w:r>
      <w:r w:rsidRPr="00E83680">
        <w:rPr>
          <w:szCs w:val="18"/>
        </w:rPr>
        <w:t xml:space="preserve">Toelichting, paragraaf 12. </w:t>
      </w:r>
      <w:r>
        <w:rPr>
          <w:szCs w:val="18"/>
        </w:rPr>
        <w:t xml:space="preserve">Voor de consultatiereacties van </w:t>
      </w:r>
      <w:proofErr w:type="spellStart"/>
      <w:r>
        <w:rPr>
          <w:szCs w:val="18"/>
        </w:rPr>
        <w:t>Delt</w:t>
      </w:r>
      <w:r>
        <w:rPr>
          <w:szCs w:val="18"/>
        </w:rPr>
        <w:t>ares</w:t>
      </w:r>
      <w:proofErr w:type="spellEnd"/>
      <w:r>
        <w:rPr>
          <w:szCs w:val="18"/>
        </w:rPr>
        <w:t xml:space="preserve"> en TU Delft, zie </w:t>
      </w:r>
      <w:r w:rsidRPr="00822033">
        <w:rPr>
          <w:szCs w:val="18"/>
        </w:rPr>
        <w:t>https://www.internetconsultatie.nl/ontwerpwijziging_waterwet/reacties</w:t>
      </w:r>
      <w:r>
        <w:rPr>
          <w:szCs w:val="18"/>
        </w:rPr>
        <w:t>.</w:t>
      </w:r>
    </w:p>
  </w:footnote>
  <w:footnote w:id="10">
    <w:p w:rsidR="00670AB2" w:rsidRDefault="00E90991" w:rsidP="00670AB2">
      <w:pPr>
        <w:pStyle w:val="Voetnoottekst"/>
      </w:pPr>
      <w:r>
        <w:rPr>
          <w:rStyle w:val="Voetnootmarkering"/>
        </w:rPr>
        <w:footnoteRef/>
      </w:r>
      <w:r>
        <w:t xml:space="preserve"> </w:t>
      </w:r>
      <w:r>
        <w:tab/>
        <w:t>Artikelsgewijze toelichting bij artikel I, C: “</w:t>
      </w:r>
      <w:r>
        <w:rPr>
          <w:szCs w:val="18"/>
        </w:rPr>
        <w:t>Voor vrijwel alle dijktrajecten, ongeacht het type primaire waterkering […] gaat een signaleringsnorm gelden. All</w:t>
      </w:r>
      <w:r>
        <w:rPr>
          <w:szCs w:val="18"/>
        </w:rPr>
        <w:t xml:space="preserve">een voor compartimenterende keringen, die onder normale omstandigheden geen water keren, wordt geen signaleringsnorm vastgesteld.” De onderdelen a en b het voorgestelde artikel 2.2, eerste lid voorzien in het vaststellen van signaleringsnormen. </w:t>
      </w:r>
      <w:r>
        <w:t xml:space="preserve">Zie verder </w:t>
      </w:r>
      <w:r>
        <w:t xml:space="preserve">paragraaf 4.3.3 van de toelichting voor een uitleg van de voorgestelde typologie van keringen. </w:t>
      </w:r>
    </w:p>
  </w:footnote>
  <w:footnote w:id="11">
    <w:p w:rsidR="00FD52DD" w:rsidRDefault="00E90991">
      <w:pPr>
        <w:pStyle w:val="Voetnoottekst"/>
      </w:pPr>
      <w:r>
        <w:rPr>
          <w:rStyle w:val="Voetnootmarkering"/>
        </w:rPr>
        <w:footnoteRef/>
      </w:r>
      <w:r>
        <w:t xml:space="preserve"> Voor een toelichting op de hier bedoelde indeling in normklassen, zie het voorgestelde artikel 2.2, vierde lid en paragraaf 5.4 van de toelichting</w:t>
      </w:r>
    </w:p>
  </w:footnote>
  <w:footnote w:id="12">
    <w:p w:rsidR="00F11FD7" w:rsidRDefault="00E90991">
      <w:pPr>
        <w:pStyle w:val="Voetnoottekst"/>
      </w:pPr>
      <w:r>
        <w:rPr>
          <w:rStyle w:val="Voetnootmarkering"/>
        </w:rPr>
        <w:footnoteRef/>
      </w:r>
      <w:r>
        <w:t xml:space="preserve"> Zie noot 6 voor de tekst van het voorgestelde artikel 2.2, vierde lid. </w:t>
      </w:r>
    </w:p>
  </w:footnote>
  <w:footnote w:id="13">
    <w:p w:rsidR="0077767F" w:rsidRDefault="00E90991">
      <w:pPr>
        <w:pStyle w:val="Voetnoottekst"/>
      </w:pPr>
      <w:r>
        <w:rPr>
          <w:rStyle w:val="Voetnootmarkering"/>
        </w:rPr>
        <w:footnoteRef/>
      </w:r>
      <w:r>
        <w:t xml:space="preserve"> </w:t>
      </w:r>
      <w:r>
        <w:tab/>
      </w:r>
      <w:r w:rsidRPr="0077767F">
        <w:t xml:space="preserve">Maatschappelijke kosten-batenanalyse Waterveiligheid 21e eeuw, bijlage bij Kamerstukken II 2011/12, 31 710, nr. 22. De MKBA is door onderzoeksinstituut </w:t>
      </w:r>
      <w:proofErr w:type="spellStart"/>
      <w:r w:rsidRPr="0077767F">
        <w:t>Deltares</w:t>
      </w:r>
      <w:proofErr w:type="spellEnd"/>
      <w:r w:rsidRPr="0077767F">
        <w:t xml:space="preserve"> in opdracht van het</w:t>
      </w:r>
      <w:r w:rsidRPr="0077767F">
        <w:t xml:space="preserve"> ministerie van </w:t>
      </w:r>
      <w:proofErr w:type="spellStart"/>
      <w:r w:rsidRPr="0077767F">
        <w:t>IenM</w:t>
      </w:r>
      <w:proofErr w:type="spellEnd"/>
      <w:r w:rsidRPr="0077767F">
        <w:t xml:space="preserve"> uitgevoerd ten behoeve van de onderbouwing van waterveiligheidsnormen (Toelichting, paragraaf 2.2). In de MKBA WV21 zijn de kosten en baten onderzocht van maatregelen die tot doel hebben om de kans op een overstroming te reduceren. </w:t>
      </w:r>
      <w:r>
        <w:t>Zie</w:t>
      </w:r>
      <w:r>
        <w:t xml:space="preserve"> </w:t>
      </w:r>
      <w:r w:rsidRPr="0077767F">
        <w:t>blz. i</w:t>
      </w:r>
      <w:r>
        <w:t xml:space="preserve"> van de MKBA WV21</w:t>
      </w:r>
      <w:r w:rsidRPr="0077767F">
        <w:t>: “Voor de dijken die het achterland direct beschermen tegengrootschalige overstromingen vanuit de kust, rivieren en meren […] zijn economisch optimale beschermingsniveaus berekend. Daarnaast zijn de kosten in beeld gebracht die nod</w:t>
      </w:r>
      <w:r w:rsidRPr="0077767F">
        <w:t xml:space="preserve">ig zijn om de economisch optimale beschermingsniveaus te realiseren. […] In de MKBA is gebruik gemaakt van een economisch model dat een optimale, lange termijn investeringsstrategie in dijkverhogingen beschrijft. ‘Optimaal’ wil zeggen dat de totale kosten </w:t>
      </w:r>
      <w:r w:rsidRPr="0077767F">
        <w:t>van investeringen in dijkverhoging en verwachte schade (kans maal schade) over een langere periode worden geminimaliseerd.”</w:t>
      </w:r>
    </w:p>
  </w:footnote>
  <w:footnote w:id="14">
    <w:p w:rsidR="00C24DE8" w:rsidRDefault="00E90991">
      <w:pPr>
        <w:pStyle w:val="Voetnoottekst"/>
      </w:pPr>
      <w:r>
        <w:rPr>
          <w:rStyle w:val="Voetnootmarkering"/>
        </w:rPr>
        <w:footnoteRef/>
      </w:r>
      <w:r>
        <w:t xml:space="preserve"> </w:t>
      </w:r>
      <w:r>
        <w:tab/>
      </w:r>
      <w:r w:rsidRPr="00C24DE8">
        <w:t>Analyse van slachtofferrisico’s Waterveiligheid 21e eeuw, bijlage bij Kamerstukken II 2011/12, 31 710, nr. 22</w:t>
      </w:r>
    </w:p>
  </w:footnote>
  <w:footnote w:id="15">
    <w:p w:rsidR="00D068D9" w:rsidRDefault="00E90991" w:rsidP="00F17A2F">
      <w:pPr>
        <w:pStyle w:val="Voetnoottekst"/>
      </w:pPr>
      <w:r>
        <w:rPr>
          <w:rStyle w:val="Voetnootmarkering"/>
        </w:rPr>
        <w:footnoteRef/>
      </w:r>
      <w:r>
        <w:t xml:space="preserve"> </w:t>
      </w:r>
      <w:r>
        <w:tab/>
      </w:r>
      <w:r>
        <w:t>P</w:t>
      </w:r>
      <w:r>
        <w:t>aragrafen 2.4 e</w:t>
      </w:r>
      <w:r>
        <w:t>n 2.5 van de MKBA WV21</w:t>
      </w:r>
    </w:p>
  </w:footnote>
  <w:footnote w:id="16">
    <w:p w:rsidR="00D068D9" w:rsidRDefault="00E90991" w:rsidP="00AA5EB8">
      <w:pPr>
        <w:pStyle w:val="Voetnoottekst"/>
      </w:pPr>
      <w:r>
        <w:rPr>
          <w:rStyle w:val="Voetnootmarkering"/>
        </w:rPr>
        <w:footnoteRef/>
      </w:r>
      <w:r>
        <w:t xml:space="preserve"> </w:t>
      </w:r>
      <w:r>
        <w:tab/>
        <w:t>Toelichting, paragraaf 5.3.1.</w:t>
      </w:r>
    </w:p>
  </w:footnote>
  <w:footnote w:id="17">
    <w:p w:rsidR="00CA0C46" w:rsidRDefault="00E90991">
      <w:pPr>
        <w:pStyle w:val="Voetnoottekst"/>
      </w:pPr>
      <w:r>
        <w:rPr>
          <w:rStyle w:val="Voetnootmarkering"/>
        </w:rPr>
        <w:footnoteRef/>
      </w:r>
      <w:r>
        <w:t xml:space="preserve"> </w:t>
      </w:r>
      <w:r>
        <w:tab/>
        <w:t>Toelichting, paragraaf 5.3.2.</w:t>
      </w:r>
    </w:p>
  </w:footnote>
  <w:footnote w:id="18">
    <w:p w:rsidR="00BF775D" w:rsidRDefault="00E90991">
      <w:pPr>
        <w:pStyle w:val="Voetnoottekst"/>
      </w:pPr>
      <w:r>
        <w:rPr>
          <w:rStyle w:val="Voetnootmarkering"/>
        </w:rPr>
        <w:footnoteRef/>
      </w:r>
      <w:r>
        <w:t xml:space="preserve"> </w:t>
      </w:r>
      <w:r>
        <w:tab/>
      </w:r>
      <w:r>
        <w:t>De indeling in normklassen is toegelicht in paragraaf 5.4 van de toelichting. Zie ook het voorgestelde artikel 2.2, vierde lid.</w:t>
      </w:r>
    </w:p>
  </w:footnote>
  <w:footnote w:id="19">
    <w:p w:rsidR="00F56BBA" w:rsidRDefault="00E90991" w:rsidP="00F56BBA">
      <w:pPr>
        <w:pStyle w:val="Voetnoottekst"/>
      </w:pPr>
      <w:r>
        <w:rPr>
          <w:rStyle w:val="Voetnootmarkering"/>
        </w:rPr>
        <w:footnoteRef/>
      </w:r>
      <w:r>
        <w:t xml:space="preserve"> </w:t>
      </w:r>
      <w:r>
        <w:tab/>
      </w:r>
      <w:r>
        <w:t xml:space="preserve">De toelichting, paragraaf 5.3.2 vermeldt over de verhouding tussen de ondergrens en de signaleringswaarde: ”[…] </w:t>
      </w:r>
      <w:r>
        <w:rPr>
          <w:szCs w:val="18"/>
        </w:rPr>
        <w:t>voor elk type dijktraject [is] berekend wat – gelet op het minimale beschermingsniveau dat het dijktraject moet bieden – de verhouding is tussen</w:t>
      </w:r>
      <w:r>
        <w:rPr>
          <w:szCs w:val="18"/>
        </w:rPr>
        <w:t xml:space="preserve"> signaleringsnorm en ondergrens. Uit die berekeningen blijkt dat de ruwe overstromingskansgetallen voor de signaleringsnormen een factor 1-5 verschillen met die voor de ondergrenzen. Hierbij is de signaleringsnorm de strengste norm. Als de ruwe overstromin</w:t>
      </w:r>
      <w:r>
        <w:rPr>
          <w:szCs w:val="18"/>
        </w:rPr>
        <w:t>gskansgetallen voor de ondergrens worden toebedeeld aan een normklasse, is in verreweg de meeste gevallen sprake van een factor 3. De variatie in factoren ontstaat onder meer doordat bij sommige trajecten voor het bepalen van de norm het LIR</w:t>
      </w:r>
      <w:r>
        <w:rPr>
          <w:sz w:val="12"/>
          <w:szCs w:val="12"/>
        </w:rPr>
        <w:t xml:space="preserve"> </w:t>
      </w:r>
      <w:r>
        <w:rPr>
          <w:szCs w:val="18"/>
        </w:rPr>
        <w:t xml:space="preserve">maatgevend is </w:t>
      </w:r>
      <w:r>
        <w:rPr>
          <w:szCs w:val="18"/>
        </w:rPr>
        <w:t>geweest en bij andere trajecten de economische schade op basis van de MKBA WV21.</w:t>
      </w:r>
      <w:r>
        <w:rPr>
          <w:sz w:val="12"/>
          <w:szCs w:val="12"/>
        </w:rPr>
        <w:t xml:space="preserve"> </w:t>
      </w:r>
      <w:r>
        <w:rPr>
          <w:szCs w:val="18"/>
        </w:rPr>
        <w:t>In ongeveer 33% van de dijktrajecten is het LIR maatgevend geweest. De MKBA is in ongeveer 66% van de dijktrajecten bepalend geweest. Verder worden verschillen bijvoorbeeld ve</w:t>
      </w:r>
      <w:r>
        <w:rPr>
          <w:szCs w:val="18"/>
        </w:rPr>
        <w:t xml:space="preserve">roorzaakt door de grootte van het aandeel vaste kosten in de totale kosten bij vervanging van de waterkering. </w:t>
      </w:r>
    </w:p>
  </w:footnote>
  <w:footnote w:id="20">
    <w:p w:rsidR="008C3357" w:rsidRDefault="00E90991" w:rsidP="008C3357">
      <w:pPr>
        <w:pStyle w:val="Voetnoottekst"/>
      </w:pPr>
      <w:r>
        <w:rPr>
          <w:rStyle w:val="Voetnootmarkering"/>
        </w:rPr>
        <w:footnoteRef/>
      </w:r>
      <w:r>
        <w:t xml:space="preserve"> </w:t>
      </w:r>
      <w:r>
        <w:tab/>
      </w:r>
      <w:r>
        <w:t>Toelichting, paragraaf 4.3.4, eerste alinea.</w:t>
      </w:r>
    </w:p>
  </w:footnote>
  <w:footnote w:id="21">
    <w:p w:rsidR="0021470D" w:rsidRDefault="00E90991" w:rsidP="0021470D">
      <w:pPr>
        <w:pStyle w:val="Voetnoottekst"/>
      </w:pPr>
      <w:r>
        <w:rPr>
          <w:rStyle w:val="Voetnootmarkering"/>
        </w:rPr>
        <w:footnoteRef/>
      </w:r>
      <w:r>
        <w:t xml:space="preserve"> Toelichting, paragraaf 5.5: de minister moet bij inzet van de bevoegdheid tenminste beoordelen </w:t>
      </w:r>
      <w:r>
        <w:t xml:space="preserve">of nog steeds het beoogde beschermingsniveau wordt geboden. </w:t>
      </w:r>
    </w:p>
  </w:footnote>
  <w:footnote w:id="22">
    <w:p w:rsidR="00242966" w:rsidRDefault="00E90991" w:rsidP="00242966">
      <w:pPr>
        <w:pStyle w:val="Voetnoottekst"/>
      </w:pPr>
      <w:r>
        <w:rPr>
          <w:rStyle w:val="Voetnootmarkering"/>
        </w:rPr>
        <w:footnoteRef/>
      </w:r>
      <w:r>
        <w:t xml:space="preserve"> Toelichting, paragraaf 2.4.5.</w:t>
      </w:r>
    </w:p>
  </w:footnote>
  <w:footnote w:id="23">
    <w:p w:rsidR="0021470D" w:rsidRDefault="00E90991" w:rsidP="0021470D">
      <w:pPr>
        <w:pStyle w:val="Voetnoottekst"/>
      </w:pPr>
      <w:r>
        <w:rPr>
          <w:rStyle w:val="Voetnootmarkering"/>
        </w:rPr>
        <w:footnoteRef/>
      </w:r>
      <w:r>
        <w:t xml:space="preserve"> </w:t>
      </w:r>
      <w:r>
        <w:tab/>
      </w:r>
      <w:r>
        <w:t>Toelichting, paragraaf 5.5. De artikelsgewijze toelichting bij de wijziging van artikel 2.2 van de wet herhaalt dezelfde uitleg.</w:t>
      </w:r>
    </w:p>
  </w:footnote>
  <w:footnote w:id="24">
    <w:p w:rsidR="00267085" w:rsidRDefault="00E90991">
      <w:pPr>
        <w:pStyle w:val="Voetnoottekst"/>
      </w:pPr>
      <w:r>
        <w:rPr>
          <w:rStyle w:val="Voetnootmarkering"/>
        </w:rPr>
        <w:footnoteRef/>
      </w:r>
      <w:r>
        <w:t xml:space="preserve"> </w:t>
      </w:r>
      <w:r>
        <w:tab/>
        <w:t>Toelichting, paragrafen 12.4</w:t>
      </w:r>
      <w:r>
        <w:t xml:space="preserve"> en 12.5.</w:t>
      </w:r>
    </w:p>
  </w:footnote>
  <w:footnote w:id="25">
    <w:p w:rsidR="005A603C" w:rsidRDefault="00E90991" w:rsidP="005A603C">
      <w:pPr>
        <w:pStyle w:val="Voetnoottekst"/>
      </w:pPr>
      <w:r>
        <w:rPr>
          <w:rStyle w:val="Voetnootmarkering"/>
        </w:rPr>
        <w:footnoteRef/>
      </w:r>
      <w:r>
        <w:t xml:space="preserve"> </w:t>
      </w:r>
      <w:r>
        <w:tab/>
      </w:r>
      <w:r>
        <w:t xml:space="preserve">Artikel I wijzigt de Waterwet, artikel II wijzigt artikel 2 van bijlage 2 bij de Algemene wet bestuursrecht, </w:t>
      </w:r>
      <w:r>
        <w:t>zodat tegen een besluit van de M</w:t>
      </w:r>
      <w:r>
        <w:t xml:space="preserve">inister van </w:t>
      </w:r>
      <w:proofErr w:type="spellStart"/>
      <w:r>
        <w:t>IenM</w:t>
      </w:r>
      <w:proofErr w:type="spellEnd"/>
      <w:r>
        <w:t xml:space="preserve"> op grond van het voorgestelde artikel 2.2, vijfde lid, beroep bij de Afdeling bestuursrechtspraak van de Raad van State openstaat.</w:t>
      </w:r>
    </w:p>
  </w:footnote>
  <w:footnote w:id="26">
    <w:p w:rsidR="005A603C" w:rsidRDefault="00E90991" w:rsidP="005A603C">
      <w:pPr>
        <w:pStyle w:val="Voetnoottekst"/>
      </w:pPr>
      <w:r>
        <w:rPr>
          <w:rStyle w:val="Voetnootmarkering"/>
        </w:rPr>
        <w:footnoteRef/>
      </w:r>
      <w:r>
        <w:t xml:space="preserve"> </w:t>
      </w:r>
      <w:r>
        <w:tab/>
        <w:t>Toelichting, paragraaf 2.4.6, vierde alinea en de artikelsgewijze toelichting bij wijzigingsartikel V.</w:t>
      </w:r>
    </w:p>
  </w:footnote>
  <w:footnote w:id="27">
    <w:p w:rsidR="005A603C" w:rsidRPr="002E44BE" w:rsidRDefault="00E90991" w:rsidP="005A603C">
      <w:pPr>
        <w:pStyle w:val="Voetnoottekst"/>
      </w:pPr>
      <w:r>
        <w:rPr>
          <w:rStyle w:val="Voetnootmarkering"/>
        </w:rPr>
        <w:footnoteRef/>
      </w:r>
      <w:r>
        <w:t xml:space="preserve"> </w:t>
      </w:r>
      <w:r>
        <w:tab/>
      </w:r>
      <w:r w:rsidRPr="00DB4E40">
        <w:rPr>
          <w:i/>
        </w:rPr>
        <w:t xml:space="preserve">Deltaprogramma </w:t>
      </w:r>
      <w:r w:rsidRPr="00DB4E40">
        <w:rPr>
          <w:i/>
        </w:rPr>
        <w:t>2015, werk aan de delta. De beslissingen om Nederland veilig en leefbaar te houden.</w:t>
      </w:r>
      <w:r>
        <w:t xml:space="preserve"> D</w:t>
      </w:r>
      <w:r w:rsidRPr="00D75702">
        <w:t xml:space="preserve">aarin staat </w:t>
      </w:r>
      <w:r>
        <w:t>op p. 22: “</w:t>
      </w:r>
      <w:r w:rsidRPr="002E44BE">
        <w:t>Het kabinet streeft ernaar om de nieuwe normen in 2017 te hebben opgenomen in de Waterwet, zodat de Vierde Toetsing in 2017 op basis van de nieuwe n</w:t>
      </w:r>
      <w:r w:rsidRPr="002E44BE">
        <w:t>ormen kan plaatsvinden.</w:t>
      </w:r>
      <w:r>
        <w:t>”</w:t>
      </w:r>
    </w:p>
  </w:footnote>
  <w:footnote w:id="28">
    <w:p w:rsidR="005A603C" w:rsidRPr="00773360" w:rsidRDefault="00E90991" w:rsidP="005A603C">
      <w:pPr>
        <w:pStyle w:val="Voetnoottekst"/>
        <w:rPr>
          <w:szCs w:val="18"/>
        </w:rPr>
      </w:pPr>
      <w:r>
        <w:rPr>
          <w:rStyle w:val="Voetnootmarkering"/>
        </w:rPr>
        <w:footnoteRef/>
      </w:r>
      <w:r>
        <w:t xml:space="preserve"> </w:t>
      </w:r>
      <w:r>
        <w:tab/>
      </w:r>
      <w:r>
        <w:rPr>
          <w:szCs w:val="18"/>
        </w:rPr>
        <w:t>V</w:t>
      </w:r>
      <w:r w:rsidRPr="00773360">
        <w:rPr>
          <w:szCs w:val="18"/>
        </w:rPr>
        <w:t xml:space="preserve">gl. </w:t>
      </w:r>
      <w:r w:rsidRPr="00773360">
        <w:rPr>
          <w:iCs/>
          <w:szCs w:val="18"/>
        </w:rPr>
        <w:t>aanwijzing</w:t>
      </w:r>
      <w:r w:rsidRPr="00773360">
        <w:rPr>
          <w:szCs w:val="18"/>
        </w:rPr>
        <w:t xml:space="preserve"> 167, derde lid, van de </w:t>
      </w:r>
      <w:r w:rsidRPr="00773360">
        <w:rPr>
          <w:rStyle w:val="Nadruk"/>
          <w:i w:val="0"/>
          <w:szCs w:val="18"/>
        </w:rPr>
        <w:t>Aanwijzingen</w:t>
      </w:r>
      <w:r w:rsidRPr="00773360">
        <w:rPr>
          <w:szCs w:val="18"/>
        </w:rPr>
        <w:t xml:space="preserve"> voor de regelgeving</w:t>
      </w:r>
      <w:r>
        <w:rPr>
          <w:szCs w:val="18"/>
        </w:rPr>
        <w:t>.</w:t>
      </w:r>
    </w:p>
  </w:footnote>
  <w:footnote w:id="29">
    <w:p w:rsidR="009D544A" w:rsidRDefault="00E90991">
      <w:pPr>
        <w:pStyle w:val="Voetnoottekst"/>
      </w:pPr>
      <w:r>
        <w:rPr>
          <w:rStyle w:val="Voetnootmarkering"/>
        </w:rPr>
        <w:footnoteRef/>
      </w:r>
      <w:r>
        <w:t xml:space="preserve"> Toelichting, paragraaf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90991">
      <w:rPr>
        <w:rStyle w:val="Paginanummer"/>
        <w:noProof/>
      </w:rPr>
      <w:t>10</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5FF3025"/>
    <w:multiLevelType w:val="hybridMultilevel"/>
    <w:tmpl w:val="8CB68FD8"/>
    <w:lvl w:ilvl="0" w:tplc="04130019">
      <w:start w:val="1"/>
      <w:numFmt w:val="lowerLetter"/>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2">
    <w:nsid w:val="1D9C2F55"/>
    <w:multiLevelType w:val="hybridMultilevel"/>
    <w:tmpl w:val="EFE4A7B4"/>
    <w:lvl w:ilvl="0" w:tplc="D338B59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3C74C57"/>
    <w:multiLevelType w:val="hybridMultilevel"/>
    <w:tmpl w:val="D136A55A"/>
    <w:lvl w:ilvl="0" w:tplc="0E4252BE">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6D70F3B"/>
    <w:multiLevelType w:val="hybridMultilevel"/>
    <w:tmpl w:val="3FF64AD2"/>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066FC"/>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E9099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uiPriority w:val="99"/>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CA73B0"/>
    <w:rPr>
      <w:vertAlign w:val="superscript"/>
    </w:rPr>
  </w:style>
  <w:style w:type="character" w:styleId="Verwijzingopmerking">
    <w:name w:val="annotation reference"/>
    <w:uiPriority w:val="99"/>
    <w:unhideWhenUsed/>
    <w:rsid w:val="00171C72"/>
    <w:rPr>
      <w:sz w:val="16"/>
      <w:szCs w:val="16"/>
    </w:rPr>
  </w:style>
  <w:style w:type="paragraph" w:styleId="Tekstopmerking">
    <w:name w:val="annotation text"/>
    <w:basedOn w:val="Standaard"/>
    <w:link w:val="TekstopmerkingChar"/>
    <w:uiPriority w:val="99"/>
    <w:unhideWhenUsed/>
    <w:rsid w:val="00171C72"/>
    <w:rPr>
      <w:sz w:val="20"/>
      <w:szCs w:val="20"/>
    </w:rPr>
  </w:style>
  <w:style w:type="character" w:customStyle="1" w:styleId="TekstopmerkingChar">
    <w:name w:val="Tekst opmerking Char"/>
    <w:basedOn w:val="Standaardalinea-lettertype"/>
    <w:link w:val="Tekstopmerking"/>
    <w:uiPriority w:val="99"/>
    <w:rsid w:val="00171C72"/>
    <w:rPr>
      <w:rFonts w:ascii="Univers" w:hAnsi="Univers"/>
    </w:rPr>
  </w:style>
  <w:style w:type="character" w:styleId="Nadruk">
    <w:name w:val="Emphasis"/>
    <w:basedOn w:val="Standaardalinea-lettertype"/>
    <w:uiPriority w:val="20"/>
    <w:qFormat/>
    <w:rsid w:val="00BC0ADC"/>
    <w:rPr>
      <w:i/>
      <w:iCs/>
    </w:rPr>
  </w:style>
  <w:style w:type="paragraph" w:styleId="Onderwerpvanopmerking">
    <w:name w:val="annotation subject"/>
    <w:basedOn w:val="Tekstopmerking"/>
    <w:next w:val="Tekstopmerking"/>
    <w:link w:val="OnderwerpvanopmerkingChar"/>
    <w:rsid w:val="00CA180F"/>
    <w:rPr>
      <w:b/>
      <w:bCs/>
    </w:rPr>
  </w:style>
  <w:style w:type="character" w:customStyle="1" w:styleId="OnderwerpvanopmerkingChar">
    <w:name w:val="Onderwerp van opmerking Char"/>
    <w:basedOn w:val="TekstopmerkingChar"/>
    <w:link w:val="Onderwerpvanopmerking"/>
    <w:rsid w:val="00CA180F"/>
    <w:rPr>
      <w:rFonts w:ascii="Univers" w:hAnsi="Univers"/>
      <w:b/>
      <w:bCs/>
    </w:rPr>
  </w:style>
  <w:style w:type="character" w:styleId="Hyperlink">
    <w:name w:val="Hyperlink"/>
    <w:basedOn w:val="Standaardalinea-lettertype"/>
    <w:rsid w:val="00822033"/>
    <w:rPr>
      <w:color w:val="0000FF" w:themeColor="hyperlink"/>
      <w:u w:val="single"/>
    </w:rPr>
  </w:style>
  <w:style w:type="paragraph" w:styleId="Revisie">
    <w:name w:val="Revision"/>
    <w:hidden/>
    <w:uiPriority w:val="99"/>
    <w:semiHidden/>
    <w:rsid w:val="00B41B6F"/>
    <w:rPr>
      <w:rFonts w:ascii="Univers" w:hAnsi="Univers"/>
      <w:sz w:val="22"/>
      <w:szCs w:val="24"/>
    </w:rPr>
  </w:style>
  <w:style w:type="paragraph" w:customStyle="1" w:styleId="Default">
    <w:name w:val="Default"/>
    <w:rsid w:val="00E241D9"/>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uiPriority w:val="99"/>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CA73B0"/>
    <w:rPr>
      <w:vertAlign w:val="superscript"/>
    </w:rPr>
  </w:style>
  <w:style w:type="character" w:styleId="Verwijzingopmerking">
    <w:name w:val="annotation reference"/>
    <w:uiPriority w:val="99"/>
    <w:unhideWhenUsed/>
    <w:rsid w:val="00171C72"/>
    <w:rPr>
      <w:sz w:val="16"/>
      <w:szCs w:val="16"/>
    </w:rPr>
  </w:style>
  <w:style w:type="paragraph" w:styleId="Tekstopmerking">
    <w:name w:val="annotation text"/>
    <w:basedOn w:val="Standaard"/>
    <w:link w:val="TekstopmerkingChar"/>
    <w:uiPriority w:val="99"/>
    <w:unhideWhenUsed/>
    <w:rsid w:val="00171C72"/>
    <w:rPr>
      <w:sz w:val="20"/>
      <w:szCs w:val="20"/>
    </w:rPr>
  </w:style>
  <w:style w:type="character" w:customStyle="1" w:styleId="TekstopmerkingChar">
    <w:name w:val="Tekst opmerking Char"/>
    <w:basedOn w:val="Standaardalinea-lettertype"/>
    <w:link w:val="Tekstopmerking"/>
    <w:uiPriority w:val="99"/>
    <w:rsid w:val="00171C72"/>
    <w:rPr>
      <w:rFonts w:ascii="Univers" w:hAnsi="Univers"/>
    </w:rPr>
  </w:style>
  <w:style w:type="character" w:styleId="Nadruk">
    <w:name w:val="Emphasis"/>
    <w:basedOn w:val="Standaardalinea-lettertype"/>
    <w:uiPriority w:val="20"/>
    <w:qFormat/>
    <w:rsid w:val="00BC0ADC"/>
    <w:rPr>
      <w:i/>
      <w:iCs/>
    </w:rPr>
  </w:style>
  <w:style w:type="paragraph" w:styleId="Onderwerpvanopmerking">
    <w:name w:val="annotation subject"/>
    <w:basedOn w:val="Tekstopmerking"/>
    <w:next w:val="Tekstopmerking"/>
    <w:link w:val="OnderwerpvanopmerkingChar"/>
    <w:rsid w:val="00CA180F"/>
    <w:rPr>
      <w:b/>
      <w:bCs/>
    </w:rPr>
  </w:style>
  <w:style w:type="character" w:customStyle="1" w:styleId="OnderwerpvanopmerkingChar">
    <w:name w:val="Onderwerp van opmerking Char"/>
    <w:basedOn w:val="TekstopmerkingChar"/>
    <w:link w:val="Onderwerpvanopmerking"/>
    <w:rsid w:val="00CA180F"/>
    <w:rPr>
      <w:rFonts w:ascii="Univers" w:hAnsi="Univers"/>
      <w:b/>
      <w:bCs/>
    </w:rPr>
  </w:style>
  <w:style w:type="character" w:styleId="Hyperlink">
    <w:name w:val="Hyperlink"/>
    <w:basedOn w:val="Standaardalinea-lettertype"/>
    <w:rsid w:val="00822033"/>
    <w:rPr>
      <w:color w:val="0000FF" w:themeColor="hyperlink"/>
      <w:u w:val="single"/>
    </w:rPr>
  </w:style>
  <w:style w:type="paragraph" w:styleId="Revisie">
    <w:name w:val="Revision"/>
    <w:hidden/>
    <w:uiPriority w:val="99"/>
    <w:semiHidden/>
    <w:rsid w:val="00B41B6F"/>
    <w:rPr>
      <w:rFonts w:ascii="Univers" w:hAnsi="Univers"/>
      <w:sz w:val="22"/>
      <w:szCs w:val="24"/>
    </w:rPr>
  </w:style>
  <w:style w:type="paragraph" w:customStyle="1" w:styleId="Default">
    <w:name w:val="Default"/>
    <w:rsid w:val="00E241D9"/>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erw\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Verdana">
    <w:panose1 w:val="020B06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3462</ap:Words>
  <ap:Characters>20248</ap:Characters>
  <ap:DocSecurity>0</ap:DocSecurity>
  <ap:Lines>168</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2015-12-01T07:44:00.0000000Z</lastPrinted>
  <dcterms:created xsi:type="dcterms:W3CDTF">2012-11-20T15:20:00.0000000Z</dcterms:created>
  <dcterms:modified xsi:type="dcterms:W3CDTF">2015-12-01T07:45:00.0000000Z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0x0101001ED3D33AB200A9499C8642D68373B8E6</vt:lpwstr>
  </property>
</Properties>
</file>