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813" w:rsidP="00135813" w:rsidRDefault="00135813">
      <w:r>
        <w:t>Geachte leden en plaatsvervangend leden van de vaste commissie voor Infrastructuur en Milieu,</w:t>
      </w:r>
    </w:p>
    <w:p w:rsidR="00135813" w:rsidP="00135813" w:rsidRDefault="00135813">
      <w:r>
        <w:t>CC aan de leden en plaatsvervangend leden van de vaste commissie voor Economische Zaken,</w:t>
      </w:r>
    </w:p>
    <w:p w:rsidR="00135813" w:rsidP="00135813" w:rsidRDefault="00135813"/>
    <w:p w:rsidR="00135813" w:rsidP="00135813" w:rsidRDefault="00135813">
      <w:r>
        <w:t xml:space="preserve">Bij dezen stuur ik u een nagekomen rondvraagpunt ter bespreking tijdens de procedurevergadering van de commissie </w:t>
      </w:r>
      <w:proofErr w:type="spellStart"/>
      <w:r>
        <w:t>IenM</w:t>
      </w:r>
      <w:proofErr w:type="spellEnd"/>
      <w:r>
        <w:rPr>
          <w:color w:val="1F497D"/>
        </w:rPr>
        <w:t xml:space="preserve"> </w:t>
      </w:r>
      <w:r>
        <w:t>van woensdag 15 juni 2016 te 10.15 uur.</w:t>
      </w:r>
    </w:p>
    <w:p w:rsidR="00135813" w:rsidP="00135813" w:rsidRDefault="00135813">
      <w:pPr>
        <w:rPr>
          <w:color w:val="1F497D"/>
        </w:rPr>
      </w:pPr>
    </w:p>
    <w:p w:rsidR="00135813" w:rsidP="00135813" w:rsidRDefault="00135813">
      <w:r>
        <w:t>Naar aanleiding van het</w:t>
      </w:r>
      <w:r>
        <w:rPr>
          <w:color w:val="1F497D"/>
        </w:rPr>
        <w:t xml:space="preserve"> </w:t>
      </w:r>
      <w:hyperlink w:history="1" r:id="rId6">
        <w:r>
          <w:rPr>
            <w:rStyle w:val="Hyperlink"/>
            <w:color w:val="000000"/>
            <w14:textFill>
              <w14:solidFill>
                <w14:srgbClr w14:val="000000"/>
              </w14:solidFill>
            </w14:textFill>
          </w:rPr>
          <w:t>voortgangsverslag d.d. 10 maart 2016</w:t>
        </w:r>
      </w:hyperlink>
      <w:r>
        <w:rPr>
          <w:color w:val="1F497D"/>
        </w:rPr>
        <w:t xml:space="preserve"> </w:t>
      </w:r>
      <w:r>
        <w:t>van de rapporteurs Energie-Unie (de leden Dijkstra (VVD) en Van Veldhoven (D66) heeft de commissie tijdens de procedurevergadering d.d. 16 maart jl. ingestemd met het organiseren van een aantal extra commissieactiviteiten over de EU-voorstellen Energie-Unie.</w:t>
      </w:r>
    </w:p>
    <w:p w:rsidR="00135813" w:rsidP="00135813" w:rsidRDefault="00135813"/>
    <w:p w:rsidR="00135813" w:rsidP="00135813" w:rsidRDefault="00135813">
      <w:r>
        <w:t xml:space="preserve">Eén van die activiteiten betrof een gesprek met Eurocommissaris Miguel </w:t>
      </w:r>
      <w:proofErr w:type="spellStart"/>
      <w:r>
        <w:t>Arias</w:t>
      </w:r>
      <w:proofErr w:type="spellEnd"/>
      <w:r>
        <w:t xml:space="preserve"> </w:t>
      </w:r>
      <w:proofErr w:type="spellStart"/>
      <w:r>
        <w:t>Cañete</w:t>
      </w:r>
      <w:proofErr w:type="spellEnd"/>
      <w:r>
        <w:t xml:space="preserve"> (Klimaatactie en Energie) in de Kamer met de commissie I&amp;M en de commissie EZ over de herziening van het Europese emissiehandelssysteem (ETS) en de recent gepubliceerde voorstellen over gaslevering en intergouvernementele energie-overeenkomsten. Vanwege agenda technische redenen blijkt het echter erg lastig om een geschikte datum te vinden waarop de Eurocommissaris voor een gesprek naar de Kamer kan komen.  </w:t>
      </w:r>
    </w:p>
    <w:p w:rsidR="00135813" w:rsidP="00135813" w:rsidRDefault="00135813"/>
    <w:p w:rsidR="00135813" w:rsidP="00135813" w:rsidRDefault="00135813">
      <w:r>
        <w:rPr>
          <w:b/>
        </w:rPr>
        <w:t>De rapporteurs stellen voor is om -in plaats van gesprekken met de Eurocommissaris en de rapporteur uit het Europees Parlement in Den Haag te organiseren-</w:t>
      </w:r>
      <w:r>
        <w:t xml:space="preserve"> </w:t>
      </w:r>
      <w:r>
        <w:rPr>
          <w:b/>
        </w:rPr>
        <w:t xml:space="preserve">na het zomerreces als rapporteurs een werkbezoek aan Brussel te brengen en daar gesprekken te voeren met Eurocommissaris </w:t>
      </w:r>
      <w:proofErr w:type="spellStart"/>
      <w:r>
        <w:rPr>
          <w:b/>
        </w:rPr>
        <w:t>Cañete</w:t>
      </w:r>
      <w:proofErr w:type="spellEnd"/>
      <w:r>
        <w:rPr>
          <w:b/>
        </w:rPr>
        <w:t>, met Europarlementariërs (onder meer met EP-rapporteur Ian Duncan -ECR), en met stakeholders uit het veld.</w:t>
      </w:r>
      <w:r>
        <w:t xml:space="preserve"> </w:t>
      </w:r>
    </w:p>
    <w:p w:rsidR="00135813" w:rsidP="00135813" w:rsidRDefault="00135813"/>
    <w:p w:rsidR="00135813" w:rsidP="00135813" w:rsidRDefault="00135813">
      <w:r>
        <w:t xml:space="preserve">Gespreksonderwerpen kunnen zijn: </w:t>
      </w:r>
    </w:p>
    <w:p w:rsidR="00135813" w:rsidP="00135813" w:rsidRDefault="00135813">
      <w:pPr>
        <w:pStyle w:val="Lijstalinea"/>
        <w:numPr>
          <w:ilvl w:val="0"/>
          <w:numId w:val="1"/>
        </w:numPr>
      </w:pPr>
      <w:r>
        <w:t xml:space="preserve">stand van zaken onderhandelingen herzieningsvoorstel van het ETS; </w:t>
      </w:r>
    </w:p>
    <w:p w:rsidR="00135813" w:rsidP="00135813" w:rsidRDefault="00135813">
      <w:pPr>
        <w:pStyle w:val="Lijstalinea"/>
        <w:numPr>
          <w:ilvl w:val="0"/>
          <w:numId w:val="1"/>
        </w:numPr>
      </w:pPr>
      <w:r>
        <w:t xml:space="preserve">voorstel voor emissiereducties voor de non-ETS sectoren (de zogeheten ‘effort </w:t>
      </w:r>
      <w:proofErr w:type="spellStart"/>
      <w:r>
        <w:t>sharing</w:t>
      </w:r>
      <w:proofErr w:type="spellEnd"/>
      <w:r>
        <w:t xml:space="preserve">’) dat eind juli wordt verwacht; </w:t>
      </w:r>
    </w:p>
    <w:p w:rsidR="00135813" w:rsidP="00135813" w:rsidRDefault="00135813">
      <w:pPr>
        <w:pStyle w:val="Lijstalinea"/>
        <w:numPr>
          <w:ilvl w:val="0"/>
          <w:numId w:val="1"/>
        </w:numPr>
      </w:pPr>
      <w:r>
        <w:t>stand van zaken onderhandelingen voorstellen over gaslevering en intergouvernementele energie-overeenkomsten.</w:t>
      </w:r>
    </w:p>
    <w:p w:rsidR="00135813" w:rsidP="00135813" w:rsidRDefault="00135813"/>
    <w:p w:rsidR="00135813" w:rsidP="00135813" w:rsidRDefault="00135813">
      <w:r>
        <w:t xml:space="preserve">Onderstaand treft u de begroting voor dit werkbezoek aan. Voor de bekostiging van het werkbezoek zal bij het Presidium een beroep worden gedaan op het Kennis- en onderzoeksbudget, waaruit uitgaven voor rapporteurs betaald worden. </w:t>
      </w:r>
    </w:p>
    <w:p w:rsidR="00135813" w:rsidP="00135813" w:rsidRDefault="00135813"/>
    <w:p w:rsidR="00135813" w:rsidP="00135813" w:rsidRDefault="00135813">
      <w:r>
        <w:t xml:space="preserve">Als de commissie met dit voorstel voor een werkbezoek van de rapporteurs aan Brussel instemt, zullen de voorbereidingen in gang worden gezet. Zoals gebruikelijk, zullen de rapporteurs de commissie schriftelijk verslag uitbrengen over wat er tijdens het werkbezoek besproken is.  </w:t>
      </w:r>
    </w:p>
    <w:p w:rsidR="00135813" w:rsidP="00135813" w:rsidRDefault="00135813"/>
    <w:p w:rsidR="00135813" w:rsidP="00135813" w:rsidRDefault="00135813">
      <w:r>
        <w:t xml:space="preserve">Verder wordt ook nog gezocht naar een datum in september voor de ambtelijke technische briefing over de voorstellen voor de versterking van het ETS en het binnenkort te verschijnen ‘effort </w:t>
      </w:r>
      <w:proofErr w:type="spellStart"/>
      <w:r>
        <w:t>sharing</w:t>
      </w:r>
      <w:proofErr w:type="spellEnd"/>
      <w:r>
        <w:t>’ voorstel.</w:t>
      </w:r>
    </w:p>
    <w:p w:rsidR="00135813" w:rsidP="00135813" w:rsidRDefault="00135813"/>
    <w:p w:rsidR="00135813" w:rsidP="00135813" w:rsidRDefault="00135813"/>
    <w:p w:rsidR="00135813" w:rsidP="00135813" w:rsidRDefault="00135813"/>
    <w:p w:rsidR="00135813" w:rsidP="00135813" w:rsidRDefault="00135813"/>
    <w:p w:rsidR="00135813" w:rsidP="00135813" w:rsidRDefault="00135813"/>
    <w:p w:rsidR="00135813" w:rsidP="00135813" w:rsidRDefault="00135813"/>
    <w:p w:rsidR="00135813" w:rsidP="00135813" w:rsidRDefault="00135813"/>
    <w:p w:rsidR="00135813" w:rsidP="00135813" w:rsidRDefault="00135813"/>
    <w:p w:rsidR="00135813" w:rsidP="00135813" w:rsidRDefault="00135813"/>
    <w:p w:rsidR="00135813" w:rsidP="00135813" w:rsidRDefault="00135813"/>
    <w:p w:rsidR="00135813" w:rsidP="00135813" w:rsidRDefault="00135813"/>
    <w:p w:rsidR="00135813" w:rsidP="00135813" w:rsidRDefault="00135813">
      <w:pPr>
        <w:rPr>
          <w:b/>
        </w:rPr>
      </w:pPr>
      <w:bookmarkStart w:name="_GoBack" w:id="0"/>
      <w:bookmarkEnd w:id="0"/>
      <w:r>
        <w:rPr>
          <w:b/>
        </w:rPr>
        <w:t xml:space="preserve">Begroting dienstreis Brussel co-rapporteurs Energie-Unie, september 2016     </w:t>
      </w:r>
    </w:p>
    <w:p w:rsidR="00135813" w:rsidP="00135813" w:rsidRDefault="00135813"/>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91"/>
        <w:gridCol w:w="1504"/>
      </w:tblGrid>
      <w:tr w:rsidR="00135813" w:rsidTr="00135813">
        <w:trPr>
          <w:trHeight w:val="265"/>
        </w:trPr>
        <w:tc>
          <w:tcPr>
            <w:tcW w:w="3991" w:type="dxa"/>
            <w:tcBorders>
              <w:top w:val="single" w:color="auto" w:sz="4" w:space="0"/>
              <w:left w:val="single" w:color="auto" w:sz="4" w:space="0"/>
              <w:bottom w:val="single" w:color="auto" w:sz="4" w:space="0"/>
              <w:right w:val="single" w:color="auto" w:sz="4" w:space="0"/>
            </w:tcBorders>
            <w:shd w:val="clear" w:color="auto" w:fill="FFFFFF"/>
            <w:hideMark/>
          </w:tcPr>
          <w:p w:rsidR="00135813" w:rsidRDefault="00135813">
            <w:pPr>
              <w:rPr>
                <w:b/>
              </w:rPr>
            </w:pPr>
            <w:r>
              <w:rPr>
                <w:b/>
              </w:rPr>
              <w:t xml:space="preserve">Kosten </w:t>
            </w:r>
          </w:p>
        </w:tc>
        <w:tc>
          <w:tcPr>
            <w:tcW w:w="1504" w:type="dxa"/>
            <w:tcBorders>
              <w:top w:val="single" w:color="auto" w:sz="4" w:space="0"/>
              <w:left w:val="single" w:color="auto" w:sz="4" w:space="0"/>
              <w:bottom w:val="single" w:color="auto" w:sz="4" w:space="0"/>
              <w:right w:val="single" w:color="auto" w:sz="4" w:space="0"/>
            </w:tcBorders>
            <w:shd w:val="clear" w:color="auto" w:fill="FFFFFF"/>
          </w:tcPr>
          <w:p w:rsidR="00135813" w:rsidRDefault="00135813">
            <w:pPr>
              <w:rPr>
                <w:b/>
              </w:rPr>
            </w:pPr>
          </w:p>
        </w:tc>
      </w:tr>
      <w:tr w:rsidR="00135813" w:rsidTr="00135813">
        <w:trPr>
          <w:trHeight w:val="284"/>
        </w:trPr>
        <w:tc>
          <w:tcPr>
            <w:tcW w:w="3991" w:type="dxa"/>
            <w:tcBorders>
              <w:top w:val="single" w:color="auto" w:sz="4" w:space="0"/>
              <w:left w:val="single" w:color="auto" w:sz="4" w:space="0"/>
              <w:bottom w:val="single" w:color="auto" w:sz="4" w:space="0"/>
              <w:right w:val="single" w:color="auto" w:sz="4" w:space="0"/>
            </w:tcBorders>
            <w:shd w:val="clear" w:color="auto" w:fill="FFFFFF"/>
            <w:hideMark/>
          </w:tcPr>
          <w:p w:rsidR="00135813" w:rsidRDefault="00135813">
            <w:pPr>
              <w:rPr>
                <w:lang w:val="en-GB"/>
              </w:rPr>
            </w:pPr>
            <w:proofErr w:type="spellStart"/>
            <w:r>
              <w:rPr>
                <w:lang w:val="en-GB"/>
              </w:rPr>
              <w:t>Retourtickets</w:t>
            </w:r>
            <w:proofErr w:type="spellEnd"/>
            <w:r>
              <w:rPr>
                <w:lang w:val="en-GB"/>
              </w:rPr>
              <w:t xml:space="preserve"> </w:t>
            </w:r>
            <w:proofErr w:type="spellStart"/>
            <w:r>
              <w:rPr>
                <w:lang w:val="en-GB"/>
              </w:rPr>
              <w:t>Thalys</w:t>
            </w:r>
            <w:proofErr w:type="spellEnd"/>
            <w:r>
              <w:rPr>
                <w:lang w:val="en-GB"/>
              </w:rPr>
              <w:t xml:space="preserve"> 1e </w:t>
            </w:r>
            <w:proofErr w:type="spellStart"/>
            <w:r>
              <w:rPr>
                <w:lang w:val="en-GB"/>
              </w:rPr>
              <w:t>klas</w:t>
            </w:r>
            <w:proofErr w:type="spellEnd"/>
          </w:p>
        </w:tc>
        <w:tc>
          <w:tcPr>
            <w:tcW w:w="1504" w:type="dxa"/>
            <w:tcBorders>
              <w:top w:val="single" w:color="auto" w:sz="4" w:space="0"/>
              <w:left w:val="single" w:color="auto" w:sz="4" w:space="0"/>
              <w:bottom w:val="single" w:color="auto" w:sz="4" w:space="0"/>
              <w:right w:val="single" w:color="auto" w:sz="4" w:space="0"/>
            </w:tcBorders>
            <w:shd w:val="clear" w:color="auto" w:fill="FFFFFF"/>
            <w:hideMark/>
          </w:tcPr>
          <w:p w:rsidR="00135813" w:rsidRDefault="00135813">
            <w:r>
              <w:rPr>
                <w:lang w:val="en-US"/>
              </w:rPr>
              <w:t>€</w:t>
            </w:r>
            <w:r>
              <w:t xml:space="preserve">300,00  </w:t>
            </w:r>
          </w:p>
        </w:tc>
      </w:tr>
      <w:tr w:rsidR="00135813" w:rsidTr="00135813">
        <w:trPr>
          <w:trHeight w:val="265"/>
        </w:trPr>
        <w:tc>
          <w:tcPr>
            <w:tcW w:w="3991" w:type="dxa"/>
            <w:tcBorders>
              <w:top w:val="single" w:color="auto" w:sz="4" w:space="0"/>
              <w:left w:val="single" w:color="auto" w:sz="4" w:space="0"/>
              <w:bottom w:val="single" w:color="auto" w:sz="4" w:space="0"/>
              <w:right w:val="single" w:color="auto" w:sz="4" w:space="0"/>
            </w:tcBorders>
            <w:shd w:val="clear" w:color="auto" w:fill="FFFFFF"/>
            <w:hideMark/>
          </w:tcPr>
          <w:p w:rsidR="00135813" w:rsidRDefault="00135813">
            <w:r>
              <w:t xml:space="preserve">Relatiegeschenken </w:t>
            </w:r>
          </w:p>
        </w:tc>
        <w:tc>
          <w:tcPr>
            <w:tcW w:w="1504" w:type="dxa"/>
            <w:tcBorders>
              <w:top w:val="single" w:color="auto" w:sz="4" w:space="0"/>
              <w:left w:val="single" w:color="auto" w:sz="4" w:space="0"/>
              <w:bottom w:val="single" w:color="auto" w:sz="4" w:space="0"/>
              <w:right w:val="single" w:color="auto" w:sz="4" w:space="0"/>
            </w:tcBorders>
            <w:shd w:val="clear" w:color="auto" w:fill="FFFFFF"/>
            <w:hideMark/>
          </w:tcPr>
          <w:p w:rsidR="00135813" w:rsidRDefault="00135813">
            <w:pPr>
              <w:rPr>
                <w:lang w:val="en-US"/>
              </w:rPr>
            </w:pPr>
            <w:r>
              <w:rPr>
                <w:lang w:val="en-US"/>
              </w:rPr>
              <w:t>€50,00</w:t>
            </w:r>
          </w:p>
        </w:tc>
      </w:tr>
      <w:tr w:rsidR="00135813" w:rsidTr="00135813">
        <w:trPr>
          <w:trHeight w:val="265"/>
        </w:trPr>
        <w:tc>
          <w:tcPr>
            <w:tcW w:w="3991" w:type="dxa"/>
            <w:tcBorders>
              <w:top w:val="single" w:color="auto" w:sz="4" w:space="0"/>
              <w:left w:val="single" w:color="auto" w:sz="4" w:space="0"/>
              <w:bottom w:val="single" w:color="auto" w:sz="4" w:space="0"/>
              <w:right w:val="single" w:color="auto" w:sz="4" w:space="0"/>
            </w:tcBorders>
            <w:shd w:val="clear" w:color="auto" w:fill="FFFFFF"/>
            <w:hideMark/>
          </w:tcPr>
          <w:p w:rsidR="00135813" w:rsidRDefault="00135813">
            <w:r>
              <w:t>Dagvergoeding (maximaal)</w:t>
            </w:r>
          </w:p>
        </w:tc>
        <w:tc>
          <w:tcPr>
            <w:tcW w:w="1504" w:type="dxa"/>
            <w:tcBorders>
              <w:top w:val="single" w:color="auto" w:sz="4" w:space="0"/>
              <w:left w:val="single" w:color="auto" w:sz="4" w:space="0"/>
              <w:bottom w:val="single" w:color="auto" w:sz="4" w:space="0"/>
              <w:right w:val="single" w:color="auto" w:sz="4" w:space="0"/>
            </w:tcBorders>
            <w:shd w:val="clear" w:color="auto" w:fill="FFFFFF"/>
            <w:hideMark/>
          </w:tcPr>
          <w:p w:rsidR="00135813" w:rsidRDefault="00135813">
            <w:pPr>
              <w:rPr>
                <w:lang w:val="en-US"/>
              </w:rPr>
            </w:pPr>
            <w:r>
              <w:rPr>
                <w:lang w:val="en-US"/>
              </w:rPr>
              <w:t>€242,00</w:t>
            </w:r>
            <w:r>
              <w:t xml:space="preserve">  </w:t>
            </w:r>
          </w:p>
        </w:tc>
      </w:tr>
      <w:tr w:rsidR="00135813" w:rsidTr="00135813">
        <w:trPr>
          <w:trHeight w:val="265"/>
        </w:trPr>
        <w:tc>
          <w:tcPr>
            <w:tcW w:w="3991" w:type="dxa"/>
            <w:tcBorders>
              <w:top w:val="single" w:color="auto" w:sz="4" w:space="0"/>
              <w:left w:val="single" w:color="auto" w:sz="4" w:space="0"/>
              <w:bottom w:val="single" w:color="auto" w:sz="4" w:space="0"/>
              <w:right w:val="single" w:color="auto" w:sz="4" w:space="0"/>
            </w:tcBorders>
            <w:shd w:val="clear" w:color="auto" w:fill="FFFFFF"/>
            <w:hideMark/>
          </w:tcPr>
          <w:p w:rsidR="00135813" w:rsidRDefault="00135813">
            <w:pPr>
              <w:rPr>
                <w:b/>
              </w:rPr>
            </w:pPr>
            <w:r>
              <w:rPr>
                <w:b/>
              </w:rPr>
              <w:t>Subtotaal</w:t>
            </w:r>
          </w:p>
        </w:tc>
        <w:tc>
          <w:tcPr>
            <w:tcW w:w="1504" w:type="dxa"/>
            <w:tcBorders>
              <w:top w:val="single" w:color="auto" w:sz="4" w:space="0"/>
              <w:left w:val="single" w:color="auto" w:sz="4" w:space="0"/>
              <w:bottom w:val="single" w:color="auto" w:sz="4" w:space="0"/>
              <w:right w:val="single" w:color="auto" w:sz="4" w:space="0"/>
            </w:tcBorders>
            <w:shd w:val="clear" w:color="auto" w:fill="FFFFFF"/>
            <w:hideMark/>
          </w:tcPr>
          <w:p w:rsidR="00135813" w:rsidRDefault="00135813">
            <w:r>
              <w:rPr>
                <w:lang w:val="en-US"/>
              </w:rPr>
              <w:t>€592,00</w:t>
            </w:r>
          </w:p>
        </w:tc>
      </w:tr>
      <w:tr w:rsidR="00135813" w:rsidTr="00135813">
        <w:trPr>
          <w:trHeight w:val="284"/>
        </w:trPr>
        <w:tc>
          <w:tcPr>
            <w:tcW w:w="3991" w:type="dxa"/>
            <w:tcBorders>
              <w:top w:val="single" w:color="auto" w:sz="4" w:space="0"/>
              <w:left w:val="single" w:color="auto" w:sz="4" w:space="0"/>
              <w:bottom w:val="single" w:color="auto" w:sz="4" w:space="0"/>
              <w:right w:val="single" w:color="auto" w:sz="4" w:space="0"/>
            </w:tcBorders>
            <w:shd w:val="clear" w:color="auto" w:fill="FFFFFF"/>
            <w:hideMark/>
          </w:tcPr>
          <w:p w:rsidR="00135813" w:rsidRDefault="00135813">
            <w:pPr>
              <w:rPr>
                <w:b/>
              </w:rPr>
            </w:pPr>
            <w:r>
              <w:rPr>
                <w:b/>
              </w:rPr>
              <w:t>10% onvoorzien</w:t>
            </w:r>
          </w:p>
        </w:tc>
        <w:tc>
          <w:tcPr>
            <w:tcW w:w="1504" w:type="dxa"/>
            <w:tcBorders>
              <w:top w:val="single" w:color="auto" w:sz="4" w:space="0"/>
              <w:left w:val="single" w:color="auto" w:sz="4" w:space="0"/>
              <w:bottom w:val="single" w:color="auto" w:sz="4" w:space="0"/>
              <w:right w:val="single" w:color="auto" w:sz="4" w:space="0"/>
            </w:tcBorders>
            <w:shd w:val="clear" w:color="auto" w:fill="FFFFFF"/>
            <w:hideMark/>
          </w:tcPr>
          <w:p w:rsidR="00135813" w:rsidRDefault="00135813">
            <w:r>
              <w:rPr>
                <w:lang w:val="en-US"/>
              </w:rPr>
              <w:t>€ 59,20</w:t>
            </w:r>
          </w:p>
        </w:tc>
      </w:tr>
      <w:tr w:rsidR="00135813" w:rsidTr="00135813">
        <w:trPr>
          <w:trHeight w:val="265"/>
        </w:trPr>
        <w:tc>
          <w:tcPr>
            <w:tcW w:w="3991" w:type="dxa"/>
            <w:tcBorders>
              <w:top w:val="single" w:color="auto" w:sz="4" w:space="0"/>
              <w:left w:val="single" w:color="auto" w:sz="4" w:space="0"/>
              <w:bottom w:val="single" w:color="auto" w:sz="4" w:space="0"/>
              <w:right w:val="single" w:color="auto" w:sz="4" w:space="0"/>
            </w:tcBorders>
            <w:shd w:val="clear" w:color="auto" w:fill="FFFFFF"/>
            <w:hideMark/>
          </w:tcPr>
          <w:p w:rsidR="00135813" w:rsidRDefault="00135813">
            <w:pPr>
              <w:rPr>
                <w:b/>
              </w:rPr>
            </w:pPr>
            <w:r>
              <w:rPr>
                <w:b/>
              </w:rPr>
              <w:t xml:space="preserve">Totaal </w:t>
            </w:r>
          </w:p>
        </w:tc>
        <w:tc>
          <w:tcPr>
            <w:tcW w:w="1504" w:type="dxa"/>
            <w:tcBorders>
              <w:top w:val="single" w:color="auto" w:sz="4" w:space="0"/>
              <w:left w:val="single" w:color="auto" w:sz="4" w:space="0"/>
              <w:bottom w:val="single" w:color="auto" w:sz="4" w:space="0"/>
              <w:right w:val="single" w:color="auto" w:sz="4" w:space="0"/>
            </w:tcBorders>
            <w:shd w:val="clear" w:color="auto" w:fill="FFFFFF"/>
            <w:hideMark/>
          </w:tcPr>
          <w:p w:rsidR="00135813" w:rsidRDefault="00135813">
            <w:pPr>
              <w:rPr>
                <w:b/>
              </w:rPr>
            </w:pPr>
            <w:r>
              <w:rPr>
                <w:b/>
                <w:lang w:val="en-US"/>
              </w:rPr>
              <w:t xml:space="preserve">€ 651,20 </w:t>
            </w:r>
            <w:r>
              <w:rPr>
                <w:b/>
              </w:rPr>
              <w:t xml:space="preserve">  </w:t>
            </w:r>
          </w:p>
        </w:tc>
      </w:tr>
    </w:tbl>
    <w:p w:rsidR="00135813" w:rsidP="00135813" w:rsidRDefault="00135813">
      <w:pPr>
        <w:rPr>
          <w:color w:val="1F497D"/>
        </w:rPr>
      </w:pPr>
    </w:p>
    <w:p w:rsidR="00135813" w:rsidP="00135813" w:rsidRDefault="00135813">
      <w:r>
        <w:t xml:space="preserve">U hoeft niet op dit bericht te reageren. Het voorstel zal worden besproken tijdens de procedurevergadering </w:t>
      </w:r>
      <w:proofErr w:type="spellStart"/>
      <w:r>
        <w:t>IenM</w:t>
      </w:r>
      <w:proofErr w:type="spellEnd"/>
      <w:r>
        <w:rPr>
          <w:color w:val="1F497D"/>
        </w:rPr>
        <w:t xml:space="preserve"> </w:t>
      </w:r>
      <w:r>
        <w:t xml:space="preserve">van woensdagochtend. </w:t>
      </w:r>
    </w:p>
    <w:p w:rsidR="00135813" w:rsidP="00135813" w:rsidRDefault="00135813"/>
    <w:p w:rsidR="00135813" w:rsidP="00135813" w:rsidRDefault="00135813">
      <w:pPr>
        <w:spacing w:after="240"/>
        <w:rPr>
          <w:rFonts w:ascii="Verdana" w:hAnsi="Verdana"/>
          <w:noProof/>
          <w:color w:val="323296"/>
          <w:sz w:val="20"/>
          <w:szCs w:val="20"/>
          <w:lang w:eastAsia="nl-NL"/>
        </w:rPr>
      </w:pPr>
      <w:r>
        <w:rPr>
          <w:rFonts w:ascii="Verdana" w:hAnsi="Verdana"/>
          <w:noProof/>
          <w:color w:val="323296"/>
          <w:sz w:val="20"/>
          <w:szCs w:val="20"/>
          <w:lang w:eastAsia="nl-NL"/>
        </w:rPr>
        <w:t>Met vriendelijke groet,</w:t>
      </w:r>
    </w:p>
    <w:p w:rsidR="00135813" w:rsidP="00135813" w:rsidRDefault="00135813">
      <w:pPr>
        <w:spacing w:after="240"/>
        <w:rPr>
          <w:rFonts w:ascii="Verdana" w:hAnsi="Verdana"/>
          <w:noProof/>
          <w:color w:val="323296"/>
          <w:sz w:val="20"/>
          <w:szCs w:val="20"/>
          <w:lang w:eastAsia="nl-NL"/>
        </w:rPr>
      </w:pPr>
      <w:r>
        <w:rPr>
          <w:rFonts w:ascii="Verdana" w:hAnsi="Verdana"/>
          <w:noProof/>
          <w:color w:val="323296"/>
          <w:sz w:val="20"/>
          <w:szCs w:val="20"/>
          <w:lang w:eastAsia="nl-NL"/>
        </w:rPr>
        <w:t>Leonie Tijdink</w:t>
      </w:r>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B2E12"/>
    <w:multiLevelType w:val="hybridMultilevel"/>
    <w:tmpl w:val="42FE7158"/>
    <w:lvl w:ilvl="0" w:tplc="7456A6BE">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813"/>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35813"/>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35813"/>
    <w:rPr>
      <w:rFonts w:ascii="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5813"/>
    <w:rPr>
      <w:rFonts w:ascii="Times New Roman" w:hAnsi="Times New Roman" w:cs="Times New Roman" w:hint="default"/>
      <w:color w:val="0000FF"/>
      <w:u w:val="single"/>
      <w14:textFill>
        <w14:solidFill>
          <w14:srgbClr w14:val="000000"/>
        </w14:solidFill>
      </w14:textFill>
    </w:rPr>
  </w:style>
  <w:style w:type="paragraph" w:styleId="Lijstalinea">
    <w:name w:val="List Paragraph"/>
    <w:basedOn w:val="Standaard"/>
    <w:uiPriority w:val="34"/>
    <w:qFormat/>
    <w:rsid w:val="0013581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35813"/>
    <w:rPr>
      <w:rFonts w:ascii="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5813"/>
    <w:rPr>
      <w:rFonts w:ascii="Times New Roman" w:hAnsi="Times New Roman" w:cs="Times New Roman" w:hint="default"/>
      <w:color w:val="0000FF"/>
      <w:u w:val="single"/>
      <w14:textFill>
        <w14:solidFill>
          <w14:srgbClr w14:val="000000"/>
        </w14:solidFill>
      </w14:textFill>
    </w:rPr>
  </w:style>
  <w:style w:type="paragraph" w:styleId="Lijstalinea">
    <w:name w:val="List Paragraph"/>
    <w:basedOn w:val="Standaard"/>
    <w:uiPriority w:val="34"/>
    <w:qFormat/>
    <w:rsid w:val="001358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34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parlisweb/parlis/zaak.aspx?id=0c49708b-d401-4c10-ac44-9d59e9195e58"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482</ap:Words>
  <ap:Characters>2656</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2016-06-13T09:23:00.0000000Z</dcterms:created>
  <dcterms:modified xsi:type="dcterms:W3CDTF">2016-06-13T09:24:00.0000000Z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0x010100A9848220FD5F104486A45BCD469EAD51</vt:lpwstr>
  </property>
</Properties>
</file>