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8B" w:rsidP="00165E8B" w:rsidRDefault="00165E8B">
      <w:pPr>
        <w:spacing w:line="276" w:lineRule="auto"/>
        <w:rPr>
          <w:b/>
          <w:szCs w:val="18"/>
        </w:rPr>
      </w:pPr>
      <w:r>
        <w:rPr>
          <w:b/>
          <w:szCs w:val="18"/>
        </w:rPr>
        <w:t>BIJLAGE</w:t>
      </w:r>
    </w:p>
    <w:p w:rsidR="00165E8B" w:rsidP="00165E8B" w:rsidRDefault="00165E8B">
      <w:pPr>
        <w:spacing w:line="276" w:lineRule="auto"/>
        <w:rPr>
          <w:b/>
          <w:szCs w:val="18"/>
        </w:rPr>
      </w:pPr>
    </w:p>
    <w:p w:rsidRPr="00C87050" w:rsidR="00165E8B" w:rsidP="00165E8B" w:rsidRDefault="00165E8B">
      <w:pPr>
        <w:spacing w:line="276" w:lineRule="auto"/>
        <w:rPr>
          <w:b/>
          <w:szCs w:val="18"/>
        </w:rPr>
      </w:pPr>
      <w:r w:rsidRPr="00C87050">
        <w:rPr>
          <w:b/>
          <w:szCs w:val="18"/>
        </w:rPr>
        <w:t>Overzicht oordeel moties pakket Belastingplan 2017</w:t>
      </w:r>
    </w:p>
    <w:p w:rsidRPr="00C87050" w:rsidR="00165E8B" w:rsidP="00165E8B" w:rsidRDefault="00165E8B">
      <w:pPr>
        <w:spacing w:line="276" w:lineRule="auto"/>
        <w:rPr>
          <w:b/>
          <w:szCs w:val="18"/>
        </w:rPr>
      </w:pPr>
    </w:p>
    <w:tbl>
      <w:tblPr>
        <w:tblW w:w="8940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43"/>
        <w:gridCol w:w="3969"/>
        <w:gridCol w:w="1417"/>
        <w:gridCol w:w="2411"/>
      </w:tblGrid>
      <w:tr w:rsidRPr="00C87050" w:rsidR="00165E8B" w:rsidTr="00165E8B">
        <w:trPr>
          <w:trHeight w:val="285"/>
          <w:tblHeader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b/>
                <w:bCs/>
                <w:color w:val="000000"/>
                <w:szCs w:val="18"/>
              </w:rPr>
            </w:pPr>
            <w:r w:rsidRPr="00C87050">
              <w:rPr>
                <w:b/>
                <w:bCs/>
                <w:color w:val="000000"/>
                <w:szCs w:val="18"/>
              </w:rPr>
              <w:t>Nummer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b/>
                <w:bCs/>
                <w:color w:val="000000"/>
                <w:szCs w:val="18"/>
              </w:rPr>
            </w:pPr>
            <w:r w:rsidRPr="00C87050">
              <w:rPr>
                <w:b/>
                <w:bCs/>
                <w:color w:val="000000"/>
                <w:szCs w:val="18"/>
              </w:rPr>
              <w:t>Korte omschrijving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b/>
                <w:bCs/>
                <w:color w:val="000000"/>
                <w:szCs w:val="18"/>
              </w:rPr>
            </w:pPr>
            <w:r w:rsidRPr="00C87050">
              <w:rPr>
                <w:b/>
                <w:bCs/>
                <w:color w:val="000000"/>
                <w:szCs w:val="18"/>
              </w:rPr>
              <w:t>Indiener(s)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b/>
                <w:bCs/>
                <w:color w:val="000000"/>
                <w:szCs w:val="18"/>
              </w:rPr>
            </w:pPr>
            <w:r w:rsidRPr="00C87050">
              <w:rPr>
                <w:b/>
                <w:bCs/>
                <w:color w:val="000000"/>
                <w:szCs w:val="18"/>
              </w:rPr>
              <w:t>Oordeel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51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vervroegen van de evaluatie van de werkkostenregeling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De Vries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Oordeel Kamer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53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monitoren van de kapitaalvlucht naar box 2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Bashir en Grashoff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Oordeel Kamer</w:t>
            </w:r>
            <w:r w:rsidRPr="00C87050">
              <w:rPr>
                <w:rStyle w:val="Voetnootmarkering"/>
                <w:color w:val="000000"/>
                <w:szCs w:val="18"/>
              </w:rPr>
              <w:footnoteReference w:id="1"/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54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 xml:space="preserve">Over </w:t>
            </w:r>
            <w:r w:rsidRPr="00C87050">
              <w:rPr>
                <w:szCs w:val="18"/>
              </w:rPr>
              <w:t>het afschaffen van een combinatie van aftrekposten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Van Vliet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Ontraden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55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woningcorporaties vrijstelling van overdrachtsbelasting en vennootschaps</w:t>
            </w:r>
            <w:r w:rsidRPr="00C87050">
              <w:rPr>
                <w:color w:val="000000"/>
                <w:szCs w:val="18"/>
              </w:rPr>
              <w:softHyphen/>
              <w:t>belasting voor DAEB-activiteiten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Van Vliet en Groot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Overnemen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56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kiezen voor model A bij de implementatie van de CFC-regels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 xml:space="preserve">Groot 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Ontraden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57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een maatwerkoplossing voor mensen wier leenbijstand is omgezet in een gift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Groot en Omtzigt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Ontraden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58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een Europees minimumtarief voor vennootschapsbelasting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Van Weyenberg en Groot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Ontraden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59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wegnemen van belemmeringen voor de transformatie van kantoor</w:t>
            </w:r>
            <w:r w:rsidRPr="00C87050">
              <w:rPr>
                <w:color w:val="000000"/>
                <w:szCs w:val="18"/>
              </w:rPr>
              <w:softHyphen/>
              <w:t>panden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Van Weyenberg en Koolmees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Ontraden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60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het intrekken van het wetsvoorstel Wet fiscale maatregelen rijksmonumenten en scholing</w:t>
            </w:r>
          </w:p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Van Weyenberg c.s.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b/>
                <w:bCs/>
                <w:i/>
                <w:smallCaps/>
                <w:noProof/>
                <w:color w:val="000000"/>
                <w:szCs w:val="18"/>
              </w:rPr>
            </w:pPr>
            <w:r w:rsidRPr="00C87050">
              <w:rPr>
                <w:i/>
                <w:color w:val="000000"/>
                <w:szCs w:val="18"/>
              </w:rPr>
              <w:t>Deze motie wordt beoordeeld in een brief van de Minister van Onderwijs, Cultuur en Wetenschap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61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een gesprek met veldpartijen over financiële steun voor het onderhouden van rijksmonumenten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Van Weyenberg c.s.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i/>
                <w:color w:val="000000"/>
                <w:szCs w:val="18"/>
              </w:rPr>
            </w:pPr>
            <w:r w:rsidRPr="00C87050">
              <w:rPr>
                <w:i/>
                <w:color w:val="000000"/>
                <w:szCs w:val="18"/>
              </w:rPr>
              <w:t>Deze motie wordt beoordeeld in een brief van de Minister van Onderwijs, Cultuur en Wetenschap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62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toegang van natuurlijke vormen van innovatie voor de innovatiebox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Omtzigt c.s.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Oordeel Kamer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63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groepen waarvoor de marginale druk meer dan 56% bedraagt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Omtzigt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Oordeel Kamer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64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minimumeisen aan de reële economische activiteit van een vennootschap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Grashoff en Groot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Ontraden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65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het aanscherpen van de eis voor een S&amp;O-verklaring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Grashoff en Bashir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Ontraden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66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een stimulans voor het thuis opladen van elektrische auto’s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Grashoff en Van Weyenberg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Ontraden</w:t>
            </w:r>
          </w:p>
        </w:tc>
      </w:tr>
      <w:tr w:rsidRPr="00C87050" w:rsidR="00165E8B" w:rsidTr="00165E8B">
        <w:trPr>
          <w:trHeight w:val="225"/>
        </w:trPr>
        <w:tc>
          <w:tcPr>
            <w:tcW w:w="1143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34 552, nr. 67</w:t>
            </w:r>
          </w:p>
        </w:tc>
        <w:tc>
          <w:tcPr>
            <w:tcW w:w="3969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Over stadsverwarmingen die omschakelen naar hernieuwbare energie</w:t>
            </w:r>
          </w:p>
        </w:tc>
        <w:tc>
          <w:tcPr>
            <w:tcW w:w="1417" w:type="dxa"/>
            <w:shd w:val="clear" w:color="auto" w:fill="auto"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>Grashoff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Pr="00C87050" w:rsidR="00165E8B" w:rsidP="004A1BD6" w:rsidRDefault="00165E8B">
            <w:pPr>
              <w:spacing w:line="276" w:lineRule="auto"/>
              <w:rPr>
                <w:color w:val="000000"/>
                <w:szCs w:val="18"/>
              </w:rPr>
            </w:pPr>
            <w:r w:rsidRPr="00C87050">
              <w:rPr>
                <w:color w:val="000000"/>
                <w:szCs w:val="18"/>
              </w:rPr>
              <w:t xml:space="preserve">Ontraden </w:t>
            </w:r>
          </w:p>
        </w:tc>
      </w:tr>
    </w:tbl>
    <w:p w:rsidRPr="00C87050" w:rsidR="00165E8B" w:rsidP="00165E8B" w:rsidRDefault="00165E8B">
      <w:pPr>
        <w:spacing w:line="276" w:lineRule="auto"/>
        <w:rPr>
          <w:szCs w:val="18"/>
        </w:rPr>
      </w:pPr>
    </w:p>
    <w:p w:rsidRPr="00F22CDC" w:rsidR="00A17C6E" w:rsidRDefault="00A17C6E">
      <w:pPr>
        <w:rPr>
          <w:szCs w:val="18"/>
        </w:rPr>
      </w:pPr>
    </w:p>
    <w:sectPr w:rsidRPr="00F22CDC" w:rsidR="00A17C6E" w:rsidSect="00A17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8B" w:rsidRDefault="00165E8B" w:rsidP="00165E8B">
      <w:pPr>
        <w:spacing w:line="240" w:lineRule="auto"/>
      </w:pPr>
      <w:r>
        <w:separator/>
      </w:r>
    </w:p>
  </w:endnote>
  <w:endnote w:type="continuationSeparator" w:id="0">
    <w:p w:rsidR="00165E8B" w:rsidRDefault="00165E8B" w:rsidP="00165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8B" w:rsidRDefault="00165E8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8B" w:rsidRDefault="00165E8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8B" w:rsidRDefault="00165E8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8B" w:rsidRDefault="00165E8B" w:rsidP="00165E8B">
      <w:pPr>
        <w:spacing w:line="240" w:lineRule="auto"/>
      </w:pPr>
      <w:r>
        <w:separator/>
      </w:r>
    </w:p>
  </w:footnote>
  <w:footnote w:type="continuationSeparator" w:id="0">
    <w:p w:rsidR="00165E8B" w:rsidRDefault="00165E8B" w:rsidP="00165E8B">
      <w:pPr>
        <w:spacing w:line="240" w:lineRule="auto"/>
      </w:pPr>
      <w:r>
        <w:continuationSeparator/>
      </w:r>
    </w:p>
  </w:footnote>
  <w:footnote w:id="1">
    <w:p w:rsidR="00165E8B" w:rsidRDefault="00165E8B" w:rsidP="00165E8B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Oordeel Kamer </w:t>
      </w:r>
      <w:r>
        <w:rPr>
          <w:color w:val="000000"/>
          <w:szCs w:val="18"/>
        </w:rPr>
        <w:t xml:space="preserve">mits de </w:t>
      </w:r>
      <w:r>
        <w:t>motie zo geïnterpreteerd mag worden dat wij ons openstellen voor signalen en er wat mee doen als dat nodig 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8B" w:rsidRDefault="00165E8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8B" w:rsidRDefault="00165E8B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8B" w:rsidRDefault="00165E8B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E8B"/>
    <w:rsid w:val="00076E1A"/>
    <w:rsid w:val="00165E8B"/>
    <w:rsid w:val="00211A62"/>
    <w:rsid w:val="002E6EEE"/>
    <w:rsid w:val="0041392D"/>
    <w:rsid w:val="00494C1A"/>
    <w:rsid w:val="006B5866"/>
    <w:rsid w:val="00756389"/>
    <w:rsid w:val="00905545"/>
    <w:rsid w:val="009929FC"/>
    <w:rsid w:val="00A17C6E"/>
    <w:rsid w:val="00BC46BE"/>
    <w:rsid w:val="00D83BA3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5E8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165E8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65E8B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65E8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65E8B"/>
    <w:rPr>
      <w:rFonts w:ascii="Verdana" w:hAnsi="Verdana"/>
      <w:sz w:val="18"/>
    </w:r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165E8B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165E8B"/>
    <w:rPr>
      <w:rFonts w:ascii="Verdana" w:eastAsia="Times New Roman" w:hAnsi="Verdana" w:cs="Times New Roman"/>
      <w:sz w:val="13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rsid w:val="00165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322</ap:Words>
  <ap:Characters>1777</ap:Characters>
  <ap:DocSecurity>0</ap:DocSecurity>
  <ap:Lines>14</ap:Lines>
  <ap:Paragraphs>4</ap:Paragraphs>
  <ap:ScaleCrop>false</ap:ScaleCrop>
  <ap:LinksUpToDate>false</ap:LinksUpToDate>
  <ap:CharactersWithSpaces>2095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2016-11-17T11:17:00.0000000Z</dcterms:created>
  <dcterms:modified xsi:type="dcterms:W3CDTF">2016-11-17T11:19:00.0000000Z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0x010100BF77182EF68B544EA5A08CB6DC17DFE8</vt:lpwstr>
  </property>
</Properties>
</file>