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4FB2" w:rsidR="003419F5" w:rsidP="00D90240" w:rsidRDefault="00626DF5">
      <w:pPr>
        <w:spacing w:line="360" w:lineRule="auto"/>
        <w:rPr>
          <w:rFonts w:cs="Times New Roman"/>
          <w:b/>
        </w:rPr>
      </w:pPr>
      <w:r w:rsidRPr="00626DF5">
        <w:rPr>
          <w:rFonts w:cs="Times New Roman"/>
          <w:b/>
        </w:rPr>
        <w:t>Verdrag van Minamata inzake kwik</w:t>
      </w:r>
      <w:r w:rsidR="00D562A3">
        <w:rPr>
          <w:rFonts w:cs="Times New Roman"/>
          <w:b/>
        </w:rPr>
        <w:t>; Kumamoto, 10 oktober 2013</w:t>
      </w:r>
      <w:r w:rsidRPr="00626DF5">
        <w:rPr>
          <w:rFonts w:cs="Times New Roman"/>
          <w:b/>
        </w:rPr>
        <w:t xml:space="preserve"> </w:t>
      </w:r>
      <w:r w:rsidRPr="00BE180E" w:rsidR="003419F5">
        <w:rPr>
          <w:rFonts w:cs="Times New Roman"/>
          <w:b/>
        </w:rPr>
        <w:t>(Trb.</w:t>
      </w:r>
      <w:r>
        <w:rPr>
          <w:rFonts w:cs="Times New Roman"/>
          <w:b/>
        </w:rPr>
        <w:t xml:space="preserve"> 2013, 239 en Trb. 2014, 173 en 211</w:t>
      </w:r>
      <w:r w:rsidRPr="00BE180E" w:rsidR="003419F5">
        <w:rPr>
          <w:rFonts w:cs="Times New Roman"/>
          <w:b/>
        </w:rPr>
        <w:t>)</w:t>
      </w:r>
    </w:p>
    <w:p w:rsidRPr="00D34FB2" w:rsidR="003419F5" w:rsidP="00D90240" w:rsidRDefault="003419F5">
      <w:pPr>
        <w:spacing w:line="360" w:lineRule="auto"/>
        <w:rPr>
          <w:rFonts w:cs="Times New Roman"/>
          <w:b/>
          <w:u w:val="single"/>
        </w:rPr>
      </w:pPr>
    </w:p>
    <w:p w:rsidR="00790535" w:rsidP="00790535" w:rsidRDefault="00D34FB2">
      <w:pPr>
        <w:spacing w:line="360" w:lineRule="auto"/>
        <w:rPr>
          <w:rFonts w:cs="Times New Roman"/>
          <w:b/>
        </w:rPr>
      </w:pPr>
      <w:r>
        <w:rPr>
          <w:rFonts w:cs="Times New Roman"/>
          <w:b/>
        </w:rPr>
        <w:t>TOELICHTENDE NOTA</w:t>
      </w:r>
      <w:r w:rsidR="00790535">
        <w:rPr>
          <w:rFonts w:cs="Times New Roman"/>
          <w:b/>
        </w:rPr>
        <w:br/>
      </w:r>
    </w:p>
    <w:p w:rsidRPr="00790535" w:rsidR="003419F5" w:rsidP="00790535" w:rsidRDefault="00A96AF7">
      <w:pPr>
        <w:spacing w:line="360" w:lineRule="auto"/>
        <w:rPr>
          <w:rFonts w:cs="Times New Roman"/>
          <w:b/>
        </w:rPr>
      </w:pPr>
      <w:r>
        <w:rPr>
          <w:rFonts w:cs="Times New Roman"/>
          <w:b/>
        </w:rPr>
        <w:t>1</w:t>
      </w:r>
      <w:r w:rsidR="00790535">
        <w:rPr>
          <w:rFonts w:cs="Times New Roman"/>
          <w:b/>
        </w:rPr>
        <w:t xml:space="preserve">. </w:t>
      </w:r>
      <w:r w:rsidRPr="00790535" w:rsidR="00DD26A5">
        <w:rPr>
          <w:rFonts w:cs="Times New Roman"/>
          <w:b/>
          <w:bCs/>
        </w:rPr>
        <w:t>Algemeen</w:t>
      </w:r>
    </w:p>
    <w:p w:rsidR="00A52512" w:rsidP="00A52512" w:rsidRDefault="00A52512">
      <w:pPr>
        <w:spacing w:line="360" w:lineRule="auto"/>
        <w:rPr>
          <w:rFonts w:cs="Times New Roman"/>
        </w:rPr>
      </w:pPr>
      <w:r>
        <w:rPr>
          <w:rFonts w:cs="Times New Roman"/>
        </w:rPr>
        <w:t xml:space="preserve">Op 20 februari 2009 aanvaardde de </w:t>
      </w:r>
      <w:r w:rsidRPr="00A52512">
        <w:rPr>
          <w:rFonts w:cs="Times New Roman"/>
        </w:rPr>
        <w:t xml:space="preserve">Beheerraad van het Milieuprogramma van de Verenigde Naties </w:t>
      </w:r>
      <w:r w:rsidR="00DE6370">
        <w:rPr>
          <w:rFonts w:cs="Times New Roman"/>
        </w:rPr>
        <w:t xml:space="preserve">(UNEP) </w:t>
      </w:r>
      <w:r w:rsidRPr="00A52512">
        <w:rPr>
          <w:rFonts w:cs="Times New Roman"/>
        </w:rPr>
        <w:t>besluit 25/5</w:t>
      </w:r>
      <w:r w:rsidR="000B63EE">
        <w:rPr>
          <w:rStyle w:val="FootnoteReference"/>
        </w:rPr>
        <w:footnoteReference w:id="1"/>
      </w:r>
      <w:r w:rsidRPr="00A52512">
        <w:rPr>
          <w:rFonts w:cs="Times New Roman"/>
        </w:rPr>
        <w:t xml:space="preserve"> om de aanzet te geven tot internationale actie om kwik op efficiënte, effectieve en</w:t>
      </w:r>
      <w:r>
        <w:rPr>
          <w:rFonts w:cs="Times New Roman"/>
        </w:rPr>
        <w:t xml:space="preserve"> samenhangende wijze te beheren. In </w:t>
      </w:r>
      <w:r w:rsidRPr="00A52512">
        <w:rPr>
          <w:rFonts w:cs="Times New Roman"/>
        </w:rPr>
        <w:t xml:space="preserve">paragraaf 221 van het slotdocument „The future we want” van de Conferentie van de Verenigde Naties inzake duurzame ontwikkeling </w:t>
      </w:r>
      <w:r w:rsidRPr="000B63EE" w:rsidR="000B63EE">
        <w:rPr>
          <w:rFonts w:cs="Times New Roman"/>
        </w:rPr>
        <w:t xml:space="preserve">in Rio de Janeiro </w:t>
      </w:r>
      <w:r w:rsidR="000B63EE">
        <w:rPr>
          <w:rFonts w:cs="Times New Roman"/>
        </w:rPr>
        <w:t>van</w:t>
      </w:r>
      <w:r w:rsidRPr="000B63EE" w:rsidR="000B63EE">
        <w:rPr>
          <w:rFonts w:cs="Times New Roman"/>
        </w:rPr>
        <w:t xml:space="preserve"> 20 to</w:t>
      </w:r>
      <w:r w:rsidR="000B63EE">
        <w:rPr>
          <w:rFonts w:cs="Times New Roman"/>
        </w:rPr>
        <w:t>t 22 juni</w:t>
      </w:r>
      <w:r w:rsidRPr="000B63EE" w:rsidR="000B63EE">
        <w:rPr>
          <w:rFonts w:cs="Times New Roman"/>
        </w:rPr>
        <w:t xml:space="preserve"> 2012</w:t>
      </w:r>
      <w:r w:rsidR="000B63EE">
        <w:rPr>
          <w:rFonts w:cs="Times New Roman"/>
        </w:rPr>
        <w:t xml:space="preserve"> </w:t>
      </w:r>
      <w:r w:rsidRPr="00A52512">
        <w:rPr>
          <w:rFonts w:cs="Times New Roman"/>
        </w:rPr>
        <w:t>werd opgeroepen tot succesvolle afronding van de onderhandelingen over een mondiaal, juridisch bindend instrument inzake kwik teneinde de gevaren voor de menselijke gezondh</w:t>
      </w:r>
      <w:r>
        <w:rPr>
          <w:rFonts w:cs="Times New Roman"/>
        </w:rPr>
        <w:t>eid en het milieu aan te pakken</w:t>
      </w:r>
      <w:r w:rsidR="000B63EE">
        <w:rPr>
          <w:rStyle w:val="FootnoteReference"/>
        </w:rPr>
        <w:footnoteReference w:id="2"/>
      </w:r>
      <w:r>
        <w:rPr>
          <w:rFonts w:cs="Times New Roman"/>
        </w:rPr>
        <w:t>.</w:t>
      </w:r>
    </w:p>
    <w:p w:rsidR="00A52512" w:rsidP="00D90240" w:rsidRDefault="00A52512">
      <w:pPr>
        <w:spacing w:line="360" w:lineRule="auto"/>
        <w:rPr>
          <w:rFonts w:cs="Times New Roman"/>
        </w:rPr>
      </w:pPr>
    </w:p>
    <w:p w:rsidRPr="00D34FB2" w:rsidR="00074B38" w:rsidP="00D90240" w:rsidRDefault="0000102C">
      <w:pPr>
        <w:spacing w:line="360" w:lineRule="auto"/>
        <w:rPr>
          <w:rFonts w:cs="Times New Roman"/>
        </w:rPr>
      </w:pPr>
      <w:r>
        <w:rPr>
          <w:rFonts w:cs="Times New Roman"/>
        </w:rPr>
        <w:t xml:space="preserve">Op 10 oktober 2013 </w:t>
      </w:r>
      <w:r w:rsidR="007C29C4">
        <w:rPr>
          <w:rFonts w:cs="Times New Roman"/>
        </w:rPr>
        <w:t>is t</w:t>
      </w:r>
      <w:r>
        <w:rPr>
          <w:rFonts w:cs="Times New Roman"/>
        </w:rPr>
        <w:t>e Kumamoto</w:t>
      </w:r>
      <w:r w:rsidR="00DF1D9F">
        <w:rPr>
          <w:rFonts w:cs="Times New Roman"/>
        </w:rPr>
        <w:t xml:space="preserve"> </w:t>
      </w:r>
      <w:r>
        <w:rPr>
          <w:rFonts w:cs="Times New Roman"/>
        </w:rPr>
        <w:t xml:space="preserve">het Verdrag van Minamata inzake kwik (Trb. 2013, 239 en Trb. 2014, 173 en </w:t>
      </w:r>
      <w:r w:rsidR="00A52512">
        <w:rPr>
          <w:rFonts w:cs="Times New Roman"/>
        </w:rPr>
        <w:t>211; hierna: het Verdrag)</w:t>
      </w:r>
      <w:r>
        <w:rPr>
          <w:rFonts w:cs="Times New Roman"/>
        </w:rPr>
        <w:t xml:space="preserve"> </w:t>
      </w:r>
      <w:r w:rsidR="00A52512">
        <w:rPr>
          <w:rFonts w:cs="Times New Roman"/>
        </w:rPr>
        <w:t>tot stand</w:t>
      </w:r>
      <w:r w:rsidR="007C29C4">
        <w:rPr>
          <w:rFonts w:cs="Times New Roman"/>
        </w:rPr>
        <w:t xml:space="preserve"> gekomen</w:t>
      </w:r>
      <w:r w:rsidR="00A52512">
        <w:rPr>
          <w:rFonts w:cs="Times New Roman"/>
        </w:rPr>
        <w:t>.</w:t>
      </w:r>
      <w:r w:rsidR="0074048E">
        <w:rPr>
          <w:rFonts w:cs="Times New Roman"/>
        </w:rPr>
        <w:t xml:space="preserve"> </w:t>
      </w:r>
      <w:r>
        <w:rPr>
          <w:rFonts w:cs="Times New Roman"/>
        </w:rPr>
        <w:t xml:space="preserve">Het Verdrag </w:t>
      </w:r>
      <w:r w:rsidRPr="0000102C">
        <w:rPr>
          <w:rFonts w:cs="Times New Roman"/>
        </w:rPr>
        <w:t>heeft tot doel de menselijke gezondheid en het milieu te beschermen tegen antropogene emissies en lozingen van kwik en kwikverbindingen.</w:t>
      </w:r>
      <w:r>
        <w:rPr>
          <w:rFonts w:cs="Times New Roman"/>
        </w:rPr>
        <w:t xml:space="preserve"> </w:t>
      </w:r>
      <w:r w:rsidR="00A02041">
        <w:rPr>
          <w:rFonts w:cs="Times New Roman"/>
        </w:rPr>
        <w:t>K</w:t>
      </w:r>
      <w:r w:rsidRPr="0000102C" w:rsidR="00A02041">
        <w:rPr>
          <w:rFonts w:cs="Times New Roman"/>
        </w:rPr>
        <w:t xml:space="preserve">wik </w:t>
      </w:r>
      <w:r w:rsidR="00A02041">
        <w:rPr>
          <w:rFonts w:cs="Times New Roman"/>
        </w:rPr>
        <w:t xml:space="preserve">is </w:t>
      </w:r>
      <w:r w:rsidRPr="0000102C" w:rsidR="00A02041">
        <w:rPr>
          <w:rFonts w:cs="Times New Roman"/>
        </w:rPr>
        <w:t xml:space="preserve">een </w:t>
      </w:r>
      <w:r w:rsidR="00A02041">
        <w:rPr>
          <w:rFonts w:cs="Times New Roman"/>
        </w:rPr>
        <w:t>toxische</w:t>
      </w:r>
      <w:r w:rsidRPr="0000102C" w:rsidR="00A02041">
        <w:rPr>
          <w:rFonts w:cs="Times New Roman"/>
        </w:rPr>
        <w:t xml:space="preserve"> stof</w:t>
      </w:r>
      <w:r w:rsidR="005D3D1D">
        <w:rPr>
          <w:rFonts w:cs="Times New Roman"/>
        </w:rPr>
        <w:t xml:space="preserve"> die</w:t>
      </w:r>
      <w:r w:rsidR="00A02041">
        <w:rPr>
          <w:rFonts w:cs="Times New Roman"/>
        </w:rPr>
        <w:t xml:space="preserve"> kan leiden tot aanzienlijke schadelijke gevolgen voor het milieu en de menselijke </w:t>
      </w:r>
      <w:r w:rsidRPr="0000102C" w:rsidR="00A02041">
        <w:rPr>
          <w:rFonts w:cs="Times New Roman"/>
        </w:rPr>
        <w:t>gez</w:t>
      </w:r>
      <w:r w:rsidR="00A02041">
        <w:rPr>
          <w:rFonts w:cs="Times New Roman"/>
        </w:rPr>
        <w:t>ondheid. De emissies van kwik door menselijke activiteiten geven mondiaal reden tot bezorgdheid</w:t>
      </w:r>
      <w:r w:rsidRPr="0000102C" w:rsidR="00A02041">
        <w:rPr>
          <w:rFonts w:cs="Times New Roman"/>
        </w:rPr>
        <w:t xml:space="preserve"> vanwege de verspreiding ervan over lange afstand in de atmosfeer </w:t>
      </w:r>
      <w:r w:rsidR="00A02041">
        <w:rPr>
          <w:rFonts w:cs="Times New Roman"/>
        </w:rPr>
        <w:t xml:space="preserve">en ophoping in levende organismen. </w:t>
      </w:r>
      <w:r w:rsidR="00AD0B94">
        <w:rPr>
          <w:rFonts w:cs="Times New Roman"/>
        </w:rPr>
        <w:t>I</w:t>
      </w:r>
      <w:r w:rsidR="00A52512">
        <w:rPr>
          <w:rFonts w:cs="Times New Roman"/>
        </w:rPr>
        <w:t xml:space="preserve">n het </w:t>
      </w:r>
      <w:r w:rsidR="007C29C4">
        <w:rPr>
          <w:rFonts w:cs="Times New Roman"/>
        </w:rPr>
        <w:t>V</w:t>
      </w:r>
      <w:r w:rsidR="00A52512">
        <w:rPr>
          <w:rFonts w:cs="Times New Roman"/>
        </w:rPr>
        <w:t xml:space="preserve">erdrag </w:t>
      </w:r>
      <w:r w:rsidR="00AD0B94">
        <w:rPr>
          <w:rFonts w:cs="Times New Roman"/>
        </w:rPr>
        <w:t xml:space="preserve">worden </w:t>
      </w:r>
      <w:r w:rsidR="00A52512">
        <w:rPr>
          <w:rFonts w:cs="Times New Roman"/>
        </w:rPr>
        <w:t xml:space="preserve">voor kwik, kwikhoudende producten en kwikverbindingen regels gesteld </w:t>
      </w:r>
      <w:r w:rsidR="00AD0B94">
        <w:rPr>
          <w:rFonts w:cs="Times New Roman"/>
        </w:rPr>
        <w:t xml:space="preserve">ten aanzien van productie, </w:t>
      </w:r>
      <w:r w:rsidR="00A52512">
        <w:rPr>
          <w:rFonts w:cs="Times New Roman"/>
        </w:rPr>
        <w:t>export, import, loz</w:t>
      </w:r>
      <w:r w:rsidR="00AD0B94">
        <w:rPr>
          <w:rFonts w:cs="Times New Roman"/>
        </w:rPr>
        <w:t>ing</w:t>
      </w:r>
      <w:r w:rsidR="00A52512">
        <w:rPr>
          <w:rFonts w:cs="Times New Roman"/>
        </w:rPr>
        <w:t>en, emissies, tussentijdse opslag en afval</w:t>
      </w:r>
      <w:r w:rsidR="00AD0B94">
        <w:rPr>
          <w:rFonts w:cs="Times New Roman"/>
        </w:rPr>
        <w:t>beheer, met de nodige</w:t>
      </w:r>
      <w:r w:rsidR="00A52512">
        <w:rPr>
          <w:rFonts w:cs="Times New Roman"/>
        </w:rPr>
        <w:t xml:space="preserve"> administratieve</w:t>
      </w:r>
      <w:r w:rsidRPr="00A52512" w:rsidR="00A52512">
        <w:rPr>
          <w:rFonts w:cs="Times New Roman"/>
        </w:rPr>
        <w:t xml:space="preserve"> verplichtingen. </w:t>
      </w:r>
      <w:r w:rsidRPr="00D34FB2" w:rsidR="00074B38">
        <w:rPr>
          <w:rFonts w:cs="Times New Roman"/>
        </w:rPr>
        <w:t>In de artikelsgew</w:t>
      </w:r>
      <w:r w:rsidR="000072AC">
        <w:rPr>
          <w:rFonts w:cs="Times New Roman"/>
        </w:rPr>
        <w:t xml:space="preserve">ijze toelichting zal hier nader op </w:t>
      </w:r>
      <w:r w:rsidRPr="00D34FB2" w:rsidR="00074B38">
        <w:rPr>
          <w:rFonts w:cs="Times New Roman"/>
        </w:rPr>
        <w:t>worden ingegaan.</w:t>
      </w:r>
    </w:p>
    <w:p w:rsidR="0074048E" w:rsidP="00F16279" w:rsidRDefault="00284B0D">
      <w:pPr>
        <w:spacing w:line="360" w:lineRule="auto"/>
        <w:rPr>
          <w:rFonts w:cs="Times New Roman"/>
        </w:rPr>
      </w:pPr>
      <w:r>
        <w:rPr>
          <w:rFonts w:cs="Times New Roman"/>
        </w:rPr>
        <w:t xml:space="preserve">Het Verdrag </w:t>
      </w:r>
      <w:r w:rsidRPr="00284B0D">
        <w:rPr>
          <w:rFonts w:cs="Times New Roman"/>
        </w:rPr>
        <w:t>is jur</w:t>
      </w:r>
      <w:r>
        <w:rPr>
          <w:rFonts w:cs="Times New Roman"/>
        </w:rPr>
        <w:t xml:space="preserve">idisch bindend tussen partijen en verplicht partijen tot het nemen van maatregelen </w:t>
      </w:r>
      <w:r w:rsidR="00762B80">
        <w:rPr>
          <w:rFonts w:cs="Times New Roman"/>
        </w:rPr>
        <w:t>die</w:t>
      </w:r>
      <w:r w:rsidR="00F16279">
        <w:rPr>
          <w:rFonts w:cs="Times New Roman"/>
        </w:rPr>
        <w:t xml:space="preserve"> de schadelijke gevolgen van kwik voor het milieu en de menselijke gezondheid adresseren. Het </w:t>
      </w:r>
      <w:r w:rsidR="00784544">
        <w:rPr>
          <w:rFonts w:cs="Times New Roman"/>
        </w:rPr>
        <w:t>V</w:t>
      </w:r>
      <w:r w:rsidR="00F16279">
        <w:rPr>
          <w:rFonts w:cs="Times New Roman"/>
        </w:rPr>
        <w:t xml:space="preserve">erdrag </w:t>
      </w:r>
      <w:r w:rsidRPr="00284B0D">
        <w:rPr>
          <w:rFonts w:cs="Times New Roman"/>
        </w:rPr>
        <w:t>bevat naar de mening van de regering dan ook geen een ieder verbindende bepalingen.</w:t>
      </w:r>
    </w:p>
    <w:p w:rsidR="00C6281F" w:rsidP="0074048E" w:rsidRDefault="00C6281F">
      <w:pPr>
        <w:rPr>
          <w:rFonts w:cs="Times New Roman"/>
        </w:rPr>
      </w:pPr>
    </w:p>
    <w:p w:rsidR="0074048E" w:rsidP="00D90240" w:rsidRDefault="00E72DC8">
      <w:pPr>
        <w:spacing w:line="360" w:lineRule="auto"/>
        <w:rPr>
          <w:rFonts w:cs="Times New Roman"/>
        </w:rPr>
      </w:pPr>
      <w:r w:rsidRPr="002734BC">
        <w:rPr>
          <w:rFonts w:cs="Times New Roman"/>
        </w:rPr>
        <w:t xml:space="preserve">Momenteel hebben 28 partijen het Verdrag geratificeerd. Het Verdrag zal in werking treden nadat 50 partijen </w:t>
      </w:r>
      <w:r w:rsidRPr="002734BC" w:rsidR="0025559D">
        <w:rPr>
          <w:rFonts w:cs="Times New Roman"/>
        </w:rPr>
        <w:t>een akte van b</w:t>
      </w:r>
      <w:r w:rsidRPr="002734BC">
        <w:rPr>
          <w:rFonts w:cs="Times New Roman"/>
        </w:rPr>
        <w:t>ekrachtig</w:t>
      </w:r>
      <w:r w:rsidRPr="002734BC" w:rsidR="0025559D">
        <w:rPr>
          <w:rFonts w:cs="Times New Roman"/>
        </w:rPr>
        <w:t xml:space="preserve">ing, goedkeuring, aanvaarding of toetreding hebben nedergelegd. </w:t>
      </w:r>
      <w:r w:rsidRPr="002734BC">
        <w:rPr>
          <w:rFonts w:cs="Times New Roman"/>
        </w:rPr>
        <w:t xml:space="preserve">De eerste Conferentie van de partijen (hierna: CoP) staat gepland voor september 2017. </w:t>
      </w:r>
      <w:r w:rsidRPr="002734BC" w:rsidR="00A96AF7">
        <w:rPr>
          <w:rFonts w:cs="Times New Roman"/>
        </w:rPr>
        <w:t>De E</w:t>
      </w:r>
      <w:r w:rsidRPr="002734BC">
        <w:rPr>
          <w:rFonts w:cs="Times New Roman"/>
        </w:rPr>
        <w:t xml:space="preserve">uropese Unie (hierna: EU) </w:t>
      </w:r>
      <w:r w:rsidRPr="002734BC" w:rsidR="00A96AF7">
        <w:rPr>
          <w:rFonts w:cs="Times New Roman"/>
        </w:rPr>
        <w:t xml:space="preserve">is </w:t>
      </w:r>
      <w:r w:rsidRPr="002734BC">
        <w:rPr>
          <w:rFonts w:cs="Times New Roman"/>
        </w:rPr>
        <w:t xml:space="preserve">groot voorstander van het Verdrag en wil graag als partij </w:t>
      </w:r>
      <w:r w:rsidRPr="002734BC" w:rsidR="00FD2ED9">
        <w:rPr>
          <w:rFonts w:cs="Times New Roman"/>
        </w:rPr>
        <w:t xml:space="preserve">met volledig stemrecht </w:t>
      </w:r>
      <w:r w:rsidRPr="002734BC">
        <w:rPr>
          <w:rFonts w:cs="Times New Roman"/>
        </w:rPr>
        <w:t>deelnemen aan deze eerste CoP. De EU stelt daarom alles in het werk om het Verdrag gezamenlijk met de lidstaten zo spoedig mogelijk te ratificeren.</w:t>
      </w:r>
      <w:r w:rsidRPr="002734BC" w:rsidR="00054B7D">
        <w:rPr>
          <w:rFonts w:cs="Times New Roman"/>
        </w:rPr>
        <w:t xml:space="preserve"> </w:t>
      </w:r>
      <w:r w:rsidR="00054B7D">
        <w:rPr>
          <w:rFonts w:cs="Times New Roman"/>
        </w:rPr>
        <w:t xml:space="preserve">Hiermee zal </w:t>
      </w:r>
      <w:r w:rsidR="0025559D">
        <w:rPr>
          <w:rFonts w:cs="Times New Roman"/>
        </w:rPr>
        <w:t>o</w:t>
      </w:r>
      <w:r w:rsidR="00054B7D">
        <w:rPr>
          <w:rFonts w:cs="Times New Roman"/>
        </w:rPr>
        <w:t>ok de E</w:t>
      </w:r>
      <w:r w:rsidR="0025559D">
        <w:rPr>
          <w:rFonts w:cs="Times New Roman"/>
        </w:rPr>
        <w:t xml:space="preserve">U </w:t>
      </w:r>
      <w:r w:rsidR="00054B7D">
        <w:rPr>
          <w:rFonts w:cs="Times New Roman"/>
        </w:rPr>
        <w:t>partij bij het Verdrag worden, zoals ook het geval is voor andere milieuverdragen</w:t>
      </w:r>
      <w:r w:rsidR="00D562A3">
        <w:rPr>
          <w:rFonts w:cs="Times New Roman"/>
        </w:rPr>
        <w:t xml:space="preserve"> die vallen onder de bevoegdheid van zowel de EU als de lidstaten</w:t>
      </w:r>
      <w:r w:rsidR="00054B7D">
        <w:rPr>
          <w:rFonts w:cs="Times New Roman"/>
        </w:rPr>
        <w:t>.</w:t>
      </w:r>
      <w:r w:rsidR="002734BC">
        <w:rPr>
          <w:rStyle w:val="FootnoteReference"/>
        </w:rPr>
        <w:footnoteReference w:id="3"/>
      </w:r>
    </w:p>
    <w:p w:rsidRPr="0074048E" w:rsidR="0074048E" w:rsidP="00D90240" w:rsidRDefault="00A96AF7">
      <w:pPr>
        <w:spacing w:line="360" w:lineRule="auto"/>
        <w:rPr>
          <w:rFonts w:cs="Times New Roman"/>
          <w:b/>
        </w:rPr>
      </w:pPr>
      <w:r>
        <w:rPr>
          <w:rFonts w:cs="Times New Roman"/>
          <w:b/>
        </w:rPr>
        <w:lastRenderedPageBreak/>
        <w:t>2</w:t>
      </w:r>
      <w:r w:rsidRPr="0074048E" w:rsidR="0074048E">
        <w:rPr>
          <w:rFonts w:cs="Times New Roman"/>
          <w:b/>
        </w:rPr>
        <w:t xml:space="preserve">. Gevolgen van het Verdrag voor wet- en regelgeving in </w:t>
      </w:r>
      <w:r w:rsidR="00955A23">
        <w:rPr>
          <w:rFonts w:cs="Times New Roman"/>
          <w:b/>
        </w:rPr>
        <w:t xml:space="preserve">het Europese deel van </w:t>
      </w:r>
      <w:r w:rsidRPr="0074048E" w:rsidR="0074048E">
        <w:rPr>
          <w:rFonts w:cs="Times New Roman"/>
          <w:b/>
        </w:rPr>
        <w:t>Nederland</w:t>
      </w:r>
    </w:p>
    <w:p w:rsidR="00955A23" w:rsidP="00337579" w:rsidRDefault="00955A23">
      <w:pPr>
        <w:spacing w:line="360" w:lineRule="auto"/>
        <w:rPr>
          <w:rFonts w:cs="Times New Roman"/>
        </w:rPr>
      </w:pPr>
    </w:p>
    <w:p w:rsidRPr="00A76C74" w:rsidR="00337579" w:rsidP="00337579" w:rsidRDefault="00337579">
      <w:pPr>
        <w:spacing w:line="360" w:lineRule="auto"/>
        <w:rPr>
          <w:rFonts w:cs="Times New Roman"/>
        </w:rPr>
      </w:pPr>
      <w:r>
        <w:rPr>
          <w:rFonts w:cs="Times New Roman"/>
        </w:rPr>
        <w:t xml:space="preserve">Binnen de </w:t>
      </w:r>
      <w:r w:rsidRPr="00A76C74">
        <w:rPr>
          <w:rFonts w:cs="Times New Roman"/>
        </w:rPr>
        <w:t>EU</w:t>
      </w:r>
      <w:r>
        <w:rPr>
          <w:rFonts w:cs="Times New Roman"/>
        </w:rPr>
        <w:t xml:space="preserve"> is al uitgebreide </w:t>
      </w:r>
      <w:r w:rsidRPr="00A76C74">
        <w:rPr>
          <w:rFonts w:cs="Times New Roman"/>
        </w:rPr>
        <w:t xml:space="preserve">regelgeving op het gebied van kwik van kracht. Desalniettemin </w:t>
      </w:r>
      <w:r w:rsidR="0025559D">
        <w:rPr>
          <w:rFonts w:cs="Times New Roman"/>
        </w:rPr>
        <w:t xml:space="preserve">wil </w:t>
      </w:r>
      <w:r w:rsidRPr="00A76C74">
        <w:rPr>
          <w:rFonts w:cs="Times New Roman"/>
        </w:rPr>
        <w:t>de EU partij worden bij het Verdrag. Dit betekent dat de EU haar regelgeving, die doorwerkt in de regelgeving van de EU-lidstaten, in lijn moet brengen met het Verdrag. Een groot deel van de verdragsverplichtingen is neergelegd in EU-regelgeving, maar ten aanzien van een zestal onderwerpen best</w:t>
      </w:r>
      <w:r>
        <w:rPr>
          <w:rFonts w:cs="Times New Roman"/>
        </w:rPr>
        <w:t xml:space="preserve">aan </w:t>
      </w:r>
      <w:r w:rsidRPr="00A76C74">
        <w:rPr>
          <w:rFonts w:cs="Times New Roman"/>
        </w:rPr>
        <w:t xml:space="preserve">leemten tussen het Verdrag en de EU-regelgeving. </w:t>
      </w:r>
    </w:p>
    <w:p w:rsidR="00337579" w:rsidP="00337579" w:rsidRDefault="00337579">
      <w:pPr>
        <w:spacing w:line="360" w:lineRule="auto"/>
        <w:rPr>
          <w:rFonts w:cs="Times New Roman"/>
        </w:rPr>
      </w:pPr>
    </w:p>
    <w:p w:rsidR="00337579" w:rsidP="00337579" w:rsidRDefault="006575D2">
      <w:pPr>
        <w:spacing w:line="360" w:lineRule="auto"/>
        <w:rPr>
          <w:rFonts w:cs="Times New Roman"/>
        </w:rPr>
      </w:pPr>
      <w:r w:rsidRPr="00320F9B">
        <w:t>Het Verdrag is een gemengde overeenkomst (d.w.z. een internationale overeenkomst die bevoegdheden van de Unie en de lidstaten bestrijkt). De Unie en de lidstaten zijn gezamenlijk bevoegd om extern op te treden</w:t>
      </w:r>
      <w:r w:rsidRPr="00320F9B" w:rsidR="00762B80">
        <w:t xml:space="preserve"> en </w:t>
      </w:r>
      <w:r w:rsidRPr="00320F9B" w:rsidR="00762B80">
        <w:rPr>
          <w:rFonts w:cs="Times New Roman"/>
          <w:iCs/>
        </w:rPr>
        <w:t>zowel EU als de lidstaten kunnen dus partij worden bij het Verdrag</w:t>
      </w:r>
      <w:r w:rsidRPr="00320F9B">
        <w:t xml:space="preserve">. </w:t>
      </w:r>
      <w:r w:rsidRPr="00320F9B" w:rsidR="00955A23">
        <w:rPr>
          <w:rFonts w:cs="Times New Roman"/>
          <w:iCs/>
        </w:rPr>
        <w:t>Omdat dit Verdrag milieu betreft, is er sprake van een gedeelde bevoegdheid van EU en de lidstaten (art. 191, vierde lid, Verdrag inzake de Werking van de Europese Unie</w:t>
      </w:r>
      <w:r w:rsidRPr="00320F9B" w:rsidR="00593CA0">
        <w:rPr>
          <w:rFonts w:cs="Times New Roman"/>
          <w:iCs/>
        </w:rPr>
        <w:t>; hierna VWEU</w:t>
      </w:r>
      <w:r w:rsidRPr="00320F9B" w:rsidR="00955A23">
        <w:rPr>
          <w:rFonts w:cs="Times New Roman"/>
          <w:iCs/>
        </w:rPr>
        <w:t xml:space="preserve">).  </w:t>
      </w:r>
      <w:r w:rsidRPr="00320F9B" w:rsidR="00337579">
        <w:rPr>
          <w:rFonts w:cs="Times New Roman"/>
        </w:rPr>
        <w:t>Voor bepaalde onderwerpen (zoals de handel in kwikhoudende producten) die</w:t>
      </w:r>
      <w:r w:rsidRPr="00784544" w:rsidR="00337579">
        <w:rPr>
          <w:rFonts w:cs="Times New Roman"/>
        </w:rPr>
        <w:t xml:space="preserve"> het Verdrag regelt, geldt dat de EU exclusieve regelgevende bevoegdheid heeft ten opzichte van de EU-lidstaten. Voor veel van de niet-handelsgerelateerde onderwerpen van het Verdrag </w:t>
      </w:r>
      <w:r w:rsidRPr="00784544" w:rsidR="00762B80">
        <w:rPr>
          <w:rFonts w:cs="Times New Roman"/>
        </w:rPr>
        <w:t>geldt</w:t>
      </w:r>
      <w:r w:rsidRPr="00784544" w:rsidR="00337579">
        <w:rPr>
          <w:rFonts w:cs="Times New Roman"/>
        </w:rPr>
        <w:t xml:space="preserve"> reeds EU-regelgeving . Om deze reden kan </w:t>
      </w:r>
      <w:r w:rsidRPr="00784544" w:rsidR="00762B80">
        <w:rPr>
          <w:rFonts w:cs="Times New Roman"/>
        </w:rPr>
        <w:t xml:space="preserve">voor deze onderwerpen </w:t>
      </w:r>
      <w:r w:rsidRPr="00784544" w:rsidR="00337579">
        <w:rPr>
          <w:rFonts w:cs="Times New Roman"/>
        </w:rPr>
        <w:t>niet door middel van nationale regelgeving, maar alleen door EU-regelgeving invulling worden gegeven aan de verdragsverplichtingen,</w:t>
      </w:r>
      <w:r w:rsidRPr="00784544" w:rsidR="00762B1C">
        <w:rPr>
          <w:rFonts w:cs="Times New Roman"/>
        </w:rPr>
        <w:t xml:space="preserve"> </w:t>
      </w:r>
      <w:r w:rsidRPr="00784544" w:rsidR="00337579">
        <w:rPr>
          <w:rFonts w:cs="Times New Roman"/>
        </w:rPr>
        <w:t>alvorens het Verdrag door de EU en de EU-lidstaten kan worden geratificeerd.</w:t>
      </w:r>
      <w:r w:rsidRPr="00A76C74" w:rsidR="00337579">
        <w:rPr>
          <w:rFonts w:cs="Times New Roman"/>
        </w:rPr>
        <w:t xml:space="preserve"> </w:t>
      </w:r>
    </w:p>
    <w:p w:rsidR="00337579" w:rsidP="00337579" w:rsidRDefault="00337579">
      <w:pPr>
        <w:spacing w:line="360" w:lineRule="auto"/>
        <w:rPr>
          <w:rFonts w:cs="Times New Roman"/>
        </w:rPr>
      </w:pPr>
    </w:p>
    <w:p w:rsidRPr="00A76C74" w:rsidR="00337579" w:rsidP="00337579" w:rsidRDefault="00337579">
      <w:pPr>
        <w:spacing w:line="360" w:lineRule="auto"/>
        <w:rPr>
          <w:rFonts w:cs="Times New Roman"/>
        </w:rPr>
      </w:pPr>
      <w:r>
        <w:rPr>
          <w:rFonts w:cs="Times New Roman"/>
        </w:rPr>
        <w:t>Voor het deel van de verdragsverplichtingen, waaraan de EU-regelgeving nog niet voldoet, is een nieuwe verordening opgesteld</w:t>
      </w:r>
      <w:r w:rsidR="00762B1C">
        <w:rPr>
          <w:rFonts w:cs="Times New Roman"/>
        </w:rPr>
        <w:t>.</w:t>
      </w:r>
      <w:r>
        <w:rPr>
          <w:rFonts w:cs="Times New Roman"/>
        </w:rPr>
        <w:t xml:space="preserve"> De Europese Commissie heeft hiertoe op 2 februari 2016 een voorstel ingediend (COM(2016) 39 final)</w:t>
      </w:r>
      <w:r w:rsidRPr="00121FF9">
        <w:rPr>
          <w:rFonts w:cs="Times New Roman"/>
        </w:rPr>
        <w:t>.</w:t>
      </w:r>
      <w:r w:rsidR="002734BC">
        <w:rPr>
          <w:rStyle w:val="FootnoteReference"/>
        </w:rPr>
        <w:footnoteReference w:id="4"/>
      </w:r>
      <w:r>
        <w:rPr>
          <w:rFonts w:cs="Times New Roman"/>
        </w:rPr>
        <w:t xml:space="preserve"> </w:t>
      </w:r>
      <w:r w:rsidRPr="00A76C74">
        <w:rPr>
          <w:rFonts w:cs="Times New Roman"/>
        </w:rPr>
        <w:t>De verordening vervangt Verordening (EG) nr. 1102/200</w:t>
      </w:r>
      <w:r w:rsidR="00EB016A">
        <w:rPr>
          <w:rFonts w:cs="Times New Roman"/>
        </w:rPr>
        <w:t>8</w:t>
      </w:r>
      <w:r w:rsidR="00EB016A">
        <w:rPr>
          <w:rStyle w:val="FootnoteReference"/>
        </w:rPr>
        <w:footnoteReference w:id="5"/>
      </w:r>
      <w:r w:rsidRPr="00A76C74">
        <w:rPr>
          <w:rFonts w:cs="Times New Roman"/>
        </w:rPr>
        <w:t xml:space="preserve"> en voorziet tevens in nu nog ontbrekende bepalingen omtrent </w:t>
      </w:r>
    </w:p>
    <w:p w:rsidRPr="00A76C74" w:rsidR="00337579" w:rsidP="00054B7D" w:rsidRDefault="00337579">
      <w:pPr>
        <w:pStyle w:val="ListParagraph"/>
        <w:numPr>
          <w:ilvl w:val="0"/>
          <w:numId w:val="4"/>
        </w:numPr>
        <w:spacing w:line="360" w:lineRule="auto"/>
        <w:rPr>
          <w:rFonts w:cs="Times New Roman"/>
        </w:rPr>
      </w:pPr>
      <w:r w:rsidRPr="00A76C74">
        <w:rPr>
          <w:rFonts w:cs="Times New Roman"/>
        </w:rPr>
        <w:t xml:space="preserve">de beperking van de invoer van kwik op basis van de bron, het beoogde gebruik en de plaats van oorsprong van het kwik; </w:t>
      </w:r>
    </w:p>
    <w:p w:rsidRPr="00A76C74" w:rsidR="00337579" w:rsidP="00054B7D" w:rsidRDefault="00337579">
      <w:pPr>
        <w:pStyle w:val="ListParagraph"/>
        <w:numPr>
          <w:ilvl w:val="0"/>
          <w:numId w:val="4"/>
        </w:numPr>
        <w:spacing w:line="360" w:lineRule="auto"/>
        <w:rPr>
          <w:rFonts w:cs="Times New Roman"/>
        </w:rPr>
      </w:pPr>
      <w:r w:rsidRPr="00A76C74">
        <w:rPr>
          <w:rFonts w:cs="Times New Roman"/>
        </w:rPr>
        <w:t xml:space="preserve">een verbod op de uitvoer, invoer en productie van bepaalde kwikhoudende producten; </w:t>
      </w:r>
    </w:p>
    <w:p w:rsidRPr="00A76C74" w:rsidR="00337579" w:rsidP="00054B7D" w:rsidRDefault="00337579">
      <w:pPr>
        <w:pStyle w:val="ListParagraph"/>
        <w:numPr>
          <w:ilvl w:val="0"/>
          <w:numId w:val="4"/>
        </w:numPr>
        <w:spacing w:line="360" w:lineRule="auto"/>
        <w:rPr>
          <w:rFonts w:cs="Times New Roman"/>
        </w:rPr>
      </w:pPr>
      <w:r w:rsidRPr="00A76C74">
        <w:rPr>
          <w:rFonts w:cs="Times New Roman"/>
        </w:rPr>
        <w:t>het gebruik van kwik in bepaalde productieprocessen;</w:t>
      </w:r>
    </w:p>
    <w:p w:rsidRPr="00A76C74" w:rsidR="00337579" w:rsidP="00054B7D" w:rsidRDefault="00337579">
      <w:pPr>
        <w:pStyle w:val="ListParagraph"/>
        <w:numPr>
          <w:ilvl w:val="0"/>
          <w:numId w:val="4"/>
        </w:numPr>
        <w:spacing w:line="360" w:lineRule="auto"/>
        <w:rPr>
          <w:rFonts w:cs="Times New Roman"/>
        </w:rPr>
      </w:pPr>
      <w:r w:rsidRPr="00A76C74">
        <w:rPr>
          <w:rFonts w:cs="Times New Roman"/>
        </w:rPr>
        <w:t>het verbieden en beperken van nieuwe toepassingen van kwik in producten en productieprocessen;</w:t>
      </w:r>
    </w:p>
    <w:p w:rsidRPr="00A76C74" w:rsidR="00337579" w:rsidP="00054B7D" w:rsidRDefault="00337579">
      <w:pPr>
        <w:pStyle w:val="ListParagraph"/>
        <w:numPr>
          <w:ilvl w:val="0"/>
          <w:numId w:val="4"/>
        </w:numPr>
        <w:spacing w:line="360" w:lineRule="auto"/>
        <w:rPr>
          <w:rFonts w:cs="Times New Roman"/>
        </w:rPr>
      </w:pPr>
      <w:r w:rsidRPr="00A76C74">
        <w:rPr>
          <w:rFonts w:cs="Times New Roman"/>
        </w:rPr>
        <w:t>het gebruik van kwik in ambachtelijke en kleinschalige goudwinning en</w:t>
      </w:r>
    </w:p>
    <w:p w:rsidRPr="00A76C74" w:rsidR="00337579" w:rsidP="00054B7D" w:rsidRDefault="00337579">
      <w:pPr>
        <w:pStyle w:val="ListParagraph"/>
        <w:numPr>
          <w:ilvl w:val="0"/>
          <w:numId w:val="4"/>
        </w:numPr>
        <w:spacing w:line="360" w:lineRule="auto"/>
        <w:rPr>
          <w:rFonts w:cs="Times New Roman"/>
        </w:rPr>
      </w:pPr>
      <w:r w:rsidRPr="00A76C74">
        <w:rPr>
          <w:rFonts w:cs="Times New Roman"/>
        </w:rPr>
        <w:t xml:space="preserve">het gebruik van kwik in tandheelkundig amalgaam. </w:t>
      </w:r>
    </w:p>
    <w:p w:rsidR="00337579" w:rsidP="00337579" w:rsidRDefault="00337579">
      <w:pPr>
        <w:spacing w:line="360" w:lineRule="auto"/>
        <w:rPr>
          <w:rFonts w:cs="Times New Roman"/>
        </w:rPr>
      </w:pPr>
      <w:r w:rsidRPr="00A76C74">
        <w:rPr>
          <w:rFonts w:cs="Times New Roman"/>
        </w:rPr>
        <w:t xml:space="preserve">Om ervoor te zorgen dat de EU-regelgeving altijd in lijn is met besluiten van de CoP die door de EU zijn gesteund, wordt in de </w:t>
      </w:r>
      <w:r w:rsidR="003963EA">
        <w:rPr>
          <w:rFonts w:cs="Times New Roman"/>
        </w:rPr>
        <w:t>v</w:t>
      </w:r>
      <w:r w:rsidRPr="00A76C74">
        <w:rPr>
          <w:rFonts w:cs="Times New Roman"/>
        </w:rPr>
        <w:t>erordening de Europese Commissie de bevoegdheid gegeven om de bijlagen bij de verordening te wijzigen of de verordening aan te vullen met technische voorschriften voor de milieuverantwoorde technische opslag van kwik en kwikverbindingen.</w:t>
      </w:r>
    </w:p>
    <w:p w:rsidR="00337579" w:rsidP="00337579" w:rsidRDefault="00337579">
      <w:pPr>
        <w:spacing w:line="360" w:lineRule="auto"/>
        <w:rPr>
          <w:rFonts w:cs="Times New Roman"/>
        </w:rPr>
      </w:pPr>
    </w:p>
    <w:p w:rsidR="00337579" w:rsidP="00337579" w:rsidRDefault="00337579">
      <w:pPr>
        <w:spacing w:line="360" w:lineRule="auto"/>
        <w:rPr>
          <w:rFonts w:cs="Times New Roman"/>
        </w:rPr>
      </w:pPr>
      <w:r>
        <w:rPr>
          <w:rFonts w:cs="Times New Roman"/>
        </w:rPr>
        <w:t xml:space="preserve">Inwerkingtreding van deze nieuwe kwikverordening is voorzien per 1 januari 2018. Voorafgaand hieraan </w:t>
      </w:r>
      <w:r w:rsidR="00054B7D">
        <w:rPr>
          <w:rFonts w:cs="Times New Roman"/>
        </w:rPr>
        <w:t xml:space="preserve">zou </w:t>
      </w:r>
      <w:r>
        <w:rPr>
          <w:rFonts w:cs="Times New Roman"/>
        </w:rPr>
        <w:t xml:space="preserve">ratificatie van het Verdrag door de EU en de lidstaten </w:t>
      </w:r>
      <w:r w:rsidR="00054B7D">
        <w:rPr>
          <w:rFonts w:cs="Times New Roman"/>
        </w:rPr>
        <w:t xml:space="preserve">al mogelijk zijn, </w:t>
      </w:r>
      <w:r>
        <w:rPr>
          <w:rFonts w:cs="Times New Roman"/>
        </w:rPr>
        <w:t xml:space="preserve">namelijk direct na de vaststelling van de verordening door de Europese Raad en het Europees Parlement. Voor zover de EU en de lidstaten </w:t>
      </w:r>
      <w:r w:rsidR="003963EA">
        <w:rPr>
          <w:rFonts w:cs="Times New Roman"/>
        </w:rPr>
        <w:t xml:space="preserve">nu </w:t>
      </w:r>
      <w:r>
        <w:rPr>
          <w:rFonts w:cs="Times New Roman"/>
        </w:rPr>
        <w:t>nog niet aan de verplichtingen van het Verdrag voldoen, gaat het om verplichtingen die niet onmiddellijk na inwerkingtreding van het Verdrag implementatie vereisen</w:t>
      </w:r>
      <w:r w:rsidR="00054B7D">
        <w:rPr>
          <w:rFonts w:cs="Times New Roman"/>
        </w:rPr>
        <w:t xml:space="preserve">, aangezien de verplichtingen van het </w:t>
      </w:r>
      <w:r w:rsidR="003963EA">
        <w:rPr>
          <w:rFonts w:cs="Times New Roman"/>
        </w:rPr>
        <w:t>V</w:t>
      </w:r>
      <w:r w:rsidR="00054B7D">
        <w:rPr>
          <w:rFonts w:cs="Times New Roman"/>
        </w:rPr>
        <w:t xml:space="preserve">erdrag op zijn vroegst drie jaar na inwerkingtreding van het </w:t>
      </w:r>
      <w:r w:rsidR="00C21E2B">
        <w:rPr>
          <w:rFonts w:cs="Times New Roman"/>
        </w:rPr>
        <w:t>V</w:t>
      </w:r>
      <w:r w:rsidR="00054B7D">
        <w:rPr>
          <w:rFonts w:cs="Times New Roman"/>
        </w:rPr>
        <w:t xml:space="preserve">erdrag gaan </w:t>
      </w:r>
      <w:r w:rsidR="00054B7D">
        <w:rPr>
          <w:rFonts w:cs="Times New Roman"/>
        </w:rPr>
        <w:lastRenderedPageBreak/>
        <w:t>gelden.</w:t>
      </w:r>
      <w:r>
        <w:rPr>
          <w:rFonts w:cs="Times New Roman"/>
        </w:rPr>
        <w:t xml:space="preserve"> </w:t>
      </w:r>
      <w:r w:rsidR="004F29BE">
        <w:rPr>
          <w:rFonts w:cs="Times New Roman"/>
        </w:rPr>
        <w:t>Nederland kan aan</w:t>
      </w:r>
      <w:r w:rsidR="00E113F3">
        <w:rPr>
          <w:rFonts w:cs="Times New Roman"/>
        </w:rPr>
        <w:t xml:space="preserve"> die verdragsverplichtingen</w:t>
      </w:r>
      <w:r w:rsidR="004F29BE">
        <w:rPr>
          <w:rFonts w:cs="Times New Roman"/>
        </w:rPr>
        <w:t xml:space="preserve"> voldoen; </w:t>
      </w:r>
      <w:r w:rsidR="00346C3A">
        <w:rPr>
          <w:rFonts w:cs="Times New Roman"/>
        </w:rPr>
        <w:t>dit wordt nader toegelicht in</w:t>
      </w:r>
      <w:r w:rsidR="004F29BE">
        <w:rPr>
          <w:rFonts w:cs="Times New Roman"/>
        </w:rPr>
        <w:t xml:space="preserve"> de artikelsgewijze toelichting bij artikel 5 van het Verdrag. </w:t>
      </w:r>
      <w:r>
        <w:rPr>
          <w:rFonts w:cs="Times New Roman"/>
        </w:rPr>
        <w:t>Dit betekent dat geratificeerd kan worden zodra de nieuwe kwikverordening is vastgesteld</w:t>
      </w:r>
      <w:r w:rsidR="00054B7D">
        <w:rPr>
          <w:rFonts w:cs="Times New Roman"/>
        </w:rPr>
        <w:t>.</w:t>
      </w:r>
    </w:p>
    <w:p w:rsidR="006D14B2" w:rsidP="006D14B2" w:rsidRDefault="006D14B2">
      <w:pPr>
        <w:autoSpaceDE w:val="0"/>
        <w:autoSpaceDN w:val="0"/>
        <w:adjustRightInd w:val="0"/>
        <w:spacing w:line="240" w:lineRule="auto"/>
        <w:rPr>
          <w:rFonts w:cs="Times New Roman"/>
        </w:rPr>
      </w:pPr>
    </w:p>
    <w:p w:rsidR="00A96AF7" w:rsidP="00A96AF7" w:rsidRDefault="00054B7D">
      <w:pPr>
        <w:spacing w:line="360" w:lineRule="auto"/>
        <w:rPr>
          <w:rFonts w:cs="Times New Roman"/>
        </w:rPr>
      </w:pPr>
      <w:r w:rsidRPr="00A96AF7">
        <w:rPr>
          <w:rFonts w:cs="Times New Roman"/>
        </w:rPr>
        <w:t>Op dit moment voldoet Nederland al grotendeels aan de verplichtingen van het Verdrag door middel van de Europese verordeningen 1102/200</w:t>
      </w:r>
      <w:r w:rsidR="00EB016A">
        <w:rPr>
          <w:rFonts w:cs="Times New Roman"/>
        </w:rPr>
        <w:t>8</w:t>
      </w:r>
      <w:r w:rsidR="00CC4245">
        <w:rPr>
          <w:rFonts w:cs="Times New Roman"/>
        </w:rPr>
        <w:t>,</w:t>
      </w:r>
      <w:r w:rsidRPr="00A96AF7">
        <w:rPr>
          <w:rFonts w:cs="Times New Roman"/>
        </w:rPr>
        <w:t xml:space="preserve"> 1907/2006</w:t>
      </w:r>
      <w:r w:rsidR="00CC4245">
        <w:rPr>
          <w:rFonts w:cs="Times New Roman"/>
        </w:rPr>
        <w:t xml:space="preserve"> </w:t>
      </w:r>
      <w:r w:rsidRPr="00CC4245" w:rsidR="00CC4245">
        <w:rPr>
          <w:rFonts w:cs="Times New Roman"/>
        </w:rPr>
        <w:t>en 166/2005</w:t>
      </w:r>
      <w:r w:rsidR="00DB20EE">
        <w:rPr>
          <w:rStyle w:val="FootnoteReference"/>
        </w:rPr>
        <w:footnoteReference w:id="6"/>
      </w:r>
      <w:r w:rsidRPr="00A96AF7">
        <w:rPr>
          <w:rFonts w:cs="Times New Roman"/>
        </w:rPr>
        <w:t xml:space="preserve"> en de Nederlandse implementatie van enkele Europese richtlijnen.</w:t>
      </w:r>
      <w:r>
        <w:rPr>
          <w:rStyle w:val="FootnoteReference"/>
        </w:rPr>
        <w:footnoteReference w:id="7"/>
      </w:r>
      <w:r w:rsidRPr="00A96AF7">
        <w:rPr>
          <w:rFonts w:cs="Times New Roman"/>
        </w:rPr>
        <w:t xml:space="preserve"> </w:t>
      </w:r>
      <w:r w:rsidR="00C33637">
        <w:rPr>
          <w:rFonts w:cs="Times New Roman"/>
        </w:rPr>
        <w:t xml:space="preserve">Met inwerkingtreding van de nieuwe verordening zal Nederland geheel aan de verdragsverplichtingen voldoen. Er zal dan ook geen nationale uitvoeringswetgeving nodig zijn. </w:t>
      </w:r>
      <w:r w:rsidRPr="00A76C74" w:rsidR="00A96AF7">
        <w:rPr>
          <w:rFonts w:cs="Times New Roman"/>
        </w:rPr>
        <w:t xml:space="preserve">Na vaststelling van de </w:t>
      </w:r>
      <w:r w:rsidR="00207B1E">
        <w:rPr>
          <w:rFonts w:cs="Times New Roman"/>
        </w:rPr>
        <w:t>nieuwe kwik</w:t>
      </w:r>
      <w:r w:rsidRPr="00A76C74" w:rsidR="00A96AF7">
        <w:rPr>
          <w:rFonts w:cs="Times New Roman"/>
        </w:rPr>
        <w:t>verordening zal nationale regelgeving die mogelijkerwijs niet in lijn is met</w:t>
      </w:r>
      <w:r>
        <w:rPr>
          <w:rFonts w:cs="Times New Roman"/>
        </w:rPr>
        <w:t xml:space="preserve"> </w:t>
      </w:r>
      <w:r w:rsidRPr="00A76C74" w:rsidR="00A96AF7">
        <w:rPr>
          <w:rFonts w:cs="Times New Roman"/>
        </w:rPr>
        <w:t xml:space="preserve">de verordening worden aangepast. </w:t>
      </w:r>
    </w:p>
    <w:p w:rsidR="00FD2ED9" w:rsidP="00D90240" w:rsidRDefault="00FD2ED9">
      <w:pPr>
        <w:spacing w:line="360" w:lineRule="auto"/>
        <w:rPr>
          <w:rFonts w:cs="Times New Roman"/>
          <w:i/>
        </w:rPr>
      </w:pPr>
    </w:p>
    <w:p w:rsidR="00207B1E" w:rsidP="00DB2614" w:rsidRDefault="00C83E72">
      <w:pPr>
        <w:spacing w:line="360" w:lineRule="auto"/>
        <w:rPr>
          <w:rFonts w:cs="Times New Roman"/>
          <w:b/>
        </w:rPr>
      </w:pPr>
      <w:r>
        <w:rPr>
          <w:rFonts w:cs="Times New Roman"/>
          <w:b/>
        </w:rPr>
        <w:t>3. Gevolgen van het Verdrag voor wet- en regelgeving in het Caribische deel van Nederland</w:t>
      </w:r>
    </w:p>
    <w:p w:rsidR="001A7C75" w:rsidP="00207B1E" w:rsidRDefault="001A7C75">
      <w:pPr>
        <w:spacing w:line="360" w:lineRule="auto"/>
        <w:rPr>
          <w:rFonts w:cs="Times New Roman"/>
        </w:rPr>
      </w:pPr>
    </w:p>
    <w:p w:rsidRPr="00207B1E" w:rsidR="00207B1E" w:rsidP="00207B1E" w:rsidRDefault="004E166C">
      <w:pPr>
        <w:spacing w:line="360" w:lineRule="auto"/>
        <w:rPr>
          <w:rFonts w:cs="Times New Roman"/>
        </w:rPr>
      </w:pPr>
      <w:r>
        <w:rPr>
          <w:rFonts w:cs="Times New Roman"/>
        </w:rPr>
        <w:t>Op dit moment is medegelding van het Verdrag voor het Caribisch</w:t>
      </w:r>
      <w:r w:rsidR="00BF29CD">
        <w:rPr>
          <w:rFonts w:cs="Times New Roman"/>
        </w:rPr>
        <w:t>e</w:t>
      </w:r>
      <w:r>
        <w:rPr>
          <w:rFonts w:cs="Times New Roman"/>
        </w:rPr>
        <w:t xml:space="preserve"> deel van Nederland nog niet voorzien</w:t>
      </w:r>
      <w:r w:rsidR="00C33637">
        <w:rPr>
          <w:rFonts w:cs="Times New Roman"/>
        </w:rPr>
        <w:t xml:space="preserve"> omdat uitvoeringswetgeving voor Bonaire, Sint Eustatius en Saba om te kunnen voldoen aan het verdrag</w:t>
      </w:r>
      <w:r w:rsidR="00D16B45">
        <w:rPr>
          <w:rFonts w:cs="Times New Roman"/>
        </w:rPr>
        <w:t xml:space="preserve"> ontbreekt</w:t>
      </w:r>
      <w:r w:rsidR="00C33637">
        <w:rPr>
          <w:rFonts w:cs="Times New Roman"/>
        </w:rPr>
        <w:t>. M</w:t>
      </w:r>
      <w:r w:rsidRPr="00207B1E" w:rsidR="00207B1E">
        <w:rPr>
          <w:rFonts w:cs="Times New Roman"/>
        </w:rPr>
        <w:t xml:space="preserve">et Bonaire, Sint Eustatius en Saba zal overleg gevoerd worden </w:t>
      </w:r>
      <w:r>
        <w:rPr>
          <w:rFonts w:cs="Times New Roman"/>
        </w:rPr>
        <w:t xml:space="preserve">over </w:t>
      </w:r>
      <w:r w:rsidR="00207B1E">
        <w:rPr>
          <w:rFonts w:cs="Times New Roman"/>
        </w:rPr>
        <w:t>de mogelijke aanvaarding van het Verdrag</w:t>
      </w:r>
      <w:r w:rsidR="00C33637">
        <w:rPr>
          <w:rFonts w:cs="Times New Roman"/>
        </w:rPr>
        <w:t xml:space="preserve">, welke uitvoeringswetgeving daarvoor nodig is </w:t>
      </w:r>
      <w:r w:rsidRPr="00C33637" w:rsidR="00C33637">
        <w:rPr>
          <w:rFonts w:cs="Times New Roman"/>
        </w:rPr>
        <w:t>en welk tijdspad daarvoor is te voorzien</w:t>
      </w:r>
      <w:r w:rsidR="00207B1E">
        <w:rPr>
          <w:rFonts w:cs="Times New Roman"/>
        </w:rPr>
        <w:t xml:space="preserve">. </w:t>
      </w:r>
      <w:r w:rsidRPr="00207B1E" w:rsidR="00207B1E">
        <w:rPr>
          <w:rFonts w:cs="Times New Roman"/>
        </w:rPr>
        <w:t xml:space="preserve">Zodra </w:t>
      </w:r>
      <w:r w:rsidR="00BF29CD">
        <w:rPr>
          <w:rFonts w:cs="Times New Roman"/>
        </w:rPr>
        <w:t>d</w:t>
      </w:r>
      <w:r w:rsidRPr="00207B1E" w:rsidR="00207B1E">
        <w:rPr>
          <w:rFonts w:cs="Times New Roman"/>
        </w:rPr>
        <w:t xml:space="preserve">e daarvoor benodigde uitvoeringswetgeving </w:t>
      </w:r>
      <w:r w:rsidR="00BF29CD">
        <w:rPr>
          <w:rFonts w:cs="Times New Roman"/>
        </w:rPr>
        <w:t xml:space="preserve">gereed is, </w:t>
      </w:r>
      <w:r w:rsidRPr="00207B1E" w:rsidR="00207B1E">
        <w:rPr>
          <w:rFonts w:cs="Times New Roman"/>
        </w:rPr>
        <w:t xml:space="preserve">kan </w:t>
      </w:r>
      <w:r w:rsidR="00207B1E">
        <w:rPr>
          <w:rFonts w:cs="Times New Roman"/>
        </w:rPr>
        <w:t>het Verdrag</w:t>
      </w:r>
      <w:r w:rsidRPr="00207B1E" w:rsidR="00207B1E">
        <w:rPr>
          <w:rFonts w:cs="Times New Roman"/>
        </w:rPr>
        <w:t xml:space="preserve"> ook voor Bonaire, Sint Eustatius en Saba gaan gelden. </w:t>
      </w:r>
    </w:p>
    <w:p w:rsidR="00207B1E" w:rsidP="00DB2614" w:rsidRDefault="00207B1E">
      <w:pPr>
        <w:spacing w:line="360" w:lineRule="auto"/>
        <w:rPr>
          <w:rFonts w:cs="Times New Roman"/>
          <w:b/>
        </w:rPr>
      </w:pPr>
    </w:p>
    <w:p w:rsidRPr="00B075FE" w:rsidR="003419F5" w:rsidP="00B075FE" w:rsidRDefault="00DB2614">
      <w:pPr>
        <w:spacing w:line="360" w:lineRule="auto"/>
        <w:rPr>
          <w:rFonts w:cs="Times New Roman"/>
          <w:b/>
          <w:bCs/>
        </w:rPr>
      </w:pPr>
      <w:r>
        <w:rPr>
          <w:rFonts w:cs="Times New Roman"/>
          <w:b/>
          <w:bCs/>
        </w:rPr>
        <w:t>4</w:t>
      </w:r>
      <w:r w:rsidR="00DA37A5">
        <w:rPr>
          <w:rFonts w:cs="Times New Roman"/>
          <w:b/>
          <w:bCs/>
        </w:rPr>
        <w:t xml:space="preserve">. </w:t>
      </w:r>
      <w:r w:rsidRPr="00B075FE" w:rsidR="003419F5">
        <w:rPr>
          <w:rFonts w:cs="Times New Roman"/>
          <w:b/>
          <w:bCs/>
        </w:rPr>
        <w:t>Artikelsgewijze toelichting</w:t>
      </w:r>
    </w:p>
    <w:p w:rsidR="00BF2319" w:rsidP="00D90240" w:rsidRDefault="00BF2319">
      <w:pPr>
        <w:spacing w:line="360" w:lineRule="auto"/>
        <w:rPr>
          <w:rFonts w:cs="Times New Roman"/>
          <w:iCs/>
        </w:rPr>
      </w:pPr>
    </w:p>
    <w:p w:rsidR="003419F5" w:rsidP="00D90240" w:rsidRDefault="001A04CE">
      <w:pPr>
        <w:spacing w:line="360" w:lineRule="auto"/>
        <w:rPr>
          <w:rFonts w:cs="Times New Roman"/>
          <w:iCs/>
        </w:rPr>
      </w:pPr>
      <w:r w:rsidRPr="00D34FB2">
        <w:rPr>
          <w:rFonts w:cs="Times New Roman"/>
          <w:iCs/>
        </w:rPr>
        <w:t xml:space="preserve">De belangrijkste </w:t>
      </w:r>
      <w:r w:rsidR="00DA37A5">
        <w:rPr>
          <w:rFonts w:cs="Times New Roman"/>
          <w:iCs/>
        </w:rPr>
        <w:t>verplichtingen</w:t>
      </w:r>
      <w:r w:rsidRPr="00D34FB2">
        <w:rPr>
          <w:rFonts w:cs="Times New Roman"/>
          <w:iCs/>
        </w:rPr>
        <w:t xml:space="preserve"> </w:t>
      </w:r>
      <w:r w:rsidR="00B075FE">
        <w:rPr>
          <w:rFonts w:cs="Times New Roman"/>
          <w:iCs/>
        </w:rPr>
        <w:t xml:space="preserve">die in </w:t>
      </w:r>
      <w:r w:rsidR="002D5814">
        <w:rPr>
          <w:rFonts w:cs="Times New Roman"/>
          <w:iCs/>
        </w:rPr>
        <w:t xml:space="preserve">het </w:t>
      </w:r>
      <w:r w:rsidR="00DA37A5">
        <w:rPr>
          <w:rFonts w:cs="Times New Roman"/>
          <w:iCs/>
        </w:rPr>
        <w:t>Verdrag</w:t>
      </w:r>
      <w:r w:rsidR="002D5814">
        <w:rPr>
          <w:rFonts w:cs="Times New Roman"/>
          <w:iCs/>
        </w:rPr>
        <w:t xml:space="preserve"> </w:t>
      </w:r>
      <w:r w:rsidR="00B075FE">
        <w:rPr>
          <w:rFonts w:cs="Times New Roman"/>
          <w:iCs/>
        </w:rPr>
        <w:t xml:space="preserve">zijn </w:t>
      </w:r>
      <w:r w:rsidR="00DA37A5">
        <w:rPr>
          <w:rFonts w:cs="Times New Roman"/>
          <w:iCs/>
        </w:rPr>
        <w:t>opgenomen</w:t>
      </w:r>
      <w:r w:rsidR="00B075FE">
        <w:rPr>
          <w:rFonts w:cs="Times New Roman"/>
          <w:iCs/>
        </w:rPr>
        <w:t xml:space="preserve">, </w:t>
      </w:r>
      <w:r w:rsidRPr="00D34FB2">
        <w:rPr>
          <w:rFonts w:cs="Times New Roman"/>
          <w:iCs/>
        </w:rPr>
        <w:t xml:space="preserve">worden hieronder toegelicht. </w:t>
      </w:r>
    </w:p>
    <w:p w:rsidRPr="00D34FB2" w:rsidR="00983D65" w:rsidP="00D90240" w:rsidRDefault="00983D65">
      <w:pPr>
        <w:spacing w:line="360" w:lineRule="auto"/>
        <w:rPr>
          <w:rFonts w:cs="Times New Roman"/>
          <w:iCs/>
        </w:rPr>
      </w:pPr>
    </w:p>
    <w:p w:rsidR="00CA371C" w:rsidP="00D90240" w:rsidRDefault="00CA371C">
      <w:pPr>
        <w:spacing w:line="360" w:lineRule="auto"/>
        <w:rPr>
          <w:rFonts w:cs="Times New Roman"/>
          <w:iCs/>
        </w:rPr>
      </w:pPr>
      <w:r>
        <w:rPr>
          <w:rFonts w:cs="Times New Roman"/>
          <w:b/>
          <w:iCs/>
        </w:rPr>
        <w:t>Artikel 1 Doelstelling</w:t>
      </w:r>
      <w:r>
        <w:rPr>
          <w:rFonts w:cs="Times New Roman"/>
          <w:b/>
          <w:iCs/>
        </w:rPr>
        <w:br/>
      </w:r>
      <w:r>
        <w:rPr>
          <w:rFonts w:cs="Times New Roman"/>
          <w:iCs/>
        </w:rPr>
        <w:t xml:space="preserve">Dit artikel bevat de doelstelling van het Verdrag: </w:t>
      </w:r>
      <w:r w:rsidRPr="00CA371C">
        <w:rPr>
          <w:rFonts w:cs="Times New Roman"/>
          <w:iCs/>
        </w:rPr>
        <w:t>de menselijke gezondheid en het milieu te beschermen tegen antropogene</w:t>
      </w:r>
      <w:r w:rsidR="000A4F24">
        <w:rPr>
          <w:rFonts w:cs="Times New Roman"/>
          <w:iCs/>
        </w:rPr>
        <w:t xml:space="preserve">, </w:t>
      </w:r>
      <w:r>
        <w:rPr>
          <w:rFonts w:cs="Times New Roman"/>
          <w:iCs/>
        </w:rPr>
        <w:t>dat wil zeggen: door de mens veroorzaakte</w:t>
      </w:r>
      <w:r w:rsidR="000A4F24">
        <w:rPr>
          <w:rFonts w:cs="Times New Roman"/>
          <w:iCs/>
        </w:rPr>
        <w:t>,</w:t>
      </w:r>
      <w:r w:rsidRPr="00CA371C">
        <w:rPr>
          <w:rFonts w:cs="Times New Roman"/>
          <w:iCs/>
        </w:rPr>
        <w:t xml:space="preserve"> emissies en lozingen van kwik en kwikverbindingen.</w:t>
      </w:r>
      <w:r>
        <w:rPr>
          <w:rFonts w:cs="Times New Roman"/>
          <w:iCs/>
        </w:rPr>
        <w:t xml:space="preserve"> </w:t>
      </w:r>
    </w:p>
    <w:p w:rsidRPr="00CA371C" w:rsidR="00CA371C" w:rsidP="00D90240" w:rsidRDefault="00CA371C">
      <w:pPr>
        <w:spacing w:line="360" w:lineRule="auto"/>
        <w:rPr>
          <w:rFonts w:cs="Times New Roman"/>
          <w:iCs/>
        </w:rPr>
      </w:pPr>
    </w:p>
    <w:p w:rsidRPr="001C193E" w:rsidR="003419F5" w:rsidP="00D90240" w:rsidRDefault="003419F5">
      <w:pPr>
        <w:spacing w:line="360" w:lineRule="auto"/>
        <w:rPr>
          <w:rFonts w:cs="Times New Roman"/>
          <w:b/>
          <w:iCs/>
        </w:rPr>
      </w:pPr>
      <w:r w:rsidRPr="001C193E">
        <w:rPr>
          <w:rFonts w:cs="Times New Roman"/>
          <w:b/>
          <w:iCs/>
        </w:rPr>
        <w:t>Artikel</w:t>
      </w:r>
      <w:r w:rsidR="00CA371C">
        <w:rPr>
          <w:rFonts w:cs="Times New Roman"/>
          <w:b/>
          <w:iCs/>
        </w:rPr>
        <w:t xml:space="preserve"> 2 </w:t>
      </w:r>
      <w:r w:rsidRPr="001C193E">
        <w:rPr>
          <w:rFonts w:cs="Times New Roman"/>
          <w:b/>
          <w:iCs/>
        </w:rPr>
        <w:t>Begripsomschrijvingen</w:t>
      </w:r>
    </w:p>
    <w:p w:rsidRPr="00D34FB2" w:rsidR="00122096" w:rsidP="00D90240" w:rsidRDefault="00CA371C">
      <w:pPr>
        <w:spacing w:line="360" w:lineRule="auto"/>
        <w:rPr>
          <w:rFonts w:cs="Times New Roman"/>
        </w:rPr>
      </w:pPr>
      <w:r>
        <w:rPr>
          <w:rFonts w:cs="Times New Roman"/>
        </w:rPr>
        <w:t>Deze bepaling bevat de definities van de belangrijke begrippen in het Verdrag, zoals best beschikbare technieken, kwik, kwikverbindingen en kwikhoudende producten</w:t>
      </w:r>
      <w:r w:rsidR="009C1F4A">
        <w:rPr>
          <w:rFonts w:cs="Times New Roman"/>
        </w:rPr>
        <w:t>.</w:t>
      </w:r>
    </w:p>
    <w:p w:rsidRPr="00D34FB2" w:rsidR="00D049D2" w:rsidP="00D90240" w:rsidRDefault="00D049D2">
      <w:pPr>
        <w:spacing w:line="360" w:lineRule="auto"/>
        <w:rPr>
          <w:rFonts w:cs="Times New Roman"/>
        </w:rPr>
      </w:pPr>
    </w:p>
    <w:p w:rsidR="00F47A09" w:rsidRDefault="00F47A09">
      <w:pPr>
        <w:spacing w:line="240" w:lineRule="auto"/>
        <w:rPr>
          <w:rFonts w:cs="Times New Roman"/>
          <w:b/>
          <w:iCs/>
        </w:rPr>
      </w:pPr>
      <w:r>
        <w:rPr>
          <w:rFonts w:cs="Times New Roman"/>
          <w:b/>
          <w:iCs/>
        </w:rPr>
        <w:br w:type="page"/>
      </w:r>
    </w:p>
    <w:p w:rsidRPr="001C193E" w:rsidR="003419F5" w:rsidP="00D90240" w:rsidRDefault="003419F5">
      <w:pPr>
        <w:spacing w:line="360" w:lineRule="auto"/>
        <w:rPr>
          <w:rFonts w:cs="Times New Roman"/>
          <w:b/>
          <w:iCs/>
        </w:rPr>
      </w:pPr>
      <w:r w:rsidRPr="001C193E">
        <w:rPr>
          <w:rFonts w:cs="Times New Roman"/>
          <w:b/>
          <w:iCs/>
        </w:rPr>
        <w:lastRenderedPageBreak/>
        <w:t>Artikel 3</w:t>
      </w:r>
      <w:r w:rsidR="00575749">
        <w:rPr>
          <w:rFonts w:cs="Times New Roman"/>
          <w:b/>
          <w:iCs/>
        </w:rPr>
        <w:t xml:space="preserve"> </w:t>
      </w:r>
      <w:r w:rsidRPr="009C1F4A" w:rsidR="009C1F4A">
        <w:rPr>
          <w:rFonts w:cs="Times New Roman"/>
          <w:b/>
          <w:iCs/>
        </w:rPr>
        <w:t>Bronnen voor het aanbod aan kwik en de handel erin</w:t>
      </w:r>
    </w:p>
    <w:p w:rsidR="000A4F24" w:rsidP="00D72D0C" w:rsidRDefault="00B56FC4">
      <w:pPr>
        <w:spacing w:line="360" w:lineRule="auto"/>
        <w:rPr>
          <w:rFonts w:cs="Times New Roman"/>
        </w:rPr>
      </w:pPr>
      <w:r>
        <w:rPr>
          <w:rFonts w:cs="Times New Roman"/>
        </w:rPr>
        <w:t xml:space="preserve">Dit artikel bevat </w:t>
      </w:r>
      <w:r w:rsidR="000A4F24">
        <w:rPr>
          <w:rFonts w:cs="Times New Roman"/>
        </w:rPr>
        <w:t>basis</w:t>
      </w:r>
      <w:r w:rsidR="00FD475D">
        <w:rPr>
          <w:rFonts w:cs="Times New Roman"/>
        </w:rPr>
        <w:t xml:space="preserve">verplichtingen met betrekking tot het aanbod van kwik en de handel daarin. </w:t>
      </w:r>
      <w:r w:rsidR="000A4F24">
        <w:rPr>
          <w:rFonts w:cs="Times New Roman"/>
        </w:rPr>
        <w:t xml:space="preserve">De eerste twee leden geven specifieke </w:t>
      </w:r>
      <w:r w:rsidR="00B53B6E">
        <w:rPr>
          <w:rFonts w:cs="Times New Roman"/>
        </w:rPr>
        <w:t>omschrijvingen</w:t>
      </w:r>
      <w:r w:rsidR="000A4F24">
        <w:rPr>
          <w:rFonts w:cs="Times New Roman"/>
        </w:rPr>
        <w:t xml:space="preserve"> en uitsluitingen voor dit artikel. </w:t>
      </w:r>
      <w:r w:rsidR="00FD475D">
        <w:rPr>
          <w:rFonts w:cs="Times New Roman"/>
        </w:rPr>
        <w:t xml:space="preserve">Het derde </w:t>
      </w:r>
      <w:r w:rsidR="000A4F24">
        <w:rPr>
          <w:rFonts w:cs="Times New Roman"/>
        </w:rPr>
        <w:t xml:space="preserve">en vierde </w:t>
      </w:r>
      <w:r w:rsidR="00FD475D">
        <w:rPr>
          <w:rFonts w:cs="Times New Roman"/>
        </w:rPr>
        <w:t xml:space="preserve">lid </w:t>
      </w:r>
      <w:r w:rsidR="000A4F24">
        <w:rPr>
          <w:rFonts w:cs="Times New Roman"/>
        </w:rPr>
        <w:t xml:space="preserve">verbieden het starten van primaire </w:t>
      </w:r>
      <w:r w:rsidR="000C559A">
        <w:rPr>
          <w:rFonts w:cs="Times New Roman"/>
        </w:rPr>
        <w:t>kwik</w:t>
      </w:r>
      <w:r w:rsidR="000A4F24">
        <w:rPr>
          <w:rFonts w:cs="Times New Roman"/>
        </w:rPr>
        <w:t xml:space="preserve">mijnbouwactiviteiten en verplichten tot het uitfaseren van bestaande primaire </w:t>
      </w:r>
      <w:r w:rsidR="000C559A">
        <w:rPr>
          <w:rFonts w:cs="Times New Roman"/>
        </w:rPr>
        <w:t>kwik</w:t>
      </w:r>
      <w:r w:rsidR="000A4F24">
        <w:rPr>
          <w:rFonts w:cs="Times New Roman"/>
        </w:rPr>
        <w:t>mijnbouw binnen vijftien jaar na inwerkingtreding van het Verdrag</w:t>
      </w:r>
      <w:r w:rsidR="0094164F">
        <w:rPr>
          <w:rFonts w:cs="Times New Roman"/>
        </w:rPr>
        <w:t xml:space="preserve"> voor een partij</w:t>
      </w:r>
      <w:r w:rsidR="000A4F24">
        <w:rPr>
          <w:rFonts w:cs="Times New Roman"/>
        </w:rPr>
        <w:t>.</w:t>
      </w:r>
      <w:r w:rsidR="00F25109">
        <w:rPr>
          <w:rFonts w:cs="Times New Roman"/>
        </w:rPr>
        <w:t xml:space="preserve"> Gedurende die tijd zijn de handelingen met het gewonnen kwik beperkt door voorschriften in het Verdrag. </w:t>
      </w:r>
      <w:r w:rsidR="00174E8E">
        <w:rPr>
          <w:rFonts w:cs="Times New Roman"/>
        </w:rPr>
        <w:t xml:space="preserve">Ons Koninkrijk </w:t>
      </w:r>
      <w:r w:rsidR="00F25109">
        <w:rPr>
          <w:rFonts w:cs="Times New Roman"/>
        </w:rPr>
        <w:t>kent geen kwikmijnbouw.</w:t>
      </w:r>
    </w:p>
    <w:p w:rsidR="00F25109" w:rsidP="00F25109" w:rsidRDefault="00F25109">
      <w:pPr>
        <w:spacing w:before="120" w:line="360" w:lineRule="auto"/>
        <w:rPr>
          <w:rFonts w:cs="Times New Roman"/>
        </w:rPr>
      </w:pPr>
      <w:r>
        <w:rPr>
          <w:rFonts w:cs="Times New Roman"/>
        </w:rPr>
        <w:t xml:space="preserve">Het vijfde lid verplicht </w:t>
      </w:r>
      <w:r w:rsidR="00B53B6E">
        <w:rPr>
          <w:rFonts w:cs="Times New Roman"/>
        </w:rPr>
        <w:t>p</w:t>
      </w:r>
      <w:r>
        <w:rPr>
          <w:rFonts w:cs="Times New Roman"/>
        </w:rPr>
        <w:t>artijen zich in te spannen om kwikvoorraden van meer dan 50 ton en bronnen waaruit meer dan 10 ton kwik per jaar vrijkomt te identificeren en verplicht tot maatregelen om kwik vrijkomend bij ontmanteling van chlooralkali bedrijven op milieuverantwoorde wijze</w:t>
      </w:r>
      <w:r w:rsidRPr="006B1D0D">
        <w:rPr>
          <w:rFonts w:cs="Times New Roman"/>
        </w:rPr>
        <w:t xml:space="preserve"> </w:t>
      </w:r>
      <w:r>
        <w:rPr>
          <w:rFonts w:cs="Times New Roman"/>
        </w:rPr>
        <w:t xml:space="preserve">af te voeren. In </w:t>
      </w:r>
      <w:r w:rsidR="00174E8E">
        <w:rPr>
          <w:rFonts w:cs="Times New Roman"/>
        </w:rPr>
        <w:t xml:space="preserve">ons Koninkrijk </w:t>
      </w:r>
      <w:r>
        <w:rPr>
          <w:rFonts w:cs="Times New Roman"/>
        </w:rPr>
        <w:t xml:space="preserve">bestaat dit type bedrijven niet meer. </w:t>
      </w:r>
    </w:p>
    <w:p w:rsidR="00F25109" w:rsidP="00F25109" w:rsidRDefault="00F25109">
      <w:pPr>
        <w:spacing w:before="120" w:line="360" w:lineRule="auto"/>
        <w:rPr>
          <w:rFonts w:cs="Times New Roman"/>
        </w:rPr>
      </w:pPr>
      <w:r>
        <w:rPr>
          <w:rFonts w:cs="Times New Roman"/>
        </w:rPr>
        <w:t>Het zesde tot en met tiende lid geven beperkende voorwaarden voor de import en export van kwik. Export van kwik is alleen toegestaan naar een land (verdragspartij of niet) dat schriftelijke toestemming heeft verleend en daarin heeft verklaard te zullen voldoen aan bepaalde vereisten en beperkingen die gelden onder het Verdrag. Import van kwik is verdragspartijen alleen toegestaan als zij aan de exporterende verdragspartij</w:t>
      </w:r>
      <w:r w:rsidRPr="00615420">
        <w:rPr>
          <w:rFonts w:cs="Times New Roman"/>
        </w:rPr>
        <w:t xml:space="preserve"> </w:t>
      </w:r>
      <w:r>
        <w:rPr>
          <w:rFonts w:cs="Times New Roman"/>
        </w:rPr>
        <w:t>de hierboven genoemde schriftelijke toestemming hebben verleend of als ze van de exporterende niet-verdragspartij een schriftelijk verklaring ontvangen hebben dat het kwik niet afkomstig is uit bronnen die het Verdrag niet toestaat.</w:t>
      </w:r>
    </w:p>
    <w:p w:rsidR="00F25109" w:rsidP="00D72D0C" w:rsidRDefault="00F25109">
      <w:pPr>
        <w:spacing w:line="360" w:lineRule="auto"/>
        <w:rPr>
          <w:rFonts w:cs="Times New Roman"/>
        </w:rPr>
      </w:pPr>
      <w:r>
        <w:rPr>
          <w:rFonts w:cs="Times New Roman"/>
        </w:rPr>
        <w:t>Als alternatief voor de toestemmings</w:t>
      </w:r>
      <w:r>
        <w:rPr>
          <w:rFonts w:cs="Times New Roman"/>
        </w:rPr>
        <w:softHyphen/>
        <w:t>procedure voorziet het Verdrag in een algemene kennisgeving van het importerende land aan het Secretariaat van het Verdrag, gebonden aan een reeks voorwaarden. Deze mogelijkheid wordt echter niet opgenomen in de EU</w:t>
      </w:r>
      <w:r w:rsidR="00752571">
        <w:rPr>
          <w:rFonts w:cs="Times New Roman"/>
        </w:rPr>
        <w:t>-</w:t>
      </w:r>
      <w:r>
        <w:rPr>
          <w:rFonts w:cs="Times New Roman"/>
        </w:rPr>
        <w:t xml:space="preserve">verordening en is daarmee voor EU-lidstaten niet van toepassing. </w:t>
      </w:r>
    </w:p>
    <w:p w:rsidR="008B2170" w:rsidP="008B2170" w:rsidRDefault="008B2170">
      <w:pPr>
        <w:spacing w:before="120" w:line="360" w:lineRule="auto"/>
        <w:rPr>
          <w:rFonts w:cs="Times New Roman"/>
        </w:rPr>
      </w:pPr>
      <w:r>
        <w:rPr>
          <w:rFonts w:cs="Times New Roman"/>
        </w:rPr>
        <w:t>Het elfde tot en met dertiende lid bepalen dat partijen moeten rapporteren over de toepassing van dit artikel (</w:t>
      </w:r>
      <w:r w:rsidR="00752571">
        <w:rPr>
          <w:rFonts w:cs="Times New Roman"/>
        </w:rPr>
        <w:t xml:space="preserve">zie ook </w:t>
      </w:r>
      <w:r>
        <w:rPr>
          <w:rFonts w:cs="Times New Roman"/>
        </w:rPr>
        <w:t xml:space="preserve">artikel 21), dat de CoP tijdens haar eerste vergadering nadere invulling aan dit artikel zal geven en dat zij zal overwegen of de reikwijdte van het artikel naast kwik ook bepaalde kwikverbindingen zou moeten omvatten. </w:t>
      </w:r>
    </w:p>
    <w:p w:rsidR="00634C5B" w:rsidP="00634C5B" w:rsidRDefault="00634C5B">
      <w:pPr>
        <w:spacing w:line="360" w:lineRule="auto"/>
        <w:rPr>
          <w:rFonts w:cs="Times New Roman"/>
          <w:b/>
          <w:iCs/>
        </w:rPr>
      </w:pPr>
    </w:p>
    <w:p w:rsidR="00EC5357" w:rsidP="00634C5B" w:rsidRDefault="00634C5B">
      <w:pPr>
        <w:spacing w:line="360" w:lineRule="auto"/>
        <w:rPr>
          <w:rFonts w:cs="Times New Roman"/>
          <w:iCs/>
        </w:rPr>
      </w:pPr>
      <w:r w:rsidRPr="00634C5B">
        <w:rPr>
          <w:rFonts w:cs="Times New Roman"/>
          <w:b/>
          <w:iCs/>
        </w:rPr>
        <w:t>Artikel 4 Kwikhoudende producten</w:t>
      </w:r>
      <w:r w:rsidRPr="00634C5B">
        <w:rPr>
          <w:rFonts w:cs="Times New Roman"/>
        </w:rPr>
        <w:br/>
        <w:t xml:space="preserve">Dit artikel regelt </w:t>
      </w:r>
      <w:r w:rsidR="00EC5357">
        <w:rPr>
          <w:rFonts w:cs="Times New Roman"/>
        </w:rPr>
        <w:t>het</w:t>
      </w:r>
      <w:r w:rsidRPr="00634C5B">
        <w:rPr>
          <w:rFonts w:cs="Times New Roman"/>
        </w:rPr>
        <w:t xml:space="preserve"> verbod</w:t>
      </w:r>
      <w:r w:rsidR="00EC5357">
        <w:rPr>
          <w:rFonts w:cs="Times New Roman"/>
        </w:rPr>
        <w:t xml:space="preserve"> </w:t>
      </w:r>
      <w:r w:rsidRPr="00634C5B">
        <w:rPr>
          <w:rFonts w:cs="Times New Roman"/>
        </w:rPr>
        <w:t xml:space="preserve">van de productie, import en export van </w:t>
      </w:r>
      <w:r w:rsidR="00EC5357">
        <w:rPr>
          <w:rFonts w:cs="Times New Roman"/>
        </w:rPr>
        <w:t xml:space="preserve">de </w:t>
      </w:r>
      <w:r w:rsidRPr="00634C5B">
        <w:rPr>
          <w:rFonts w:cs="Times New Roman"/>
        </w:rPr>
        <w:t>kwikhoudende producten</w:t>
      </w:r>
      <w:r w:rsidR="00EC5357">
        <w:rPr>
          <w:rFonts w:cs="Times New Roman"/>
        </w:rPr>
        <w:t xml:space="preserve"> genoemd in </w:t>
      </w:r>
      <w:r w:rsidRPr="00634C5B">
        <w:rPr>
          <w:rFonts w:cs="Times New Roman"/>
          <w:iCs/>
        </w:rPr>
        <w:t xml:space="preserve">Deel I van Bijlage A bij het </w:t>
      </w:r>
      <w:r w:rsidR="00752571">
        <w:rPr>
          <w:rFonts w:cs="Times New Roman"/>
          <w:iCs/>
        </w:rPr>
        <w:t>V</w:t>
      </w:r>
      <w:r w:rsidRPr="00634C5B">
        <w:rPr>
          <w:rFonts w:cs="Times New Roman"/>
          <w:iCs/>
        </w:rPr>
        <w:t xml:space="preserve">erdrag </w:t>
      </w:r>
      <w:r w:rsidR="003333C9">
        <w:rPr>
          <w:rFonts w:cs="Times New Roman"/>
          <w:iCs/>
        </w:rPr>
        <w:t>vanaf 2020</w:t>
      </w:r>
      <w:r w:rsidRPr="00634C5B">
        <w:rPr>
          <w:rFonts w:cs="Times New Roman"/>
          <w:iCs/>
        </w:rPr>
        <w:t>. Op deze lijst staan onder meer batterijen, schakelaars</w:t>
      </w:r>
      <w:r w:rsidR="00EC5357">
        <w:rPr>
          <w:rFonts w:cs="Times New Roman"/>
          <w:iCs/>
        </w:rPr>
        <w:t xml:space="preserve"> en relais</w:t>
      </w:r>
      <w:r w:rsidRPr="00634C5B">
        <w:rPr>
          <w:rFonts w:cs="Times New Roman"/>
          <w:iCs/>
        </w:rPr>
        <w:t xml:space="preserve">, </w:t>
      </w:r>
      <w:r w:rsidR="00EC5357">
        <w:rPr>
          <w:rFonts w:cs="Times New Roman"/>
          <w:iCs/>
        </w:rPr>
        <w:t xml:space="preserve">lampen, </w:t>
      </w:r>
      <w:r w:rsidRPr="00634C5B">
        <w:rPr>
          <w:rFonts w:cs="Times New Roman"/>
          <w:iCs/>
        </w:rPr>
        <w:t>cosmetica, pesticiden en biociden, baro-, hygro-, mano-, thermo- en bloeddrukmeters.</w:t>
      </w:r>
    </w:p>
    <w:p w:rsidR="00EC5357" w:rsidP="00634C5B" w:rsidRDefault="00EC5357">
      <w:pPr>
        <w:spacing w:line="360" w:lineRule="auto"/>
        <w:rPr>
          <w:rFonts w:cs="Times New Roman"/>
          <w:iCs/>
        </w:rPr>
      </w:pPr>
      <w:r>
        <w:rPr>
          <w:rFonts w:cs="Times New Roman"/>
          <w:iCs/>
        </w:rPr>
        <w:t xml:space="preserve">In enkele typen batterijen en voor schakelaars in bepaalde typen geavanceerde apparatuur blijft kwik na 2020 tot een bepaald maximumgehalte toegestaan. Voor kwikhoudende lampen worden per 2020 maximumwaarden voor de hoeveelheid kwik bepaald. Voor cosmetica en voor de genoemde meetinstrumenten (thermometers etc.) geldt een beperkt aantal uitzonderingen </w:t>
      </w:r>
      <w:r w:rsidR="003333C9">
        <w:rPr>
          <w:rFonts w:cs="Times New Roman"/>
          <w:iCs/>
        </w:rPr>
        <w:t xml:space="preserve">op </w:t>
      </w:r>
      <w:r>
        <w:rPr>
          <w:rFonts w:cs="Times New Roman"/>
          <w:iCs/>
        </w:rPr>
        <w:t xml:space="preserve">het verbod. De verbodsbepalingen, inclusief de maximale kwikgehalten, zijn in alle gevallen niet stringenter dan de </w:t>
      </w:r>
      <w:r w:rsidR="00752571">
        <w:rPr>
          <w:rFonts w:cs="Times New Roman"/>
          <w:iCs/>
        </w:rPr>
        <w:t xml:space="preserve">verbodsbepalingen </w:t>
      </w:r>
      <w:r>
        <w:rPr>
          <w:rFonts w:cs="Times New Roman"/>
          <w:iCs/>
        </w:rPr>
        <w:t>in EU</w:t>
      </w:r>
      <w:r w:rsidR="00752571">
        <w:rPr>
          <w:rFonts w:cs="Times New Roman"/>
          <w:iCs/>
        </w:rPr>
        <w:t>-</w:t>
      </w:r>
      <w:r>
        <w:rPr>
          <w:rFonts w:cs="Times New Roman"/>
          <w:iCs/>
        </w:rPr>
        <w:t>regelgeving.</w:t>
      </w:r>
    </w:p>
    <w:p w:rsidRPr="00634C5B" w:rsidR="00EC5357" w:rsidP="00EC5357" w:rsidRDefault="00634C5B">
      <w:pPr>
        <w:spacing w:before="120" w:line="360" w:lineRule="auto"/>
        <w:rPr>
          <w:rFonts w:cs="Times New Roman"/>
          <w:iCs/>
        </w:rPr>
      </w:pPr>
      <w:r w:rsidRPr="00634C5B">
        <w:rPr>
          <w:rFonts w:cs="Times New Roman"/>
          <w:iCs/>
        </w:rPr>
        <w:t xml:space="preserve">Partijen moeten maatregelen treffen om </w:t>
      </w:r>
      <w:r w:rsidR="00EC5357">
        <w:rPr>
          <w:rFonts w:cs="Times New Roman"/>
          <w:iCs/>
        </w:rPr>
        <w:t>naleving van de verboden</w:t>
      </w:r>
      <w:r w:rsidRPr="00634C5B" w:rsidR="00EC5357">
        <w:rPr>
          <w:rFonts w:cs="Times New Roman"/>
          <w:iCs/>
        </w:rPr>
        <w:t xml:space="preserve"> </w:t>
      </w:r>
      <w:r w:rsidRPr="00634C5B">
        <w:rPr>
          <w:rFonts w:cs="Times New Roman"/>
          <w:iCs/>
        </w:rPr>
        <w:t xml:space="preserve">te garanderen, tenzij sprake is van een uitzondering of een partij een vrijstelling als </w:t>
      </w:r>
      <w:r w:rsidR="00BF29CD">
        <w:rPr>
          <w:rFonts w:cs="Times New Roman"/>
          <w:iCs/>
        </w:rPr>
        <w:t xml:space="preserve">bedoeld </w:t>
      </w:r>
      <w:r w:rsidRPr="00634C5B">
        <w:rPr>
          <w:rFonts w:cs="Times New Roman"/>
          <w:iCs/>
        </w:rPr>
        <w:t xml:space="preserve">in artikel 6 heeft gekregen. Onder voorwaarden mag een partij kiezen voor alternatieve maatregelen. </w:t>
      </w:r>
    </w:p>
    <w:p w:rsidRPr="00634C5B" w:rsidR="00EC5357" w:rsidP="00EC5357" w:rsidRDefault="00EC5357">
      <w:pPr>
        <w:spacing w:before="120" w:line="360" w:lineRule="auto"/>
        <w:rPr>
          <w:rFonts w:cs="Times New Roman"/>
          <w:iCs/>
        </w:rPr>
      </w:pPr>
      <w:r>
        <w:rPr>
          <w:rFonts w:cs="Times New Roman"/>
          <w:iCs/>
        </w:rPr>
        <w:lastRenderedPageBreak/>
        <w:t>Op grond van</w:t>
      </w:r>
      <w:r w:rsidRPr="00634C5B">
        <w:rPr>
          <w:rFonts w:cs="Times New Roman"/>
          <w:iCs/>
        </w:rPr>
        <w:t xml:space="preserve"> het derde lid moeten partijen </w:t>
      </w:r>
      <w:r>
        <w:rPr>
          <w:rFonts w:cs="Times New Roman"/>
          <w:iCs/>
        </w:rPr>
        <w:t>voor bepaalde kwikhoudende producten</w:t>
      </w:r>
      <w:r w:rsidRPr="00634C5B">
        <w:rPr>
          <w:rFonts w:cs="Times New Roman"/>
          <w:iCs/>
        </w:rPr>
        <w:t xml:space="preserve">, genoemd in Deel II van Bijlage A, </w:t>
      </w:r>
      <w:r>
        <w:rPr>
          <w:rFonts w:cs="Times New Roman"/>
          <w:iCs/>
        </w:rPr>
        <w:t xml:space="preserve">een aantal aldaar aangegeven maatregelen </w:t>
      </w:r>
      <w:r w:rsidRPr="00634C5B">
        <w:rPr>
          <w:rFonts w:cs="Times New Roman"/>
          <w:iCs/>
        </w:rPr>
        <w:t>treffen</w:t>
      </w:r>
      <w:r>
        <w:rPr>
          <w:rFonts w:cs="Times New Roman"/>
          <w:iCs/>
        </w:rPr>
        <w:t>. Daarbij gaat het vooralsnog alleen</w:t>
      </w:r>
      <w:r w:rsidRPr="00634C5B">
        <w:rPr>
          <w:rFonts w:cs="Times New Roman"/>
          <w:iCs/>
        </w:rPr>
        <w:t xml:space="preserve"> om </w:t>
      </w:r>
      <w:r>
        <w:rPr>
          <w:rFonts w:cs="Times New Roman"/>
          <w:iCs/>
        </w:rPr>
        <w:t>het geleidelijk uit</w:t>
      </w:r>
      <w:r w:rsidRPr="00634C5B">
        <w:rPr>
          <w:rFonts w:cs="Times New Roman"/>
          <w:iCs/>
        </w:rPr>
        <w:t xml:space="preserve">faseren </w:t>
      </w:r>
      <w:r>
        <w:rPr>
          <w:rFonts w:cs="Times New Roman"/>
          <w:iCs/>
        </w:rPr>
        <w:t xml:space="preserve">van </w:t>
      </w:r>
      <w:r w:rsidRPr="00634C5B">
        <w:rPr>
          <w:rFonts w:cs="Times New Roman"/>
          <w:iCs/>
        </w:rPr>
        <w:t xml:space="preserve">tandheelkundig </w:t>
      </w:r>
      <w:r>
        <w:rPr>
          <w:rFonts w:cs="Times New Roman"/>
          <w:iCs/>
        </w:rPr>
        <w:t>amalgaam</w:t>
      </w:r>
      <w:r w:rsidRPr="00634C5B">
        <w:rPr>
          <w:rFonts w:cs="Times New Roman"/>
          <w:iCs/>
        </w:rPr>
        <w:t>.</w:t>
      </w:r>
    </w:p>
    <w:p w:rsidRPr="00634C5B" w:rsidR="00EC5357" w:rsidP="00EC5357" w:rsidRDefault="00EC5357">
      <w:pPr>
        <w:spacing w:before="120" w:line="360" w:lineRule="auto"/>
        <w:rPr>
          <w:rFonts w:cs="Times New Roman"/>
          <w:iCs/>
        </w:rPr>
      </w:pPr>
      <w:r>
        <w:rPr>
          <w:rFonts w:cs="Times New Roman"/>
          <w:iCs/>
        </w:rPr>
        <w:t xml:space="preserve">Partijen moeten de marktintroductie van nieuwe kwikhoudende producten ontmoedigen, tenzij zo’n product aantoonbaar </w:t>
      </w:r>
      <w:r>
        <w:rPr>
          <w:sz w:val="19"/>
          <w:szCs w:val="19"/>
        </w:rPr>
        <w:t xml:space="preserve">voordelen voor het milieu en de menselijke gezondheid oplevert. </w:t>
      </w:r>
    </w:p>
    <w:p w:rsidR="00EC5357" w:rsidP="00EC5357" w:rsidRDefault="00EC5357">
      <w:pPr>
        <w:spacing w:before="120" w:line="360" w:lineRule="auto"/>
        <w:rPr>
          <w:rFonts w:cs="Times New Roman"/>
          <w:iCs/>
        </w:rPr>
      </w:pPr>
      <w:r w:rsidRPr="00634C5B">
        <w:rPr>
          <w:rFonts w:cs="Times New Roman"/>
          <w:iCs/>
        </w:rPr>
        <w:t>Voorstellen voor wijzigingen van Bijlage A kunnen door elke partij worden ingediend. De CoP toetst Bijlage A uiterlijk 5 jaar na inwerkingtreding van het Verdrag en kan daarbij ook wijzigingen overwegen</w:t>
      </w:r>
      <w:r w:rsidR="00C6281F">
        <w:rPr>
          <w:rFonts w:cs="Times New Roman"/>
          <w:iCs/>
        </w:rPr>
        <w:t>, onder andere de wijzigingen de door partijen zijn voorgesteld</w:t>
      </w:r>
      <w:r w:rsidRPr="00634C5B">
        <w:rPr>
          <w:rFonts w:cs="Times New Roman"/>
          <w:iCs/>
        </w:rPr>
        <w:t xml:space="preserve">. </w:t>
      </w:r>
      <w:r w:rsidR="00C6281F">
        <w:rPr>
          <w:rFonts w:cs="Times New Roman"/>
          <w:iCs/>
        </w:rPr>
        <w:t>De wijzigingen komen tot stand volgens</w:t>
      </w:r>
      <w:r w:rsidRPr="00634C5B">
        <w:rPr>
          <w:rFonts w:cs="Times New Roman"/>
          <w:iCs/>
        </w:rPr>
        <w:t xml:space="preserve"> de procedure van artikel 27 van het Verdrag.</w:t>
      </w:r>
    </w:p>
    <w:p w:rsidR="00EC5357" w:rsidP="00EC5357" w:rsidRDefault="00EC5357">
      <w:pPr>
        <w:spacing w:before="120" w:line="360" w:lineRule="auto"/>
        <w:rPr>
          <w:rFonts w:cs="Times New Roman"/>
          <w:iCs/>
        </w:rPr>
      </w:pPr>
      <w:r>
        <w:rPr>
          <w:rFonts w:cs="Times New Roman"/>
          <w:iCs/>
        </w:rPr>
        <w:t xml:space="preserve"> </w:t>
      </w:r>
    </w:p>
    <w:p w:rsidR="003333C9" w:rsidP="003333C9" w:rsidRDefault="00634C5B">
      <w:pPr>
        <w:spacing w:line="360" w:lineRule="auto"/>
        <w:rPr>
          <w:rFonts w:cs="Times New Roman"/>
          <w:iCs/>
        </w:rPr>
      </w:pPr>
      <w:r w:rsidRPr="00634C5B">
        <w:rPr>
          <w:rFonts w:cs="Times New Roman"/>
          <w:b/>
          <w:iCs/>
        </w:rPr>
        <w:t>Artikel 5 Productieprocessen waarbij kwik of kwikverbindingen worden gebruikt</w:t>
      </w:r>
      <w:r w:rsidR="000B5B4A">
        <w:rPr>
          <w:rFonts w:cs="Times New Roman"/>
          <w:b/>
          <w:iCs/>
        </w:rPr>
        <w:br/>
      </w:r>
      <w:r w:rsidRPr="00634C5B" w:rsidR="00910A32">
        <w:rPr>
          <w:rFonts w:cs="Times New Roman"/>
          <w:iCs/>
        </w:rPr>
        <w:t>Artikel 5</w:t>
      </w:r>
      <w:r w:rsidR="004F29BE">
        <w:rPr>
          <w:rStyle w:val="FootnoteReference"/>
          <w:iCs/>
        </w:rPr>
        <w:footnoteReference w:id="8"/>
      </w:r>
      <w:r w:rsidRPr="00634C5B" w:rsidR="00910A32">
        <w:rPr>
          <w:rFonts w:cs="Times New Roman"/>
          <w:iCs/>
        </w:rPr>
        <w:t xml:space="preserve"> </w:t>
      </w:r>
      <w:r w:rsidR="00910A32">
        <w:rPr>
          <w:rFonts w:cs="Times New Roman"/>
          <w:iCs/>
        </w:rPr>
        <w:t>verbiedt het gebruik van</w:t>
      </w:r>
      <w:r w:rsidRPr="00634C5B" w:rsidR="00910A32">
        <w:rPr>
          <w:rFonts w:cs="Times New Roman"/>
          <w:iCs/>
        </w:rPr>
        <w:t xml:space="preserve"> kwik of kwikverbindingen </w:t>
      </w:r>
      <w:r w:rsidR="00910A32">
        <w:rPr>
          <w:rFonts w:cs="Times New Roman"/>
          <w:iCs/>
        </w:rPr>
        <w:t>in de (chemische) productieprocessen</w:t>
      </w:r>
      <w:r w:rsidRPr="00634C5B" w:rsidR="00910A32">
        <w:rPr>
          <w:rFonts w:cs="Times New Roman"/>
          <w:iCs/>
        </w:rPr>
        <w:t xml:space="preserve"> die in Deel I van Bijlage </w:t>
      </w:r>
      <w:r w:rsidR="00910A32">
        <w:rPr>
          <w:rFonts w:cs="Times New Roman"/>
          <w:iCs/>
        </w:rPr>
        <w:t>B</w:t>
      </w:r>
      <w:r w:rsidRPr="00634C5B" w:rsidR="00910A32">
        <w:rPr>
          <w:rFonts w:cs="Times New Roman"/>
          <w:iCs/>
        </w:rPr>
        <w:t xml:space="preserve"> staan genoemd </w:t>
      </w:r>
      <w:r w:rsidR="00910A32">
        <w:rPr>
          <w:rFonts w:cs="Times New Roman"/>
          <w:iCs/>
        </w:rPr>
        <w:t>vanaf</w:t>
      </w:r>
      <w:r w:rsidRPr="00634C5B" w:rsidR="00910A32">
        <w:rPr>
          <w:rFonts w:cs="Times New Roman"/>
          <w:iCs/>
        </w:rPr>
        <w:t xml:space="preserve"> de daar genoemde da</w:t>
      </w:r>
      <w:r w:rsidR="00910A32">
        <w:rPr>
          <w:rFonts w:cs="Times New Roman"/>
          <w:iCs/>
        </w:rPr>
        <w:t>tum.</w:t>
      </w:r>
      <w:r w:rsidRPr="00634C5B" w:rsidR="00910A32">
        <w:rPr>
          <w:rFonts w:cs="Times New Roman"/>
          <w:iCs/>
        </w:rPr>
        <w:t xml:space="preserve"> Op dit moment bevat Deel I twee productieprocessen: </w:t>
      </w:r>
      <w:r w:rsidR="00910A32">
        <w:rPr>
          <w:rFonts w:cs="Times New Roman"/>
          <w:iCs/>
        </w:rPr>
        <w:t>die</w:t>
      </w:r>
      <w:r w:rsidRPr="00634C5B" w:rsidR="00910A32">
        <w:rPr>
          <w:rFonts w:cs="Times New Roman"/>
          <w:iCs/>
        </w:rPr>
        <w:t xml:space="preserve"> van chlooralkali</w:t>
      </w:r>
      <w:r w:rsidR="00910A32">
        <w:rPr>
          <w:rFonts w:cs="Times New Roman"/>
          <w:iCs/>
        </w:rPr>
        <w:t>n</w:t>
      </w:r>
      <w:r w:rsidR="00752571">
        <w:rPr>
          <w:rFonts w:cs="Times New Roman"/>
          <w:iCs/>
        </w:rPr>
        <w:t>e</w:t>
      </w:r>
      <w:r w:rsidR="00910A32">
        <w:rPr>
          <w:rFonts w:cs="Times New Roman"/>
          <w:iCs/>
        </w:rPr>
        <w:t xml:space="preserve"> </w:t>
      </w:r>
      <w:r w:rsidR="00C6281F">
        <w:rPr>
          <w:rFonts w:cs="Times New Roman"/>
          <w:iCs/>
        </w:rPr>
        <w:t xml:space="preserve">en </w:t>
      </w:r>
      <w:r w:rsidR="00910A32">
        <w:rPr>
          <w:rFonts w:cs="Times New Roman"/>
          <w:iCs/>
        </w:rPr>
        <w:t>die</w:t>
      </w:r>
      <w:r w:rsidRPr="00634C5B" w:rsidR="00910A32">
        <w:rPr>
          <w:rFonts w:cs="Times New Roman"/>
          <w:iCs/>
        </w:rPr>
        <w:t xml:space="preserve"> van acetaldehyde</w:t>
      </w:r>
      <w:r w:rsidR="00910A32">
        <w:rPr>
          <w:rFonts w:cs="Times New Roman"/>
          <w:iCs/>
        </w:rPr>
        <w:t>.</w:t>
      </w:r>
      <w:r w:rsidRPr="00634C5B" w:rsidR="00910A32">
        <w:rPr>
          <w:rFonts w:cs="Times New Roman"/>
          <w:iCs/>
        </w:rPr>
        <w:t xml:space="preserve"> </w:t>
      </w:r>
      <w:r w:rsidR="00910A32">
        <w:rPr>
          <w:rFonts w:cs="Times New Roman"/>
          <w:iCs/>
        </w:rPr>
        <w:t>Het gebruik van kwik wordt hier verboden vanaf</w:t>
      </w:r>
      <w:r w:rsidRPr="00634C5B" w:rsidR="00910A32">
        <w:rPr>
          <w:rFonts w:cs="Times New Roman"/>
          <w:iCs/>
        </w:rPr>
        <w:t xml:space="preserve"> </w:t>
      </w:r>
      <w:r w:rsidR="00910A32">
        <w:rPr>
          <w:rFonts w:cs="Times New Roman"/>
          <w:iCs/>
        </w:rPr>
        <w:t xml:space="preserve">eind </w:t>
      </w:r>
      <w:r w:rsidRPr="00634C5B" w:rsidR="00910A32">
        <w:rPr>
          <w:rFonts w:cs="Times New Roman"/>
          <w:iCs/>
        </w:rPr>
        <w:t>2025</w:t>
      </w:r>
      <w:r w:rsidR="00910A32">
        <w:rPr>
          <w:rFonts w:cs="Times New Roman"/>
          <w:iCs/>
        </w:rPr>
        <w:t xml:space="preserve"> resp</w:t>
      </w:r>
      <w:r w:rsidR="00C6281F">
        <w:rPr>
          <w:rFonts w:cs="Times New Roman"/>
          <w:iCs/>
        </w:rPr>
        <w:t>ectievelijk</w:t>
      </w:r>
      <w:r w:rsidR="00910A32">
        <w:rPr>
          <w:rFonts w:cs="Times New Roman"/>
          <w:iCs/>
        </w:rPr>
        <w:t xml:space="preserve"> eind 2018</w:t>
      </w:r>
      <w:r w:rsidRPr="00634C5B" w:rsidR="00910A32">
        <w:rPr>
          <w:rFonts w:cs="Times New Roman"/>
          <w:iCs/>
        </w:rPr>
        <w:t xml:space="preserve">. </w:t>
      </w:r>
      <w:r w:rsidR="00910A32">
        <w:rPr>
          <w:rFonts w:cs="Times New Roman"/>
          <w:iCs/>
        </w:rPr>
        <w:t xml:space="preserve">Ten aanzien van </w:t>
      </w:r>
      <w:r w:rsidRPr="00634C5B" w:rsidR="00910A32">
        <w:rPr>
          <w:rFonts w:cs="Times New Roman"/>
          <w:iCs/>
        </w:rPr>
        <w:t xml:space="preserve">de in Deel II van Bijlage B vermelde </w:t>
      </w:r>
      <w:r w:rsidR="00910A32">
        <w:rPr>
          <w:rFonts w:cs="Times New Roman"/>
          <w:iCs/>
        </w:rPr>
        <w:t>productie</w:t>
      </w:r>
      <w:r w:rsidRPr="00634C5B" w:rsidR="00910A32">
        <w:rPr>
          <w:rFonts w:cs="Times New Roman"/>
          <w:iCs/>
        </w:rPr>
        <w:t xml:space="preserve">processen </w:t>
      </w:r>
      <w:r w:rsidR="00910A32">
        <w:rPr>
          <w:rFonts w:cs="Times New Roman"/>
          <w:iCs/>
        </w:rPr>
        <w:t>worden p</w:t>
      </w:r>
      <w:r w:rsidRPr="00634C5B" w:rsidR="00910A32">
        <w:rPr>
          <w:rFonts w:cs="Times New Roman"/>
          <w:iCs/>
        </w:rPr>
        <w:t xml:space="preserve">artijen verplicht om </w:t>
      </w:r>
      <w:r w:rsidR="00910A32">
        <w:rPr>
          <w:rFonts w:cs="Times New Roman"/>
          <w:iCs/>
        </w:rPr>
        <w:t xml:space="preserve">bepaalde </w:t>
      </w:r>
      <w:r w:rsidRPr="00634C5B" w:rsidR="00910A32">
        <w:rPr>
          <w:rFonts w:cs="Times New Roman"/>
          <w:iCs/>
        </w:rPr>
        <w:t xml:space="preserve">maatregelen te treffen om het gebruik van kwik te beperken. </w:t>
      </w:r>
      <w:r w:rsidR="00910A32">
        <w:rPr>
          <w:rFonts w:cs="Times New Roman"/>
          <w:iCs/>
        </w:rPr>
        <w:t xml:space="preserve">Uitbreiding van deze processen is niet toegestaan. </w:t>
      </w:r>
    </w:p>
    <w:p w:rsidR="00910A32" w:rsidP="003333C9" w:rsidRDefault="00910A32">
      <w:pPr>
        <w:spacing w:line="360" w:lineRule="auto"/>
        <w:rPr>
          <w:rFonts w:cs="Times New Roman"/>
          <w:iCs/>
        </w:rPr>
      </w:pPr>
      <w:r>
        <w:rPr>
          <w:rFonts w:cs="Times New Roman"/>
          <w:iCs/>
        </w:rPr>
        <w:t>Voor alle</w:t>
      </w:r>
      <w:r w:rsidRPr="00634C5B">
        <w:rPr>
          <w:rFonts w:cs="Times New Roman"/>
          <w:iCs/>
        </w:rPr>
        <w:t xml:space="preserve"> in Bijlage B vermelde productieprocessen moeten </w:t>
      </w:r>
      <w:r>
        <w:rPr>
          <w:rFonts w:cs="Times New Roman"/>
          <w:iCs/>
        </w:rPr>
        <w:t xml:space="preserve">partijen </w:t>
      </w:r>
      <w:r w:rsidRPr="00634C5B">
        <w:rPr>
          <w:rFonts w:cs="Times New Roman"/>
          <w:iCs/>
        </w:rPr>
        <w:t>aanvullende maatregelen treffen</w:t>
      </w:r>
      <w:r>
        <w:rPr>
          <w:rFonts w:cs="Times New Roman"/>
          <w:iCs/>
        </w:rPr>
        <w:t xml:space="preserve"> en bepaalde informatie rapporteren</w:t>
      </w:r>
      <w:r w:rsidRPr="00634C5B">
        <w:rPr>
          <w:rFonts w:cs="Times New Roman"/>
          <w:iCs/>
        </w:rPr>
        <w:t xml:space="preserve">. Partijen moeten de ontwikkeling van </w:t>
      </w:r>
      <w:r>
        <w:rPr>
          <w:rFonts w:cs="Times New Roman"/>
          <w:iCs/>
        </w:rPr>
        <w:t>nieuwe</w:t>
      </w:r>
      <w:r w:rsidRPr="00634C5B">
        <w:rPr>
          <w:rFonts w:cs="Times New Roman"/>
          <w:iCs/>
        </w:rPr>
        <w:t xml:space="preserve"> productieproces</w:t>
      </w:r>
      <w:r>
        <w:rPr>
          <w:rFonts w:cs="Times New Roman"/>
          <w:iCs/>
        </w:rPr>
        <w:t>sen</w:t>
      </w:r>
      <w:r w:rsidRPr="00634C5B">
        <w:rPr>
          <w:rFonts w:cs="Times New Roman"/>
          <w:iCs/>
        </w:rPr>
        <w:t xml:space="preserve"> </w:t>
      </w:r>
      <w:r>
        <w:rPr>
          <w:rFonts w:cs="Times New Roman"/>
          <w:iCs/>
        </w:rPr>
        <w:t xml:space="preserve">die kwik </w:t>
      </w:r>
      <w:r w:rsidRPr="00634C5B">
        <w:rPr>
          <w:rFonts w:cs="Times New Roman"/>
          <w:iCs/>
        </w:rPr>
        <w:t>gebruiken ontmoedigen.</w:t>
      </w:r>
      <w:r>
        <w:rPr>
          <w:rFonts w:cs="Times New Roman"/>
          <w:iCs/>
        </w:rPr>
        <w:t xml:space="preserve"> De Nederlandse industrie gebruikt geen van de in Bijlage B genoemde processen.</w:t>
      </w:r>
      <w:r w:rsidRPr="00553B0E">
        <w:rPr>
          <w:rFonts w:cs="Times New Roman"/>
          <w:iCs/>
        </w:rPr>
        <w:t xml:space="preserve"> </w:t>
      </w:r>
      <w:r>
        <w:rPr>
          <w:rFonts w:cs="Times New Roman"/>
          <w:iCs/>
        </w:rPr>
        <w:t xml:space="preserve">De CoP kan, mede op voorstel van een partij, </w:t>
      </w:r>
      <w:r w:rsidR="00A777C3">
        <w:rPr>
          <w:rFonts w:cs="Times New Roman"/>
          <w:iCs/>
        </w:rPr>
        <w:t xml:space="preserve">wijzigingen van </w:t>
      </w:r>
      <w:r>
        <w:rPr>
          <w:rFonts w:cs="Times New Roman"/>
          <w:iCs/>
        </w:rPr>
        <w:t xml:space="preserve">Bijlage B </w:t>
      </w:r>
      <w:r w:rsidR="00A777C3">
        <w:rPr>
          <w:rFonts w:cs="Times New Roman"/>
          <w:iCs/>
        </w:rPr>
        <w:t>overwegen en die wijzigingen conform artikel 27 aannemen</w:t>
      </w:r>
      <w:r>
        <w:rPr>
          <w:rFonts w:cs="Times New Roman"/>
          <w:iCs/>
        </w:rPr>
        <w:t xml:space="preserve">. </w:t>
      </w:r>
    </w:p>
    <w:p w:rsidRPr="00634C5B" w:rsidR="00634C5B" w:rsidP="00634C5B" w:rsidRDefault="00634C5B">
      <w:pPr>
        <w:spacing w:line="360" w:lineRule="auto"/>
        <w:rPr>
          <w:rFonts w:cs="Times New Roman"/>
          <w:iCs/>
        </w:rPr>
      </w:pPr>
    </w:p>
    <w:p w:rsidRPr="00634C5B" w:rsidR="00634C5B" w:rsidP="00634C5B" w:rsidRDefault="00634C5B">
      <w:pPr>
        <w:spacing w:line="360" w:lineRule="auto"/>
        <w:rPr>
          <w:rFonts w:cs="Times New Roman"/>
          <w:iCs/>
        </w:rPr>
      </w:pPr>
      <w:r w:rsidRPr="00634C5B">
        <w:rPr>
          <w:rFonts w:cs="Times New Roman"/>
          <w:b/>
          <w:iCs/>
        </w:rPr>
        <w:t>Artikel 6 Vrijstellingen</w:t>
      </w:r>
      <w:r w:rsidRPr="00634C5B">
        <w:rPr>
          <w:rFonts w:cs="Times New Roman"/>
          <w:iCs/>
        </w:rPr>
        <w:br/>
      </w:r>
      <w:r w:rsidRPr="00634C5B" w:rsidR="007E171C">
        <w:rPr>
          <w:rFonts w:cs="Times New Roman"/>
          <w:iCs/>
        </w:rPr>
        <w:t xml:space="preserve">Artikel 6 biedt de mogelijkheid </w:t>
      </w:r>
      <w:r w:rsidR="007E171C">
        <w:rPr>
          <w:rFonts w:cs="Times New Roman"/>
          <w:iCs/>
        </w:rPr>
        <w:t xml:space="preserve">van tijdelijke </w:t>
      </w:r>
      <w:r w:rsidRPr="00634C5B" w:rsidR="007E171C">
        <w:rPr>
          <w:rFonts w:cs="Times New Roman"/>
          <w:iCs/>
        </w:rPr>
        <w:t xml:space="preserve">vrijstelling van de in Bijlage A en Bijlage B </w:t>
      </w:r>
      <w:r w:rsidR="007E171C">
        <w:rPr>
          <w:rFonts w:cs="Times New Roman"/>
          <w:iCs/>
        </w:rPr>
        <w:t>verplichte</w:t>
      </w:r>
      <w:r w:rsidRPr="00634C5B" w:rsidR="007E171C">
        <w:rPr>
          <w:rFonts w:cs="Times New Roman"/>
          <w:iCs/>
        </w:rPr>
        <w:t xml:space="preserve"> uitfasering. </w:t>
      </w:r>
      <w:r w:rsidR="007E171C">
        <w:rPr>
          <w:rFonts w:cs="Times New Roman"/>
          <w:iCs/>
        </w:rPr>
        <w:t xml:space="preserve">Vrijstellingen </w:t>
      </w:r>
      <w:r w:rsidRPr="00634C5B" w:rsidR="007E171C">
        <w:rPr>
          <w:rFonts w:cs="Times New Roman"/>
          <w:iCs/>
        </w:rPr>
        <w:t xml:space="preserve">verstrijken uiterlijk vijf jaar na de datum van uitfasering die in Bijlage A of B is opgenomen, maar kunnen op verzoek van de partij in kwestie door de CoP met </w:t>
      </w:r>
      <w:r w:rsidR="007E171C">
        <w:rPr>
          <w:rFonts w:cs="Times New Roman"/>
          <w:iCs/>
        </w:rPr>
        <w:t xml:space="preserve">nog eens </w:t>
      </w:r>
      <w:r w:rsidRPr="00634C5B" w:rsidR="007E171C">
        <w:rPr>
          <w:rFonts w:cs="Times New Roman"/>
          <w:iCs/>
        </w:rPr>
        <w:t>maximaal vijf jaar worden verlengd.</w:t>
      </w:r>
      <w:r w:rsidR="003333C9">
        <w:rPr>
          <w:rFonts w:cs="Times New Roman"/>
          <w:iCs/>
        </w:rPr>
        <w:t xml:space="preserve"> </w:t>
      </w:r>
      <w:r w:rsidR="007E171C">
        <w:rPr>
          <w:rFonts w:cs="Times New Roman"/>
          <w:iCs/>
        </w:rPr>
        <w:t xml:space="preserve">In de </w:t>
      </w:r>
      <w:r w:rsidR="003333C9">
        <w:rPr>
          <w:rFonts w:cs="Times New Roman"/>
          <w:iCs/>
        </w:rPr>
        <w:t>ontwerp-</w:t>
      </w:r>
      <w:r w:rsidR="007E171C">
        <w:rPr>
          <w:rFonts w:cs="Times New Roman"/>
          <w:iCs/>
        </w:rPr>
        <w:t>EU</w:t>
      </w:r>
      <w:r w:rsidR="00752571">
        <w:rPr>
          <w:rFonts w:cs="Times New Roman"/>
          <w:iCs/>
        </w:rPr>
        <w:t>-</w:t>
      </w:r>
      <w:r w:rsidR="007E171C">
        <w:rPr>
          <w:rFonts w:cs="Times New Roman"/>
          <w:iCs/>
        </w:rPr>
        <w:t xml:space="preserve">verordening is </w:t>
      </w:r>
      <w:r w:rsidR="00695A42">
        <w:rPr>
          <w:rFonts w:cs="Times New Roman"/>
          <w:iCs/>
        </w:rPr>
        <w:t xml:space="preserve">de mogelijkheid van </w:t>
      </w:r>
      <w:r w:rsidR="007E171C">
        <w:rPr>
          <w:rFonts w:cs="Times New Roman"/>
          <w:iCs/>
        </w:rPr>
        <w:t>vrijstelling niet voorzien.</w:t>
      </w:r>
    </w:p>
    <w:p w:rsidRPr="00634C5B" w:rsidR="00634C5B" w:rsidP="00634C5B" w:rsidRDefault="00634C5B">
      <w:pPr>
        <w:spacing w:line="360" w:lineRule="auto"/>
        <w:rPr>
          <w:rFonts w:cs="Times New Roman"/>
          <w:iCs/>
        </w:rPr>
      </w:pPr>
    </w:p>
    <w:p w:rsidRPr="00634C5B" w:rsidR="00095B95" w:rsidP="000B5B4A" w:rsidRDefault="00634C5B">
      <w:pPr>
        <w:spacing w:line="360" w:lineRule="auto"/>
        <w:rPr>
          <w:rFonts w:cs="Times New Roman"/>
          <w:iCs/>
        </w:rPr>
      </w:pPr>
      <w:r w:rsidRPr="00634C5B">
        <w:rPr>
          <w:rFonts w:cs="Times New Roman"/>
          <w:b/>
          <w:iCs/>
        </w:rPr>
        <w:t>Artikel 7 Ambachtelijke en kleinschalige goudwinning</w:t>
      </w:r>
      <w:r w:rsidR="000B5B4A">
        <w:rPr>
          <w:rFonts w:cs="Times New Roman"/>
          <w:b/>
          <w:iCs/>
        </w:rPr>
        <w:br/>
      </w:r>
      <w:r w:rsidRPr="00634C5B" w:rsidR="00095B95">
        <w:rPr>
          <w:rFonts w:cs="Times New Roman"/>
          <w:iCs/>
        </w:rPr>
        <w:t>Artikel 7, in combinatie met Bijlage C, verplicht elke partij op wiens grondgebied ambachtelijke en kleinschalige goudwinning en -verwerking plaatsvindt</w:t>
      </w:r>
      <w:r w:rsidR="00095B95">
        <w:rPr>
          <w:rFonts w:cs="Times New Roman"/>
          <w:iCs/>
        </w:rPr>
        <w:t xml:space="preserve">, </w:t>
      </w:r>
      <w:r w:rsidRPr="00634C5B" w:rsidR="00095B95">
        <w:rPr>
          <w:rFonts w:cs="Times New Roman"/>
          <w:iCs/>
        </w:rPr>
        <w:t xml:space="preserve">waarbij goud uit erts onttrokken wordt door het met kwik te amalgameren, maatregelen te nemen om het gebruik van kwik en emissies en lozingen </w:t>
      </w:r>
      <w:r w:rsidR="00BF29CD">
        <w:rPr>
          <w:rFonts w:cs="Times New Roman"/>
          <w:iCs/>
        </w:rPr>
        <w:t xml:space="preserve">daarvan </w:t>
      </w:r>
      <w:r w:rsidRPr="00634C5B" w:rsidR="00095B95">
        <w:rPr>
          <w:rFonts w:cs="Times New Roman"/>
          <w:iCs/>
        </w:rPr>
        <w:t>in het milieu te verminderen en waar mogelijk uit te bannen.</w:t>
      </w:r>
    </w:p>
    <w:p w:rsidRPr="00634C5B" w:rsidR="00095B95" w:rsidP="00095B95" w:rsidRDefault="00095B95">
      <w:pPr>
        <w:spacing w:before="120" w:line="360" w:lineRule="auto"/>
        <w:rPr>
          <w:rFonts w:cs="Times New Roman"/>
          <w:iCs/>
        </w:rPr>
      </w:pPr>
      <w:r w:rsidRPr="00634C5B">
        <w:rPr>
          <w:rFonts w:cs="Times New Roman"/>
          <w:iCs/>
        </w:rPr>
        <w:t>Een partij die vaststelt dat de</w:t>
      </w:r>
      <w:r w:rsidRPr="00095B95">
        <w:rPr>
          <w:rFonts w:cs="Times New Roman"/>
          <w:iCs/>
        </w:rPr>
        <w:t xml:space="preserve"> ambachtelijk en kleinschalige </w:t>
      </w:r>
      <w:r w:rsidRPr="00634C5B">
        <w:rPr>
          <w:rFonts w:cs="Times New Roman"/>
          <w:iCs/>
        </w:rPr>
        <w:t xml:space="preserve">goudwinning op zijn grondgebied </w:t>
      </w:r>
      <w:r>
        <w:rPr>
          <w:rFonts w:cs="Times New Roman"/>
          <w:iCs/>
        </w:rPr>
        <w:t>een omvang van enige betekenis heeft</w:t>
      </w:r>
      <w:r w:rsidRPr="00634C5B">
        <w:rPr>
          <w:rFonts w:cs="Times New Roman"/>
          <w:iCs/>
        </w:rPr>
        <w:t>, moet het Secretariaat hiervan in kennis stellen en maatregelen nemen, zoals het opstellen van een nationaal actieplan</w:t>
      </w:r>
      <w:r>
        <w:rPr>
          <w:rFonts w:cs="Times New Roman"/>
          <w:iCs/>
        </w:rPr>
        <w:t>, als gespecificeerd i</w:t>
      </w:r>
      <w:r w:rsidRPr="00634C5B">
        <w:rPr>
          <w:rFonts w:cs="Times New Roman"/>
          <w:iCs/>
        </w:rPr>
        <w:t xml:space="preserve">n Bijlage C. De partij toetst elke drie jaar de voortgang en </w:t>
      </w:r>
      <w:r>
        <w:rPr>
          <w:rFonts w:cs="Times New Roman"/>
          <w:iCs/>
        </w:rPr>
        <w:t>rapporteert hierover</w:t>
      </w:r>
      <w:r w:rsidRPr="00634C5B">
        <w:rPr>
          <w:rFonts w:cs="Times New Roman"/>
          <w:iCs/>
        </w:rPr>
        <w:t xml:space="preserve"> </w:t>
      </w:r>
      <w:r>
        <w:rPr>
          <w:rFonts w:cs="Times New Roman"/>
          <w:iCs/>
        </w:rPr>
        <w:t>(</w:t>
      </w:r>
      <w:r w:rsidRPr="00634C5B">
        <w:rPr>
          <w:rFonts w:cs="Times New Roman"/>
          <w:iCs/>
        </w:rPr>
        <w:t>artikel 21</w:t>
      </w:r>
      <w:r>
        <w:rPr>
          <w:rFonts w:cs="Times New Roman"/>
          <w:iCs/>
        </w:rPr>
        <w:t>)</w:t>
      </w:r>
      <w:r w:rsidRPr="00634C5B">
        <w:rPr>
          <w:rFonts w:cs="Times New Roman"/>
          <w:iCs/>
        </w:rPr>
        <w:t>.</w:t>
      </w:r>
    </w:p>
    <w:p w:rsidRPr="00634C5B" w:rsidR="00634C5B" w:rsidP="00634C5B" w:rsidRDefault="00634C5B">
      <w:pPr>
        <w:spacing w:line="360" w:lineRule="auto"/>
        <w:rPr>
          <w:rFonts w:cs="Times New Roman"/>
          <w:iCs/>
        </w:rPr>
      </w:pPr>
    </w:p>
    <w:p w:rsidRPr="00AE3B57" w:rsidR="006D7E1C" w:rsidP="000B5B4A" w:rsidRDefault="00634C5B">
      <w:pPr>
        <w:spacing w:line="360" w:lineRule="auto"/>
        <w:rPr>
          <w:iCs/>
        </w:rPr>
      </w:pPr>
      <w:r w:rsidRPr="00634C5B">
        <w:rPr>
          <w:rFonts w:cs="Times New Roman"/>
          <w:b/>
          <w:iCs/>
        </w:rPr>
        <w:lastRenderedPageBreak/>
        <w:t>Artikel 8 Emissies</w:t>
      </w:r>
      <w:r w:rsidR="000B5B4A">
        <w:rPr>
          <w:rFonts w:cs="Times New Roman"/>
          <w:b/>
          <w:iCs/>
        </w:rPr>
        <w:br/>
      </w:r>
      <w:r w:rsidRPr="00AE3B57" w:rsidR="006D7E1C">
        <w:rPr>
          <w:iCs/>
        </w:rPr>
        <w:t>Dit artikel beoogt emissies van kwik en kwikverbindingen in de atmosfeer te beheersen en, indien mogelijk, te verminderen. Het gaat om emissies door de grote industriële installaties genoemd in Bijlage D</w:t>
      </w:r>
      <w:r w:rsidR="006D7E1C">
        <w:rPr>
          <w:iCs/>
        </w:rPr>
        <w:t xml:space="preserve">. </w:t>
      </w:r>
      <w:r w:rsidRPr="00AE3B57" w:rsidR="006D7E1C">
        <w:rPr>
          <w:iCs/>
        </w:rPr>
        <w:t>De aan partijen opgelegde verplichtingen (emissiebeperkende maatregelen, inventaris van de (grootte van) emissies opstellen en bijhouden) zijn alle reeds voorzien in bestaande EU-wetgeving</w:t>
      </w:r>
      <w:r w:rsidR="00FE1625">
        <w:rPr>
          <w:rStyle w:val="FootnoteReference"/>
          <w:iCs/>
        </w:rPr>
        <w:footnoteReference w:id="9"/>
      </w:r>
      <w:r w:rsidRPr="00AE3B57" w:rsidR="006D7E1C">
        <w:rPr>
          <w:iCs/>
        </w:rPr>
        <w:t xml:space="preserve">. </w:t>
      </w:r>
      <w:r w:rsidR="006D7E1C">
        <w:rPr>
          <w:iCs/>
        </w:rPr>
        <w:t xml:space="preserve">De EU-lidstaten hebben al emissiebeperkende maatregelen geïmplementeerd die aan het Verdrag voldoen. </w:t>
      </w:r>
    </w:p>
    <w:p w:rsidRPr="00634C5B" w:rsidR="006D7E1C" w:rsidP="006D7E1C" w:rsidRDefault="006D7E1C">
      <w:pPr>
        <w:spacing w:before="120" w:line="360" w:lineRule="auto"/>
        <w:rPr>
          <w:rFonts w:cs="Times New Roman"/>
          <w:iCs/>
        </w:rPr>
      </w:pPr>
      <w:r w:rsidRPr="00634C5B">
        <w:rPr>
          <w:rFonts w:cs="Times New Roman"/>
          <w:iCs/>
        </w:rPr>
        <w:t xml:space="preserve">De CoP zal tijdens </w:t>
      </w:r>
      <w:r>
        <w:rPr>
          <w:rFonts w:cs="Times New Roman"/>
          <w:iCs/>
        </w:rPr>
        <w:t>haar</w:t>
      </w:r>
      <w:r w:rsidRPr="00634C5B">
        <w:rPr>
          <w:rFonts w:cs="Times New Roman"/>
          <w:iCs/>
        </w:rPr>
        <w:t xml:space="preserve"> eerste vergadering </w:t>
      </w:r>
      <w:r>
        <w:rPr>
          <w:rFonts w:cs="Times New Roman"/>
          <w:iCs/>
        </w:rPr>
        <w:t xml:space="preserve">niet-bindende </w:t>
      </w:r>
      <w:r w:rsidRPr="00634C5B">
        <w:rPr>
          <w:rFonts w:cs="Times New Roman"/>
          <w:iCs/>
        </w:rPr>
        <w:t>richt</w:t>
      </w:r>
      <w:r>
        <w:rPr>
          <w:rFonts w:cs="Times New Roman"/>
          <w:iCs/>
        </w:rPr>
        <w:t>snoer</w:t>
      </w:r>
      <w:r w:rsidRPr="00634C5B">
        <w:rPr>
          <w:rFonts w:cs="Times New Roman"/>
          <w:iCs/>
        </w:rPr>
        <w:t xml:space="preserve">en aannemen </w:t>
      </w:r>
      <w:r>
        <w:rPr>
          <w:rFonts w:cs="Times New Roman"/>
          <w:iCs/>
        </w:rPr>
        <w:t>met betrekking tot</w:t>
      </w:r>
      <w:r w:rsidRPr="00634C5B">
        <w:rPr>
          <w:rFonts w:cs="Times New Roman"/>
          <w:iCs/>
        </w:rPr>
        <w:t xml:space="preserve"> de beste beschikbare technieken en de beste milieupraktijken en </w:t>
      </w:r>
      <w:r>
        <w:rPr>
          <w:rFonts w:cs="Times New Roman"/>
          <w:iCs/>
        </w:rPr>
        <w:t xml:space="preserve">de verlening van steun aan </w:t>
      </w:r>
      <w:r w:rsidRPr="00634C5B">
        <w:rPr>
          <w:rFonts w:cs="Times New Roman"/>
          <w:iCs/>
        </w:rPr>
        <w:t xml:space="preserve">partijen bij het uitvoeren van de maatregelen ten aanzien van de bestaande </w:t>
      </w:r>
      <w:r>
        <w:rPr>
          <w:rFonts w:cs="Times New Roman"/>
          <w:iCs/>
        </w:rPr>
        <w:t>emissie</w:t>
      </w:r>
      <w:r w:rsidRPr="00634C5B">
        <w:rPr>
          <w:rFonts w:cs="Times New Roman"/>
          <w:iCs/>
        </w:rPr>
        <w:t xml:space="preserve">bronnen. </w:t>
      </w:r>
    </w:p>
    <w:p w:rsidRPr="00634C5B" w:rsidR="00634C5B" w:rsidP="00634C5B" w:rsidRDefault="00634C5B">
      <w:pPr>
        <w:spacing w:line="360" w:lineRule="auto"/>
        <w:rPr>
          <w:rFonts w:cs="Times New Roman"/>
          <w:iCs/>
        </w:rPr>
      </w:pPr>
    </w:p>
    <w:p w:rsidR="00E35335" w:rsidP="000B5B4A" w:rsidRDefault="00634C5B">
      <w:pPr>
        <w:spacing w:line="360" w:lineRule="auto"/>
        <w:rPr>
          <w:rFonts w:cs="Times New Roman"/>
          <w:iCs/>
        </w:rPr>
      </w:pPr>
      <w:r w:rsidRPr="00634C5B">
        <w:rPr>
          <w:rFonts w:cs="Times New Roman"/>
          <w:b/>
          <w:iCs/>
        </w:rPr>
        <w:t>Artikel 9 Lozingen</w:t>
      </w:r>
      <w:r w:rsidR="000B5B4A">
        <w:rPr>
          <w:rFonts w:cs="Times New Roman"/>
          <w:b/>
          <w:iCs/>
        </w:rPr>
        <w:br/>
      </w:r>
      <w:r w:rsidR="00E35335">
        <w:rPr>
          <w:rFonts w:cs="Times New Roman"/>
          <w:iCs/>
        </w:rPr>
        <w:t>Dit artikel is bedoeld om lozingen</w:t>
      </w:r>
      <w:r w:rsidRPr="0088479F" w:rsidR="00E35335">
        <w:rPr>
          <w:rFonts w:cs="Times New Roman"/>
          <w:iCs/>
        </w:rPr>
        <w:t xml:space="preserve"> </w:t>
      </w:r>
      <w:r w:rsidR="00E35335">
        <w:rPr>
          <w:rFonts w:cs="Times New Roman"/>
          <w:iCs/>
        </w:rPr>
        <w:t xml:space="preserve">van kwik en kwikverbindingen in de bodem en het water, door relevante puntbronnen die niet onder andere bepalingen van het Verdrag vallen, te beheersen en waar mogelijk te verminderen. </w:t>
      </w:r>
      <w:r w:rsidR="00AE0670">
        <w:rPr>
          <w:rFonts w:cs="Times New Roman"/>
          <w:iCs/>
        </w:rPr>
        <w:t>D</w:t>
      </w:r>
      <w:r w:rsidR="00E35335">
        <w:rPr>
          <w:rFonts w:cs="Times New Roman"/>
          <w:iCs/>
        </w:rPr>
        <w:t xml:space="preserve">e maatregelen waartoe het Verdrag verplicht </w:t>
      </w:r>
      <w:r w:rsidR="00AE0670">
        <w:rPr>
          <w:rFonts w:cs="Times New Roman"/>
          <w:iCs/>
        </w:rPr>
        <w:t xml:space="preserve">zijn </w:t>
      </w:r>
      <w:r w:rsidR="00E35335">
        <w:rPr>
          <w:rFonts w:cs="Times New Roman"/>
          <w:iCs/>
        </w:rPr>
        <w:t xml:space="preserve">al in de EU geïmplementeerd. </w:t>
      </w:r>
    </w:p>
    <w:p w:rsidR="00E35335" w:rsidP="00E35335" w:rsidRDefault="00E35335">
      <w:pPr>
        <w:spacing w:before="120" w:line="360" w:lineRule="auto"/>
        <w:rPr>
          <w:rFonts w:cs="Times New Roman"/>
          <w:iCs/>
        </w:rPr>
      </w:pPr>
      <w:r w:rsidRPr="0064639C">
        <w:rPr>
          <w:rFonts w:cs="Times New Roman"/>
          <w:iCs/>
        </w:rPr>
        <w:t xml:space="preserve">De CoP zal </w:t>
      </w:r>
      <w:r w:rsidR="00695A42">
        <w:rPr>
          <w:rFonts w:cs="Times New Roman"/>
          <w:iCs/>
        </w:rPr>
        <w:t xml:space="preserve">tijdens haar eerste vergadering </w:t>
      </w:r>
      <w:r w:rsidRPr="0064639C">
        <w:rPr>
          <w:rFonts w:cs="Times New Roman"/>
          <w:iCs/>
        </w:rPr>
        <w:t>richt</w:t>
      </w:r>
      <w:r>
        <w:rPr>
          <w:rFonts w:cs="Times New Roman"/>
          <w:iCs/>
        </w:rPr>
        <w:t>snoer</w:t>
      </w:r>
      <w:r w:rsidRPr="0064639C">
        <w:rPr>
          <w:rFonts w:cs="Times New Roman"/>
          <w:iCs/>
        </w:rPr>
        <w:t xml:space="preserve">en aannemen </w:t>
      </w:r>
      <w:r>
        <w:rPr>
          <w:rFonts w:cs="Times New Roman"/>
          <w:iCs/>
        </w:rPr>
        <w:t>met betrekking tot</w:t>
      </w:r>
      <w:r w:rsidRPr="0064639C">
        <w:rPr>
          <w:rFonts w:cs="Times New Roman"/>
          <w:iCs/>
        </w:rPr>
        <w:t xml:space="preserve"> de beste beschikbare technieken en de beste milieupraktijken en de methode</w:t>
      </w:r>
      <w:r>
        <w:rPr>
          <w:rFonts w:cs="Times New Roman"/>
          <w:iCs/>
        </w:rPr>
        <w:t>n</w:t>
      </w:r>
      <w:r w:rsidRPr="0064639C">
        <w:rPr>
          <w:rFonts w:cs="Times New Roman"/>
          <w:iCs/>
        </w:rPr>
        <w:t xml:space="preserve"> voor het inventariseren van lozingen. </w:t>
      </w:r>
    </w:p>
    <w:p w:rsidRPr="0064639C" w:rsidR="0098452B" w:rsidP="006C1A78" w:rsidRDefault="0098452B">
      <w:pPr>
        <w:spacing w:line="360" w:lineRule="auto"/>
        <w:rPr>
          <w:rFonts w:cs="Times New Roman"/>
          <w:iCs/>
        </w:rPr>
      </w:pPr>
    </w:p>
    <w:p w:rsidRPr="0064639C" w:rsidR="00CA24D2" w:rsidP="00CA24D2" w:rsidRDefault="00CA24D2">
      <w:pPr>
        <w:spacing w:line="360" w:lineRule="auto"/>
        <w:rPr>
          <w:rFonts w:cs="Times New Roman"/>
          <w:b/>
          <w:i/>
          <w:iCs/>
        </w:rPr>
      </w:pPr>
      <w:r w:rsidRPr="0064639C">
        <w:rPr>
          <w:rFonts w:cs="Times New Roman"/>
          <w:b/>
          <w:iCs/>
        </w:rPr>
        <w:t>Artikel 10 Milieuverantwoorde tijdelijke opslag van kwik, anders dan kwikafval</w:t>
      </w:r>
    </w:p>
    <w:p w:rsidRPr="0064639C" w:rsidR="00CA24D2" w:rsidP="00CA24D2" w:rsidRDefault="00CA24D2">
      <w:pPr>
        <w:spacing w:line="360" w:lineRule="auto"/>
        <w:rPr>
          <w:rFonts w:cs="Times New Roman"/>
          <w:iCs/>
        </w:rPr>
      </w:pPr>
      <w:r w:rsidRPr="0064639C">
        <w:rPr>
          <w:rFonts w:cs="Times New Roman"/>
          <w:iCs/>
        </w:rPr>
        <w:t xml:space="preserve">Dit artikel heeft betrekking op de tijdelijke opslag van kwik en kwikverbindingen zoals omschreven in artikel 3 die niet vallen onder de begripsomschrijving van kwikafval van artikel 11. Partijen moeten maatregelen nemen om ervoor te zorgen dat de tijdelijke opslag op een milieuverantwoorde wijze gebeurt, in overeenstemming met richtlijnen die hiervoor door de CoP worden aangenomen (derde lid). De CoP moet bij deze richtlijnen onder meer rekening houden met relevante richtlijnen die zijn opgesteld </w:t>
      </w:r>
      <w:r w:rsidR="00BF29CD">
        <w:rPr>
          <w:rFonts w:cs="Times New Roman"/>
          <w:iCs/>
        </w:rPr>
        <w:t xml:space="preserve">in het kader van </w:t>
      </w:r>
      <w:r w:rsidRPr="0064639C">
        <w:rPr>
          <w:rFonts w:cs="Times New Roman"/>
          <w:iCs/>
        </w:rPr>
        <w:t xml:space="preserve">het Verdrag van Bazel inzake </w:t>
      </w:r>
      <w:r w:rsidRPr="0064639C" w:rsidR="00736CE9">
        <w:rPr>
          <w:rFonts w:cs="Times New Roman"/>
          <w:iCs/>
        </w:rPr>
        <w:t>de beheersing van de grensover</w:t>
      </w:r>
      <w:r w:rsidRPr="0064639C">
        <w:rPr>
          <w:rFonts w:cs="Times New Roman"/>
          <w:iCs/>
        </w:rPr>
        <w:t>schrijdende overbrenging van gevaarlijke afvalstoffen en de verwijdering ervan (Trb. 1990, 12</w:t>
      </w:r>
      <w:r w:rsidRPr="0064639C" w:rsidR="00736CE9">
        <w:rPr>
          <w:rFonts w:cs="Times New Roman"/>
          <w:iCs/>
        </w:rPr>
        <w:t>; hierna: Verdrag van Bazel</w:t>
      </w:r>
      <w:r w:rsidRPr="0064639C">
        <w:rPr>
          <w:rFonts w:cs="Times New Roman"/>
          <w:iCs/>
        </w:rPr>
        <w:t xml:space="preserve">). Vereisten voor tijdelijke opslag kunnen ook in een aanvullende bijlage bij het Verdrag worden opgenomen. </w:t>
      </w:r>
      <w:r w:rsidR="00A777C3">
        <w:rPr>
          <w:rFonts w:cs="Times New Roman"/>
          <w:iCs/>
        </w:rPr>
        <w:t>V</w:t>
      </w:r>
      <w:r w:rsidRPr="0064639C">
        <w:rPr>
          <w:rFonts w:cs="Times New Roman"/>
          <w:iCs/>
        </w:rPr>
        <w:t>oor</w:t>
      </w:r>
      <w:r w:rsidR="00A777C3">
        <w:rPr>
          <w:rFonts w:cs="Times New Roman"/>
          <w:iCs/>
        </w:rPr>
        <w:t xml:space="preserve"> het tot stand komen van de bijlage</w:t>
      </w:r>
      <w:r w:rsidRPr="0064639C">
        <w:rPr>
          <w:rFonts w:cs="Times New Roman"/>
          <w:iCs/>
        </w:rPr>
        <w:t xml:space="preserve"> geldt dan de procedure van artikel 27.</w:t>
      </w:r>
    </w:p>
    <w:p w:rsidRPr="0064639C" w:rsidR="00CA24D2" w:rsidP="00CA24D2" w:rsidRDefault="00CA24D2">
      <w:pPr>
        <w:spacing w:line="360" w:lineRule="auto"/>
        <w:rPr>
          <w:rFonts w:cs="Times New Roman"/>
          <w:iCs/>
        </w:rPr>
      </w:pPr>
    </w:p>
    <w:p w:rsidR="00736CE9" w:rsidP="00CA24D2" w:rsidRDefault="00CA24D2">
      <w:pPr>
        <w:spacing w:line="360" w:lineRule="auto"/>
        <w:rPr>
          <w:rFonts w:cs="Times New Roman"/>
          <w:iCs/>
        </w:rPr>
      </w:pPr>
      <w:r w:rsidRPr="0064639C">
        <w:rPr>
          <w:rFonts w:cs="Times New Roman"/>
          <w:b/>
          <w:iCs/>
        </w:rPr>
        <w:t>Artikel 11 Kwikafval</w:t>
      </w:r>
      <w:r w:rsidRPr="0064639C" w:rsidR="00736CE9">
        <w:rPr>
          <w:rFonts w:cs="Times New Roman"/>
          <w:b/>
          <w:iCs/>
        </w:rPr>
        <w:br/>
      </w:r>
      <w:r w:rsidRPr="0064639C" w:rsidR="00736CE9">
        <w:rPr>
          <w:rFonts w:cs="Times New Roman"/>
          <w:iCs/>
        </w:rPr>
        <w:t xml:space="preserve">In het eerste lid van dit artikel wordt de verhouding van dit Verdrag tot het Verdrag van Bazel uiteengezet. Als partijen bij </w:t>
      </w:r>
      <w:r w:rsidR="00AE0670">
        <w:rPr>
          <w:rFonts w:cs="Times New Roman"/>
          <w:iCs/>
        </w:rPr>
        <w:t xml:space="preserve">het </w:t>
      </w:r>
      <w:r w:rsidRPr="0064639C" w:rsidR="00736CE9">
        <w:rPr>
          <w:rFonts w:cs="Times New Roman"/>
          <w:iCs/>
        </w:rPr>
        <w:t xml:space="preserve">Verdrag ook partij bij het Verdrag van Bazel zijn, zijn de relevante begripsomschrijvingen van het Verdrag van Bazel ook van toepassing op het afval waarop </w:t>
      </w:r>
      <w:r w:rsidR="00AE0670">
        <w:rPr>
          <w:rFonts w:cs="Times New Roman"/>
          <w:iCs/>
        </w:rPr>
        <w:t xml:space="preserve">het </w:t>
      </w:r>
      <w:r w:rsidRPr="0064639C" w:rsidR="00736CE9">
        <w:rPr>
          <w:rFonts w:cs="Times New Roman"/>
          <w:iCs/>
        </w:rPr>
        <w:t xml:space="preserve">Verdrag van toepassing is. Partijen bij </w:t>
      </w:r>
      <w:r w:rsidR="00AE0670">
        <w:rPr>
          <w:rFonts w:cs="Times New Roman"/>
          <w:iCs/>
        </w:rPr>
        <w:t xml:space="preserve">het </w:t>
      </w:r>
      <w:r w:rsidRPr="0064639C" w:rsidR="00736CE9">
        <w:rPr>
          <w:rFonts w:cs="Times New Roman"/>
          <w:iCs/>
        </w:rPr>
        <w:t xml:space="preserve">Verdrag die geen partij bij Bazel zijn, moeten toch rekening houden met het Verdrag van Bazel. Zij moeten namelijk de begripsomschrijvingen van het Verdrag van Bazel gebruiken als richtlijn voor het afval waarop </w:t>
      </w:r>
      <w:r w:rsidR="00AE0670">
        <w:rPr>
          <w:rFonts w:cs="Times New Roman"/>
          <w:iCs/>
        </w:rPr>
        <w:t>het</w:t>
      </w:r>
      <w:r w:rsidRPr="0064639C" w:rsidR="00736CE9">
        <w:rPr>
          <w:rFonts w:cs="Times New Roman"/>
          <w:iCs/>
        </w:rPr>
        <w:t xml:space="preserve"> Verdrag van toepassing is.</w:t>
      </w:r>
    </w:p>
    <w:p w:rsidRPr="0064639C" w:rsidR="00F47A09" w:rsidP="00CA24D2" w:rsidRDefault="00F47A09">
      <w:pPr>
        <w:spacing w:line="360" w:lineRule="auto"/>
        <w:rPr>
          <w:rFonts w:cs="Times New Roman"/>
          <w:iCs/>
        </w:rPr>
      </w:pPr>
    </w:p>
    <w:p w:rsidR="00532D53" w:rsidP="00532D53" w:rsidRDefault="00532D53">
      <w:pPr>
        <w:spacing w:before="120" w:line="360" w:lineRule="auto"/>
        <w:rPr>
          <w:rFonts w:cs="Times New Roman"/>
          <w:iCs/>
        </w:rPr>
      </w:pPr>
      <w:r w:rsidRPr="0064639C">
        <w:rPr>
          <w:rFonts w:cs="Times New Roman"/>
          <w:iCs/>
        </w:rPr>
        <w:lastRenderedPageBreak/>
        <w:t xml:space="preserve">Het tweede lid bevat de </w:t>
      </w:r>
      <w:r w:rsidR="00AE0670">
        <w:rPr>
          <w:rFonts w:cs="Times New Roman"/>
          <w:iCs/>
        </w:rPr>
        <w:t>omschrijving</w:t>
      </w:r>
      <w:r w:rsidRPr="0064639C">
        <w:rPr>
          <w:rFonts w:cs="Times New Roman"/>
          <w:iCs/>
        </w:rPr>
        <w:t xml:space="preserve"> van kwikafval, die geldt voor het gehele Verdrag. Als kwikafval in de zin van het Verdrag worden aangemerkt: stoffen of voorwerpen die worden verwijderd, bestemd zijn voor verwijdering of volgens nationale wetgeving of dit Verdrag moeten worden verwijderd </w:t>
      </w:r>
      <w:r>
        <w:rPr>
          <w:rFonts w:cs="Times New Roman"/>
          <w:iCs/>
        </w:rPr>
        <w:t xml:space="preserve">en </w:t>
      </w:r>
      <w:r w:rsidRPr="0064639C">
        <w:rPr>
          <w:rFonts w:cs="Times New Roman"/>
          <w:iCs/>
        </w:rPr>
        <w:t>die</w:t>
      </w:r>
      <w:r>
        <w:rPr>
          <w:rFonts w:cs="Times New Roman"/>
          <w:iCs/>
        </w:rPr>
        <w:t>:</w:t>
      </w:r>
      <w:r w:rsidRPr="0064639C">
        <w:rPr>
          <w:rFonts w:cs="Times New Roman"/>
          <w:iCs/>
        </w:rPr>
        <w:t xml:space="preserve"> </w:t>
      </w:r>
    </w:p>
    <w:p w:rsidR="00532D53" w:rsidP="00054B7D" w:rsidRDefault="00532D53">
      <w:pPr>
        <w:pStyle w:val="ListParagraph"/>
        <w:numPr>
          <w:ilvl w:val="0"/>
          <w:numId w:val="5"/>
        </w:numPr>
        <w:spacing w:before="60" w:line="360" w:lineRule="auto"/>
        <w:ind w:left="714" w:hanging="357"/>
        <w:contextualSpacing w:val="0"/>
        <w:rPr>
          <w:rFonts w:cs="Times New Roman"/>
          <w:iCs/>
        </w:rPr>
      </w:pPr>
      <w:r w:rsidRPr="00C10D97">
        <w:rPr>
          <w:rFonts w:cs="Times New Roman"/>
          <w:iCs/>
        </w:rPr>
        <w:t xml:space="preserve">uit kwik of kwikverbindingen bestaan, </w:t>
      </w:r>
    </w:p>
    <w:p w:rsidR="00532D53" w:rsidP="00054B7D" w:rsidRDefault="00532D53">
      <w:pPr>
        <w:pStyle w:val="ListParagraph"/>
        <w:numPr>
          <w:ilvl w:val="0"/>
          <w:numId w:val="5"/>
        </w:numPr>
        <w:spacing w:before="120" w:line="360" w:lineRule="auto"/>
        <w:rPr>
          <w:rFonts w:cs="Times New Roman"/>
          <w:iCs/>
        </w:rPr>
      </w:pPr>
      <w:r w:rsidRPr="00C10D97">
        <w:rPr>
          <w:rFonts w:cs="Times New Roman"/>
          <w:iCs/>
        </w:rPr>
        <w:t>kwik of kwikverbindingen bevatten</w:t>
      </w:r>
      <w:r w:rsidR="00BF29CD">
        <w:rPr>
          <w:rFonts w:cs="Times New Roman"/>
          <w:iCs/>
        </w:rPr>
        <w:t xml:space="preserve"> of</w:t>
      </w:r>
    </w:p>
    <w:p w:rsidR="00532D53" w:rsidP="00054B7D" w:rsidRDefault="00532D53">
      <w:pPr>
        <w:pStyle w:val="ListParagraph"/>
        <w:numPr>
          <w:ilvl w:val="0"/>
          <w:numId w:val="5"/>
        </w:numPr>
        <w:spacing w:before="120" w:line="360" w:lineRule="auto"/>
        <w:rPr>
          <w:rFonts w:cs="Times New Roman"/>
          <w:iCs/>
        </w:rPr>
      </w:pPr>
      <w:r w:rsidRPr="00C10D97">
        <w:rPr>
          <w:rFonts w:cs="Times New Roman"/>
          <w:iCs/>
        </w:rPr>
        <w:t xml:space="preserve">verontreinigd zijn met kwik of kwikverbindingen, in een hoeveelheid die boven de relevante grenswaarden ligt die worden vastgesteld door de CoP, in samenwerking met de bevoegde lichamen van het Verdrag van Bazel. </w:t>
      </w:r>
    </w:p>
    <w:p w:rsidR="00532D53" w:rsidP="009C705E" w:rsidRDefault="00942C67">
      <w:pPr>
        <w:widowControl w:val="0"/>
        <w:autoSpaceDE w:val="0"/>
        <w:autoSpaceDN w:val="0"/>
        <w:adjustRightInd w:val="0"/>
        <w:spacing w:after="240" w:line="300" w:lineRule="atLeast"/>
        <w:rPr>
          <w:rFonts w:cs="Times New Roman"/>
          <w:iCs/>
        </w:rPr>
      </w:pPr>
      <w:r w:rsidRPr="0064639C">
        <w:rPr>
          <w:rFonts w:cs="Times New Roman"/>
          <w:iCs/>
        </w:rPr>
        <w:t xml:space="preserve">De </w:t>
      </w:r>
      <w:r w:rsidR="00241ECB">
        <w:rPr>
          <w:rFonts w:cs="Times New Roman"/>
          <w:iCs/>
        </w:rPr>
        <w:t xml:space="preserve">omschrijving </w:t>
      </w:r>
      <w:r w:rsidRPr="0064639C">
        <w:rPr>
          <w:rFonts w:cs="Times New Roman"/>
          <w:iCs/>
        </w:rPr>
        <w:t>geldt niet voor deklagen, afvalgesteente en residuen uit de mijnbouw (behalve voor primaire mijnbouw).</w:t>
      </w:r>
    </w:p>
    <w:p w:rsidR="00532D53" w:rsidP="00532D53" w:rsidRDefault="009C705E">
      <w:pPr>
        <w:spacing w:before="120" w:line="360" w:lineRule="auto"/>
        <w:rPr>
          <w:rFonts w:cs="Times New Roman"/>
          <w:iCs/>
        </w:rPr>
      </w:pPr>
      <w:r w:rsidRPr="0064639C">
        <w:rPr>
          <w:rFonts w:cs="Times New Roman"/>
          <w:iCs/>
        </w:rPr>
        <w:t xml:space="preserve">Het derde lid bevat de verplichtingen voor </w:t>
      </w:r>
      <w:r w:rsidR="00241ECB">
        <w:rPr>
          <w:rFonts w:cs="Times New Roman"/>
          <w:iCs/>
        </w:rPr>
        <w:t>p</w:t>
      </w:r>
      <w:r w:rsidRPr="0064639C">
        <w:rPr>
          <w:rFonts w:cs="Times New Roman"/>
          <w:iCs/>
        </w:rPr>
        <w:t>artijen om passende maatregelen te nemen om te garanderen dat het kwikafval op milieuverantwoorde wijze wordt beheerd, in overeenstemming met de eisen die daarvoor zijn vastgesteld door de CoP en het Verdrag van Bazel.</w:t>
      </w:r>
      <w:r w:rsidRPr="0064639C" w:rsidR="00FF2998">
        <w:rPr>
          <w:rFonts w:cs="Times New Roman"/>
          <w:iCs/>
        </w:rPr>
        <w:t xml:space="preserve"> Partijen moeten ook maatregelen treffen om </w:t>
      </w:r>
      <w:r w:rsidRPr="0064639C" w:rsidR="00D75A9D">
        <w:rPr>
          <w:rFonts w:cs="Times New Roman"/>
          <w:iCs/>
        </w:rPr>
        <w:t>te verzekeren</w:t>
      </w:r>
      <w:r w:rsidRPr="0064639C" w:rsidR="00FF2998">
        <w:rPr>
          <w:rFonts w:cs="Times New Roman"/>
          <w:iCs/>
        </w:rPr>
        <w:t xml:space="preserve"> dat kwikafval </w:t>
      </w:r>
      <w:r w:rsidRPr="0064639C">
        <w:rPr>
          <w:rFonts w:cs="Times New Roman"/>
          <w:iCs/>
        </w:rPr>
        <w:t>uitsluitend wordt teruggewonnen, g</w:t>
      </w:r>
      <w:r w:rsidRPr="0064639C" w:rsidR="00FF2998">
        <w:rPr>
          <w:rFonts w:cs="Times New Roman"/>
          <w:iCs/>
        </w:rPr>
        <w:t>erecycled, gerecupereerd of dat het di</w:t>
      </w:r>
      <w:r w:rsidRPr="0064639C">
        <w:rPr>
          <w:rFonts w:cs="Times New Roman"/>
          <w:iCs/>
        </w:rPr>
        <w:t xml:space="preserve">rect wordt hergebruikt voor een </w:t>
      </w:r>
      <w:r w:rsidRPr="0064639C" w:rsidR="00FF2998">
        <w:rPr>
          <w:rFonts w:cs="Times New Roman"/>
          <w:iCs/>
        </w:rPr>
        <w:t xml:space="preserve">volgens dit Verdrag toegestane </w:t>
      </w:r>
      <w:r w:rsidRPr="0064639C">
        <w:rPr>
          <w:rFonts w:cs="Times New Roman"/>
          <w:iCs/>
        </w:rPr>
        <w:t xml:space="preserve">toepassing of </w:t>
      </w:r>
      <w:r w:rsidRPr="0064639C" w:rsidR="00FF2998">
        <w:rPr>
          <w:rFonts w:cs="Times New Roman"/>
          <w:iCs/>
        </w:rPr>
        <w:t xml:space="preserve">voor </w:t>
      </w:r>
      <w:r w:rsidRPr="0064639C">
        <w:rPr>
          <w:rFonts w:cs="Times New Roman"/>
          <w:iCs/>
        </w:rPr>
        <w:t>milieu</w:t>
      </w:r>
      <w:r w:rsidRPr="0064639C" w:rsidR="00FF2998">
        <w:rPr>
          <w:rFonts w:cs="Times New Roman"/>
          <w:iCs/>
        </w:rPr>
        <w:t>verantwoorde verwijdering.</w:t>
      </w:r>
      <w:r w:rsidRPr="0064639C" w:rsidR="009F4A93">
        <w:rPr>
          <w:rFonts w:cs="Times New Roman"/>
          <w:iCs/>
        </w:rPr>
        <w:t xml:space="preserve"> </w:t>
      </w:r>
      <w:r w:rsidRPr="0064639C" w:rsidR="00532D53">
        <w:rPr>
          <w:rFonts w:cs="Times New Roman"/>
          <w:iCs/>
        </w:rPr>
        <w:t xml:space="preserve">Tenslotte moeten partijen </w:t>
      </w:r>
      <w:r w:rsidR="00532D53">
        <w:rPr>
          <w:rFonts w:cs="Times New Roman"/>
          <w:iCs/>
        </w:rPr>
        <w:t xml:space="preserve">bij het Verdrag van Bazel </w:t>
      </w:r>
      <w:r w:rsidRPr="0064639C" w:rsidR="00532D53">
        <w:rPr>
          <w:rFonts w:cs="Times New Roman"/>
          <w:iCs/>
        </w:rPr>
        <w:t>er voor zorgen dat het kwikafval niet grensoverschrijdend wordt vervoerd, behalve met het doel van milieuverantwoorde verwijdering</w:t>
      </w:r>
      <w:r w:rsidR="00532D53">
        <w:rPr>
          <w:rFonts w:cs="Times New Roman"/>
          <w:iCs/>
        </w:rPr>
        <w:t xml:space="preserve"> die voldoet aan dat verdrag</w:t>
      </w:r>
      <w:r w:rsidRPr="0064639C" w:rsidR="00532D53">
        <w:rPr>
          <w:rFonts w:cs="Times New Roman"/>
          <w:iCs/>
        </w:rPr>
        <w:t xml:space="preserve">. </w:t>
      </w:r>
    </w:p>
    <w:p w:rsidRPr="0064639C" w:rsidR="009C705E" w:rsidP="00F23CF7" w:rsidRDefault="00532D53">
      <w:pPr>
        <w:spacing w:before="120" w:line="360" w:lineRule="auto"/>
        <w:rPr>
          <w:rFonts w:cs="Times New Roman"/>
          <w:iCs/>
        </w:rPr>
      </w:pPr>
      <w:r>
        <w:rPr>
          <w:rFonts w:cs="Times New Roman"/>
          <w:iCs/>
        </w:rPr>
        <w:t>De opslag van kwikafval is in de EU een beleidsterrein in ontwikkeling</w:t>
      </w:r>
      <w:r w:rsidR="00277BE5">
        <w:rPr>
          <w:rFonts w:cs="Times New Roman"/>
          <w:iCs/>
        </w:rPr>
        <w:t xml:space="preserve"> en onderdeel van</w:t>
      </w:r>
      <w:r>
        <w:rPr>
          <w:rFonts w:cs="Times New Roman"/>
          <w:iCs/>
        </w:rPr>
        <w:t xml:space="preserve"> het Commissievoorstel voor een nieuwe kwikverordening.</w:t>
      </w:r>
    </w:p>
    <w:p w:rsidR="00DB20EE" w:rsidP="00DE7C48" w:rsidRDefault="001C2D39">
      <w:pPr>
        <w:spacing w:before="120" w:line="360" w:lineRule="auto"/>
        <w:rPr>
          <w:rFonts w:cs="Times New Roman"/>
          <w:b/>
          <w:iCs/>
        </w:rPr>
      </w:pPr>
      <w:r w:rsidRPr="0064639C">
        <w:rPr>
          <w:rFonts w:cs="Times New Roman"/>
          <w:b/>
          <w:iCs/>
        </w:rPr>
        <w:t>Artikel 12 Verontreinigde locaties</w:t>
      </w:r>
      <w:r w:rsidRPr="0064639C">
        <w:rPr>
          <w:rFonts w:cs="Times New Roman"/>
          <w:iCs/>
        </w:rPr>
        <w:br/>
      </w:r>
      <w:r w:rsidRPr="0064639C" w:rsidR="00182315">
        <w:rPr>
          <w:rFonts w:cs="Times New Roman"/>
          <w:iCs/>
        </w:rPr>
        <w:t>Dit artikel regelt het beheer van locaties, die verontreinigd zijn met kwik of kwikverbindingen. Voor de nadere uitvoering van dit artikel neemt de CoP richt</w:t>
      </w:r>
      <w:r w:rsidR="00182315">
        <w:rPr>
          <w:rFonts w:cs="Times New Roman"/>
          <w:iCs/>
        </w:rPr>
        <w:t>snoer</w:t>
      </w:r>
      <w:r w:rsidRPr="0064639C" w:rsidR="00182315">
        <w:rPr>
          <w:rFonts w:cs="Times New Roman"/>
          <w:iCs/>
        </w:rPr>
        <w:t>en aan. Partijen moeten strategie</w:t>
      </w:r>
      <w:r w:rsidR="00182315">
        <w:rPr>
          <w:rFonts w:cs="Times New Roman"/>
          <w:iCs/>
        </w:rPr>
        <w:t>ë</w:t>
      </w:r>
      <w:r w:rsidRPr="0064639C" w:rsidR="00182315">
        <w:rPr>
          <w:rFonts w:cs="Times New Roman"/>
          <w:iCs/>
        </w:rPr>
        <w:t>n ontwikkelen om verontreinigde locaties te identificeren en beoordelen. Als maatregelen worden genomen om de risico’s van deze locaties te beperken, moeten deze maatregelen op milieuverantwoorde wijze worden uitgevoerd.</w:t>
      </w:r>
      <w:r w:rsidR="00182315">
        <w:rPr>
          <w:rFonts w:cs="Times New Roman"/>
          <w:iCs/>
        </w:rPr>
        <w:t xml:space="preserve"> EU</w:t>
      </w:r>
      <w:r w:rsidR="00241ECB">
        <w:rPr>
          <w:rFonts w:cs="Times New Roman"/>
          <w:iCs/>
        </w:rPr>
        <w:t>-</w:t>
      </w:r>
      <w:r w:rsidR="00182315">
        <w:rPr>
          <w:rFonts w:cs="Times New Roman"/>
          <w:iCs/>
        </w:rPr>
        <w:t xml:space="preserve">regelgeving voorziet al in </w:t>
      </w:r>
      <w:r w:rsidR="00241ECB">
        <w:rPr>
          <w:rFonts w:cs="Times New Roman"/>
          <w:iCs/>
        </w:rPr>
        <w:t xml:space="preserve">implementatie van </w:t>
      </w:r>
      <w:r w:rsidR="00182315">
        <w:rPr>
          <w:rFonts w:cs="Times New Roman"/>
          <w:iCs/>
        </w:rPr>
        <w:t>de verplichtingen onder dit artikel.</w:t>
      </w:r>
    </w:p>
    <w:p w:rsidRPr="0064639C" w:rsidR="003136E0" w:rsidP="00111659" w:rsidRDefault="003136E0">
      <w:pPr>
        <w:widowControl w:val="0"/>
        <w:autoSpaceDE w:val="0"/>
        <w:autoSpaceDN w:val="0"/>
        <w:adjustRightInd w:val="0"/>
        <w:spacing w:after="240" w:line="300" w:lineRule="atLeast"/>
        <w:rPr>
          <w:rFonts w:cs="Times New Roman"/>
          <w:i/>
          <w:iCs/>
        </w:rPr>
      </w:pPr>
      <w:r w:rsidRPr="00C528D2">
        <w:rPr>
          <w:rFonts w:cs="Times New Roman"/>
          <w:b/>
          <w:iCs/>
        </w:rPr>
        <w:t xml:space="preserve">Artikel 13 </w:t>
      </w:r>
      <w:r w:rsidRPr="00C528D2" w:rsidR="00111659">
        <w:rPr>
          <w:rFonts w:cs="Times New Roman"/>
          <w:b/>
          <w:iCs/>
        </w:rPr>
        <w:t>en artikel 14</w:t>
      </w:r>
      <w:r w:rsidRPr="0064639C" w:rsidR="00111659">
        <w:rPr>
          <w:rFonts w:cs="Times New Roman"/>
          <w:iCs/>
        </w:rPr>
        <w:t xml:space="preserve"> bevatten regelingen voor financiering van de activiteiten uit het Verdrag en ondersteuning van capaciteit, techniek en technologie.</w:t>
      </w:r>
      <w:r w:rsidRPr="0064639C">
        <w:rPr>
          <w:rFonts w:cs="Times New Roman"/>
          <w:i/>
          <w:iCs/>
        </w:rPr>
        <w:t xml:space="preserve"> </w:t>
      </w:r>
    </w:p>
    <w:p w:rsidRPr="0064639C" w:rsidR="001F27FA" w:rsidP="003136E0" w:rsidRDefault="003136E0">
      <w:pPr>
        <w:widowControl w:val="0"/>
        <w:autoSpaceDE w:val="0"/>
        <w:autoSpaceDN w:val="0"/>
        <w:adjustRightInd w:val="0"/>
        <w:spacing w:after="240" w:line="300" w:lineRule="atLeast"/>
        <w:rPr>
          <w:rFonts w:cs="Times New Roman"/>
          <w:iCs/>
        </w:rPr>
      </w:pPr>
      <w:r w:rsidRPr="0064639C">
        <w:rPr>
          <w:rFonts w:cs="Times New Roman"/>
          <w:b/>
          <w:iCs/>
        </w:rPr>
        <w:t>Artikel 15 Comité Uitvoering en Naleving</w:t>
      </w:r>
      <w:r w:rsidRPr="0064639C" w:rsidR="001F27FA">
        <w:rPr>
          <w:rFonts w:cs="Times New Roman"/>
          <w:b/>
          <w:i/>
          <w:iCs/>
        </w:rPr>
        <w:br/>
      </w:r>
      <w:r w:rsidRPr="0064639C" w:rsidR="001F27FA">
        <w:rPr>
          <w:rFonts w:cs="Times New Roman"/>
          <w:iCs/>
        </w:rPr>
        <w:t xml:space="preserve">Het </w:t>
      </w:r>
      <w:r w:rsidR="00E70F06">
        <w:rPr>
          <w:rFonts w:cs="Times New Roman"/>
          <w:iCs/>
        </w:rPr>
        <w:t>V</w:t>
      </w:r>
      <w:r w:rsidRPr="0064639C" w:rsidR="001F27FA">
        <w:rPr>
          <w:rFonts w:cs="Times New Roman"/>
          <w:iCs/>
        </w:rPr>
        <w:t xml:space="preserve">erdrag stelt een </w:t>
      </w:r>
      <w:r w:rsidRPr="0064639C" w:rsidR="00E03EAC">
        <w:rPr>
          <w:rFonts w:cs="Times New Roman"/>
          <w:iCs/>
        </w:rPr>
        <w:t xml:space="preserve">mechanisme in, inclusief een </w:t>
      </w:r>
      <w:r w:rsidR="00182315">
        <w:rPr>
          <w:rFonts w:cs="Times New Roman"/>
          <w:iCs/>
        </w:rPr>
        <w:t>comité</w:t>
      </w:r>
      <w:r w:rsidRPr="0064639C" w:rsidR="00E03EAC">
        <w:rPr>
          <w:rFonts w:cs="Times New Roman"/>
          <w:iCs/>
        </w:rPr>
        <w:t>,</w:t>
      </w:r>
      <w:r w:rsidRPr="0064639C" w:rsidR="001F27FA">
        <w:rPr>
          <w:rFonts w:cs="Times New Roman"/>
          <w:iCs/>
        </w:rPr>
        <w:t xml:space="preserve"> dat de uitvoering </w:t>
      </w:r>
      <w:r w:rsidRPr="0064639C" w:rsidR="00E03EAC">
        <w:rPr>
          <w:rFonts w:cs="Times New Roman"/>
          <w:iCs/>
        </w:rPr>
        <w:t xml:space="preserve">van het Verdrag bevordert </w:t>
      </w:r>
      <w:r w:rsidRPr="0064639C" w:rsidR="001F27FA">
        <w:rPr>
          <w:rFonts w:cs="Times New Roman"/>
          <w:iCs/>
        </w:rPr>
        <w:t>en de naleving van het Verdrag</w:t>
      </w:r>
      <w:r w:rsidRPr="0064639C" w:rsidR="00E03EAC">
        <w:rPr>
          <w:rFonts w:cs="Times New Roman"/>
          <w:iCs/>
        </w:rPr>
        <w:t xml:space="preserve"> toetst</w:t>
      </w:r>
      <w:r w:rsidR="00182315">
        <w:rPr>
          <w:rFonts w:cs="Times New Roman"/>
          <w:iCs/>
        </w:rPr>
        <w:t>. Het comité</w:t>
      </w:r>
      <w:r w:rsidRPr="0064639C" w:rsidR="001F27FA">
        <w:rPr>
          <w:rFonts w:cs="Times New Roman"/>
          <w:iCs/>
        </w:rPr>
        <w:t xml:space="preserve"> zal de CoP ook ondersteunen.</w:t>
      </w:r>
      <w:r w:rsidR="00182315">
        <w:rPr>
          <w:rFonts w:cs="Times New Roman"/>
          <w:iCs/>
        </w:rPr>
        <w:t xml:space="preserve"> Het comité</w:t>
      </w:r>
      <w:r w:rsidRPr="0064639C" w:rsidR="00E03EAC">
        <w:rPr>
          <w:rFonts w:cs="Times New Roman"/>
          <w:iCs/>
        </w:rPr>
        <w:t xml:space="preserve"> onderzoekt individuele of systematische kwesties van uitvoering of naleving en kan aanbevelingen doen aan de CoP. Een dergelijk mechanisme is gebruikelijk bij </w:t>
      </w:r>
      <w:r w:rsidR="00241ECB">
        <w:rPr>
          <w:rFonts w:cs="Times New Roman"/>
          <w:iCs/>
        </w:rPr>
        <w:t>v</w:t>
      </w:r>
      <w:r w:rsidRPr="0064639C" w:rsidR="00E03EAC">
        <w:rPr>
          <w:rFonts w:cs="Times New Roman"/>
          <w:iCs/>
        </w:rPr>
        <w:t>erdragen</w:t>
      </w:r>
      <w:r w:rsidRPr="0064639C" w:rsidR="00775FFE">
        <w:rPr>
          <w:rFonts w:cs="Times New Roman"/>
          <w:iCs/>
        </w:rPr>
        <w:t xml:space="preserve"> van de Verenigde Naties (waar UNEP deel van uitmaakt)</w:t>
      </w:r>
      <w:r w:rsidRPr="0064639C" w:rsidR="00E03EAC">
        <w:rPr>
          <w:rFonts w:cs="Times New Roman"/>
          <w:iCs/>
        </w:rPr>
        <w:t xml:space="preserve">. </w:t>
      </w:r>
      <w:r w:rsidRPr="0064639C" w:rsidR="00775FFE">
        <w:rPr>
          <w:rFonts w:cs="Times New Roman"/>
          <w:iCs/>
        </w:rPr>
        <w:t>Het comité kan zich buigen over kwesties op basis van schriftelijke inzendingen van een partij inzake haar eigen naleving, nationale verslagen in overeenstemming met artikel 21 en verzoeken van de Co</w:t>
      </w:r>
      <w:r w:rsidRPr="0064639C" w:rsidR="007972F3">
        <w:rPr>
          <w:rFonts w:cs="Times New Roman"/>
          <w:iCs/>
        </w:rPr>
        <w:t>P.</w:t>
      </w:r>
    </w:p>
    <w:p w:rsidRPr="0064639C" w:rsidR="003136E0" w:rsidP="003136E0" w:rsidRDefault="003136E0">
      <w:pPr>
        <w:widowControl w:val="0"/>
        <w:autoSpaceDE w:val="0"/>
        <w:autoSpaceDN w:val="0"/>
        <w:adjustRightInd w:val="0"/>
        <w:spacing w:after="240" w:line="300" w:lineRule="atLeast"/>
        <w:rPr>
          <w:rFonts w:cs="Times New Roman"/>
          <w:i/>
          <w:iCs/>
        </w:rPr>
      </w:pPr>
      <w:r w:rsidRPr="00C528D2">
        <w:rPr>
          <w:rFonts w:cs="Times New Roman"/>
          <w:b/>
          <w:iCs/>
        </w:rPr>
        <w:t>Artikel 16</w:t>
      </w:r>
      <w:r w:rsidRPr="0064639C">
        <w:rPr>
          <w:rFonts w:cs="Times New Roman"/>
          <w:iCs/>
        </w:rPr>
        <w:t xml:space="preserve"> </w:t>
      </w:r>
      <w:r w:rsidR="00E70F06">
        <w:rPr>
          <w:rFonts w:cs="Times New Roman"/>
          <w:iCs/>
        </w:rPr>
        <w:t>m</w:t>
      </w:r>
      <w:r w:rsidR="008C4BB8">
        <w:rPr>
          <w:rFonts w:cs="Times New Roman"/>
          <w:iCs/>
        </w:rPr>
        <w:t>oedigt partijen aan strategieën te ontwikkelen met betrekking tot de g</w:t>
      </w:r>
      <w:r w:rsidRPr="008C4BB8">
        <w:rPr>
          <w:rFonts w:cs="Times New Roman"/>
          <w:iCs/>
        </w:rPr>
        <w:t>ezondheidsaspecten</w:t>
      </w:r>
      <w:r w:rsidRPr="0064639C">
        <w:rPr>
          <w:rFonts w:cs="Times New Roman"/>
          <w:i/>
          <w:iCs/>
        </w:rPr>
        <w:t xml:space="preserve"> </w:t>
      </w:r>
      <w:r w:rsidR="008C4BB8">
        <w:rPr>
          <w:rFonts w:cs="Times New Roman"/>
          <w:iCs/>
        </w:rPr>
        <w:t>van blootstelling aan kwik en kwikverbindingen.</w:t>
      </w:r>
    </w:p>
    <w:p w:rsidR="00F47A09" w:rsidP="002C7955" w:rsidRDefault="003136E0">
      <w:pPr>
        <w:widowControl w:val="0"/>
        <w:autoSpaceDE w:val="0"/>
        <w:autoSpaceDN w:val="0"/>
        <w:adjustRightInd w:val="0"/>
        <w:spacing w:after="240" w:line="300" w:lineRule="atLeast"/>
        <w:rPr>
          <w:rFonts w:cs="Times New Roman"/>
          <w:iCs/>
        </w:rPr>
      </w:pPr>
      <w:r w:rsidRPr="0064639C">
        <w:rPr>
          <w:rFonts w:cs="Times New Roman"/>
          <w:b/>
          <w:iCs/>
        </w:rPr>
        <w:t>Artikel 17 Uitwisseling van informatie</w:t>
      </w:r>
      <w:r w:rsidRPr="0064639C">
        <w:rPr>
          <w:rFonts w:cs="Times New Roman"/>
          <w:iCs/>
        </w:rPr>
        <w:t xml:space="preserve"> </w:t>
      </w:r>
      <w:r w:rsidRPr="0064639C" w:rsidR="002C7955">
        <w:rPr>
          <w:rFonts w:cs="Times New Roman"/>
          <w:iCs/>
        </w:rPr>
        <w:br/>
        <w:t xml:space="preserve">Partijen moeten zich inspannen om uitwisseling van informatie over kwik en kwikverbindingen te vergemakkelijken. Hierbij moet gedacht worden aan wetenschappelijke, technische, economische en juridische informatie, informatie over de vermindering of uitbanning van de productie, het gebruik, </w:t>
      </w:r>
    </w:p>
    <w:p w:rsidRPr="0064639C" w:rsidR="00A74759" w:rsidP="002C7955" w:rsidRDefault="002C7955">
      <w:pPr>
        <w:widowControl w:val="0"/>
        <w:autoSpaceDE w:val="0"/>
        <w:autoSpaceDN w:val="0"/>
        <w:adjustRightInd w:val="0"/>
        <w:spacing w:after="240" w:line="300" w:lineRule="atLeast"/>
        <w:rPr>
          <w:rFonts w:cs="Times New Roman"/>
          <w:iCs/>
        </w:rPr>
      </w:pPr>
      <w:r w:rsidRPr="0064639C">
        <w:rPr>
          <w:rFonts w:cs="Times New Roman"/>
          <w:iCs/>
        </w:rPr>
        <w:lastRenderedPageBreak/>
        <w:t>emissies en lozingen van kwik en kwikverbindingen en de handel daarin, informatie over technisch en economisch haalbare alternatieven en epidemiologische informatie over gevolgen voor de gezondheid die in verband worden gebracht met blootstelling aan kwik en kwikverbindingen.</w:t>
      </w:r>
      <w:r w:rsidRPr="0064639C" w:rsidR="002F30E9">
        <w:rPr>
          <w:rFonts w:cs="Times New Roman"/>
          <w:iCs/>
        </w:rPr>
        <w:br/>
      </w:r>
      <w:r w:rsidRPr="0064639C" w:rsidR="00182315">
        <w:rPr>
          <w:rFonts w:cs="Times New Roman"/>
          <w:iCs/>
        </w:rPr>
        <w:t xml:space="preserve">Daarnaast moet elke partij een nationaal contactpunt aanwijzen voor de uitwisseling van informatie krachtens dit Verdrag, </w:t>
      </w:r>
      <w:r w:rsidR="00182315">
        <w:rPr>
          <w:rFonts w:cs="Times New Roman"/>
          <w:iCs/>
        </w:rPr>
        <w:t xml:space="preserve">onder meer </w:t>
      </w:r>
      <w:r w:rsidRPr="0064639C" w:rsidR="00182315">
        <w:rPr>
          <w:rFonts w:cs="Times New Roman"/>
          <w:iCs/>
        </w:rPr>
        <w:t xml:space="preserve">met betrekking tot de toestemming van importerende partijen genoemd in artikel 3. Het vijfde lid bepaalt dat, voor de toepassing van dit Verdrag, informatie inzake de gezondheid en veiligheid van de mens en inzake milieu niet als vertrouwelijk wordt aangemerkt. Andere informatie die tussen partijen op basis van het Verdrag wordt uitgewisseld moet worden beschermd op een wijze die tussen partijen onderling is afgesproken. </w:t>
      </w:r>
    </w:p>
    <w:p w:rsidRPr="0064639C" w:rsidR="003A35A9" w:rsidP="003136E0" w:rsidRDefault="003136E0">
      <w:pPr>
        <w:widowControl w:val="0"/>
        <w:autoSpaceDE w:val="0"/>
        <w:autoSpaceDN w:val="0"/>
        <w:adjustRightInd w:val="0"/>
        <w:spacing w:after="240" w:line="300" w:lineRule="atLeast"/>
        <w:rPr>
          <w:rFonts w:cs="Times New Roman"/>
          <w:i/>
          <w:iCs/>
        </w:rPr>
      </w:pPr>
      <w:r w:rsidRPr="00C528D2">
        <w:rPr>
          <w:rFonts w:cs="Times New Roman"/>
          <w:b/>
          <w:iCs/>
        </w:rPr>
        <w:t>Artikel 18</w:t>
      </w:r>
      <w:r w:rsidRPr="0064639C">
        <w:rPr>
          <w:rFonts w:cs="Times New Roman"/>
          <w:iCs/>
        </w:rPr>
        <w:t xml:space="preserve"> </w:t>
      </w:r>
      <w:r w:rsidRPr="0064639C" w:rsidR="003A35A9">
        <w:rPr>
          <w:rFonts w:cs="Times New Roman"/>
          <w:iCs/>
        </w:rPr>
        <w:t xml:space="preserve">verplicht partijen om informatievoorziening, bewustmaking en voorlichting van het publiek over onder meer de gevolgen van kwik en kwikverbindingen voor de gezondheid en milieu te bevorderen en te vergemakkelijken. </w:t>
      </w:r>
    </w:p>
    <w:p w:rsidRPr="0064639C" w:rsidR="003136E0" w:rsidP="003136E0" w:rsidRDefault="003136E0">
      <w:pPr>
        <w:widowControl w:val="0"/>
        <w:autoSpaceDE w:val="0"/>
        <w:autoSpaceDN w:val="0"/>
        <w:adjustRightInd w:val="0"/>
        <w:spacing w:after="240" w:line="300" w:lineRule="atLeast"/>
        <w:rPr>
          <w:rFonts w:cs="Times New Roman"/>
          <w:iCs/>
        </w:rPr>
      </w:pPr>
      <w:r w:rsidRPr="00C528D2">
        <w:rPr>
          <w:rFonts w:cs="Times New Roman"/>
          <w:b/>
          <w:iCs/>
        </w:rPr>
        <w:t xml:space="preserve">Artikel 19 </w:t>
      </w:r>
      <w:r w:rsidRPr="0064639C" w:rsidR="002E2EE8">
        <w:rPr>
          <w:rFonts w:cs="Times New Roman"/>
          <w:iCs/>
        </w:rPr>
        <w:t>moedigt partijen aan om samen te werken op het gebied van o</w:t>
      </w:r>
      <w:r w:rsidRPr="0064639C">
        <w:rPr>
          <w:rFonts w:cs="Times New Roman"/>
          <w:iCs/>
        </w:rPr>
        <w:t>nderzoek, ontwikkeling en monitoring</w:t>
      </w:r>
      <w:r w:rsidRPr="0064639C" w:rsidR="002E2EE8">
        <w:rPr>
          <w:rFonts w:cs="Times New Roman"/>
          <w:iCs/>
        </w:rPr>
        <w:t>.</w:t>
      </w:r>
      <w:r w:rsidRPr="0064639C">
        <w:rPr>
          <w:rFonts w:cs="Times New Roman"/>
          <w:iCs/>
        </w:rPr>
        <w:t xml:space="preserve"> </w:t>
      </w:r>
    </w:p>
    <w:p w:rsidR="002E2EE8" w:rsidP="009B2280" w:rsidRDefault="003136E0">
      <w:pPr>
        <w:widowControl w:val="0"/>
        <w:autoSpaceDE w:val="0"/>
        <w:autoSpaceDN w:val="0"/>
        <w:adjustRightInd w:val="0"/>
        <w:spacing w:after="240" w:line="300" w:lineRule="atLeast"/>
        <w:rPr>
          <w:rFonts w:cs="Times New Roman"/>
          <w:iCs/>
        </w:rPr>
      </w:pPr>
      <w:r w:rsidRPr="0064639C">
        <w:rPr>
          <w:rFonts w:cs="Times New Roman"/>
          <w:b/>
          <w:iCs/>
        </w:rPr>
        <w:t>Artikel 20 Uitvoeringsplannen</w:t>
      </w:r>
      <w:r w:rsidRPr="0064639C">
        <w:rPr>
          <w:rFonts w:cs="Times New Roman"/>
          <w:iCs/>
        </w:rPr>
        <w:t xml:space="preserve"> </w:t>
      </w:r>
      <w:r w:rsidRPr="0064639C" w:rsidR="002E2EE8">
        <w:rPr>
          <w:rFonts w:cs="Times New Roman"/>
          <w:iCs/>
        </w:rPr>
        <w:br/>
        <w:t xml:space="preserve">Dit artikel geeft partijen, na een eerste beoordeling, de mogelijkheid om aan hun verdragsverplichtingen te voldoen via een uitvoeringsplan. Een dergelijk plan moet worden gedeeld met het Secretariaat. </w:t>
      </w:r>
      <w:r w:rsidRPr="0064639C" w:rsidR="009B2280">
        <w:rPr>
          <w:rFonts w:cs="Times New Roman"/>
          <w:iCs/>
        </w:rPr>
        <w:t>Het uitvoering</w:t>
      </w:r>
      <w:r w:rsidR="00B152B8">
        <w:rPr>
          <w:rFonts w:cs="Times New Roman"/>
          <w:iCs/>
        </w:rPr>
        <w:t>s</w:t>
      </w:r>
      <w:r w:rsidRPr="0064639C" w:rsidR="009B2280">
        <w:rPr>
          <w:rFonts w:cs="Times New Roman"/>
          <w:iCs/>
        </w:rPr>
        <w:t>plan kan te allen tijde worden aangepast aan ontwikkelingen. Bij het opstellen en aanpassen van het uitvoeringsplan moeten nationale belanghebbenden geconsulteerd worden. Het is mogelijk uitvoeringsplannen regionaal op elkaar af te stemmen.</w:t>
      </w:r>
      <w:r w:rsidRPr="0064639C" w:rsidR="002E2EE8">
        <w:rPr>
          <w:rFonts w:cs="Times New Roman"/>
          <w:iCs/>
        </w:rPr>
        <w:t xml:space="preserve"> </w:t>
      </w:r>
    </w:p>
    <w:p w:rsidR="00182315" w:rsidP="00182315" w:rsidRDefault="009B2280">
      <w:pPr>
        <w:spacing w:before="120" w:line="360" w:lineRule="auto"/>
        <w:rPr>
          <w:rFonts w:cs="Times New Roman"/>
          <w:iCs/>
        </w:rPr>
      </w:pPr>
      <w:r w:rsidRPr="0064639C">
        <w:rPr>
          <w:rFonts w:cs="Times New Roman"/>
          <w:b/>
          <w:iCs/>
        </w:rPr>
        <w:t xml:space="preserve">Artikel 21 </w:t>
      </w:r>
      <w:r w:rsidRPr="0064639C" w:rsidR="0067496A">
        <w:rPr>
          <w:rFonts w:cs="Times New Roman"/>
          <w:b/>
          <w:iCs/>
        </w:rPr>
        <w:t>Verslaglegging</w:t>
      </w:r>
      <w:r w:rsidRPr="0064639C" w:rsidR="0067496A">
        <w:rPr>
          <w:rFonts w:cs="Times New Roman"/>
          <w:iCs/>
        </w:rPr>
        <w:br/>
      </w:r>
      <w:r w:rsidRPr="0064639C" w:rsidR="00182315">
        <w:rPr>
          <w:rFonts w:cs="Times New Roman"/>
          <w:iCs/>
        </w:rPr>
        <w:t>Dit artikel bevat de verplichting voor partijen om –via het Secretariaat- aan de CoP te rapporteren over de genomen maatregelen ter uitvoering van het Verdrag, de doeltreffendheid van de maatregelen en de mogelijke uitdagingen bij het bereiken van de doelstellingen van het Verdrag. In het bijzonder moet worden gerapporteerd over de informatie die gevraagd wordt in de artikelen 3 (informatie waaruit blijkt dat aan de basisverplichtingen is voldaan), 5 (maatregelen om emissies en lozingen van kwik of kwikverbindingen door faciliteiten waar kwik of kwikverbindingen worden gebruikt bij de in Bijlage B vermelde productieprocessen), 7 (toetsing van de voortgang die is geboekt bij het aanpakken van emissies en lozingen in het milieu als gevolg van goudwinning), 8 (informatie over de maatregelen ter verminderin</w:t>
      </w:r>
      <w:r w:rsidR="00182315">
        <w:rPr>
          <w:rFonts w:cs="Times New Roman"/>
          <w:iCs/>
        </w:rPr>
        <w:t>g</w:t>
      </w:r>
      <w:r w:rsidRPr="0064639C" w:rsidR="00182315">
        <w:rPr>
          <w:rFonts w:cs="Times New Roman"/>
          <w:iCs/>
        </w:rPr>
        <w:t xml:space="preserve"> van de emissies van kwik en kwikverbindingen en de effectiviteit van die maatregelen) en 9 (genomen maatregelen en effectiviteit daarvan om lozingen van kwik en kwikverbindingen in de bodem en het water te beheersen en verminderen).</w:t>
      </w:r>
    </w:p>
    <w:p w:rsidR="00F47A09" w:rsidP="002718DD" w:rsidRDefault="00182315">
      <w:pPr>
        <w:spacing w:before="120" w:line="360" w:lineRule="auto"/>
        <w:rPr>
          <w:rFonts w:cs="Times New Roman"/>
          <w:iCs/>
        </w:rPr>
      </w:pPr>
      <w:r w:rsidRPr="0064639C">
        <w:rPr>
          <w:rFonts w:cs="Times New Roman"/>
          <w:iCs/>
        </w:rPr>
        <w:t>Het Comit</w:t>
      </w:r>
      <w:r>
        <w:rPr>
          <w:rFonts w:cs="Times New Roman"/>
          <w:iCs/>
        </w:rPr>
        <w:t>é</w:t>
      </w:r>
      <w:r w:rsidRPr="0064639C">
        <w:rPr>
          <w:rFonts w:cs="Times New Roman"/>
          <w:iCs/>
        </w:rPr>
        <w:t xml:space="preserve"> van Uitvoering en Naleving gebruikt deze nationale verslagen ter beoordeling van de uitvoering en naleving van het Verdrag (artikel 15).</w:t>
      </w:r>
      <w:r>
        <w:rPr>
          <w:rFonts w:cs="Times New Roman"/>
          <w:iCs/>
        </w:rPr>
        <w:br/>
      </w:r>
      <w:r>
        <w:rPr>
          <w:rFonts w:cs="Times New Roman"/>
          <w:iCs/>
        </w:rPr>
        <w:br/>
      </w:r>
      <w:r w:rsidRPr="0064639C" w:rsidR="003136E0">
        <w:rPr>
          <w:rFonts w:cs="Times New Roman"/>
          <w:b/>
          <w:iCs/>
        </w:rPr>
        <w:t>Artikel 22 Evaluatie van de doeltreffendheid</w:t>
      </w:r>
      <w:r w:rsidRPr="0064639C" w:rsidR="003136E0">
        <w:rPr>
          <w:rFonts w:cs="Times New Roman"/>
          <w:iCs/>
        </w:rPr>
        <w:t xml:space="preserve"> </w:t>
      </w:r>
      <w:r w:rsidRPr="0064639C" w:rsidR="009E0D14">
        <w:rPr>
          <w:rFonts w:cs="Times New Roman"/>
          <w:iCs/>
        </w:rPr>
        <w:br/>
        <w:t>De CoP evalueert de doeltreffendheid van het Verdrag</w:t>
      </w:r>
      <w:r w:rsidR="002718DD">
        <w:rPr>
          <w:rFonts w:cs="Times New Roman"/>
          <w:iCs/>
        </w:rPr>
        <w:t>, v</w:t>
      </w:r>
      <w:r w:rsidRPr="0064639C" w:rsidR="009E0D14">
        <w:rPr>
          <w:rFonts w:cs="Times New Roman"/>
          <w:iCs/>
        </w:rPr>
        <w:t>oor het eerst uiterlijk zes jaar na inwerkingtreding van het Verdrag; daarna periodiek.</w:t>
      </w:r>
      <w:r w:rsidR="000B5B4A">
        <w:rPr>
          <w:rFonts w:cs="Times New Roman"/>
          <w:iCs/>
        </w:rPr>
        <w:br/>
      </w:r>
      <w:r w:rsidR="000B5B4A">
        <w:rPr>
          <w:rFonts w:cs="Times New Roman"/>
          <w:iCs/>
        </w:rPr>
        <w:br/>
      </w:r>
      <w:r w:rsidRPr="0064639C" w:rsidR="003136E0">
        <w:rPr>
          <w:rFonts w:cs="Times New Roman"/>
          <w:b/>
          <w:iCs/>
        </w:rPr>
        <w:t xml:space="preserve">Artikel 23 Conferentie van de partijen </w:t>
      </w:r>
      <w:r w:rsidRPr="0064639C" w:rsidR="009E0D14">
        <w:rPr>
          <w:rFonts w:cs="Times New Roman"/>
          <w:b/>
          <w:iCs/>
        </w:rPr>
        <w:t>(CoP)</w:t>
      </w:r>
      <w:r w:rsidRPr="0064639C" w:rsidR="009E0D14">
        <w:rPr>
          <w:rFonts w:cs="Times New Roman"/>
          <w:iCs/>
        </w:rPr>
        <w:br/>
      </w:r>
      <w:r w:rsidRPr="0064639C" w:rsidR="002718DD">
        <w:rPr>
          <w:rFonts w:cs="Times New Roman"/>
          <w:iCs/>
        </w:rPr>
        <w:t>De eerste vergadering van de CoP zal plaatsvinden uiterlijk een jaar na inwerkingtreding van het Verdrag. Tijdens die eerste vergadering zal de CoP onder andere nadere richt</w:t>
      </w:r>
      <w:r w:rsidR="002718DD">
        <w:rPr>
          <w:rFonts w:cs="Times New Roman"/>
          <w:iCs/>
        </w:rPr>
        <w:t>snoer</w:t>
      </w:r>
      <w:r w:rsidRPr="0064639C" w:rsidR="002718DD">
        <w:rPr>
          <w:rFonts w:cs="Times New Roman"/>
          <w:iCs/>
        </w:rPr>
        <w:t xml:space="preserve">en aannemen ter uitvoering van het </w:t>
      </w:r>
      <w:r w:rsidR="00784544">
        <w:rPr>
          <w:rFonts w:cs="Times New Roman"/>
          <w:iCs/>
        </w:rPr>
        <w:t>V</w:t>
      </w:r>
      <w:r w:rsidRPr="0064639C" w:rsidR="002718DD">
        <w:rPr>
          <w:rFonts w:cs="Times New Roman"/>
          <w:iCs/>
        </w:rPr>
        <w:t xml:space="preserve">erdrag. De CoP evalueert en toetst de uitvoering van het </w:t>
      </w:r>
      <w:r w:rsidR="00784544">
        <w:rPr>
          <w:rFonts w:cs="Times New Roman"/>
          <w:iCs/>
        </w:rPr>
        <w:t>V</w:t>
      </w:r>
      <w:r w:rsidRPr="0064639C" w:rsidR="002718DD">
        <w:rPr>
          <w:rFonts w:cs="Times New Roman"/>
          <w:iCs/>
        </w:rPr>
        <w:t xml:space="preserve">erdrag, onder meer door </w:t>
      </w:r>
    </w:p>
    <w:p w:rsidR="002718DD" w:rsidP="002718DD" w:rsidRDefault="002718DD">
      <w:pPr>
        <w:spacing w:before="120" w:line="360" w:lineRule="auto"/>
        <w:rPr>
          <w:rFonts w:cs="Times New Roman"/>
          <w:iCs/>
        </w:rPr>
      </w:pPr>
      <w:bookmarkStart w:name="_GoBack" w:id="0"/>
      <w:bookmarkEnd w:id="0"/>
      <w:r w:rsidRPr="0064639C">
        <w:rPr>
          <w:rFonts w:cs="Times New Roman"/>
          <w:iCs/>
        </w:rPr>
        <w:lastRenderedPageBreak/>
        <w:t>de aanbevelingen van het Comit</w:t>
      </w:r>
      <w:r>
        <w:rPr>
          <w:rFonts w:cs="Times New Roman"/>
          <w:iCs/>
        </w:rPr>
        <w:t>é</w:t>
      </w:r>
      <w:r w:rsidRPr="0064639C">
        <w:rPr>
          <w:rFonts w:cs="Times New Roman"/>
          <w:iCs/>
        </w:rPr>
        <w:t xml:space="preserve"> Uitvoering en Naleving te onderzoeken en de nationale verslagen te toetsen. De CoP kan aanvullende maatregelen nemen om de uitvoering van het Verdrag te bevorderen en ook Bijlagen A en B </w:t>
      </w:r>
      <w:r>
        <w:rPr>
          <w:rFonts w:cs="Times New Roman"/>
          <w:iCs/>
        </w:rPr>
        <w:t>evalueren</w:t>
      </w:r>
      <w:r w:rsidRPr="0064639C">
        <w:rPr>
          <w:rFonts w:cs="Times New Roman"/>
          <w:iCs/>
        </w:rPr>
        <w:t xml:space="preserve"> om te zien of wijzigingen daarvan wenselijk zijn. </w:t>
      </w:r>
    </w:p>
    <w:p w:rsidRPr="009D0FBF" w:rsidR="009D0FBF" w:rsidP="000B5B4A" w:rsidRDefault="008C4BB8">
      <w:pPr>
        <w:spacing w:before="120" w:line="360" w:lineRule="auto"/>
        <w:rPr>
          <w:rFonts w:cs="Times New Roman"/>
          <w:b/>
          <w:bCs/>
        </w:rPr>
      </w:pPr>
      <w:r w:rsidRPr="00951F6A">
        <w:rPr>
          <w:rFonts w:cs="Times New Roman"/>
          <w:b/>
          <w:iCs/>
        </w:rPr>
        <w:t>Artikel 24</w:t>
      </w:r>
      <w:r w:rsidR="00951F6A">
        <w:rPr>
          <w:rFonts w:cs="Times New Roman"/>
          <w:iCs/>
        </w:rPr>
        <w:t xml:space="preserve"> stelt een Secretariaat in ter ondersteuning van de CoP en de partijen bij de uitvoering van het Verdrag. De secretariaatstaken worden </w:t>
      </w:r>
      <w:r w:rsidRPr="00951F6A" w:rsidR="00951F6A">
        <w:rPr>
          <w:rFonts w:cs="Times New Roman"/>
          <w:iCs/>
        </w:rPr>
        <w:t>uitgevoerd door de Uitvoerend Directeur van het Milieuprogramma van de Verenigde Naties</w:t>
      </w:r>
      <w:r w:rsidR="00921ADF">
        <w:rPr>
          <w:rFonts w:cs="Times New Roman"/>
          <w:iCs/>
        </w:rPr>
        <w:t>.</w:t>
      </w:r>
      <w:r w:rsidR="000B5B4A">
        <w:rPr>
          <w:rFonts w:cs="Times New Roman"/>
          <w:iCs/>
        </w:rPr>
        <w:br/>
      </w:r>
      <w:r w:rsidR="000B5B4A">
        <w:rPr>
          <w:rFonts w:cs="Times New Roman"/>
          <w:iCs/>
        </w:rPr>
        <w:br/>
      </w:r>
      <w:r w:rsidRPr="002776D9" w:rsidR="002776D9">
        <w:rPr>
          <w:rFonts w:cs="Times New Roman"/>
          <w:b/>
          <w:bCs/>
        </w:rPr>
        <w:t>Artikel 25</w:t>
      </w:r>
      <w:r w:rsidR="002776D9">
        <w:rPr>
          <w:rFonts w:cs="Times New Roman"/>
          <w:bCs/>
        </w:rPr>
        <w:t xml:space="preserve"> </w:t>
      </w:r>
      <w:r w:rsidRPr="009D0FBF" w:rsidR="009D0FBF">
        <w:rPr>
          <w:rFonts w:cs="Times New Roman"/>
          <w:b/>
          <w:bCs/>
        </w:rPr>
        <w:t>Beslechting van geschillen</w:t>
      </w:r>
    </w:p>
    <w:p w:rsidRPr="002776D9" w:rsidR="002776D9" w:rsidP="000B5B4A" w:rsidRDefault="009D0FBF">
      <w:pPr>
        <w:spacing w:before="120" w:line="360" w:lineRule="auto"/>
        <w:rPr>
          <w:rFonts w:cs="Times New Roman"/>
          <w:bCs/>
        </w:rPr>
      </w:pPr>
      <w:r>
        <w:rPr>
          <w:rFonts w:cs="Times New Roman"/>
          <w:bCs/>
        </w:rPr>
        <w:t>P</w:t>
      </w:r>
      <w:r w:rsidR="002776D9">
        <w:rPr>
          <w:rFonts w:cs="Times New Roman"/>
          <w:bCs/>
        </w:rPr>
        <w:t xml:space="preserve">artijen </w:t>
      </w:r>
      <w:r>
        <w:rPr>
          <w:rFonts w:cs="Times New Roman"/>
          <w:bCs/>
        </w:rPr>
        <w:t xml:space="preserve">hebben </w:t>
      </w:r>
      <w:r w:rsidR="002776D9">
        <w:rPr>
          <w:rFonts w:cs="Times New Roman"/>
          <w:bCs/>
        </w:rPr>
        <w:t xml:space="preserve">de mogelijkheid </w:t>
      </w:r>
      <w:r w:rsidR="000A4F6C">
        <w:rPr>
          <w:rFonts w:cs="Times New Roman"/>
          <w:bCs/>
        </w:rPr>
        <w:t xml:space="preserve">een verklaring af te leggen waarbij zij zich bij voorbaat verplichten tegenover partijen die een gelijke verklaring hebben afgelegd, </w:t>
      </w:r>
      <w:r w:rsidR="002776D9">
        <w:rPr>
          <w:rFonts w:cs="Times New Roman"/>
          <w:bCs/>
        </w:rPr>
        <w:t xml:space="preserve">een </w:t>
      </w:r>
      <w:r w:rsidR="000A4F6C">
        <w:rPr>
          <w:rFonts w:cs="Times New Roman"/>
          <w:bCs/>
        </w:rPr>
        <w:t xml:space="preserve">eventueel </w:t>
      </w:r>
      <w:r w:rsidR="002776D9">
        <w:rPr>
          <w:rFonts w:cs="Times New Roman"/>
          <w:bCs/>
        </w:rPr>
        <w:t>geschil over</w:t>
      </w:r>
      <w:r w:rsidRPr="0015288D" w:rsidR="002776D9">
        <w:rPr>
          <w:rFonts w:cs="Times New Roman"/>
          <w:bCs/>
        </w:rPr>
        <w:t xml:space="preserve"> de uitleg o</w:t>
      </w:r>
      <w:r w:rsidR="002776D9">
        <w:rPr>
          <w:rFonts w:cs="Times New Roman"/>
          <w:bCs/>
        </w:rPr>
        <w:t xml:space="preserve">f de toepassing van dit Verdrag </w:t>
      </w:r>
      <w:r w:rsidR="000A4F6C">
        <w:rPr>
          <w:rFonts w:cs="Times New Roman"/>
          <w:bCs/>
        </w:rPr>
        <w:t xml:space="preserve">voor te leggen aan </w:t>
      </w:r>
      <w:r w:rsidR="002776D9">
        <w:rPr>
          <w:rFonts w:cs="Times New Roman"/>
          <w:bCs/>
        </w:rPr>
        <w:t>het Internationaal Gerechtshof</w:t>
      </w:r>
      <w:r w:rsidR="000A4F6C">
        <w:rPr>
          <w:rFonts w:cs="Times New Roman"/>
          <w:bCs/>
        </w:rPr>
        <w:t>, of te onderwerpen aan arbitrage, dan wel een keuze voor beide vormen van geschillenbeslechting.</w:t>
      </w:r>
      <w:r w:rsidR="002776D9">
        <w:rPr>
          <w:rFonts w:cs="Times New Roman"/>
          <w:bCs/>
        </w:rPr>
        <w:t xml:space="preserve"> In het geval partijen een verschillende voorkeur hebben gekozen en zij er niet door onderhandeling of ander vreedzaam overleg uit kunnen komen, kan een conciliatieprocedure wordt gevolgd. Bijlage E bevat de regels voor deze a</w:t>
      </w:r>
      <w:r w:rsidRPr="0015288D" w:rsidR="002776D9">
        <w:rPr>
          <w:rFonts w:cs="Times New Roman"/>
          <w:bCs/>
        </w:rPr>
        <w:t>rbitrage- en conciliatieprocedures</w:t>
      </w:r>
      <w:r w:rsidR="000A4F6C">
        <w:rPr>
          <w:rFonts w:cs="Times New Roman"/>
          <w:bCs/>
        </w:rPr>
        <w:t xml:space="preserve">. </w:t>
      </w:r>
      <w:r w:rsidR="000A4F6C">
        <w:t xml:space="preserve">Het Koninkrijk zal bij aanvaarding van </w:t>
      </w:r>
      <w:r w:rsidR="00DF445E">
        <w:t>het Verdrag</w:t>
      </w:r>
      <w:r w:rsidR="000A4F6C">
        <w:t xml:space="preserve"> voor Europees Nederland een verklaring afleggen</w:t>
      </w:r>
      <w:r w:rsidR="00342BA8">
        <w:t xml:space="preserve">, </w:t>
      </w:r>
      <w:r w:rsidR="00E7270A">
        <w:t>dat beide wijzen van geschillenbeslechting worden aanvaard</w:t>
      </w:r>
      <w:r w:rsidR="000A4F6C">
        <w:t>.</w:t>
      </w:r>
      <w:r w:rsidR="00064C35">
        <w:rPr>
          <w:rStyle w:val="FootnoteReference"/>
        </w:rPr>
        <w:footnoteReference w:id="10"/>
      </w:r>
    </w:p>
    <w:p w:rsidR="00DF445E" w:rsidP="00921ADF" w:rsidRDefault="00022070">
      <w:pPr>
        <w:spacing w:before="120" w:line="360" w:lineRule="auto"/>
        <w:rPr>
          <w:rFonts w:cs="Times New Roman"/>
          <w:iCs/>
        </w:rPr>
      </w:pPr>
      <w:r w:rsidRPr="0064639C">
        <w:rPr>
          <w:rFonts w:cs="Times New Roman"/>
          <w:iCs/>
        </w:rPr>
        <w:br/>
      </w:r>
      <w:r w:rsidRPr="0064639C" w:rsidR="003136E0">
        <w:rPr>
          <w:rFonts w:cs="Times New Roman"/>
          <w:b/>
          <w:iCs/>
        </w:rPr>
        <w:t xml:space="preserve">Artikel 26 Wijzigingen van het Verdrag </w:t>
      </w:r>
      <w:r w:rsidRPr="0064639C">
        <w:rPr>
          <w:rFonts w:cs="Times New Roman"/>
          <w:b/>
          <w:iCs/>
        </w:rPr>
        <w:br/>
      </w:r>
      <w:r w:rsidRPr="0064639C">
        <w:rPr>
          <w:rFonts w:cs="Times New Roman"/>
          <w:iCs/>
        </w:rPr>
        <w:t>Wijzigingen kunnen door elke partij worden v</w:t>
      </w:r>
      <w:r w:rsidR="000A4F6C">
        <w:rPr>
          <w:rFonts w:cs="Times New Roman"/>
          <w:iCs/>
        </w:rPr>
        <w:t xml:space="preserve">oorgesteld </w:t>
      </w:r>
      <w:r w:rsidRPr="0064639C">
        <w:rPr>
          <w:rFonts w:cs="Times New Roman"/>
          <w:iCs/>
        </w:rPr>
        <w:t>e</w:t>
      </w:r>
      <w:r w:rsidRPr="0064639C" w:rsidR="0027581D">
        <w:rPr>
          <w:rFonts w:cs="Times New Roman"/>
          <w:iCs/>
        </w:rPr>
        <w:t xml:space="preserve">n worden door de CoP aangenomen, bij voorkeur bij consensus. Als dat niet lukt, </w:t>
      </w:r>
      <w:r w:rsidR="000A4F6C">
        <w:rPr>
          <w:rFonts w:cs="Times New Roman"/>
          <w:iCs/>
        </w:rPr>
        <w:t xml:space="preserve">kan een </w:t>
      </w:r>
      <w:r w:rsidRPr="0064639C" w:rsidR="0027581D">
        <w:rPr>
          <w:rFonts w:cs="Times New Roman"/>
          <w:iCs/>
        </w:rPr>
        <w:t xml:space="preserve">wijziging uiteindelijk aangenomen </w:t>
      </w:r>
      <w:r w:rsidR="000A4F6C">
        <w:rPr>
          <w:rFonts w:cs="Times New Roman"/>
          <w:iCs/>
        </w:rPr>
        <w:t xml:space="preserve">worden </w:t>
      </w:r>
      <w:r w:rsidRPr="0064639C" w:rsidR="0027581D">
        <w:rPr>
          <w:rFonts w:cs="Times New Roman"/>
          <w:iCs/>
        </w:rPr>
        <w:t xml:space="preserve">met een meerderheid van drie vierden van de stemmen van de op de vergadering aanwezige partijen die hun stem uitbrengen. Een wijziging moet door een partij worden bekrachtigd, aanvaard of goedgekeurd voordat een partij aan die wijziging gebonden kan worden. </w:t>
      </w:r>
      <w:r w:rsidRPr="0064639C" w:rsidR="0027581D">
        <w:rPr>
          <w:rFonts w:cs="Times New Roman"/>
          <w:iCs/>
        </w:rPr>
        <w:br/>
      </w:r>
      <w:r w:rsidRPr="0064639C" w:rsidR="0027581D">
        <w:rPr>
          <w:rFonts w:cs="Times New Roman"/>
          <w:iCs/>
        </w:rPr>
        <w:br/>
      </w:r>
      <w:r w:rsidRPr="0064639C" w:rsidR="003136E0">
        <w:rPr>
          <w:rFonts w:cs="Times New Roman"/>
          <w:b/>
          <w:iCs/>
        </w:rPr>
        <w:t>Artikel 27 Aanneming en wijziging van bijlagen</w:t>
      </w:r>
      <w:r w:rsidRPr="0064639C" w:rsidR="003136E0">
        <w:rPr>
          <w:rFonts w:cs="Times New Roman"/>
          <w:iCs/>
        </w:rPr>
        <w:t xml:space="preserve"> </w:t>
      </w:r>
      <w:r w:rsidRPr="0064639C" w:rsidR="0027581D">
        <w:rPr>
          <w:rFonts w:cs="Times New Roman"/>
          <w:iCs/>
        </w:rPr>
        <w:br/>
      </w:r>
      <w:r w:rsidRPr="0064639C" w:rsidR="00C127B1">
        <w:rPr>
          <w:rFonts w:cs="Times New Roman"/>
          <w:iCs/>
        </w:rPr>
        <w:t>De bijlagen bij het Verdrag maken daarvan integrerend onderdeel uit, maar v</w:t>
      </w:r>
      <w:r w:rsidRPr="0064639C" w:rsidR="0027581D">
        <w:rPr>
          <w:rFonts w:cs="Times New Roman"/>
          <w:iCs/>
        </w:rPr>
        <w:t xml:space="preserve">oor de aanneming en wijziging van bijlagen geldt </w:t>
      </w:r>
      <w:r w:rsidRPr="0064639C" w:rsidR="00124E80">
        <w:rPr>
          <w:rFonts w:cs="Times New Roman"/>
          <w:iCs/>
        </w:rPr>
        <w:t xml:space="preserve">deels </w:t>
      </w:r>
      <w:r w:rsidRPr="0064639C" w:rsidR="0027581D">
        <w:rPr>
          <w:rFonts w:cs="Times New Roman"/>
          <w:iCs/>
        </w:rPr>
        <w:t>een aparte procedure</w:t>
      </w:r>
      <w:r w:rsidR="000A4F6C">
        <w:rPr>
          <w:rFonts w:cs="Times New Roman"/>
          <w:iCs/>
        </w:rPr>
        <w:t xml:space="preserve">. </w:t>
      </w:r>
    </w:p>
    <w:p w:rsidR="00423726" w:rsidP="00921ADF" w:rsidRDefault="0027581D">
      <w:pPr>
        <w:spacing w:before="120" w:line="360" w:lineRule="auto"/>
        <w:rPr>
          <w:rFonts w:cs="Times New Roman"/>
          <w:iCs/>
        </w:rPr>
      </w:pPr>
      <w:r w:rsidRPr="0064639C">
        <w:rPr>
          <w:rFonts w:cs="Times New Roman"/>
          <w:iCs/>
        </w:rPr>
        <w:t>Aanvullende bijlagen</w:t>
      </w:r>
      <w:r w:rsidRPr="0064639C" w:rsidR="00E069D8">
        <w:rPr>
          <w:rFonts w:cs="Times New Roman"/>
          <w:iCs/>
        </w:rPr>
        <w:t>,</w:t>
      </w:r>
      <w:r w:rsidRPr="0064639C">
        <w:rPr>
          <w:rFonts w:cs="Times New Roman"/>
          <w:iCs/>
        </w:rPr>
        <w:t xml:space="preserve"> die </w:t>
      </w:r>
      <w:r w:rsidR="00423726">
        <w:rPr>
          <w:rFonts w:cs="Times New Roman"/>
          <w:iCs/>
        </w:rPr>
        <w:t xml:space="preserve">dus </w:t>
      </w:r>
      <w:r w:rsidRPr="0064639C">
        <w:rPr>
          <w:rFonts w:cs="Times New Roman"/>
          <w:iCs/>
        </w:rPr>
        <w:t>na de inwerkingtreding van het Verdrag worden aangenomen</w:t>
      </w:r>
      <w:r w:rsidRPr="0064639C" w:rsidR="00E069D8">
        <w:rPr>
          <w:rFonts w:cs="Times New Roman"/>
          <w:iCs/>
        </w:rPr>
        <w:t>,</w:t>
      </w:r>
      <w:r w:rsidRPr="0064639C">
        <w:rPr>
          <w:rFonts w:cs="Times New Roman"/>
          <w:iCs/>
        </w:rPr>
        <w:t xml:space="preserve"> mogen alleen betrekking hebben op aangelegenheden van procedurele, wetenschappelijke, technische of administratieve aard</w:t>
      </w:r>
      <w:r w:rsidR="00423726">
        <w:rPr>
          <w:rFonts w:cs="Times New Roman"/>
          <w:iCs/>
        </w:rPr>
        <w:t xml:space="preserve"> (tweede lid)</w:t>
      </w:r>
      <w:r w:rsidRPr="0064639C">
        <w:rPr>
          <w:rFonts w:cs="Times New Roman"/>
          <w:iCs/>
        </w:rPr>
        <w:t xml:space="preserve">. </w:t>
      </w:r>
      <w:r w:rsidR="00423726">
        <w:rPr>
          <w:rFonts w:cs="Times New Roman"/>
          <w:iCs/>
        </w:rPr>
        <w:t>Het derde lid bepaalt dat v</w:t>
      </w:r>
      <w:r w:rsidRPr="0064639C" w:rsidR="00124E80">
        <w:rPr>
          <w:rFonts w:cs="Times New Roman"/>
          <w:iCs/>
        </w:rPr>
        <w:t xml:space="preserve">oor het voorstellen en aannemen van deze </w:t>
      </w:r>
      <w:r w:rsidRPr="0064639C" w:rsidR="00E069D8">
        <w:rPr>
          <w:rFonts w:cs="Times New Roman"/>
          <w:iCs/>
        </w:rPr>
        <w:t xml:space="preserve">aanvullende </w:t>
      </w:r>
      <w:r w:rsidRPr="0064639C" w:rsidR="00124E80">
        <w:rPr>
          <w:rFonts w:cs="Times New Roman"/>
          <w:iCs/>
        </w:rPr>
        <w:t>bijlagen dezel</w:t>
      </w:r>
      <w:r w:rsidRPr="0064639C" w:rsidR="00E069D8">
        <w:rPr>
          <w:rFonts w:cs="Times New Roman"/>
          <w:iCs/>
        </w:rPr>
        <w:t>f</w:t>
      </w:r>
      <w:r w:rsidRPr="0064639C" w:rsidR="00124E80">
        <w:rPr>
          <w:rFonts w:cs="Times New Roman"/>
          <w:iCs/>
        </w:rPr>
        <w:t xml:space="preserve">de procedure </w:t>
      </w:r>
      <w:r w:rsidR="00423726">
        <w:rPr>
          <w:rFonts w:cs="Times New Roman"/>
          <w:iCs/>
        </w:rPr>
        <w:t xml:space="preserve">geldt </w:t>
      </w:r>
      <w:r w:rsidRPr="0064639C" w:rsidR="00124E80">
        <w:rPr>
          <w:rFonts w:cs="Times New Roman"/>
          <w:iCs/>
        </w:rPr>
        <w:t xml:space="preserve">als voor wijzigingen van het Verdrag, zoals opgenomen in artikel 26, eerste tot en met derde lid. </w:t>
      </w:r>
    </w:p>
    <w:p w:rsidR="00F47A09" w:rsidP="00DE7C48" w:rsidRDefault="00423726">
      <w:pPr>
        <w:spacing w:before="120" w:line="360" w:lineRule="auto"/>
        <w:rPr>
          <w:rFonts w:cs="Times New Roman"/>
          <w:iCs/>
        </w:rPr>
      </w:pPr>
      <w:r>
        <w:rPr>
          <w:rFonts w:cs="Times New Roman"/>
          <w:iCs/>
        </w:rPr>
        <w:t>P</w:t>
      </w:r>
      <w:r w:rsidRPr="0064639C" w:rsidR="00A21BD8">
        <w:rPr>
          <w:rFonts w:cs="Times New Roman"/>
          <w:iCs/>
        </w:rPr>
        <w:t xml:space="preserve">artijen </w:t>
      </w:r>
      <w:r>
        <w:rPr>
          <w:rFonts w:cs="Times New Roman"/>
          <w:iCs/>
        </w:rPr>
        <w:t xml:space="preserve">kunnen op de volgende wijze </w:t>
      </w:r>
      <w:r w:rsidRPr="0064639C" w:rsidR="00A21BD8">
        <w:rPr>
          <w:rFonts w:cs="Times New Roman"/>
          <w:iCs/>
        </w:rPr>
        <w:t>aan deze aanvullende bijlagen worden gebonden</w:t>
      </w:r>
      <w:r w:rsidR="00DF445E">
        <w:rPr>
          <w:rFonts w:cs="Times New Roman"/>
          <w:iCs/>
        </w:rPr>
        <w:t>.</w:t>
      </w:r>
      <w:r w:rsidRPr="0064639C" w:rsidR="00A21BD8">
        <w:rPr>
          <w:rFonts w:cs="Times New Roman"/>
          <w:iCs/>
        </w:rPr>
        <w:t xml:space="preserve"> </w:t>
      </w:r>
      <w:r w:rsidRPr="0064639C" w:rsidR="00A21BD8">
        <w:rPr>
          <w:rFonts w:cs="Times New Roman"/>
          <w:iCs/>
        </w:rPr>
        <w:br/>
        <w:t>Een partij die niet aan de aanvullende bijlage wenst te worden gebonden, kan binnen een jaar n</w:t>
      </w:r>
      <w:r w:rsidRPr="0064639C" w:rsidR="00E069D8">
        <w:rPr>
          <w:rFonts w:cs="Times New Roman"/>
          <w:iCs/>
        </w:rPr>
        <w:t xml:space="preserve">a aanneming van die bijlage de depositaris schriftelijk laten weten de bijlage niet te kunnen aanvaarden. Dit wordt door de depositaris aan alle partijen gecommuniceerd. De partij in kwestie kan deze kennisgeving te allen tijde intrekken. Voor partijen die geen kennisgeving van niet-aanvaarding hebben ingediend, treedt de bijlage </w:t>
      </w:r>
      <w:r w:rsidRPr="0064639C" w:rsidR="00A21BD8">
        <w:rPr>
          <w:rFonts w:cs="Times New Roman"/>
          <w:iCs/>
        </w:rPr>
        <w:t xml:space="preserve">automatisch </w:t>
      </w:r>
      <w:r w:rsidRPr="0064639C" w:rsidR="00E069D8">
        <w:rPr>
          <w:rFonts w:cs="Times New Roman"/>
          <w:iCs/>
        </w:rPr>
        <w:t>na een jaar na de mededeling door de depositaris van aanneming van die aanvullende bijlage</w:t>
      </w:r>
      <w:r w:rsidRPr="0064639C" w:rsidR="00A21BD8">
        <w:rPr>
          <w:rFonts w:cs="Times New Roman"/>
          <w:iCs/>
        </w:rPr>
        <w:t xml:space="preserve"> in werking</w:t>
      </w:r>
      <w:r w:rsidRPr="0064639C" w:rsidR="00E069D8">
        <w:rPr>
          <w:rFonts w:cs="Times New Roman"/>
          <w:iCs/>
        </w:rPr>
        <w:t>.</w:t>
      </w:r>
      <w:r w:rsidR="00DF445E">
        <w:rPr>
          <w:rFonts w:cs="Times New Roman"/>
          <w:iCs/>
        </w:rPr>
        <w:t xml:space="preserve"> </w:t>
      </w:r>
    </w:p>
    <w:p w:rsidRPr="00DF445E" w:rsidR="00DF445E" w:rsidP="00DE7C48" w:rsidRDefault="00DF445E">
      <w:pPr>
        <w:spacing w:before="120" w:line="360" w:lineRule="auto"/>
        <w:rPr>
          <w:rFonts w:cs="Times New Roman"/>
          <w:iCs/>
        </w:rPr>
      </w:pPr>
      <w:r>
        <w:rPr>
          <w:rFonts w:cs="Times New Roman"/>
          <w:iCs/>
        </w:rPr>
        <w:t>Aanvullende b</w:t>
      </w:r>
      <w:r w:rsidRPr="00DF445E">
        <w:rPr>
          <w:rFonts w:cs="Times New Roman"/>
          <w:iCs/>
        </w:rPr>
        <w:t>ijlagen, die alleen betrekking kunnen hebben op aangelegenheden van procedurele, wetenschappelijke</w:t>
      </w:r>
      <w:r>
        <w:rPr>
          <w:rFonts w:cs="Times New Roman"/>
          <w:iCs/>
        </w:rPr>
        <w:t xml:space="preserve">, </w:t>
      </w:r>
      <w:r w:rsidRPr="00DF445E">
        <w:rPr>
          <w:rFonts w:cs="Times New Roman"/>
          <w:iCs/>
        </w:rPr>
        <w:t xml:space="preserve">technische en administratieve aard, kunnen worden beschouwd als zijnde van </w:t>
      </w:r>
      <w:r w:rsidRPr="00DF445E">
        <w:rPr>
          <w:rFonts w:cs="Times New Roman"/>
          <w:iCs/>
        </w:rPr>
        <w:lastRenderedPageBreak/>
        <w:t>uitvoerende aard. De aanvaarding of wijziging van deze bijlagen behoeft op grond van artikel 7, onderdeel f, van de Rijkswet goedkeuring en bekendmaking verdragen niet de goedkeuring van de Staten-Generaal, tenzij deze zich ter</w:t>
      </w:r>
      <w:r w:rsidR="005D3D1D">
        <w:rPr>
          <w:rFonts w:cs="Times New Roman"/>
          <w:iCs/>
        </w:rPr>
        <w:t xml:space="preserve"> </w:t>
      </w:r>
      <w:r w:rsidRPr="00DF445E">
        <w:rPr>
          <w:rFonts w:cs="Times New Roman"/>
          <w:iCs/>
        </w:rPr>
        <w:t>zake het recht van goedkeuring voorbehouden.</w:t>
      </w:r>
    </w:p>
    <w:p w:rsidR="00762B1C" w:rsidP="00921ADF" w:rsidRDefault="00E26C5E">
      <w:pPr>
        <w:spacing w:before="120" w:line="360" w:lineRule="auto"/>
      </w:pPr>
      <w:r w:rsidRPr="0064639C">
        <w:rPr>
          <w:rFonts w:cs="Times New Roman"/>
          <w:iCs/>
        </w:rPr>
        <w:t xml:space="preserve">Voor het voorstellen, aannemen en </w:t>
      </w:r>
      <w:r w:rsidR="007F5481">
        <w:rPr>
          <w:rFonts w:cs="Times New Roman"/>
          <w:iCs/>
        </w:rPr>
        <w:t>in</w:t>
      </w:r>
      <w:r w:rsidR="009300FA">
        <w:rPr>
          <w:rFonts w:cs="Times New Roman"/>
          <w:iCs/>
        </w:rPr>
        <w:t xml:space="preserve"> </w:t>
      </w:r>
      <w:r w:rsidR="007F5481">
        <w:rPr>
          <w:rFonts w:cs="Times New Roman"/>
          <w:iCs/>
        </w:rPr>
        <w:t>werking treden van wijzigingen</w:t>
      </w:r>
      <w:r w:rsidRPr="0064639C">
        <w:rPr>
          <w:rFonts w:cs="Times New Roman"/>
          <w:iCs/>
        </w:rPr>
        <w:t xml:space="preserve"> van de huidige bijlagen bij het Verdrag geldt dezelfde procedure</w:t>
      </w:r>
      <w:r>
        <w:rPr>
          <w:rFonts w:cs="Times New Roman"/>
          <w:iCs/>
        </w:rPr>
        <w:t xml:space="preserve"> (vierde lid)</w:t>
      </w:r>
      <w:r w:rsidRPr="0064639C">
        <w:rPr>
          <w:rFonts w:cs="Times New Roman"/>
          <w:iCs/>
        </w:rPr>
        <w:t>.</w:t>
      </w:r>
      <w:r w:rsidRPr="00E26C5E">
        <w:rPr>
          <w:rFonts w:cs="Times New Roman"/>
          <w:iCs/>
        </w:rPr>
        <w:t xml:space="preserve"> </w:t>
      </w:r>
      <w:r w:rsidR="00626B92">
        <w:rPr>
          <w:rFonts w:cs="Times New Roman"/>
          <w:iCs/>
        </w:rPr>
        <w:t>Omdat de bijlagen van uitvoerende aard zijn, behoeven</w:t>
      </w:r>
      <w:r w:rsidR="00784544">
        <w:rPr>
          <w:rFonts w:cs="Times New Roman"/>
          <w:iCs/>
        </w:rPr>
        <w:t xml:space="preserve"> </w:t>
      </w:r>
      <w:r w:rsidR="005D3D1D">
        <w:rPr>
          <w:rFonts w:cs="Times New Roman"/>
          <w:iCs/>
        </w:rPr>
        <w:t>wijzigingen van deze bijlagen</w:t>
      </w:r>
      <w:r w:rsidR="00784544">
        <w:rPr>
          <w:rFonts w:cs="Times New Roman"/>
          <w:iCs/>
        </w:rPr>
        <w:t xml:space="preserve">, </w:t>
      </w:r>
      <w:r w:rsidR="00626B92">
        <w:rPr>
          <w:rFonts w:cs="Times New Roman"/>
          <w:iCs/>
        </w:rPr>
        <w:t xml:space="preserve">voor zover zij niet de onder de </w:t>
      </w:r>
      <w:r w:rsidR="00784544">
        <w:rPr>
          <w:rFonts w:cs="Times New Roman"/>
          <w:iCs/>
        </w:rPr>
        <w:t xml:space="preserve">exclusieve </w:t>
      </w:r>
      <w:r w:rsidR="00626B92">
        <w:rPr>
          <w:rFonts w:cs="Times New Roman"/>
          <w:iCs/>
        </w:rPr>
        <w:t xml:space="preserve">bevoegdheid van de EU vallen, </w:t>
      </w:r>
      <w:r w:rsidR="00626B92">
        <w:t xml:space="preserve">op grond van artikel 7, onderdeel f, van de Rijkswet goedkeuring en bekendmaking verdragen </w:t>
      </w:r>
      <w:r w:rsidR="005D3D1D">
        <w:t>niet de goedkeuring van de Staten-Generaal</w:t>
      </w:r>
      <w:r w:rsidR="00626B92">
        <w:t>, tenzij de</w:t>
      </w:r>
      <w:r w:rsidR="005D3D1D">
        <w:t>ze</w:t>
      </w:r>
      <w:r w:rsidR="00626B92">
        <w:t xml:space="preserve"> zich t</w:t>
      </w:r>
      <w:r w:rsidR="005D3D1D">
        <w:t xml:space="preserve">er zake </w:t>
      </w:r>
      <w:r w:rsidR="00626B92">
        <w:t xml:space="preserve">het recht tot goedkeuring voorbehouden. </w:t>
      </w:r>
    </w:p>
    <w:p w:rsidR="00E26C5E" w:rsidP="00921ADF" w:rsidRDefault="00762B1C">
      <w:pPr>
        <w:spacing w:before="120" w:line="360" w:lineRule="auto"/>
        <w:rPr>
          <w:rFonts w:cs="Times New Roman"/>
          <w:iCs/>
        </w:rPr>
      </w:pPr>
      <w:r w:rsidRPr="0064639C">
        <w:rPr>
          <w:rFonts w:cs="Times New Roman"/>
          <w:iCs/>
        </w:rPr>
        <w:t xml:space="preserve">Een wijziging van een bijlage treedt  niet in werking voor een partij die </w:t>
      </w:r>
      <w:r w:rsidR="00626B92">
        <w:rPr>
          <w:rFonts w:cs="Times New Roman"/>
          <w:iCs/>
        </w:rPr>
        <w:t xml:space="preserve">een </w:t>
      </w:r>
      <w:r w:rsidRPr="0064639C">
        <w:rPr>
          <w:rFonts w:cs="Times New Roman"/>
          <w:iCs/>
        </w:rPr>
        <w:t xml:space="preserve">verklaring heeft </w:t>
      </w:r>
      <w:r>
        <w:rPr>
          <w:rFonts w:cs="Times New Roman"/>
          <w:iCs/>
        </w:rPr>
        <w:t>afgelegd</w:t>
      </w:r>
      <w:r w:rsidRPr="0064639C">
        <w:rPr>
          <w:rFonts w:cs="Times New Roman"/>
          <w:iCs/>
        </w:rPr>
        <w:t xml:space="preserve"> overeenkomstig artikel 30, vijfde lid</w:t>
      </w:r>
      <w:r w:rsidR="00626B92">
        <w:rPr>
          <w:rFonts w:cs="Times New Roman"/>
          <w:iCs/>
        </w:rPr>
        <w:t xml:space="preserve">, dat een wijzigingen van een bijlage voor haar pas </w:t>
      </w:r>
      <w:r w:rsidRPr="0064639C">
        <w:rPr>
          <w:rFonts w:cs="Times New Roman"/>
          <w:iCs/>
        </w:rPr>
        <w:t>in werking treedt na nederlegging van haar akte van bekrachtiging, aanvaarding, goedkeuring van of toetreding tot een dergelijke wijziging.</w:t>
      </w:r>
      <w:r>
        <w:rPr>
          <w:rFonts w:cs="Times New Roman"/>
          <w:iCs/>
        </w:rPr>
        <w:t xml:space="preserve"> </w:t>
      </w:r>
      <w:r w:rsidR="00626B92">
        <w:rPr>
          <w:rFonts w:cs="Times New Roman"/>
          <w:iCs/>
        </w:rPr>
        <w:t xml:space="preserve">Gezien de voorgaande alinea zal voor </w:t>
      </w:r>
      <w:r w:rsidR="00E26C5E">
        <w:rPr>
          <w:rFonts w:cs="Times New Roman"/>
          <w:iCs/>
        </w:rPr>
        <w:t xml:space="preserve">Europees Nederland een dergelijke verklaring </w:t>
      </w:r>
      <w:r>
        <w:rPr>
          <w:rFonts w:cs="Times New Roman"/>
          <w:iCs/>
        </w:rPr>
        <w:t xml:space="preserve">niet </w:t>
      </w:r>
      <w:r w:rsidR="00E26C5E">
        <w:rPr>
          <w:rFonts w:cs="Times New Roman"/>
          <w:iCs/>
        </w:rPr>
        <w:t xml:space="preserve">worden afgelegd. </w:t>
      </w:r>
    </w:p>
    <w:p w:rsidRPr="0064639C" w:rsidR="00E23FB5" w:rsidP="00921ADF" w:rsidRDefault="00E23FB5">
      <w:pPr>
        <w:spacing w:line="360" w:lineRule="auto"/>
        <w:rPr>
          <w:rFonts w:cs="Times New Roman"/>
          <w:iCs/>
        </w:rPr>
      </w:pPr>
    </w:p>
    <w:p w:rsidR="00921ADF" w:rsidP="000B5B4A" w:rsidRDefault="00921ADF">
      <w:pPr>
        <w:spacing w:line="360" w:lineRule="auto"/>
        <w:rPr>
          <w:rFonts w:cs="Times New Roman"/>
          <w:iCs/>
        </w:rPr>
      </w:pPr>
      <w:r w:rsidRPr="0064639C">
        <w:rPr>
          <w:rFonts w:cs="Times New Roman"/>
          <w:b/>
          <w:iCs/>
        </w:rPr>
        <w:t>Artikel 28 Stemrecht</w:t>
      </w:r>
      <w:r w:rsidR="000B5B4A">
        <w:rPr>
          <w:rFonts w:cs="Times New Roman"/>
          <w:b/>
          <w:iCs/>
        </w:rPr>
        <w:br/>
      </w:r>
      <w:r w:rsidRPr="0064639C">
        <w:rPr>
          <w:rFonts w:cs="Times New Roman"/>
          <w:iCs/>
        </w:rPr>
        <w:t xml:space="preserve">Elke partij heeft een stem, met uitzondering van regionale organisaties voor economische integratie, zoals de EU. Die hebben een aantal stemmen dat gelijk is aan het aantal stemmen van hun lidstaten die partij zijn bij dit Verdrag. Als die organisatie stemt, kunnen zijn lidstaten dat stemrecht niet meer uitoefenen en vice versa. </w:t>
      </w:r>
      <w:r w:rsidR="000B5B4A">
        <w:rPr>
          <w:rFonts w:cs="Times New Roman"/>
          <w:iCs/>
        </w:rPr>
        <w:br/>
      </w:r>
    </w:p>
    <w:p w:rsidR="00921ADF" w:rsidP="000B5B4A" w:rsidRDefault="00921ADF">
      <w:pPr>
        <w:spacing w:line="360" w:lineRule="auto"/>
        <w:rPr>
          <w:rFonts w:cs="Times New Roman"/>
          <w:iCs/>
        </w:rPr>
      </w:pPr>
      <w:r w:rsidRPr="008C4BB8">
        <w:rPr>
          <w:rFonts w:cs="Times New Roman"/>
          <w:b/>
          <w:iCs/>
        </w:rPr>
        <w:t>Artikel 29</w:t>
      </w:r>
      <w:r>
        <w:rPr>
          <w:rFonts w:cs="Times New Roman"/>
          <w:iCs/>
        </w:rPr>
        <w:t xml:space="preserve"> bepaalt dat het Verdrag ondertekend kon worden tot en met 9 oktober 2014. </w:t>
      </w:r>
      <w:r w:rsidR="00B152B8">
        <w:rPr>
          <w:rFonts w:cs="Times New Roman"/>
          <w:iCs/>
        </w:rPr>
        <w:t xml:space="preserve">Het Koninkrijk </w:t>
      </w:r>
      <w:r>
        <w:rPr>
          <w:rFonts w:cs="Times New Roman"/>
          <w:iCs/>
        </w:rPr>
        <w:t xml:space="preserve">heeft het Verdrag ondertekend op 10 oktober 2013. Vanaf 9 oktober </w:t>
      </w:r>
      <w:r w:rsidR="00BF29CD">
        <w:rPr>
          <w:rFonts w:cs="Times New Roman"/>
          <w:iCs/>
        </w:rPr>
        <w:t xml:space="preserve">2014 </w:t>
      </w:r>
      <w:r>
        <w:rPr>
          <w:rFonts w:cs="Times New Roman"/>
          <w:iCs/>
        </w:rPr>
        <w:t>kan alleen nog worden toegetreden tot het Verdrag.</w:t>
      </w:r>
      <w:r w:rsidR="000B5B4A">
        <w:rPr>
          <w:rFonts w:cs="Times New Roman"/>
          <w:iCs/>
        </w:rPr>
        <w:br/>
      </w:r>
      <w:r w:rsidR="000B5B4A">
        <w:rPr>
          <w:rFonts w:cs="Times New Roman"/>
          <w:iCs/>
        </w:rPr>
        <w:br/>
      </w:r>
      <w:r w:rsidRPr="0064639C" w:rsidR="00C25AB3">
        <w:rPr>
          <w:rFonts w:cs="Times New Roman"/>
          <w:b/>
          <w:iCs/>
        </w:rPr>
        <w:t>Artikel 30 Bekrachtiging, aanvaarding, goedkeuring of toetreding</w:t>
      </w:r>
      <w:r w:rsidRPr="0064639C" w:rsidR="00C25AB3">
        <w:rPr>
          <w:rFonts w:cs="Times New Roman"/>
          <w:i/>
          <w:iCs/>
        </w:rPr>
        <w:t xml:space="preserve"> </w:t>
      </w:r>
      <w:r w:rsidRPr="0064639C" w:rsidR="005856CE">
        <w:rPr>
          <w:rFonts w:cs="Times New Roman"/>
          <w:i/>
          <w:iCs/>
        </w:rPr>
        <w:br/>
      </w:r>
      <w:r w:rsidRPr="0064639C" w:rsidR="00621387">
        <w:rPr>
          <w:rFonts w:cs="Times New Roman"/>
          <w:iCs/>
        </w:rPr>
        <w:t xml:space="preserve">Omdat de EU ook partij wenst te worden bij het </w:t>
      </w:r>
      <w:r w:rsidR="00784544">
        <w:rPr>
          <w:rFonts w:cs="Times New Roman"/>
          <w:iCs/>
        </w:rPr>
        <w:t>V</w:t>
      </w:r>
      <w:r w:rsidRPr="0064639C" w:rsidR="00621387">
        <w:rPr>
          <w:rFonts w:cs="Times New Roman"/>
          <w:iCs/>
        </w:rPr>
        <w:t xml:space="preserve">erdrag, zullen de EU en de lidstaten </w:t>
      </w:r>
      <w:r w:rsidR="00955A23">
        <w:rPr>
          <w:rFonts w:cs="Times New Roman"/>
          <w:iCs/>
        </w:rPr>
        <w:t xml:space="preserve">bij </w:t>
      </w:r>
      <w:r w:rsidR="0010541C">
        <w:rPr>
          <w:rFonts w:cs="Times New Roman"/>
          <w:iCs/>
        </w:rPr>
        <w:t>het deponeren van hun respectieve akten</w:t>
      </w:r>
      <w:r w:rsidR="00955A23">
        <w:rPr>
          <w:rFonts w:cs="Times New Roman"/>
          <w:iCs/>
        </w:rPr>
        <w:t xml:space="preserve"> </w:t>
      </w:r>
      <w:r w:rsidRPr="0064639C" w:rsidR="00EB466C">
        <w:rPr>
          <w:rFonts w:cs="Times New Roman"/>
          <w:iCs/>
        </w:rPr>
        <w:t>moeten vermeld</w:t>
      </w:r>
      <w:r w:rsidR="00C528D2">
        <w:rPr>
          <w:rFonts w:cs="Times New Roman"/>
          <w:iCs/>
        </w:rPr>
        <w:t xml:space="preserve">en in hoeverre zij bevoegd zijn voor de aangelegenheden die in het Verdrag worden geregeld. </w:t>
      </w:r>
      <w:r w:rsidRPr="0064639C" w:rsidR="00EB466C">
        <w:rPr>
          <w:rFonts w:cs="Times New Roman"/>
          <w:iCs/>
        </w:rPr>
        <w:br/>
      </w:r>
      <w:r w:rsidRPr="0064639C" w:rsidR="005856CE">
        <w:rPr>
          <w:rFonts w:cs="Times New Roman"/>
          <w:iCs/>
        </w:rPr>
        <w:t xml:space="preserve">Partijen worden aangemoedigd om </w:t>
      </w:r>
      <w:r w:rsidR="0010541C">
        <w:rPr>
          <w:rFonts w:cs="Times New Roman"/>
          <w:iCs/>
        </w:rPr>
        <w:t xml:space="preserve">bij </w:t>
      </w:r>
      <w:r w:rsidRPr="0064639C" w:rsidR="005856CE">
        <w:rPr>
          <w:rFonts w:cs="Times New Roman"/>
          <w:iCs/>
        </w:rPr>
        <w:t xml:space="preserve">bekrachtiging, aanvaarding, goedkeuring of toetreding tot het </w:t>
      </w:r>
      <w:r w:rsidR="00784544">
        <w:rPr>
          <w:rFonts w:cs="Times New Roman"/>
          <w:iCs/>
        </w:rPr>
        <w:t>V</w:t>
      </w:r>
      <w:r w:rsidRPr="0064639C" w:rsidR="005856CE">
        <w:rPr>
          <w:rFonts w:cs="Times New Roman"/>
          <w:iCs/>
        </w:rPr>
        <w:t xml:space="preserve">erdrag het Secretariaat te informeren over de maatregelen die zij hebben genomen om aan de </w:t>
      </w:r>
      <w:r w:rsidRPr="0064639C">
        <w:rPr>
          <w:rFonts w:cs="Times New Roman"/>
          <w:iCs/>
        </w:rPr>
        <w:t>verdragsverplichtingen te voldoen.</w:t>
      </w:r>
    </w:p>
    <w:p w:rsidR="0010541C" w:rsidP="000B5B4A" w:rsidRDefault="0010541C">
      <w:pPr>
        <w:spacing w:line="360" w:lineRule="auto"/>
        <w:rPr>
          <w:rFonts w:cs="Times New Roman"/>
          <w:iCs/>
        </w:rPr>
      </w:pPr>
      <w:r>
        <w:rPr>
          <w:rFonts w:cs="Times New Roman"/>
          <w:iCs/>
        </w:rPr>
        <w:t xml:space="preserve">Zie ook artikel 27 voor de verklaring die afgelegd kan worden onder het vijfde lid van dit artikel. </w:t>
      </w:r>
    </w:p>
    <w:p w:rsidRPr="00320D02" w:rsidR="00921ADF" w:rsidP="00921ADF" w:rsidRDefault="00921ADF">
      <w:pPr>
        <w:spacing w:line="360" w:lineRule="auto"/>
        <w:rPr>
          <w:rFonts w:cs="Times New Roman"/>
          <w:iCs/>
        </w:rPr>
      </w:pPr>
    </w:p>
    <w:p w:rsidR="00EB466C" w:rsidP="000B5B4A" w:rsidRDefault="00921ADF">
      <w:pPr>
        <w:spacing w:line="360" w:lineRule="auto"/>
        <w:rPr>
          <w:rFonts w:cs="Times New Roman"/>
          <w:iCs/>
        </w:rPr>
      </w:pPr>
      <w:r w:rsidRPr="0064639C">
        <w:rPr>
          <w:rFonts w:cs="Times New Roman"/>
          <w:b/>
          <w:iCs/>
        </w:rPr>
        <w:t>Artikel 31, 32, 33 Inwerkingtreding, voorbehouden en opzegging</w:t>
      </w:r>
      <w:r w:rsidR="000B5B4A">
        <w:rPr>
          <w:rFonts w:cs="Times New Roman"/>
          <w:b/>
          <w:iCs/>
        </w:rPr>
        <w:br/>
      </w:r>
      <w:r w:rsidRPr="0064639C" w:rsidR="00EB466C">
        <w:rPr>
          <w:rFonts w:cs="Times New Roman"/>
          <w:iCs/>
        </w:rPr>
        <w:t xml:space="preserve">Het </w:t>
      </w:r>
      <w:r w:rsidR="00784544">
        <w:rPr>
          <w:rFonts w:cs="Times New Roman"/>
          <w:iCs/>
        </w:rPr>
        <w:t>V</w:t>
      </w:r>
      <w:r w:rsidRPr="0064639C" w:rsidR="00EB466C">
        <w:rPr>
          <w:rFonts w:cs="Times New Roman"/>
          <w:iCs/>
        </w:rPr>
        <w:t>erdrag treedt in werking op de 90e dag na de datum van nederlegging van de 50e akte van bekrachtiging, aanvaarding, goedkeuring of toetreding. Voor elke partij die na de nederlegging van de 50e akte het Verdrag bekrachtigt, aanvaardt, goedkeurt of hiertoe toetreedt, treedt het in werking op de 90e dag na de nederlegging van de akte van bekrachtiging, aanvaarding, goedkeuring of toetreding.</w:t>
      </w:r>
      <w:r w:rsidRPr="0064639C" w:rsidR="00EB466C">
        <w:rPr>
          <w:rFonts w:cs="Times New Roman"/>
          <w:iCs/>
        </w:rPr>
        <w:br/>
      </w:r>
      <w:r w:rsidRPr="0064639C" w:rsidR="005F2ED7">
        <w:rPr>
          <w:rFonts w:cs="Times New Roman"/>
          <w:iCs/>
        </w:rPr>
        <w:t>Er kunnen geen voorbehouden worden gemaakt bij het Verdrag.</w:t>
      </w:r>
      <w:r w:rsidRPr="0064639C" w:rsidR="005F2ED7">
        <w:rPr>
          <w:rFonts w:cs="Times New Roman"/>
          <w:iCs/>
        </w:rPr>
        <w:br/>
        <w:t xml:space="preserve">Het </w:t>
      </w:r>
      <w:r w:rsidR="0010541C">
        <w:rPr>
          <w:rFonts w:cs="Times New Roman"/>
          <w:iCs/>
        </w:rPr>
        <w:t>V</w:t>
      </w:r>
      <w:r w:rsidRPr="0064639C" w:rsidR="005F2ED7">
        <w:rPr>
          <w:rFonts w:cs="Times New Roman"/>
          <w:iCs/>
        </w:rPr>
        <w:t>erdrag kan</w:t>
      </w:r>
      <w:r w:rsidR="0010541C">
        <w:rPr>
          <w:rFonts w:cs="Times New Roman"/>
          <w:iCs/>
        </w:rPr>
        <w:t xml:space="preserve"> op grond van het eerste lid van artikel 33</w:t>
      </w:r>
      <w:r w:rsidRPr="0064639C" w:rsidR="005F2ED7">
        <w:rPr>
          <w:rFonts w:cs="Times New Roman"/>
          <w:iCs/>
        </w:rPr>
        <w:t xml:space="preserve"> worden opgezegd </w:t>
      </w:r>
      <w:r w:rsidR="0010541C">
        <w:rPr>
          <w:rFonts w:cs="Times New Roman"/>
          <w:iCs/>
        </w:rPr>
        <w:t>vanaf</w:t>
      </w:r>
      <w:r w:rsidRPr="0064639C" w:rsidR="0010541C">
        <w:rPr>
          <w:rFonts w:cs="Times New Roman"/>
          <w:iCs/>
        </w:rPr>
        <w:t xml:space="preserve"> </w:t>
      </w:r>
      <w:r w:rsidRPr="0064639C" w:rsidR="005F2ED7">
        <w:rPr>
          <w:rFonts w:cs="Times New Roman"/>
          <w:iCs/>
        </w:rPr>
        <w:t xml:space="preserve">drie jaar na inwerkingtreding van het Verdrag voor </w:t>
      </w:r>
      <w:r w:rsidR="0010541C">
        <w:rPr>
          <w:rFonts w:cs="Times New Roman"/>
          <w:iCs/>
        </w:rPr>
        <w:t>de betreffende</w:t>
      </w:r>
      <w:r w:rsidRPr="0064639C" w:rsidR="0010541C">
        <w:rPr>
          <w:rFonts w:cs="Times New Roman"/>
          <w:iCs/>
        </w:rPr>
        <w:t xml:space="preserve"> </w:t>
      </w:r>
      <w:r w:rsidRPr="0064639C" w:rsidR="005F2ED7">
        <w:rPr>
          <w:rFonts w:cs="Times New Roman"/>
          <w:iCs/>
        </w:rPr>
        <w:t xml:space="preserve">partij en </w:t>
      </w:r>
      <w:r w:rsidR="0010541C">
        <w:rPr>
          <w:rFonts w:cs="Times New Roman"/>
          <w:iCs/>
        </w:rPr>
        <w:t>het tweede lid van dat artikel regelt wanneer die opzegging effectief wordt</w:t>
      </w:r>
      <w:r w:rsidRPr="0064639C" w:rsidR="005F2ED7">
        <w:rPr>
          <w:rFonts w:cs="Times New Roman"/>
          <w:iCs/>
        </w:rPr>
        <w:t>.</w:t>
      </w:r>
    </w:p>
    <w:p w:rsidRPr="0064639C" w:rsidR="000B5B4A" w:rsidP="000B5B4A" w:rsidRDefault="000B5B4A">
      <w:pPr>
        <w:spacing w:line="360" w:lineRule="auto"/>
        <w:rPr>
          <w:rFonts w:cs="Times New Roman"/>
          <w:iCs/>
        </w:rPr>
      </w:pPr>
    </w:p>
    <w:p w:rsidR="00A53BF1" w:rsidP="00A53BF1" w:rsidRDefault="00382F6B">
      <w:pPr>
        <w:spacing w:line="360" w:lineRule="auto"/>
        <w:rPr>
          <w:rFonts w:cs="Times New Roman"/>
          <w:iCs/>
        </w:rPr>
      </w:pPr>
      <w:r w:rsidRPr="00382F6B">
        <w:rPr>
          <w:rFonts w:cs="Times New Roman"/>
          <w:b/>
          <w:iCs/>
        </w:rPr>
        <w:t>Artikel 34 en 35</w:t>
      </w:r>
      <w:r>
        <w:rPr>
          <w:rFonts w:cs="Times New Roman"/>
          <w:iCs/>
        </w:rPr>
        <w:t xml:space="preserve"> bevatten informatie over de </w:t>
      </w:r>
      <w:r w:rsidR="00B152B8">
        <w:rPr>
          <w:rFonts w:cs="Times New Roman"/>
          <w:iCs/>
        </w:rPr>
        <w:t>d</w:t>
      </w:r>
      <w:r>
        <w:rPr>
          <w:rFonts w:cs="Times New Roman"/>
          <w:iCs/>
        </w:rPr>
        <w:t>epositaris van het Verdrag en de authentieke teksten.</w:t>
      </w:r>
    </w:p>
    <w:p w:rsidR="002529D1" w:rsidRDefault="002529D1">
      <w:pPr>
        <w:spacing w:line="240" w:lineRule="auto"/>
        <w:rPr>
          <w:rFonts w:cs="Times New Roman"/>
          <w:b/>
        </w:rPr>
      </w:pPr>
    </w:p>
    <w:p w:rsidR="006408E3" w:rsidRDefault="006408E3">
      <w:pPr>
        <w:spacing w:line="240" w:lineRule="auto"/>
        <w:rPr>
          <w:rFonts w:cs="Times New Roman"/>
          <w:b/>
        </w:rPr>
      </w:pPr>
    </w:p>
    <w:p w:rsidRPr="00315A61" w:rsidR="003419F5" w:rsidP="00315A61" w:rsidRDefault="004F7005">
      <w:pPr>
        <w:spacing w:line="360" w:lineRule="auto"/>
        <w:rPr>
          <w:rFonts w:cs="Times New Roman"/>
        </w:rPr>
      </w:pPr>
      <w:r>
        <w:rPr>
          <w:rFonts w:cs="Times New Roman"/>
          <w:b/>
        </w:rPr>
        <w:t>5</w:t>
      </w:r>
      <w:r w:rsidR="00790535">
        <w:rPr>
          <w:rFonts w:cs="Times New Roman"/>
          <w:b/>
        </w:rPr>
        <w:t>.</w:t>
      </w:r>
      <w:r w:rsidR="00315A61">
        <w:rPr>
          <w:rFonts w:cs="Times New Roman"/>
          <w:b/>
        </w:rPr>
        <w:t xml:space="preserve"> </w:t>
      </w:r>
      <w:r w:rsidRPr="00315A61" w:rsidR="000C6F1A">
        <w:rPr>
          <w:rFonts w:cs="Times New Roman"/>
          <w:b/>
        </w:rPr>
        <w:t>Bijlagen</w:t>
      </w:r>
      <w:r w:rsidR="00575749">
        <w:rPr>
          <w:rFonts w:cs="Times New Roman"/>
          <w:b/>
        </w:rPr>
        <w:t xml:space="preserve"> </w:t>
      </w:r>
    </w:p>
    <w:p w:rsidR="00DE1C13" w:rsidP="00ED507D" w:rsidRDefault="00DE1C13">
      <w:pPr>
        <w:spacing w:line="360" w:lineRule="auto"/>
        <w:rPr>
          <w:rFonts w:cs="Times New Roman"/>
          <w:b/>
        </w:rPr>
      </w:pPr>
    </w:p>
    <w:p w:rsidRPr="00ED507D" w:rsidR="006B303C" w:rsidP="00B74987" w:rsidRDefault="00ED507D">
      <w:pPr>
        <w:spacing w:line="360" w:lineRule="auto"/>
        <w:rPr>
          <w:rFonts w:cs="Times New Roman"/>
          <w:iCs/>
        </w:rPr>
      </w:pPr>
      <w:r w:rsidRPr="00ED507D">
        <w:rPr>
          <w:rFonts w:cs="Times New Roman"/>
          <w:b/>
        </w:rPr>
        <w:t>Bijlage A</w:t>
      </w:r>
      <w:r w:rsidR="00B74987">
        <w:rPr>
          <w:rFonts w:cs="Times New Roman"/>
          <w:b/>
        </w:rPr>
        <w:br/>
      </w:r>
      <w:r w:rsidRPr="00ED507D" w:rsidR="006B303C">
        <w:rPr>
          <w:rFonts w:cs="Times New Roman"/>
        </w:rPr>
        <w:t xml:space="preserve">Bijlage A bevat in Deel I kwikhoudende producten </w:t>
      </w:r>
      <w:r w:rsidR="006B303C">
        <w:rPr>
          <w:rFonts w:cs="Times New Roman"/>
        </w:rPr>
        <w:t>waarvoor</w:t>
      </w:r>
      <w:r w:rsidRPr="00ED507D" w:rsidR="006B303C">
        <w:rPr>
          <w:rFonts w:cs="Times New Roman"/>
          <w:iCs/>
        </w:rPr>
        <w:t xml:space="preserve"> productie, import en export na een bepaalde datum niet langer </w:t>
      </w:r>
      <w:r w:rsidR="006B303C">
        <w:rPr>
          <w:rFonts w:cs="Times New Roman"/>
          <w:iCs/>
        </w:rPr>
        <w:t xml:space="preserve">is </w:t>
      </w:r>
      <w:r w:rsidRPr="00ED507D" w:rsidR="006B303C">
        <w:rPr>
          <w:rFonts w:cs="Times New Roman"/>
          <w:iCs/>
        </w:rPr>
        <w:t>toegestaan</w:t>
      </w:r>
      <w:r w:rsidR="006B303C">
        <w:rPr>
          <w:rFonts w:cs="Times New Roman"/>
          <w:iCs/>
        </w:rPr>
        <w:t>, zoals onder artikel 4 is toegelicht</w:t>
      </w:r>
      <w:r w:rsidRPr="00ED507D" w:rsidR="006B303C">
        <w:rPr>
          <w:rFonts w:cs="Times New Roman"/>
          <w:iCs/>
        </w:rPr>
        <w:t xml:space="preserve">. </w:t>
      </w:r>
      <w:r w:rsidRPr="0064639C" w:rsidR="006B303C">
        <w:rPr>
          <w:rFonts w:cs="Times New Roman"/>
          <w:bCs/>
        </w:rPr>
        <w:t xml:space="preserve">Deel II van Bijlage A bevat maatregelen die </w:t>
      </w:r>
      <w:r w:rsidR="006B303C">
        <w:rPr>
          <w:rFonts w:cs="Times New Roman"/>
          <w:bCs/>
        </w:rPr>
        <w:t xml:space="preserve">partijen </w:t>
      </w:r>
      <w:r w:rsidRPr="0064639C" w:rsidR="006B303C">
        <w:rPr>
          <w:rFonts w:cs="Times New Roman"/>
          <w:bCs/>
        </w:rPr>
        <w:t xml:space="preserve">ten aanzien van </w:t>
      </w:r>
      <w:r w:rsidR="006B303C">
        <w:rPr>
          <w:rFonts w:cs="Times New Roman"/>
          <w:bCs/>
        </w:rPr>
        <w:t>bepaalde kwikhoudende</w:t>
      </w:r>
      <w:r w:rsidRPr="0064639C" w:rsidR="006B303C">
        <w:rPr>
          <w:rFonts w:cs="Times New Roman"/>
          <w:bCs/>
        </w:rPr>
        <w:t xml:space="preserve"> </w:t>
      </w:r>
      <w:r w:rsidR="008F7AB4">
        <w:rPr>
          <w:rFonts w:cs="Times New Roman"/>
          <w:bCs/>
        </w:rPr>
        <w:t xml:space="preserve">producten </w:t>
      </w:r>
      <w:r w:rsidRPr="0064639C" w:rsidR="006B303C">
        <w:rPr>
          <w:rFonts w:cs="Times New Roman"/>
          <w:bCs/>
        </w:rPr>
        <w:t>moeten</w:t>
      </w:r>
      <w:r w:rsidR="006B303C">
        <w:rPr>
          <w:rFonts w:cs="Times New Roman"/>
          <w:bCs/>
        </w:rPr>
        <w:t xml:space="preserve"> nemen. </w:t>
      </w:r>
      <w:r w:rsidRPr="0064639C" w:rsidR="006B303C">
        <w:rPr>
          <w:rFonts w:cs="Times New Roman"/>
          <w:bCs/>
        </w:rPr>
        <w:t>Op dit moment betreft dat alleen tandheelkundig amalgaa</w:t>
      </w:r>
      <w:r w:rsidR="006B303C">
        <w:rPr>
          <w:rFonts w:cs="Times New Roman"/>
          <w:bCs/>
        </w:rPr>
        <w:t>m</w:t>
      </w:r>
      <w:r w:rsidRPr="0064639C" w:rsidR="006B303C">
        <w:rPr>
          <w:rFonts w:cs="Times New Roman"/>
          <w:bCs/>
        </w:rPr>
        <w:t xml:space="preserve">. </w:t>
      </w:r>
    </w:p>
    <w:p w:rsidRPr="0064639C" w:rsidR="00DE1C13" w:rsidP="00ED507D" w:rsidRDefault="00DE1C13">
      <w:pPr>
        <w:spacing w:line="360" w:lineRule="auto"/>
        <w:rPr>
          <w:rFonts w:cs="Times New Roman"/>
          <w:b/>
        </w:rPr>
      </w:pPr>
    </w:p>
    <w:p w:rsidR="0047227A" w:rsidP="00ED507D" w:rsidRDefault="00ED507D">
      <w:pPr>
        <w:spacing w:line="360" w:lineRule="auto"/>
        <w:rPr>
          <w:rFonts w:cs="Times New Roman"/>
          <w:bCs/>
        </w:rPr>
      </w:pPr>
      <w:r w:rsidRPr="0064639C">
        <w:rPr>
          <w:rFonts w:cs="Times New Roman"/>
          <w:b/>
        </w:rPr>
        <w:t>Bijlage B</w:t>
      </w:r>
      <w:r w:rsidRPr="0064639C">
        <w:rPr>
          <w:rFonts w:cs="Times New Roman"/>
        </w:rPr>
        <w:br/>
        <w:t xml:space="preserve">Bijlage B bevat </w:t>
      </w:r>
      <w:r w:rsidRPr="0064639C">
        <w:rPr>
          <w:rFonts w:cs="Times New Roman"/>
          <w:bCs/>
        </w:rPr>
        <w:t>productieprocessen waarbij kwik of kwikverbindingen worden gebruikt. Deel I van Bijlage B bevat productieprocessen waarbij kwik of kwikverbindingen worden gebruikt en waarop artikel 5, tweede lid, van het Verdrag van toepassing is en die op de daar genoemde datum uitgefaseerd moeten zijn. Deel II van Bijlage B bevat processen waarbij kwik wordt gebruikt en waarop artikel 5, derde lid, van toepassing is. Partijen moeten de daar genoemde maatregelen nemen om het gebruik van kwik of kwikverbindingen bij deze productie</w:t>
      </w:r>
      <w:r w:rsidRPr="0064639C" w:rsidR="00DE1C13">
        <w:rPr>
          <w:rFonts w:cs="Times New Roman"/>
          <w:bCs/>
        </w:rPr>
        <w:t>processen te beperken.</w:t>
      </w:r>
      <w:r w:rsidRPr="0064639C" w:rsidR="00DE1C13">
        <w:rPr>
          <w:rFonts w:cs="Times New Roman"/>
          <w:bCs/>
        </w:rPr>
        <w:br/>
      </w:r>
    </w:p>
    <w:p w:rsidR="00ED507D" w:rsidP="00ED507D" w:rsidRDefault="0047227A">
      <w:pPr>
        <w:spacing w:line="360" w:lineRule="auto"/>
        <w:rPr>
          <w:rFonts w:cs="Times New Roman"/>
          <w:bCs/>
        </w:rPr>
      </w:pPr>
      <w:r w:rsidRPr="0047227A">
        <w:rPr>
          <w:rFonts w:cs="Times New Roman"/>
          <w:b/>
          <w:bCs/>
        </w:rPr>
        <w:t>Bijlage C</w:t>
      </w:r>
      <w:r>
        <w:rPr>
          <w:rFonts w:cs="Times New Roman"/>
          <w:bCs/>
        </w:rPr>
        <w:br/>
        <w:t xml:space="preserve">Deze bijlage bevat de elementen die moeten worden opgenomen in de nationale actieplannen (artikel 7, derde lid) die een partij moet maken als is vastgesteld dat er sprake is van niet een onbetekenende </w:t>
      </w:r>
      <w:r w:rsidRPr="0047227A">
        <w:rPr>
          <w:rFonts w:cs="Times New Roman"/>
          <w:bCs/>
        </w:rPr>
        <w:t>ambachtelijke en kleinschalige goudwinning en -verwerking op haar grondgebied</w:t>
      </w:r>
      <w:r>
        <w:rPr>
          <w:rFonts w:cs="Times New Roman"/>
          <w:bCs/>
        </w:rPr>
        <w:t>.</w:t>
      </w:r>
      <w:r w:rsidR="0072057C">
        <w:rPr>
          <w:rFonts w:cs="Times New Roman"/>
          <w:bCs/>
        </w:rPr>
        <w:t xml:space="preserve"> In die actieplannen moeten onder andere nationale doelstellingen en reductiedoelstellingen worden opgenomen</w:t>
      </w:r>
      <w:r w:rsidR="00535F90">
        <w:rPr>
          <w:rFonts w:cs="Times New Roman"/>
          <w:bCs/>
        </w:rPr>
        <w:t xml:space="preserve"> en maatregelen om het gebruik van kwik in ambachtelijke en kleinschalige goudwinning en –verwerking te beheren</w:t>
      </w:r>
    </w:p>
    <w:p w:rsidR="0047227A" w:rsidP="00ED507D" w:rsidRDefault="0047227A">
      <w:pPr>
        <w:spacing w:line="360" w:lineRule="auto"/>
        <w:rPr>
          <w:rFonts w:cs="Times New Roman"/>
          <w:bCs/>
        </w:rPr>
      </w:pPr>
    </w:p>
    <w:p w:rsidR="006B303C" w:rsidP="00B74987" w:rsidRDefault="0015288D">
      <w:pPr>
        <w:spacing w:line="360" w:lineRule="auto"/>
        <w:rPr>
          <w:rFonts w:cs="Times New Roman"/>
          <w:bCs/>
        </w:rPr>
      </w:pPr>
      <w:r w:rsidRPr="0015288D">
        <w:rPr>
          <w:rFonts w:cs="Times New Roman"/>
          <w:b/>
          <w:bCs/>
        </w:rPr>
        <w:t>Bijlage D</w:t>
      </w:r>
      <w:r w:rsidRPr="0015288D">
        <w:rPr>
          <w:rFonts w:cs="Times New Roman"/>
          <w:b/>
          <w:iCs/>
        </w:rPr>
        <w:t xml:space="preserve"> </w:t>
      </w:r>
      <w:r w:rsidR="00B74987">
        <w:rPr>
          <w:rFonts w:cs="Times New Roman"/>
          <w:b/>
          <w:iCs/>
        </w:rPr>
        <w:br/>
      </w:r>
      <w:r w:rsidR="006B303C">
        <w:rPr>
          <w:rFonts w:cs="Times New Roman"/>
          <w:iCs/>
        </w:rPr>
        <w:t xml:space="preserve">Artikel 8 </w:t>
      </w:r>
      <w:r w:rsidRPr="00634C5B" w:rsidR="006B303C">
        <w:rPr>
          <w:rFonts w:cs="Times New Roman"/>
          <w:iCs/>
        </w:rPr>
        <w:t>verplicht partijen maatregelen te treffen om emissies van relevante bronnen te beheersen</w:t>
      </w:r>
      <w:r w:rsidR="00B74987">
        <w:rPr>
          <w:rFonts w:cs="Times New Roman"/>
          <w:bCs/>
        </w:rPr>
        <w:t>. B</w:t>
      </w:r>
      <w:r w:rsidR="006B303C">
        <w:rPr>
          <w:rFonts w:cs="Times New Roman"/>
          <w:bCs/>
        </w:rPr>
        <w:t>ijlage D bevat een lijst van categorieën puntbronnen die als relevante bronnen worden aangemerkt in de zin van artikel 8. Dit zijn: s</w:t>
      </w:r>
      <w:r w:rsidRPr="00B56A1D" w:rsidR="006B303C">
        <w:rPr>
          <w:rFonts w:cs="Times New Roman"/>
          <w:bCs/>
        </w:rPr>
        <w:t>teenkoolcentrales</w:t>
      </w:r>
      <w:r w:rsidR="006B303C">
        <w:rPr>
          <w:rFonts w:cs="Times New Roman"/>
          <w:bCs/>
        </w:rPr>
        <w:t>, k</w:t>
      </w:r>
      <w:r w:rsidRPr="00B56A1D" w:rsidR="006B303C">
        <w:rPr>
          <w:rFonts w:cs="Times New Roman"/>
          <w:bCs/>
        </w:rPr>
        <w:t>olengestookte industriële boilers</w:t>
      </w:r>
      <w:r w:rsidR="006B303C">
        <w:rPr>
          <w:rFonts w:cs="Times New Roman"/>
          <w:bCs/>
        </w:rPr>
        <w:t>, s</w:t>
      </w:r>
      <w:r w:rsidRPr="00B56A1D" w:rsidR="006B303C">
        <w:rPr>
          <w:rFonts w:cs="Times New Roman"/>
          <w:bCs/>
        </w:rPr>
        <w:t>melt- en roostprocessen gebruikt bij de productie van non-ferrometalen</w:t>
      </w:r>
      <w:r w:rsidR="006B303C">
        <w:rPr>
          <w:rFonts w:cs="Times New Roman"/>
          <w:bCs/>
        </w:rPr>
        <w:t>, a</w:t>
      </w:r>
      <w:r w:rsidRPr="00B56A1D" w:rsidR="006B303C">
        <w:rPr>
          <w:rFonts w:cs="Times New Roman"/>
          <w:bCs/>
        </w:rPr>
        <w:t>fvalverbrandingsinstallaties</w:t>
      </w:r>
      <w:r w:rsidR="006B303C">
        <w:rPr>
          <w:rFonts w:cs="Times New Roman"/>
          <w:bCs/>
        </w:rPr>
        <w:t xml:space="preserve"> en c</w:t>
      </w:r>
      <w:r w:rsidRPr="00B56A1D" w:rsidR="006B303C">
        <w:rPr>
          <w:rFonts w:cs="Times New Roman"/>
          <w:bCs/>
        </w:rPr>
        <w:t>ementklinkerproductiefaciliteiten</w:t>
      </w:r>
      <w:r w:rsidR="006B303C">
        <w:rPr>
          <w:rFonts w:cs="Times New Roman"/>
          <w:bCs/>
        </w:rPr>
        <w:t>.</w:t>
      </w:r>
    </w:p>
    <w:p w:rsidR="0015288D" w:rsidP="00B56A1D" w:rsidRDefault="0015288D">
      <w:pPr>
        <w:spacing w:line="360" w:lineRule="auto"/>
        <w:rPr>
          <w:rFonts w:cs="Times New Roman"/>
          <w:bCs/>
        </w:rPr>
      </w:pPr>
    </w:p>
    <w:p w:rsidRPr="0064639C" w:rsidR="0047227A" w:rsidP="00B56A1D" w:rsidRDefault="0015288D">
      <w:pPr>
        <w:spacing w:line="360" w:lineRule="auto"/>
        <w:rPr>
          <w:rFonts w:cs="Times New Roman"/>
          <w:bCs/>
        </w:rPr>
      </w:pPr>
      <w:r w:rsidRPr="0015288D">
        <w:rPr>
          <w:rFonts w:cs="Times New Roman"/>
          <w:b/>
          <w:bCs/>
        </w:rPr>
        <w:t>Bijlage E</w:t>
      </w:r>
      <w:r>
        <w:rPr>
          <w:rFonts w:cs="Times New Roman"/>
          <w:bCs/>
        </w:rPr>
        <w:br/>
      </w:r>
      <w:r w:rsidR="002776D9">
        <w:rPr>
          <w:rFonts w:cs="Times New Roman"/>
          <w:bCs/>
        </w:rPr>
        <w:t>Bijlage E bevat de regels voor de a</w:t>
      </w:r>
      <w:r w:rsidRPr="0015288D" w:rsidR="002776D9">
        <w:rPr>
          <w:rFonts w:cs="Times New Roman"/>
          <w:bCs/>
        </w:rPr>
        <w:t>rbitrage- en conciliatieprocedures</w:t>
      </w:r>
      <w:r w:rsidR="002776D9">
        <w:rPr>
          <w:rFonts w:cs="Times New Roman"/>
          <w:bCs/>
        </w:rPr>
        <w:t xml:space="preserve"> die op grond van artikel </w:t>
      </w:r>
      <w:r>
        <w:rPr>
          <w:rFonts w:cs="Times New Roman"/>
          <w:bCs/>
        </w:rPr>
        <w:t>25 van het Verdrag</w:t>
      </w:r>
      <w:r w:rsidR="002776D9">
        <w:rPr>
          <w:rFonts w:cs="Times New Roman"/>
          <w:bCs/>
        </w:rPr>
        <w:t xml:space="preserve"> door partijen</w:t>
      </w:r>
      <w:r>
        <w:rPr>
          <w:rFonts w:cs="Times New Roman"/>
          <w:bCs/>
        </w:rPr>
        <w:t xml:space="preserve"> </w:t>
      </w:r>
      <w:r w:rsidR="002776D9">
        <w:rPr>
          <w:rFonts w:cs="Times New Roman"/>
          <w:bCs/>
        </w:rPr>
        <w:t>kunnen worden gevolgd.</w:t>
      </w:r>
    </w:p>
    <w:p w:rsidR="00E56AA5" w:rsidP="00D90240" w:rsidRDefault="00E56AA5">
      <w:pPr>
        <w:spacing w:line="360" w:lineRule="auto"/>
        <w:rPr>
          <w:rFonts w:cs="Times New Roman"/>
        </w:rPr>
      </w:pPr>
    </w:p>
    <w:p w:rsidRPr="00D34FB2" w:rsidR="003419F5" w:rsidP="00D90240" w:rsidRDefault="004F7005">
      <w:pPr>
        <w:spacing w:line="360" w:lineRule="auto"/>
        <w:rPr>
          <w:rFonts w:cs="Times New Roman"/>
          <w:b/>
        </w:rPr>
      </w:pPr>
      <w:r>
        <w:rPr>
          <w:rFonts w:cs="Times New Roman"/>
          <w:b/>
        </w:rPr>
        <w:t>6</w:t>
      </w:r>
      <w:r w:rsidR="00955A23">
        <w:rPr>
          <w:rFonts w:cs="Times New Roman"/>
          <w:b/>
        </w:rPr>
        <w:t xml:space="preserve">. </w:t>
      </w:r>
      <w:r w:rsidRPr="00D34FB2" w:rsidR="003419F5">
        <w:rPr>
          <w:rFonts w:cs="Times New Roman"/>
          <w:b/>
        </w:rPr>
        <w:t>Koninkrijkspositie</w:t>
      </w:r>
    </w:p>
    <w:p w:rsidR="00E23FB5" w:rsidP="008C4BB8" w:rsidRDefault="00955A23">
      <w:pPr>
        <w:spacing w:line="360" w:lineRule="auto"/>
      </w:pPr>
      <w:r w:rsidRPr="001B0563">
        <w:t xml:space="preserve">Om mogelijk te maken dat </w:t>
      </w:r>
      <w:r>
        <w:t>het Verdrag aanvaard</w:t>
      </w:r>
      <w:r w:rsidRPr="001B0563">
        <w:t xml:space="preserve"> zal kunnen worden voor elk van de landen van het Koninkrijk der Nederlanden, wordt t</w:t>
      </w:r>
      <w:r w:rsidR="00DB20EE">
        <w:t>er zake</w:t>
      </w:r>
      <w:r w:rsidRPr="001B0563">
        <w:t xml:space="preserve"> de goedkeuring gevraagd voor het gehele Koninkrijk. </w:t>
      </w:r>
    </w:p>
    <w:p w:rsidR="008C4BB8" w:rsidP="008C4BB8" w:rsidRDefault="00955A23">
      <w:pPr>
        <w:spacing w:line="360" w:lineRule="auto"/>
        <w:rPr>
          <w:rFonts w:cs="Times New Roman"/>
        </w:rPr>
      </w:pPr>
      <w:r>
        <w:t xml:space="preserve">Met betrekking tot Nederland zal </w:t>
      </w:r>
      <w:r>
        <w:rPr>
          <w:rFonts w:cs="Times New Roman"/>
        </w:rPr>
        <w:t>h</w:t>
      </w:r>
      <w:r w:rsidR="007A6E50">
        <w:rPr>
          <w:rFonts w:cs="Times New Roman"/>
        </w:rPr>
        <w:t>et Verdrag</w:t>
      </w:r>
      <w:r w:rsidRPr="00D34FB2" w:rsidR="003419F5">
        <w:rPr>
          <w:rFonts w:cs="Times New Roman"/>
        </w:rPr>
        <w:t xml:space="preserve"> alleen voor het Europese deel van Nederland </w:t>
      </w:r>
      <w:r>
        <w:rPr>
          <w:rFonts w:cs="Times New Roman"/>
        </w:rPr>
        <w:t>worden aanvaard</w:t>
      </w:r>
      <w:r w:rsidR="007A6E50">
        <w:rPr>
          <w:rFonts w:cs="Times New Roman"/>
        </w:rPr>
        <w:t>. Nadat de Europese Kwikverordening i</w:t>
      </w:r>
      <w:r>
        <w:rPr>
          <w:rFonts w:cs="Times New Roman"/>
        </w:rPr>
        <w:t>n</w:t>
      </w:r>
      <w:r w:rsidR="007A6E50">
        <w:rPr>
          <w:rFonts w:cs="Times New Roman"/>
        </w:rPr>
        <w:t xml:space="preserve"> werking is getreden, zal in </w:t>
      </w:r>
      <w:r>
        <w:rPr>
          <w:rFonts w:cs="Times New Roman"/>
        </w:rPr>
        <w:t xml:space="preserve">het Europese deel van </w:t>
      </w:r>
      <w:r w:rsidR="007A6E50">
        <w:rPr>
          <w:rFonts w:cs="Times New Roman"/>
        </w:rPr>
        <w:t>Nederland geen uitvoeringswetgeving meer nodig zijn</w:t>
      </w:r>
      <w:r>
        <w:rPr>
          <w:rFonts w:cs="Times New Roman"/>
        </w:rPr>
        <w:t>, zie paragraaf 2.</w:t>
      </w:r>
      <w:r w:rsidR="008C4BB8">
        <w:rPr>
          <w:rFonts w:cs="Times New Roman"/>
        </w:rPr>
        <w:t xml:space="preserve"> Het Verdrag zal voor</w:t>
      </w:r>
      <w:r>
        <w:rPr>
          <w:rFonts w:cs="Times New Roman"/>
        </w:rPr>
        <w:t xml:space="preserve"> het </w:t>
      </w:r>
      <w:r w:rsidR="008C4BB8">
        <w:rPr>
          <w:rFonts w:cs="Times New Roman"/>
        </w:rPr>
        <w:t>Caribisch</w:t>
      </w:r>
      <w:r>
        <w:rPr>
          <w:rFonts w:cs="Times New Roman"/>
        </w:rPr>
        <w:t xml:space="preserve">e deel van </w:t>
      </w:r>
      <w:r w:rsidR="008C4BB8">
        <w:rPr>
          <w:rFonts w:cs="Times New Roman"/>
        </w:rPr>
        <w:t>Nederland worden aanvaard</w:t>
      </w:r>
      <w:r w:rsidRPr="007A6E50" w:rsidR="008C4BB8">
        <w:rPr>
          <w:rFonts w:cs="Times New Roman"/>
        </w:rPr>
        <w:t>, wanneer de benodigde uitvoeringswetgeving gereed is</w:t>
      </w:r>
      <w:r w:rsidR="00E23FB5">
        <w:rPr>
          <w:rFonts w:cs="Times New Roman"/>
        </w:rPr>
        <w:t>, zie paragraaf 3</w:t>
      </w:r>
      <w:r w:rsidRPr="007A6E50" w:rsidR="008C4BB8">
        <w:rPr>
          <w:rFonts w:cs="Times New Roman"/>
        </w:rPr>
        <w:t xml:space="preserve">. </w:t>
      </w:r>
    </w:p>
    <w:p w:rsidR="002529D1" w:rsidRDefault="002529D1">
      <w:pPr>
        <w:spacing w:line="240" w:lineRule="auto"/>
        <w:rPr>
          <w:rFonts w:cs="Times New Roman"/>
        </w:rPr>
      </w:pPr>
    </w:p>
    <w:p w:rsidR="003419F5" w:rsidP="00D90240" w:rsidRDefault="0072594D">
      <w:pPr>
        <w:spacing w:line="360" w:lineRule="auto"/>
        <w:rPr>
          <w:rFonts w:cs="Times New Roman"/>
        </w:rPr>
      </w:pPr>
      <w:r>
        <w:rPr>
          <w:rFonts w:cs="Times New Roman"/>
        </w:rPr>
        <w:lastRenderedPageBreak/>
        <w:t xml:space="preserve">De </w:t>
      </w:r>
      <w:r w:rsidR="00B152B8">
        <w:rPr>
          <w:rFonts w:cs="Times New Roman"/>
        </w:rPr>
        <w:t xml:space="preserve">regeringen van Aruba, </w:t>
      </w:r>
      <w:r w:rsidRPr="0072594D" w:rsidR="00DB20EE">
        <w:rPr>
          <w:rFonts w:cs="Times New Roman"/>
        </w:rPr>
        <w:t>Curaçao</w:t>
      </w:r>
      <w:r w:rsidRPr="0072594D" w:rsidR="008C4BB8">
        <w:rPr>
          <w:rFonts w:cs="Times New Roman"/>
        </w:rPr>
        <w:t xml:space="preserve"> en </w:t>
      </w:r>
      <w:r w:rsidR="007E0277">
        <w:rPr>
          <w:rFonts w:cs="Times New Roman"/>
        </w:rPr>
        <w:t>Sint Maarten</w:t>
      </w:r>
      <w:r>
        <w:rPr>
          <w:rFonts w:cs="Times New Roman"/>
        </w:rPr>
        <w:t xml:space="preserve"> beraden zich nog o</w:t>
      </w:r>
      <w:r w:rsidR="00B152B8">
        <w:rPr>
          <w:rFonts w:cs="Times New Roman"/>
        </w:rPr>
        <w:t>ver</w:t>
      </w:r>
      <w:r>
        <w:rPr>
          <w:rFonts w:cs="Times New Roman"/>
        </w:rPr>
        <w:t xml:space="preserve"> medegelding van het Verdrag.</w:t>
      </w:r>
    </w:p>
    <w:p w:rsidR="002D7B05" w:rsidP="00D90240" w:rsidRDefault="002D7B05">
      <w:pPr>
        <w:spacing w:line="360" w:lineRule="auto"/>
        <w:rPr>
          <w:rFonts w:cs="Times New Roman"/>
        </w:rPr>
      </w:pPr>
    </w:p>
    <w:p w:rsidR="002D7B05" w:rsidP="00D90240" w:rsidRDefault="002D7B05">
      <w:pPr>
        <w:spacing w:line="360" w:lineRule="auto"/>
        <w:rPr>
          <w:rFonts w:cs="Times New Roman"/>
        </w:rPr>
      </w:pPr>
    </w:p>
    <w:p w:rsidRPr="00D34FB2" w:rsidR="008C4BB8" w:rsidP="00D90240" w:rsidRDefault="008C4BB8">
      <w:pPr>
        <w:spacing w:line="360" w:lineRule="auto"/>
        <w:rPr>
          <w:rFonts w:cs="Times New Roman"/>
        </w:rPr>
      </w:pPr>
    </w:p>
    <w:p w:rsidR="003419F5" w:rsidP="00D90240" w:rsidRDefault="003419F5">
      <w:pPr>
        <w:spacing w:line="360" w:lineRule="auto"/>
        <w:rPr>
          <w:rFonts w:cs="Times New Roman"/>
        </w:rPr>
      </w:pPr>
      <w:r w:rsidRPr="00D34FB2">
        <w:rPr>
          <w:rFonts w:cs="Times New Roman"/>
        </w:rPr>
        <w:t>De Staatssecretaris van Infrastructuur en Milieu,</w:t>
      </w:r>
    </w:p>
    <w:p w:rsidR="002D7B05" w:rsidP="00D90240" w:rsidRDefault="002D7B05">
      <w:pPr>
        <w:spacing w:line="360" w:lineRule="auto"/>
        <w:rPr>
          <w:rFonts w:cs="Times New Roman"/>
        </w:rPr>
      </w:pPr>
    </w:p>
    <w:p w:rsidRPr="00D34FB2" w:rsidR="002D7B05" w:rsidP="00D90240" w:rsidRDefault="002D7B05">
      <w:pPr>
        <w:spacing w:line="360" w:lineRule="auto"/>
        <w:rPr>
          <w:rFonts w:cs="Times New Roman"/>
        </w:rPr>
      </w:pPr>
    </w:p>
    <w:p w:rsidRPr="00D34FB2" w:rsidR="003419F5" w:rsidP="00D90240" w:rsidRDefault="003419F5">
      <w:pPr>
        <w:spacing w:line="360" w:lineRule="auto"/>
        <w:rPr>
          <w:rFonts w:cs="Times New Roman"/>
        </w:rPr>
      </w:pPr>
    </w:p>
    <w:p w:rsidRPr="00D34FB2" w:rsidR="003419F5" w:rsidP="00D90240" w:rsidRDefault="003419F5">
      <w:pPr>
        <w:spacing w:line="360" w:lineRule="auto"/>
        <w:rPr>
          <w:rFonts w:cs="Times New Roman"/>
        </w:rPr>
      </w:pPr>
      <w:r w:rsidRPr="00D34FB2">
        <w:rPr>
          <w:rFonts w:cs="Times New Roman"/>
        </w:rPr>
        <w:t>De Minister van Buitenlandse Zaken,</w:t>
      </w:r>
    </w:p>
    <w:sectPr w:rsidRPr="00D34FB2" w:rsidR="003419F5" w:rsidSect="00F47A09">
      <w:headerReference w:type="default" r:id="rId8"/>
      <w:footerReference w:type="default" r:id="rId9"/>
      <w:headerReference w:type="first" r:id="rId10"/>
      <w:footerReference w:type="first" r:id="rId11"/>
      <w:pgSz w:w="11906" w:h="16838" w:code="9"/>
      <w:pgMar w:top="851" w:right="1134" w:bottom="1134" w:left="1134" w:header="567"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483" w:rsidRDefault="00003483" w:rsidP="008F72E9">
      <w:pPr>
        <w:spacing w:line="240" w:lineRule="auto"/>
      </w:pPr>
      <w:r>
        <w:separator/>
      </w:r>
    </w:p>
  </w:endnote>
  <w:endnote w:type="continuationSeparator" w:id="0">
    <w:p w:rsidR="00003483" w:rsidRDefault="00003483" w:rsidP="008F7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963685"/>
      <w:docPartObj>
        <w:docPartGallery w:val="Page Numbers (Bottom of Page)"/>
        <w:docPartUnique/>
      </w:docPartObj>
    </w:sdtPr>
    <w:sdtEndPr>
      <w:rPr>
        <w:noProof/>
      </w:rPr>
    </w:sdtEndPr>
    <w:sdtContent>
      <w:p w:rsidR="0083391E" w:rsidRDefault="00FE2567">
        <w:pPr>
          <w:pStyle w:val="Footer"/>
          <w:jc w:val="center"/>
        </w:pPr>
        <w:r>
          <w:fldChar w:fldCharType="begin"/>
        </w:r>
        <w:r w:rsidR="00A97DC2">
          <w:instrText xml:space="preserve"> PAGE   \* MERGEFORMAT </w:instrText>
        </w:r>
        <w:r>
          <w:fldChar w:fldCharType="separate"/>
        </w:r>
        <w:r w:rsidR="00F47A09">
          <w:rPr>
            <w:noProof/>
          </w:rPr>
          <w:t>12</w:t>
        </w:r>
        <w:r>
          <w:rPr>
            <w:noProof/>
          </w:rPr>
          <w:fldChar w:fldCharType="end"/>
        </w:r>
      </w:p>
    </w:sdtContent>
  </w:sdt>
  <w:p w:rsidR="0083391E" w:rsidRDefault="00833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C30" w:rsidRDefault="00D20C30">
    <w:pPr>
      <w:pStyle w:val="Footer"/>
      <w:pBdr>
        <w:bottom w:val="single" w:sz="12" w:space="1" w:color="auto"/>
      </w:pBdr>
    </w:pPr>
  </w:p>
  <w:p w:rsidR="00D20C30" w:rsidRPr="008D1311" w:rsidRDefault="00D20C30">
    <w:pPr>
      <w:pStyle w:val="Footer"/>
      <w:rPr>
        <w:sz w:val="14"/>
        <w:szCs w:val="14"/>
      </w:rPr>
    </w:pPr>
    <w:r w:rsidRPr="008D1311">
      <w:rPr>
        <w:sz w:val="14"/>
        <w:szCs w:val="14"/>
      </w:rPr>
      <w:t>Het advies van de Afdeling advisering van de Raad van State van het Koninkrijk wordt niet openbaar gemaakt, omdat het uitsluitend opmerkingen van redactionele aard bevat (artikel 26, zesde lid jo vijfde lid, van de Wet op de Raad van State).</w:t>
    </w:r>
  </w:p>
  <w:p w:rsidR="0083391E" w:rsidRDefault="00833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483" w:rsidRDefault="00003483" w:rsidP="008F72E9">
      <w:pPr>
        <w:spacing w:line="240" w:lineRule="auto"/>
      </w:pPr>
      <w:r>
        <w:separator/>
      </w:r>
    </w:p>
  </w:footnote>
  <w:footnote w:type="continuationSeparator" w:id="0">
    <w:p w:rsidR="00003483" w:rsidRDefault="00003483" w:rsidP="008F72E9">
      <w:pPr>
        <w:spacing w:line="240" w:lineRule="auto"/>
      </w:pPr>
      <w:r>
        <w:continuationSeparator/>
      </w:r>
    </w:p>
  </w:footnote>
  <w:footnote w:id="1">
    <w:p w:rsidR="0083391E" w:rsidRDefault="0083391E">
      <w:pPr>
        <w:pStyle w:val="FootnoteText"/>
        <w:rPr>
          <w:sz w:val="16"/>
          <w:szCs w:val="16"/>
        </w:rPr>
      </w:pPr>
      <w:r>
        <w:rPr>
          <w:rStyle w:val="FootnoteReference"/>
        </w:rPr>
        <w:footnoteRef/>
      </w:r>
      <w:r>
        <w:t xml:space="preserve"> </w:t>
      </w:r>
      <w:hyperlink r:id="rId1" w:history="1">
        <w:r w:rsidRPr="00683BD6">
          <w:rPr>
            <w:rStyle w:val="Hyperlink"/>
            <w:rFonts w:cs="Verdana"/>
            <w:sz w:val="16"/>
            <w:szCs w:val="16"/>
          </w:rPr>
          <w:t>http://www.unep.org/chemicalsandwaste/Mercury/GlobalMercuryPartnership/MandatesDecision255/tabid/4565/language/en-US/Default.aspx</w:t>
        </w:r>
      </w:hyperlink>
    </w:p>
    <w:p w:rsidR="0083391E" w:rsidRPr="005D3D1D" w:rsidRDefault="0083391E">
      <w:pPr>
        <w:pStyle w:val="FootnoteText"/>
        <w:rPr>
          <w:sz w:val="16"/>
          <w:szCs w:val="16"/>
          <w:lang w:val="en-US"/>
        </w:rPr>
      </w:pPr>
    </w:p>
  </w:footnote>
  <w:footnote w:id="2">
    <w:p w:rsidR="0083391E" w:rsidRPr="000B63EE" w:rsidRDefault="0083391E" w:rsidP="000B63EE">
      <w:pPr>
        <w:pStyle w:val="FootnoteText"/>
        <w:rPr>
          <w:sz w:val="18"/>
          <w:szCs w:val="18"/>
          <w:lang w:val="en-US"/>
        </w:rPr>
      </w:pPr>
      <w:r w:rsidRPr="000B63EE">
        <w:rPr>
          <w:rStyle w:val="FootnoteReference"/>
          <w:sz w:val="18"/>
          <w:szCs w:val="18"/>
        </w:rPr>
        <w:footnoteRef/>
      </w:r>
      <w:r w:rsidRPr="000B63EE">
        <w:rPr>
          <w:sz w:val="18"/>
          <w:szCs w:val="18"/>
          <w:lang w:val="en-US"/>
        </w:rPr>
        <w:t xml:space="preserve"> </w:t>
      </w:r>
      <w:hyperlink r:id="rId2" w:history="1">
        <w:r w:rsidRPr="000B63EE">
          <w:rPr>
            <w:rStyle w:val="Hyperlink"/>
            <w:rFonts w:cs="Verdana"/>
            <w:sz w:val="18"/>
            <w:szCs w:val="18"/>
            <w:lang w:val="en-US"/>
          </w:rPr>
          <w:t>https://sustainabledevelopment.un.org/futurewewant.html</w:t>
        </w:r>
      </w:hyperlink>
    </w:p>
    <w:p w:rsidR="0083391E" w:rsidRPr="000B63EE" w:rsidRDefault="0083391E" w:rsidP="000B63EE">
      <w:pPr>
        <w:pStyle w:val="FootnoteText"/>
        <w:rPr>
          <w:lang w:val="en-US"/>
        </w:rPr>
      </w:pPr>
    </w:p>
  </w:footnote>
  <w:footnote w:id="3">
    <w:p w:rsidR="0083391E" w:rsidRPr="002734BC" w:rsidRDefault="0083391E">
      <w:pPr>
        <w:pStyle w:val="FootnoteText"/>
        <w:rPr>
          <w:sz w:val="16"/>
          <w:szCs w:val="16"/>
        </w:rPr>
      </w:pPr>
      <w:r>
        <w:rPr>
          <w:rStyle w:val="FootnoteReference"/>
        </w:rPr>
        <w:footnoteRef/>
      </w:r>
      <w:r>
        <w:t xml:space="preserve"> </w:t>
      </w:r>
      <w:r>
        <w:rPr>
          <w:sz w:val="16"/>
          <w:szCs w:val="16"/>
        </w:rPr>
        <w:t>O.a. het Verdrag van Stockholm</w:t>
      </w:r>
      <w:r>
        <w:rPr>
          <w:rStyle w:val="preformatted"/>
        </w:rPr>
        <w:t xml:space="preserve"> </w:t>
      </w:r>
      <w:r w:rsidRPr="002734BC">
        <w:rPr>
          <w:rStyle w:val="preformatted"/>
          <w:sz w:val="16"/>
          <w:szCs w:val="16"/>
        </w:rPr>
        <w:t xml:space="preserve">inzake persistente organische verontreinigende stoffen; Stockholm, 22 mei 2001 (Trb. 2001, 132), </w:t>
      </w:r>
      <w:r w:rsidRPr="002734BC">
        <w:rPr>
          <w:sz w:val="16"/>
          <w:szCs w:val="16"/>
        </w:rPr>
        <w:t xml:space="preserve">het Verdrag van Bazel </w:t>
      </w:r>
      <w:r w:rsidRPr="002734BC">
        <w:rPr>
          <w:rStyle w:val="preformatted"/>
          <w:sz w:val="16"/>
          <w:szCs w:val="16"/>
        </w:rPr>
        <w:t xml:space="preserve">inzake de beheersing van de grensoverschrijdende overbrenging van gevaarlijke afvalstoffen en de verwijdering ervan; Bazel, 22 maart 1989 (Trb. 1990, 12) </w:t>
      </w:r>
      <w:r w:rsidRPr="002734BC">
        <w:rPr>
          <w:sz w:val="16"/>
          <w:szCs w:val="16"/>
        </w:rPr>
        <w:t xml:space="preserve">en het Verdrag van Rotterdam </w:t>
      </w:r>
      <w:r w:rsidRPr="002734BC">
        <w:rPr>
          <w:rStyle w:val="preformatted"/>
          <w:sz w:val="16"/>
          <w:szCs w:val="16"/>
        </w:rPr>
        <w:t xml:space="preserve"> inzake de procedure met betrekking tot voorafgaande geïnformeerde toestemming ten aanzien van bepaalde gevaarlijke chemische stoffen en pesticiden in de internationale handel; Rotterdam, 10</w:t>
      </w:r>
      <w:r>
        <w:rPr>
          <w:rStyle w:val="preformatted"/>
          <w:sz w:val="16"/>
          <w:szCs w:val="16"/>
        </w:rPr>
        <w:t xml:space="preserve"> september </w:t>
      </w:r>
      <w:r w:rsidRPr="002734BC">
        <w:rPr>
          <w:rStyle w:val="preformatted"/>
          <w:sz w:val="16"/>
          <w:szCs w:val="16"/>
        </w:rPr>
        <w:t>1998 (Trb. 1999, 30)</w:t>
      </w:r>
      <w:r w:rsidRPr="002734BC">
        <w:rPr>
          <w:sz w:val="16"/>
          <w:szCs w:val="16"/>
        </w:rPr>
        <w:t>.</w:t>
      </w:r>
    </w:p>
  </w:footnote>
  <w:footnote w:id="4">
    <w:p w:rsidR="0083391E" w:rsidRDefault="0083391E">
      <w:pPr>
        <w:pStyle w:val="FootnoteText"/>
      </w:pPr>
      <w:r>
        <w:rPr>
          <w:rStyle w:val="FootnoteReference"/>
        </w:rPr>
        <w:footnoteRef/>
      </w:r>
      <w:r>
        <w:t xml:space="preserve"> </w:t>
      </w:r>
      <w:r w:rsidRPr="00121FF9">
        <w:rPr>
          <w:rStyle w:val="FootnoteReference"/>
          <w:sz w:val="16"/>
          <w:szCs w:val="16"/>
          <w:vertAlign w:val="baseline"/>
        </w:rPr>
        <w:t xml:space="preserve">Kamerstukken </w:t>
      </w:r>
      <w:r>
        <w:rPr>
          <w:sz w:val="16"/>
          <w:szCs w:val="16"/>
        </w:rPr>
        <w:t xml:space="preserve">II </w:t>
      </w:r>
      <w:r w:rsidRPr="00121FF9">
        <w:rPr>
          <w:sz w:val="16"/>
          <w:szCs w:val="16"/>
        </w:rPr>
        <w:t>2015-2016, 22112, nr. 2075</w:t>
      </w:r>
      <w:r>
        <w:rPr>
          <w:sz w:val="16"/>
          <w:szCs w:val="16"/>
        </w:rPr>
        <w:t>.</w:t>
      </w:r>
    </w:p>
  </w:footnote>
  <w:footnote w:id="5">
    <w:p w:rsidR="0083391E" w:rsidRDefault="0083391E">
      <w:pPr>
        <w:pStyle w:val="FootnoteText"/>
      </w:pPr>
      <w:r>
        <w:rPr>
          <w:rStyle w:val="FootnoteReference"/>
        </w:rPr>
        <w:footnoteRef/>
      </w:r>
      <w:r>
        <w:t xml:space="preserve"> </w:t>
      </w:r>
      <w:r w:rsidRPr="006D14B2">
        <w:rPr>
          <w:rFonts w:cs="Times New Roman"/>
          <w:sz w:val="16"/>
          <w:szCs w:val="16"/>
        </w:rPr>
        <w:t>Verordening (EG) Nr. 1102/2008</w:t>
      </w:r>
      <w:r w:rsidR="002D7B05">
        <w:rPr>
          <w:rFonts w:cs="Times New Roman"/>
          <w:sz w:val="16"/>
          <w:szCs w:val="16"/>
        </w:rPr>
        <w:t xml:space="preserve"> van het Europees Parlement en de Raad van 22 oktober 2008</w:t>
      </w:r>
      <w:r w:rsidRPr="006D14B2">
        <w:rPr>
          <w:rFonts w:cs="Times New Roman"/>
          <w:sz w:val="16"/>
          <w:szCs w:val="16"/>
        </w:rPr>
        <w:t xml:space="preserve"> inzake het verbod op de uitvoer van metallisch kwik en andere kwikverbindingen en -mengsels en de veilige opslag van metallisch kwik</w:t>
      </w:r>
      <w:r>
        <w:rPr>
          <w:rFonts w:cs="Times New Roman"/>
          <w:sz w:val="16"/>
          <w:szCs w:val="16"/>
        </w:rPr>
        <w:t xml:space="preserve"> </w:t>
      </w:r>
      <w:r w:rsidR="002D7B05">
        <w:rPr>
          <w:rFonts w:cs="Times New Roman"/>
          <w:sz w:val="16"/>
          <w:szCs w:val="16"/>
        </w:rPr>
        <w:t xml:space="preserve">(PbEU 2008, </w:t>
      </w:r>
      <w:r w:rsidR="002D7B05" w:rsidRPr="002D7B05">
        <w:rPr>
          <w:rFonts w:cs="Times New Roman"/>
          <w:sz w:val="16"/>
          <w:szCs w:val="16"/>
        </w:rPr>
        <w:t>L 304/75</w:t>
      </w:r>
      <w:r w:rsidR="002D7B05">
        <w:rPr>
          <w:rFonts w:cs="Times New Roman"/>
          <w:sz w:val="16"/>
          <w:szCs w:val="16"/>
        </w:rPr>
        <w:t>)</w:t>
      </w:r>
      <w:r>
        <w:rPr>
          <w:rFonts w:cs="Times New Roman"/>
          <w:sz w:val="16"/>
          <w:szCs w:val="16"/>
        </w:rPr>
        <w:t>.</w:t>
      </w:r>
    </w:p>
  </w:footnote>
  <w:footnote w:id="6">
    <w:p w:rsidR="0083391E" w:rsidRPr="0065261E" w:rsidRDefault="0083391E" w:rsidP="0065261E">
      <w:pPr>
        <w:pStyle w:val="FootnoteText"/>
        <w:rPr>
          <w:sz w:val="16"/>
          <w:szCs w:val="16"/>
        </w:rPr>
      </w:pPr>
      <w:r>
        <w:rPr>
          <w:rStyle w:val="FootnoteReference"/>
        </w:rPr>
        <w:footnoteRef/>
      </w:r>
      <w:r>
        <w:t xml:space="preserve"> </w:t>
      </w:r>
      <w:r w:rsidRPr="0065261E">
        <w:rPr>
          <w:sz w:val="16"/>
          <w:szCs w:val="16"/>
        </w:rPr>
        <w:t>Verordening (EG) Nr. 1102/2008 van het Europees Parlement en de Raad van 22 oktober 2008</w:t>
      </w:r>
    </w:p>
    <w:p w:rsidR="0083391E" w:rsidRPr="0065261E" w:rsidRDefault="0083391E" w:rsidP="0065261E">
      <w:pPr>
        <w:pStyle w:val="FootnoteText"/>
        <w:rPr>
          <w:sz w:val="16"/>
          <w:szCs w:val="16"/>
        </w:rPr>
      </w:pPr>
      <w:r w:rsidRPr="0065261E">
        <w:rPr>
          <w:sz w:val="16"/>
          <w:szCs w:val="16"/>
        </w:rPr>
        <w:t>inzake het verbod op de uitvoer van metallisch kwik en andere kwikverbindingen en -mengsels en de</w:t>
      </w:r>
    </w:p>
    <w:p w:rsidR="0083391E" w:rsidRPr="00F559C5" w:rsidRDefault="0083391E" w:rsidP="0065261E">
      <w:pPr>
        <w:pStyle w:val="FootnoteText"/>
        <w:rPr>
          <w:sz w:val="16"/>
          <w:szCs w:val="16"/>
        </w:rPr>
      </w:pPr>
      <w:r w:rsidRPr="0065261E">
        <w:rPr>
          <w:sz w:val="16"/>
          <w:szCs w:val="16"/>
        </w:rPr>
        <w:t>veilige opslag van metallisch kwik</w:t>
      </w:r>
      <w:r>
        <w:rPr>
          <w:sz w:val="16"/>
          <w:szCs w:val="16"/>
        </w:rPr>
        <w:t xml:space="preserve"> (PbEU 2006, L 33/1), </w:t>
      </w:r>
      <w:r w:rsidRPr="0065261E">
        <w:rPr>
          <w:sz w:val="16"/>
          <w:szCs w:val="16"/>
        </w:rPr>
        <w:t>Verordening (EG) nr. 1907/2006 van he</w:t>
      </w:r>
      <w:r>
        <w:rPr>
          <w:sz w:val="16"/>
          <w:szCs w:val="16"/>
        </w:rPr>
        <w:t xml:space="preserve">t Europees Parlement en de Raad van 18 december 2006 </w:t>
      </w:r>
      <w:r w:rsidRPr="0065261E">
        <w:rPr>
          <w:sz w:val="16"/>
          <w:szCs w:val="16"/>
        </w:rPr>
        <w:t>inzake de registratie en beoordeling van en de autorisatie</w:t>
      </w:r>
      <w:r>
        <w:rPr>
          <w:sz w:val="16"/>
          <w:szCs w:val="16"/>
        </w:rPr>
        <w:t xml:space="preserve"> en beperkingen ten aanzien van </w:t>
      </w:r>
      <w:r w:rsidRPr="0065261E">
        <w:rPr>
          <w:sz w:val="16"/>
          <w:szCs w:val="16"/>
        </w:rPr>
        <w:t>chemische stoffen (REACH), tot oprichting van een Europees Agentschap voor c</w:t>
      </w:r>
      <w:r>
        <w:rPr>
          <w:sz w:val="16"/>
          <w:szCs w:val="16"/>
        </w:rPr>
        <w:t xml:space="preserve">hemische </w:t>
      </w:r>
      <w:r w:rsidRPr="0065261E">
        <w:rPr>
          <w:sz w:val="16"/>
          <w:szCs w:val="16"/>
        </w:rPr>
        <w:t>stoffen, houdende wijziging van Richtlijn 1999/4</w:t>
      </w:r>
      <w:r>
        <w:rPr>
          <w:sz w:val="16"/>
          <w:szCs w:val="16"/>
        </w:rPr>
        <w:t xml:space="preserve">5/EG en houdende intrekking van </w:t>
      </w:r>
      <w:r w:rsidRPr="0065261E">
        <w:rPr>
          <w:sz w:val="16"/>
          <w:szCs w:val="16"/>
        </w:rPr>
        <w:t>Verordening (EEG) nr. 793/93 van de Raad en Vero</w:t>
      </w:r>
      <w:r>
        <w:rPr>
          <w:sz w:val="16"/>
          <w:szCs w:val="16"/>
        </w:rPr>
        <w:t xml:space="preserve">rdening (EG) nr. 1488/94 van de </w:t>
      </w:r>
      <w:r w:rsidRPr="0065261E">
        <w:rPr>
          <w:sz w:val="16"/>
          <w:szCs w:val="16"/>
        </w:rPr>
        <w:t>Commissie alsmede Richtlijn 76/769/EEG van de Raad en de Richt</w:t>
      </w:r>
      <w:r>
        <w:rPr>
          <w:sz w:val="16"/>
          <w:szCs w:val="16"/>
        </w:rPr>
        <w:t xml:space="preserve">lijnen 91/155/EEG, </w:t>
      </w:r>
      <w:r w:rsidRPr="0065261E">
        <w:rPr>
          <w:sz w:val="16"/>
          <w:szCs w:val="16"/>
        </w:rPr>
        <w:t>93/67/EEG, 93/105/EG en 2000/21/EG van de Commissie</w:t>
      </w:r>
      <w:r>
        <w:rPr>
          <w:sz w:val="16"/>
          <w:szCs w:val="16"/>
        </w:rPr>
        <w:t xml:space="preserve"> (PbEU 2006, L 396/1)</w:t>
      </w:r>
      <w:r w:rsidRPr="00B9623A">
        <w:rPr>
          <w:iCs/>
          <w:sz w:val="16"/>
          <w:szCs w:val="16"/>
        </w:rPr>
        <w:t xml:space="preserve">en </w:t>
      </w:r>
      <w:r>
        <w:rPr>
          <w:iCs/>
          <w:sz w:val="16"/>
          <w:szCs w:val="16"/>
        </w:rPr>
        <w:t xml:space="preserve">Verordening </w:t>
      </w:r>
      <w:r w:rsidRPr="0065261E">
        <w:rPr>
          <w:iCs/>
          <w:sz w:val="16"/>
          <w:szCs w:val="16"/>
        </w:rPr>
        <w:t xml:space="preserve">(EG) Nr. 166/2005 </w:t>
      </w:r>
      <w:r>
        <w:rPr>
          <w:iCs/>
          <w:sz w:val="16"/>
          <w:szCs w:val="16"/>
        </w:rPr>
        <w:t xml:space="preserve">van het Europees Parlement en de Raad van 18 januari 2006 </w:t>
      </w:r>
      <w:r w:rsidRPr="0065261E">
        <w:rPr>
          <w:iCs/>
          <w:sz w:val="16"/>
          <w:szCs w:val="16"/>
        </w:rPr>
        <w:t xml:space="preserve">betreffende de instelling van een Europees register inzake </w:t>
      </w:r>
      <w:r>
        <w:rPr>
          <w:iCs/>
          <w:sz w:val="16"/>
          <w:szCs w:val="16"/>
        </w:rPr>
        <w:t xml:space="preserve">de uitstoot en overbrenging van </w:t>
      </w:r>
      <w:r w:rsidRPr="0065261E">
        <w:rPr>
          <w:iCs/>
          <w:sz w:val="16"/>
          <w:szCs w:val="16"/>
        </w:rPr>
        <w:t>verontreinigende stoffen en tot wijziging van de Richtlijnen 91/689/EEG en 96/61/EG van de Raad</w:t>
      </w:r>
      <w:r>
        <w:rPr>
          <w:iCs/>
          <w:sz w:val="16"/>
          <w:szCs w:val="16"/>
        </w:rPr>
        <w:t xml:space="preserve"> (PbEU 2006, </w:t>
      </w:r>
      <w:r w:rsidRPr="0065261E">
        <w:rPr>
          <w:iCs/>
          <w:sz w:val="16"/>
          <w:szCs w:val="16"/>
        </w:rPr>
        <w:t>L 33/1 I</w:t>
      </w:r>
      <w:r>
        <w:rPr>
          <w:iCs/>
          <w:sz w:val="16"/>
          <w:szCs w:val="16"/>
        </w:rPr>
        <w:t>)</w:t>
      </w:r>
      <w:r>
        <w:rPr>
          <w:rFonts w:cs="Times New Roman"/>
          <w:sz w:val="16"/>
          <w:szCs w:val="16"/>
        </w:rPr>
        <w:t>.</w:t>
      </w:r>
    </w:p>
  </w:footnote>
  <w:footnote w:id="7">
    <w:p w:rsidR="0083391E" w:rsidRDefault="0083391E" w:rsidP="001A7C75">
      <w:pPr>
        <w:tabs>
          <w:tab w:val="left" w:pos="284"/>
        </w:tabs>
        <w:autoSpaceDE w:val="0"/>
        <w:autoSpaceDN w:val="0"/>
        <w:adjustRightInd w:val="0"/>
        <w:spacing w:line="240" w:lineRule="auto"/>
        <w:ind w:left="284" w:hanging="284"/>
        <w:rPr>
          <w:rStyle w:val="FootnoteReference"/>
          <w:sz w:val="16"/>
          <w:szCs w:val="16"/>
          <w:vertAlign w:val="baseline"/>
        </w:rPr>
      </w:pPr>
      <w:r w:rsidRPr="00B75A66">
        <w:rPr>
          <w:rStyle w:val="FootnoteReference"/>
          <w:sz w:val="20"/>
          <w:szCs w:val="16"/>
        </w:rPr>
        <w:footnoteRef/>
      </w:r>
      <w:r w:rsidRPr="00B75A66">
        <w:rPr>
          <w:rStyle w:val="FootnoteReference"/>
          <w:sz w:val="16"/>
          <w:szCs w:val="16"/>
        </w:rPr>
        <w:t xml:space="preserve"> </w:t>
      </w:r>
      <w:r w:rsidRPr="005E401F">
        <w:rPr>
          <w:rStyle w:val="FootnoteReference"/>
          <w:sz w:val="16"/>
          <w:szCs w:val="16"/>
          <w:vertAlign w:val="baseline"/>
        </w:rPr>
        <w:t>O.a.</w:t>
      </w:r>
      <w:r>
        <w:rPr>
          <w:sz w:val="16"/>
          <w:szCs w:val="16"/>
        </w:rPr>
        <w:t xml:space="preserve"> </w:t>
      </w:r>
      <w:r>
        <w:rPr>
          <w:rStyle w:val="FootnoteReference"/>
          <w:sz w:val="16"/>
          <w:szCs w:val="16"/>
          <w:vertAlign w:val="baseline"/>
        </w:rPr>
        <w:t>Richt</w:t>
      </w:r>
      <w:r>
        <w:rPr>
          <w:sz w:val="16"/>
          <w:szCs w:val="16"/>
        </w:rPr>
        <w:t>l</w:t>
      </w:r>
      <w:r>
        <w:rPr>
          <w:rStyle w:val="FootnoteReference"/>
          <w:sz w:val="16"/>
          <w:szCs w:val="16"/>
          <w:vertAlign w:val="baseline"/>
        </w:rPr>
        <w:t>ijn</w:t>
      </w:r>
      <w:r w:rsidRPr="00D4498A">
        <w:rPr>
          <w:rStyle w:val="FootnoteReference"/>
          <w:sz w:val="16"/>
          <w:szCs w:val="16"/>
          <w:vertAlign w:val="baseline"/>
        </w:rPr>
        <w:t xml:space="preserve"> 2010/75/EU </w:t>
      </w:r>
      <w:r>
        <w:rPr>
          <w:sz w:val="16"/>
          <w:szCs w:val="16"/>
        </w:rPr>
        <w:t xml:space="preserve">van het Europees Parlement en de Raad </w:t>
      </w:r>
      <w:r w:rsidRPr="00D4498A">
        <w:rPr>
          <w:rStyle w:val="FootnoteReference"/>
          <w:sz w:val="16"/>
          <w:szCs w:val="16"/>
          <w:vertAlign w:val="baseline"/>
        </w:rPr>
        <w:t>van 24 november 2010</w:t>
      </w:r>
      <w:r>
        <w:rPr>
          <w:rStyle w:val="FootnoteReference"/>
          <w:sz w:val="16"/>
          <w:szCs w:val="16"/>
          <w:vertAlign w:val="baseline"/>
        </w:rPr>
        <w:t xml:space="preserve"> inzake industriële</w:t>
      </w:r>
    </w:p>
    <w:p w:rsidR="0083391E" w:rsidRDefault="0083391E" w:rsidP="001A7C75">
      <w:pPr>
        <w:tabs>
          <w:tab w:val="left" w:pos="284"/>
        </w:tabs>
        <w:autoSpaceDE w:val="0"/>
        <w:autoSpaceDN w:val="0"/>
        <w:adjustRightInd w:val="0"/>
        <w:spacing w:line="240" w:lineRule="auto"/>
        <w:ind w:left="284" w:hanging="284"/>
        <w:rPr>
          <w:rStyle w:val="FootnoteReference"/>
          <w:sz w:val="16"/>
          <w:szCs w:val="16"/>
          <w:vertAlign w:val="baseline"/>
        </w:rPr>
      </w:pPr>
      <w:r>
        <w:rPr>
          <w:rStyle w:val="FootnoteReference"/>
          <w:sz w:val="16"/>
          <w:szCs w:val="16"/>
          <w:vertAlign w:val="baseline"/>
        </w:rPr>
        <w:t xml:space="preserve">emissies </w:t>
      </w:r>
      <w:r w:rsidRPr="00D4498A">
        <w:rPr>
          <w:rStyle w:val="FootnoteReference"/>
          <w:sz w:val="16"/>
          <w:szCs w:val="16"/>
          <w:vertAlign w:val="baseline"/>
        </w:rPr>
        <w:t>(geïntegreerde preventie en bestrijding van verontreiniging) (herschikking)</w:t>
      </w:r>
      <w:r>
        <w:rPr>
          <w:rStyle w:val="FootnoteReference"/>
          <w:sz w:val="16"/>
          <w:szCs w:val="16"/>
          <w:vertAlign w:val="baseline"/>
        </w:rPr>
        <w:t xml:space="preserve"> (PbEU </w:t>
      </w:r>
      <w:r>
        <w:rPr>
          <w:sz w:val="16"/>
          <w:szCs w:val="16"/>
        </w:rPr>
        <w:t xml:space="preserve">2010, </w:t>
      </w:r>
      <w:r w:rsidRPr="00D4498A">
        <w:rPr>
          <w:sz w:val="16"/>
          <w:szCs w:val="16"/>
        </w:rPr>
        <w:t>L 334/17</w:t>
      </w:r>
      <w:r>
        <w:rPr>
          <w:sz w:val="16"/>
          <w:szCs w:val="16"/>
        </w:rPr>
        <w:t>)</w:t>
      </w:r>
      <w:r>
        <w:rPr>
          <w:rStyle w:val="FootnoteReference"/>
          <w:sz w:val="16"/>
          <w:szCs w:val="16"/>
          <w:vertAlign w:val="baseline"/>
        </w:rPr>
        <w:t>, R</w:t>
      </w:r>
      <w:r>
        <w:rPr>
          <w:sz w:val="16"/>
          <w:szCs w:val="16"/>
        </w:rPr>
        <w:t>ichtlijn</w:t>
      </w:r>
    </w:p>
    <w:p w:rsidR="0083391E" w:rsidRDefault="0083391E" w:rsidP="001A7C75">
      <w:pPr>
        <w:tabs>
          <w:tab w:val="left" w:pos="284"/>
        </w:tabs>
        <w:autoSpaceDE w:val="0"/>
        <w:autoSpaceDN w:val="0"/>
        <w:adjustRightInd w:val="0"/>
        <w:spacing w:line="240" w:lineRule="auto"/>
        <w:ind w:left="284" w:hanging="284"/>
        <w:rPr>
          <w:rStyle w:val="FootnoteReference"/>
          <w:sz w:val="16"/>
          <w:szCs w:val="16"/>
          <w:vertAlign w:val="baseline"/>
        </w:rPr>
      </w:pPr>
      <w:r w:rsidRPr="00D4498A">
        <w:rPr>
          <w:rStyle w:val="FootnoteReference"/>
          <w:sz w:val="16"/>
          <w:szCs w:val="16"/>
          <w:vertAlign w:val="baseline"/>
        </w:rPr>
        <w:t xml:space="preserve">2008/98/EG </w:t>
      </w:r>
      <w:r>
        <w:rPr>
          <w:sz w:val="16"/>
          <w:szCs w:val="16"/>
        </w:rPr>
        <w:t xml:space="preserve">van het Europees Parlement en de Raad </w:t>
      </w:r>
      <w:r w:rsidRPr="00D4498A">
        <w:rPr>
          <w:rStyle w:val="FootnoteReference"/>
          <w:sz w:val="16"/>
          <w:szCs w:val="16"/>
          <w:vertAlign w:val="baseline"/>
        </w:rPr>
        <w:t>van 19 november 2008</w:t>
      </w:r>
      <w:r>
        <w:rPr>
          <w:rStyle w:val="FootnoteReference"/>
          <w:sz w:val="16"/>
          <w:szCs w:val="16"/>
          <w:vertAlign w:val="baseline"/>
        </w:rPr>
        <w:t xml:space="preserve"> </w:t>
      </w:r>
      <w:r w:rsidRPr="00D4498A">
        <w:rPr>
          <w:rStyle w:val="FootnoteReference"/>
          <w:sz w:val="16"/>
          <w:szCs w:val="16"/>
          <w:vertAlign w:val="baseline"/>
        </w:rPr>
        <w:t>betreffende</w:t>
      </w:r>
      <w:r>
        <w:rPr>
          <w:rStyle w:val="FootnoteReference"/>
          <w:sz w:val="16"/>
          <w:szCs w:val="16"/>
          <w:vertAlign w:val="baseline"/>
        </w:rPr>
        <w:t xml:space="preserve"> afvalstoffen en tot intrekking</w:t>
      </w:r>
    </w:p>
    <w:p w:rsidR="0083391E" w:rsidRDefault="0083391E" w:rsidP="001A7C75">
      <w:pPr>
        <w:tabs>
          <w:tab w:val="left" w:pos="284"/>
        </w:tabs>
        <w:autoSpaceDE w:val="0"/>
        <w:autoSpaceDN w:val="0"/>
        <w:adjustRightInd w:val="0"/>
        <w:spacing w:line="240" w:lineRule="auto"/>
        <w:ind w:left="284" w:hanging="284"/>
        <w:rPr>
          <w:rStyle w:val="FootnoteReference"/>
          <w:sz w:val="16"/>
          <w:szCs w:val="16"/>
          <w:vertAlign w:val="baseline"/>
        </w:rPr>
      </w:pPr>
      <w:r w:rsidRPr="00D4498A">
        <w:rPr>
          <w:rStyle w:val="FootnoteReference"/>
          <w:sz w:val="16"/>
          <w:szCs w:val="16"/>
          <w:vertAlign w:val="baseline"/>
        </w:rPr>
        <w:t>van een aantal richtlijnen</w:t>
      </w:r>
      <w:r>
        <w:rPr>
          <w:sz w:val="16"/>
          <w:szCs w:val="16"/>
        </w:rPr>
        <w:t xml:space="preserve"> (PbEU 2008, </w:t>
      </w:r>
      <w:r w:rsidRPr="00D4498A">
        <w:rPr>
          <w:sz w:val="16"/>
          <w:szCs w:val="16"/>
        </w:rPr>
        <w:t>L 312/3</w:t>
      </w:r>
      <w:r>
        <w:rPr>
          <w:rStyle w:val="FootnoteReference"/>
          <w:rFonts w:cs="Verdana"/>
          <w:sz w:val="16"/>
          <w:szCs w:val="16"/>
          <w:vertAlign w:val="baseline"/>
        </w:rPr>
        <w:t>)</w:t>
      </w:r>
      <w:r>
        <w:rPr>
          <w:sz w:val="16"/>
          <w:szCs w:val="16"/>
        </w:rPr>
        <w:t xml:space="preserve">, </w:t>
      </w:r>
      <w:r>
        <w:rPr>
          <w:rStyle w:val="FootnoteReference"/>
          <w:sz w:val="16"/>
          <w:szCs w:val="16"/>
          <w:vertAlign w:val="baseline"/>
        </w:rPr>
        <w:t xml:space="preserve">Richtlijn 2011/65/EU </w:t>
      </w:r>
      <w:r w:rsidRPr="005E401F">
        <w:rPr>
          <w:rStyle w:val="FootnoteReference"/>
          <w:sz w:val="16"/>
          <w:szCs w:val="16"/>
          <w:vertAlign w:val="baseline"/>
        </w:rPr>
        <w:t>betreffend</w:t>
      </w:r>
      <w:r>
        <w:rPr>
          <w:rStyle w:val="FootnoteReference"/>
          <w:sz w:val="16"/>
          <w:szCs w:val="16"/>
          <w:vertAlign w:val="baseline"/>
        </w:rPr>
        <w:t>e beperking van het gebruik van</w:t>
      </w:r>
    </w:p>
    <w:p w:rsidR="0083391E" w:rsidRDefault="0083391E" w:rsidP="001A7C75">
      <w:pPr>
        <w:tabs>
          <w:tab w:val="left" w:pos="284"/>
        </w:tabs>
        <w:autoSpaceDE w:val="0"/>
        <w:autoSpaceDN w:val="0"/>
        <w:adjustRightInd w:val="0"/>
        <w:spacing w:line="240" w:lineRule="auto"/>
        <w:ind w:left="284" w:hanging="284"/>
        <w:rPr>
          <w:iCs/>
          <w:sz w:val="16"/>
          <w:szCs w:val="16"/>
        </w:rPr>
      </w:pPr>
      <w:r w:rsidRPr="005E401F">
        <w:rPr>
          <w:rStyle w:val="FootnoteReference"/>
          <w:sz w:val="16"/>
          <w:szCs w:val="16"/>
          <w:vertAlign w:val="baseline"/>
        </w:rPr>
        <w:t>bepaalde gevaar</w:t>
      </w:r>
      <w:r>
        <w:rPr>
          <w:rStyle w:val="FootnoteReference"/>
          <w:sz w:val="16"/>
          <w:szCs w:val="16"/>
          <w:vertAlign w:val="baseline"/>
        </w:rPr>
        <w:t xml:space="preserve">lijke stoffen in elektrische en </w:t>
      </w:r>
      <w:r w:rsidRPr="005E401F">
        <w:rPr>
          <w:rStyle w:val="FootnoteReference"/>
          <w:sz w:val="16"/>
          <w:szCs w:val="16"/>
          <w:vertAlign w:val="baseline"/>
        </w:rPr>
        <w:t>elektronische apparatuur</w:t>
      </w:r>
      <w:r w:rsidRPr="00B9623A">
        <w:rPr>
          <w:sz w:val="16"/>
          <w:szCs w:val="16"/>
        </w:rPr>
        <w:t xml:space="preserve">, </w:t>
      </w:r>
      <w:r>
        <w:rPr>
          <w:sz w:val="16"/>
          <w:szCs w:val="16"/>
        </w:rPr>
        <w:t xml:space="preserve">en </w:t>
      </w:r>
      <w:r w:rsidRPr="00B9623A">
        <w:rPr>
          <w:iCs/>
          <w:sz w:val="16"/>
          <w:szCs w:val="16"/>
        </w:rPr>
        <w:t>Richtlijn 2010/75/EU inzake ind</w:t>
      </w:r>
      <w:r>
        <w:rPr>
          <w:iCs/>
          <w:sz w:val="16"/>
          <w:szCs w:val="16"/>
        </w:rPr>
        <w:t>ustriële</w:t>
      </w:r>
    </w:p>
    <w:p w:rsidR="0083391E" w:rsidRPr="001A7C75" w:rsidRDefault="0083391E" w:rsidP="001A7C75">
      <w:pPr>
        <w:tabs>
          <w:tab w:val="left" w:pos="284"/>
        </w:tabs>
        <w:autoSpaceDE w:val="0"/>
        <w:autoSpaceDN w:val="0"/>
        <w:adjustRightInd w:val="0"/>
        <w:spacing w:line="240" w:lineRule="auto"/>
        <w:ind w:left="284" w:hanging="284"/>
        <w:rPr>
          <w:sz w:val="16"/>
          <w:szCs w:val="16"/>
        </w:rPr>
      </w:pPr>
      <w:r w:rsidRPr="00B9623A">
        <w:rPr>
          <w:iCs/>
          <w:sz w:val="16"/>
          <w:szCs w:val="16"/>
        </w:rPr>
        <w:t xml:space="preserve">emissies </w:t>
      </w:r>
      <w:r>
        <w:rPr>
          <w:iCs/>
          <w:sz w:val="16"/>
          <w:szCs w:val="16"/>
        </w:rPr>
        <w:t xml:space="preserve"> (PbEU 2011, </w:t>
      </w:r>
      <w:r w:rsidRPr="00174E8E">
        <w:rPr>
          <w:iCs/>
          <w:sz w:val="16"/>
          <w:szCs w:val="16"/>
        </w:rPr>
        <w:t>L 174/88</w:t>
      </w:r>
      <w:r w:rsidR="00B75A66">
        <w:rPr>
          <w:iCs/>
          <w:sz w:val="16"/>
          <w:szCs w:val="16"/>
        </w:rPr>
        <w:t>)</w:t>
      </w:r>
      <w:r w:rsidRPr="00B9623A">
        <w:rPr>
          <w:iCs/>
        </w:rPr>
        <w:t xml:space="preserve">. </w:t>
      </w:r>
    </w:p>
  </w:footnote>
  <w:footnote w:id="8">
    <w:p w:rsidR="0083391E" w:rsidRDefault="0083391E">
      <w:pPr>
        <w:pStyle w:val="FootnoteText"/>
      </w:pPr>
      <w:r>
        <w:rPr>
          <w:rStyle w:val="FootnoteReference"/>
        </w:rPr>
        <w:footnoteRef/>
      </w:r>
      <w:r>
        <w:t xml:space="preserve"> </w:t>
      </w:r>
      <w:r w:rsidRPr="002734BC">
        <w:rPr>
          <w:sz w:val="16"/>
          <w:szCs w:val="16"/>
        </w:rPr>
        <w:t>Artikel 5, tweede lid, van het verdrag bepaalt: “Elke partij zorgt er door het nemen van passende maatregelen voor dat het gebruik van kwik of kwikverbindingen bij de in de Deel I van Bijlage B vermelde productieprocessen niet is toegestaan na de in die bijlage gespecificeerde datum van uitfasering voor de individuele processen, tenzij een partij een geregistreerde vrijstelling ingevolge artikel 6 heeft.” In de Bijlage staat 2018 genoemd als verbodsdatum voor productie van acetaldehyde waarbij kwik of kwikverbindingen als katalysator worden gebruikt. Nederland kan hieraan voldoen omdat zulke industrie in Nederland niet voorkomt.</w:t>
      </w:r>
    </w:p>
  </w:footnote>
  <w:footnote w:id="9">
    <w:p w:rsidR="0083391E" w:rsidRPr="005D3D1D" w:rsidRDefault="0083391E" w:rsidP="00174E8E">
      <w:pPr>
        <w:tabs>
          <w:tab w:val="left" w:pos="284"/>
        </w:tabs>
        <w:autoSpaceDE w:val="0"/>
        <w:autoSpaceDN w:val="0"/>
        <w:adjustRightInd w:val="0"/>
        <w:spacing w:line="240" w:lineRule="auto"/>
        <w:ind w:left="284" w:hanging="284"/>
        <w:rPr>
          <w:rStyle w:val="FootnoteReference"/>
          <w:sz w:val="16"/>
          <w:szCs w:val="16"/>
          <w:vertAlign w:val="baseline"/>
        </w:rPr>
      </w:pPr>
      <w:r w:rsidRPr="00B75A66">
        <w:rPr>
          <w:rStyle w:val="FootnoteReference"/>
          <w:sz w:val="20"/>
          <w:szCs w:val="16"/>
        </w:rPr>
        <w:footnoteRef/>
      </w:r>
      <w:r w:rsidRPr="005D3D1D">
        <w:rPr>
          <w:sz w:val="16"/>
          <w:szCs w:val="16"/>
        </w:rPr>
        <w:t xml:space="preserve"> </w:t>
      </w:r>
      <w:r w:rsidRPr="005D3D1D">
        <w:rPr>
          <w:iCs/>
          <w:sz w:val="16"/>
          <w:szCs w:val="16"/>
        </w:rPr>
        <w:t xml:space="preserve">Met name </w:t>
      </w:r>
      <w:r w:rsidRPr="005D3D1D">
        <w:rPr>
          <w:rStyle w:val="FootnoteReference"/>
          <w:sz w:val="16"/>
          <w:szCs w:val="16"/>
          <w:vertAlign w:val="baseline"/>
        </w:rPr>
        <w:t>Richt</w:t>
      </w:r>
      <w:r w:rsidRPr="005D3D1D">
        <w:rPr>
          <w:sz w:val="16"/>
          <w:szCs w:val="16"/>
        </w:rPr>
        <w:t>l</w:t>
      </w:r>
      <w:r w:rsidRPr="005D3D1D">
        <w:rPr>
          <w:rStyle w:val="FootnoteReference"/>
          <w:sz w:val="16"/>
          <w:szCs w:val="16"/>
          <w:vertAlign w:val="baseline"/>
        </w:rPr>
        <w:t xml:space="preserve">ijn 2010/75/EU </w:t>
      </w:r>
      <w:r w:rsidRPr="005D3D1D">
        <w:rPr>
          <w:sz w:val="16"/>
          <w:szCs w:val="16"/>
        </w:rPr>
        <w:t xml:space="preserve">van het Europees Parlement en de Raad </w:t>
      </w:r>
      <w:r w:rsidRPr="005D3D1D">
        <w:rPr>
          <w:rStyle w:val="FootnoteReference"/>
          <w:sz w:val="16"/>
          <w:szCs w:val="16"/>
          <w:vertAlign w:val="baseline"/>
        </w:rPr>
        <w:t>van 24 november 2010</w:t>
      </w:r>
    </w:p>
    <w:p w:rsidR="0083391E" w:rsidRDefault="0083391E" w:rsidP="00174E8E">
      <w:pPr>
        <w:tabs>
          <w:tab w:val="left" w:pos="284"/>
        </w:tabs>
        <w:autoSpaceDE w:val="0"/>
        <w:autoSpaceDN w:val="0"/>
        <w:adjustRightInd w:val="0"/>
        <w:spacing w:line="240" w:lineRule="auto"/>
        <w:ind w:left="284" w:hanging="284"/>
        <w:rPr>
          <w:sz w:val="16"/>
          <w:szCs w:val="16"/>
        </w:rPr>
      </w:pPr>
      <w:r w:rsidRPr="005D3D1D">
        <w:rPr>
          <w:rStyle w:val="FootnoteReference"/>
          <w:sz w:val="16"/>
          <w:szCs w:val="16"/>
          <w:vertAlign w:val="baseline"/>
        </w:rPr>
        <w:t>inzake industriële emissies (geïntegreerde preventie en bestrijding van verontreiniging) (herschikking)</w:t>
      </w:r>
    </w:p>
    <w:p w:rsidR="0083391E" w:rsidRDefault="0083391E" w:rsidP="00174E8E">
      <w:pPr>
        <w:tabs>
          <w:tab w:val="left" w:pos="284"/>
        </w:tabs>
        <w:autoSpaceDE w:val="0"/>
        <w:autoSpaceDN w:val="0"/>
        <w:adjustRightInd w:val="0"/>
        <w:spacing w:line="240" w:lineRule="auto"/>
        <w:ind w:left="284" w:hanging="284"/>
        <w:rPr>
          <w:iCs/>
          <w:sz w:val="16"/>
          <w:szCs w:val="16"/>
        </w:rPr>
      </w:pPr>
      <w:r w:rsidRPr="005D3D1D">
        <w:rPr>
          <w:rStyle w:val="FootnoteReference"/>
          <w:sz w:val="16"/>
          <w:szCs w:val="16"/>
          <w:vertAlign w:val="baseline"/>
        </w:rPr>
        <w:t xml:space="preserve">(PbEU </w:t>
      </w:r>
      <w:r>
        <w:rPr>
          <w:sz w:val="16"/>
          <w:szCs w:val="16"/>
        </w:rPr>
        <w:t xml:space="preserve">2010, L </w:t>
      </w:r>
      <w:r w:rsidRPr="005D3D1D">
        <w:rPr>
          <w:sz w:val="16"/>
          <w:szCs w:val="16"/>
        </w:rPr>
        <w:t>334/17)</w:t>
      </w:r>
      <w:r w:rsidRPr="005D3D1D">
        <w:rPr>
          <w:rStyle w:val="FootnoteReference"/>
          <w:sz w:val="16"/>
          <w:szCs w:val="16"/>
          <w:vertAlign w:val="baseline"/>
        </w:rPr>
        <w:t xml:space="preserve"> </w:t>
      </w:r>
      <w:r w:rsidRPr="005D3D1D">
        <w:rPr>
          <w:sz w:val="16"/>
          <w:szCs w:val="16"/>
        </w:rPr>
        <w:t xml:space="preserve">en </w:t>
      </w:r>
      <w:r w:rsidRPr="005D3D1D">
        <w:rPr>
          <w:iCs/>
          <w:sz w:val="16"/>
          <w:szCs w:val="16"/>
        </w:rPr>
        <w:t>Verordening (EG) Nr. 166/2005 van het Europees Parl</w:t>
      </w:r>
      <w:r>
        <w:rPr>
          <w:iCs/>
          <w:sz w:val="16"/>
          <w:szCs w:val="16"/>
        </w:rPr>
        <w:t>ement en de Raad van 18 januari</w:t>
      </w:r>
    </w:p>
    <w:p w:rsidR="0083391E" w:rsidRDefault="0083391E" w:rsidP="00174E8E">
      <w:pPr>
        <w:tabs>
          <w:tab w:val="left" w:pos="284"/>
        </w:tabs>
        <w:autoSpaceDE w:val="0"/>
        <w:autoSpaceDN w:val="0"/>
        <w:adjustRightInd w:val="0"/>
        <w:spacing w:line="240" w:lineRule="auto"/>
        <w:ind w:left="284" w:hanging="284"/>
        <w:rPr>
          <w:iCs/>
          <w:sz w:val="16"/>
          <w:szCs w:val="16"/>
        </w:rPr>
      </w:pPr>
      <w:r w:rsidRPr="005D3D1D">
        <w:rPr>
          <w:iCs/>
          <w:sz w:val="16"/>
          <w:szCs w:val="16"/>
        </w:rPr>
        <w:t>2006 betreffende de instelling van een</w:t>
      </w:r>
      <w:r w:rsidRPr="0065261E">
        <w:rPr>
          <w:iCs/>
          <w:sz w:val="16"/>
          <w:szCs w:val="16"/>
        </w:rPr>
        <w:t xml:space="preserve"> Europees register inzake </w:t>
      </w:r>
      <w:r>
        <w:rPr>
          <w:iCs/>
          <w:sz w:val="16"/>
          <w:szCs w:val="16"/>
        </w:rPr>
        <w:t xml:space="preserve">de uitstoot en overbrenging van verontreinigende </w:t>
      </w:r>
    </w:p>
    <w:p w:rsidR="0083391E" w:rsidRPr="00FE1625" w:rsidRDefault="0083391E" w:rsidP="00174E8E">
      <w:pPr>
        <w:tabs>
          <w:tab w:val="left" w:pos="284"/>
        </w:tabs>
        <w:autoSpaceDE w:val="0"/>
        <w:autoSpaceDN w:val="0"/>
        <w:adjustRightInd w:val="0"/>
        <w:spacing w:line="240" w:lineRule="auto"/>
        <w:ind w:left="284" w:hanging="284"/>
      </w:pPr>
      <w:r w:rsidRPr="0065261E">
        <w:rPr>
          <w:iCs/>
          <w:sz w:val="16"/>
          <w:szCs w:val="16"/>
        </w:rPr>
        <w:t>stoffen en tot wijziging van de Richtlijnen 91/689/EEG en 96/61/EG van de Raad</w:t>
      </w:r>
      <w:r>
        <w:rPr>
          <w:iCs/>
          <w:sz w:val="16"/>
          <w:szCs w:val="16"/>
        </w:rPr>
        <w:t xml:space="preserve"> (PbEU 2006, </w:t>
      </w:r>
      <w:r w:rsidRPr="0065261E">
        <w:rPr>
          <w:iCs/>
          <w:sz w:val="16"/>
          <w:szCs w:val="16"/>
        </w:rPr>
        <w:t>L 33/1 I</w:t>
      </w:r>
      <w:r>
        <w:rPr>
          <w:iCs/>
          <w:sz w:val="16"/>
          <w:szCs w:val="16"/>
        </w:rPr>
        <w:t>)</w:t>
      </w:r>
      <w:r>
        <w:rPr>
          <w:rFonts w:cs="Times New Roman"/>
          <w:sz w:val="16"/>
          <w:szCs w:val="16"/>
        </w:rPr>
        <w:t>.</w:t>
      </w:r>
    </w:p>
  </w:footnote>
  <w:footnote w:id="10">
    <w:p w:rsidR="0083391E" w:rsidRDefault="0083391E">
      <w:pPr>
        <w:pStyle w:val="FootnoteText"/>
      </w:pPr>
      <w:r>
        <w:rPr>
          <w:rStyle w:val="FootnoteReference"/>
        </w:rPr>
        <w:footnoteRef/>
      </w:r>
      <w:r>
        <w:t xml:space="preserve"> </w:t>
      </w:r>
      <w:r w:rsidRPr="00064C35">
        <w:rPr>
          <w:sz w:val="16"/>
          <w:szCs w:val="16"/>
        </w:rPr>
        <w:t>Zie ook Kamerstukken II, 2006-2007, 30 800 V/30 800 XI, nr. 44.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311" w:rsidRDefault="008D1311" w:rsidP="008D1311">
    <w:pPr>
      <w:pStyle w:val="Header"/>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1E" w:rsidRDefault="0083391E" w:rsidP="008F72E9">
    <w:pPr>
      <w:pStyle w:val="Header"/>
      <w:numPr>
        <w:ilvl w:val="0"/>
        <w:numId w:val="0"/>
      </w:numPr>
      <w:ind w:right="-11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1799"/>
    <w:multiLevelType w:val="hybridMultilevel"/>
    <w:tmpl w:val="17B02A0E"/>
    <w:lvl w:ilvl="0" w:tplc="ACB6432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C52EC5"/>
    <w:multiLevelType w:val="hybridMultilevel"/>
    <w:tmpl w:val="8910AE80"/>
    <w:lvl w:ilvl="0" w:tplc="AAB0D5B8">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FD607B"/>
    <w:multiLevelType w:val="hybridMultilevel"/>
    <w:tmpl w:val="10A26B92"/>
    <w:lvl w:ilvl="0" w:tplc="3B4AE50A">
      <w:start w:val="1"/>
      <w:numFmt w:val="decimal"/>
      <w:pStyle w:val="Heading1"/>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3CFB2CA7"/>
    <w:multiLevelType w:val="hybridMultilevel"/>
    <w:tmpl w:val="89F60FEC"/>
    <w:lvl w:ilvl="0" w:tplc="55EA7DAA">
      <w:start w:val="1"/>
      <w:numFmt w:val="decimal"/>
      <w:pStyle w:val="Heading2"/>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5C9219B2"/>
    <w:multiLevelType w:val="hybridMultilevel"/>
    <w:tmpl w:val="D83AC912"/>
    <w:lvl w:ilvl="0" w:tplc="EA0666E4">
      <w:start w:val="1"/>
      <w:numFmt w:val="decimal"/>
      <w:pStyle w:val="Head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oNotTrackFormatting/>
  <w:defaultTabStop w:val="708"/>
  <w:hyphenationZone w:val="425"/>
  <w:drawingGridHorizontalSpacing w:val="9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A1"/>
    <w:rsid w:val="0000045C"/>
    <w:rsid w:val="00000FD1"/>
    <w:rsid w:val="0000102C"/>
    <w:rsid w:val="00001D3D"/>
    <w:rsid w:val="00003483"/>
    <w:rsid w:val="000058F7"/>
    <w:rsid w:val="000072AC"/>
    <w:rsid w:val="00010E5C"/>
    <w:rsid w:val="0001249D"/>
    <w:rsid w:val="00014A0F"/>
    <w:rsid w:val="000212BF"/>
    <w:rsid w:val="00022070"/>
    <w:rsid w:val="00022638"/>
    <w:rsid w:val="00023489"/>
    <w:rsid w:val="00027EAC"/>
    <w:rsid w:val="00030EF5"/>
    <w:rsid w:val="00032347"/>
    <w:rsid w:val="00033365"/>
    <w:rsid w:val="00033A23"/>
    <w:rsid w:val="00034035"/>
    <w:rsid w:val="0004008B"/>
    <w:rsid w:val="00040C48"/>
    <w:rsid w:val="00041C12"/>
    <w:rsid w:val="00043B7E"/>
    <w:rsid w:val="00043C15"/>
    <w:rsid w:val="00043F86"/>
    <w:rsid w:val="00044AD7"/>
    <w:rsid w:val="00044BB1"/>
    <w:rsid w:val="00044F3A"/>
    <w:rsid w:val="0004720E"/>
    <w:rsid w:val="00052D28"/>
    <w:rsid w:val="000540B5"/>
    <w:rsid w:val="000545C1"/>
    <w:rsid w:val="00054B7D"/>
    <w:rsid w:val="00056909"/>
    <w:rsid w:val="00057473"/>
    <w:rsid w:val="00057AEC"/>
    <w:rsid w:val="0006403C"/>
    <w:rsid w:val="00064C35"/>
    <w:rsid w:val="0007153F"/>
    <w:rsid w:val="00071EC7"/>
    <w:rsid w:val="00072434"/>
    <w:rsid w:val="00073684"/>
    <w:rsid w:val="00073C34"/>
    <w:rsid w:val="00074B38"/>
    <w:rsid w:val="000807DE"/>
    <w:rsid w:val="00081B94"/>
    <w:rsid w:val="00082047"/>
    <w:rsid w:val="000833A0"/>
    <w:rsid w:val="00084669"/>
    <w:rsid w:val="00085A83"/>
    <w:rsid w:val="00085B7A"/>
    <w:rsid w:val="00085FF4"/>
    <w:rsid w:val="00087B8C"/>
    <w:rsid w:val="00087D7F"/>
    <w:rsid w:val="00090554"/>
    <w:rsid w:val="00090F97"/>
    <w:rsid w:val="00093444"/>
    <w:rsid w:val="00094B30"/>
    <w:rsid w:val="00095034"/>
    <w:rsid w:val="00095B95"/>
    <w:rsid w:val="00096EE8"/>
    <w:rsid w:val="00096F5C"/>
    <w:rsid w:val="000A3314"/>
    <w:rsid w:val="000A4F24"/>
    <w:rsid w:val="000A4F6C"/>
    <w:rsid w:val="000A5F53"/>
    <w:rsid w:val="000A644C"/>
    <w:rsid w:val="000A6F44"/>
    <w:rsid w:val="000B0113"/>
    <w:rsid w:val="000B054B"/>
    <w:rsid w:val="000B2577"/>
    <w:rsid w:val="000B5606"/>
    <w:rsid w:val="000B5B4A"/>
    <w:rsid w:val="000B63EE"/>
    <w:rsid w:val="000C1447"/>
    <w:rsid w:val="000C559A"/>
    <w:rsid w:val="000C5B23"/>
    <w:rsid w:val="000C6C3F"/>
    <w:rsid w:val="000C6F1A"/>
    <w:rsid w:val="000C764F"/>
    <w:rsid w:val="000D0C85"/>
    <w:rsid w:val="000D6F9D"/>
    <w:rsid w:val="000E0063"/>
    <w:rsid w:val="000E0751"/>
    <w:rsid w:val="000E2317"/>
    <w:rsid w:val="000E38C3"/>
    <w:rsid w:val="000E495E"/>
    <w:rsid w:val="000E4AA4"/>
    <w:rsid w:val="000E54AD"/>
    <w:rsid w:val="000E75E8"/>
    <w:rsid w:val="000E7EE8"/>
    <w:rsid w:val="000F11DE"/>
    <w:rsid w:val="000F1316"/>
    <w:rsid w:val="000F1A8E"/>
    <w:rsid w:val="000F7AA0"/>
    <w:rsid w:val="0010035F"/>
    <w:rsid w:val="00100BC7"/>
    <w:rsid w:val="00101E1C"/>
    <w:rsid w:val="00103DA8"/>
    <w:rsid w:val="0010541C"/>
    <w:rsid w:val="0010746E"/>
    <w:rsid w:val="00111659"/>
    <w:rsid w:val="00111D19"/>
    <w:rsid w:val="00112BAD"/>
    <w:rsid w:val="00112E29"/>
    <w:rsid w:val="00116E72"/>
    <w:rsid w:val="00117DFC"/>
    <w:rsid w:val="00121FF9"/>
    <w:rsid w:val="00122096"/>
    <w:rsid w:val="00124E80"/>
    <w:rsid w:val="00127695"/>
    <w:rsid w:val="00131FE7"/>
    <w:rsid w:val="00133263"/>
    <w:rsid w:val="00141E3A"/>
    <w:rsid w:val="0014239B"/>
    <w:rsid w:val="00144C7C"/>
    <w:rsid w:val="00144D23"/>
    <w:rsid w:val="00145064"/>
    <w:rsid w:val="00150B08"/>
    <w:rsid w:val="0015288D"/>
    <w:rsid w:val="00155A9A"/>
    <w:rsid w:val="00156140"/>
    <w:rsid w:val="00160C7C"/>
    <w:rsid w:val="0016391D"/>
    <w:rsid w:val="00164237"/>
    <w:rsid w:val="0016533A"/>
    <w:rsid w:val="00166963"/>
    <w:rsid w:val="001672E9"/>
    <w:rsid w:val="001705AE"/>
    <w:rsid w:val="00174E8E"/>
    <w:rsid w:val="00176D76"/>
    <w:rsid w:val="00180644"/>
    <w:rsid w:val="00182315"/>
    <w:rsid w:val="00182DEC"/>
    <w:rsid w:val="001834CE"/>
    <w:rsid w:val="00184859"/>
    <w:rsid w:val="001851E2"/>
    <w:rsid w:val="00186448"/>
    <w:rsid w:val="00191D15"/>
    <w:rsid w:val="001A04CE"/>
    <w:rsid w:val="001A0D8C"/>
    <w:rsid w:val="001A3667"/>
    <w:rsid w:val="001A40BE"/>
    <w:rsid w:val="001A597D"/>
    <w:rsid w:val="001A6F54"/>
    <w:rsid w:val="001A7C75"/>
    <w:rsid w:val="001B3470"/>
    <w:rsid w:val="001B5C9A"/>
    <w:rsid w:val="001B62B5"/>
    <w:rsid w:val="001B7201"/>
    <w:rsid w:val="001B7FB3"/>
    <w:rsid w:val="001C08D8"/>
    <w:rsid w:val="001C193E"/>
    <w:rsid w:val="001C1FF0"/>
    <w:rsid w:val="001C26FD"/>
    <w:rsid w:val="001C2A61"/>
    <w:rsid w:val="001C2D39"/>
    <w:rsid w:val="001C4E2E"/>
    <w:rsid w:val="001C7F70"/>
    <w:rsid w:val="001C7F79"/>
    <w:rsid w:val="001D0A29"/>
    <w:rsid w:val="001D1D9E"/>
    <w:rsid w:val="001D7402"/>
    <w:rsid w:val="001E243B"/>
    <w:rsid w:val="001F0959"/>
    <w:rsid w:val="001F1804"/>
    <w:rsid w:val="001F27FA"/>
    <w:rsid w:val="001F55F9"/>
    <w:rsid w:val="001F561E"/>
    <w:rsid w:val="001F6962"/>
    <w:rsid w:val="002003BC"/>
    <w:rsid w:val="00200954"/>
    <w:rsid w:val="00201789"/>
    <w:rsid w:val="00202A85"/>
    <w:rsid w:val="0020302D"/>
    <w:rsid w:val="00204798"/>
    <w:rsid w:val="00207B1E"/>
    <w:rsid w:val="00207F38"/>
    <w:rsid w:val="002149DC"/>
    <w:rsid w:val="0021535A"/>
    <w:rsid w:val="00215A8E"/>
    <w:rsid w:val="002160CF"/>
    <w:rsid w:val="00217978"/>
    <w:rsid w:val="00225135"/>
    <w:rsid w:val="00226B4E"/>
    <w:rsid w:val="00231082"/>
    <w:rsid w:val="00231386"/>
    <w:rsid w:val="002314B1"/>
    <w:rsid w:val="00232822"/>
    <w:rsid w:val="00235AC8"/>
    <w:rsid w:val="00236C18"/>
    <w:rsid w:val="00237976"/>
    <w:rsid w:val="00240960"/>
    <w:rsid w:val="00241ECB"/>
    <w:rsid w:val="00243178"/>
    <w:rsid w:val="00243D26"/>
    <w:rsid w:val="00250F75"/>
    <w:rsid w:val="002529D1"/>
    <w:rsid w:val="0025430E"/>
    <w:rsid w:val="0025559D"/>
    <w:rsid w:val="002559EA"/>
    <w:rsid w:val="00255C67"/>
    <w:rsid w:val="00256F69"/>
    <w:rsid w:val="002619E2"/>
    <w:rsid w:val="0026260F"/>
    <w:rsid w:val="002634E4"/>
    <w:rsid w:val="00263F48"/>
    <w:rsid w:val="00264ECA"/>
    <w:rsid w:val="0026558C"/>
    <w:rsid w:val="00265AC0"/>
    <w:rsid w:val="00265D58"/>
    <w:rsid w:val="00266709"/>
    <w:rsid w:val="002718DD"/>
    <w:rsid w:val="00271A2B"/>
    <w:rsid w:val="00271A33"/>
    <w:rsid w:val="00272554"/>
    <w:rsid w:val="002734BC"/>
    <w:rsid w:val="00275342"/>
    <w:rsid w:val="0027581D"/>
    <w:rsid w:val="00275EC7"/>
    <w:rsid w:val="002776D9"/>
    <w:rsid w:val="00277BE5"/>
    <w:rsid w:val="00282902"/>
    <w:rsid w:val="00283E17"/>
    <w:rsid w:val="00284554"/>
    <w:rsid w:val="00284B0D"/>
    <w:rsid w:val="002852B2"/>
    <w:rsid w:val="00285F0D"/>
    <w:rsid w:val="00286504"/>
    <w:rsid w:val="002876DE"/>
    <w:rsid w:val="00290DEE"/>
    <w:rsid w:val="002910FD"/>
    <w:rsid w:val="0029139D"/>
    <w:rsid w:val="00292AC7"/>
    <w:rsid w:val="002935A1"/>
    <w:rsid w:val="002939E2"/>
    <w:rsid w:val="00293F2B"/>
    <w:rsid w:val="00294D9C"/>
    <w:rsid w:val="00295C92"/>
    <w:rsid w:val="002A0D11"/>
    <w:rsid w:val="002A0EC2"/>
    <w:rsid w:val="002A4351"/>
    <w:rsid w:val="002A7339"/>
    <w:rsid w:val="002A7C85"/>
    <w:rsid w:val="002B1688"/>
    <w:rsid w:val="002B1F2B"/>
    <w:rsid w:val="002B2239"/>
    <w:rsid w:val="002B26D5"/>
    <w:rsid w:val="002B2956"/>
    <w:rsid w:val="002C1FB7"/>
    <w:rsid w:val="002C21F4"/>
    <w:rsid w:val="002C4F3A"/>
    <w:rsid w:val="002C5CDD"/>
    <w:rsid w:val="002C6052"/>
    <w:rsid w:val="002C6BD5"/>
    <w:rsid w:val="002C7955"/>
    <w:rsid w:val="002D11E3"/>
    <w:rsid w:val="002D1C45"/>
    <w:rsid w:val="002D26DF"/>
    <w:rsid w:val="002D5814"/>
    <w:rsid w:val="002D69B5"/>
    <w:rsid w:val="002D6CCF"/>
    <w:rsid w:val="002D7B05"/>
    <w:rsid w:val="002E023B"/>
    <w:rsid w:val="002E2EE8"/>
    <w:rsid w:val="002E2FA0"/>
    <w:rsid w:val="002E3AB4"/>
    <w:rsid w:val="002E7421"/>
    <w:rsid w:val="002F0760"/>
    <w:rsid w:val="002F2F2F"/>
    <w:rsid w:val="002F30E9"/>
    <w:rsid w:val="002F3DCB"/>
    <w:rsid w:val="002F4401"/>
    <w:rsid w:val="002F5A3F"/>
    <w:rsid w:val="0030228B"/>
    <w:rsid w:val="003027F4"/>
    <w:rsid w:val="003049AC"/>
    <w:rsid w:val="00305965"/>
    <w:rsid w:val="003100A4"/>
    <w:rsid w:val="0031214F"/>
    <w:rsid w:val="003136E0"/>
    <w:rsid w:val="003144CC"/>
    <w:rsid w:val="003144F0"/>
    <w:rsid w:val="00315A61"/>
    <w:rsid w:val="00316972"/>
    <w:rsid w:val="00320F9B"/>
    <w:rsid w:val="00321173"/>
    <w:rsid w:val="0032302A"/>
    <w:rsid w:val="00323EF2"/>
    <w:rsid w:val="00323FBA"/>
    <w:rsid w:val="00324395"/>
    <w:rsid w:val="00325DB3"/>
    <w:rsid w:val="00330443"/>
    <w:rsid w:val="00331AEF"/>
    <w:rsid w:val="00332426"/>
    <w:rsid w:val="003333C9"/>
    <w:rsid w:val="00334D1B"/>
    <w:rsid w:val="0033581D"/>
    <w:rsid w:val="00337294"/>
    <w:rsid w:val="00337579"/>
    <w:rsid w:val="003411F7"/>
    <w:rsid w:val="003419F5"/>
    <w:rsid w:val="00341CC3"/>
    <w:rsid w:val="00342330"/>
    <w:rsid w:val="00342BA8"/>
    <w:rsid w:val="00343B78"/>
    <w:rsid w:val="00345FD5"/>
    <w:rsid w:val="00346C3A"/>
    <w:rsid w:val="00350261"/>
    <w:rsid w:val="00352402"/>
    <w:rsid w:val="00352BBB"/>
    <w:rsid w:val="003542D1"/>
    <w:rsid w:val="00354AF8"/>
    <w:rsid w:val="00357A82"/>
    <w:rsid w:val="00360277"/>
    <w:rsid w:val="00365E35"/>
    <w:rsid w:val="00370E65"/>
    <w:rsid w:val="00370F21"/>
    <w:rsid w:val="0037226D"/>
    <w:rsid w:val="00372772"/>
    <w:rsid w:val="00373608"/>
    <w:rsid w:val="003743E3"/>
    <w:rsid w:val="003803DB"/>
    <w:rsid w:val="00382F6B"/>
    <w:rsid w:val="00383CE6"/>
    <w:rsid w:val="00383DDC"/>
    <w:rsid w:val="00384128"/>
    <w:rsid w:val="003848D9"/>
    <w:rsid w:val="003911EA"/>
    <w:rsid w:val="00391BE1"/>
    <w:rsid w:val="00392ABC"/>
    <w:rsid w:val="00394C5B"/>
    <w:rsid w:val="003960D2"/>
    <w:rsid w:val="003963EA"/>
    <w:rsid w:val="00396AC7"/>
    <w:rsid w:val="003A1935"/>
    <w:rsid w:val="003A1E9D"/>
    <w:rsid w:val="003A2743"/>
    <w:rsid w:val="003A2D95"/>
    <w:rsid w:val="003A35A9"/>
    <w:rsid w:val="003A56F6"/>
    <w:rsid w:val="003B3BEF"/>
    <w:rsid w:val="003B5B30"/>
    <w:rsid w:val="003B6928"/>
    <w:rsid w:val="003C0C6E"/>
    <w:rsid w:val="003D1E1C"/>
    <w:rsid w:val="003D32C4"/>
    <w:rsid w:val="003D35D5"/>
    <w:rsid w:val="003D4507"/>
    <w:rsid w:val="003D4FE4"/>
    <w:rsid w:val="003D6085"/>
    <w:rsid w:val="003D63C1"/>
    <w:rsid w:val="003E2883"/>
    <w:rsid w:val="003E29AB"/>
    <w:rsid w:val="003E437C"/>
    <w:rsid w:val="003E477B"/>
    <w:rsid w:val="003E521B"/>
    <w:rsid w:val="003F2509"/>
    <w:rsid w:val="003F3CFE"/>
    <w:rsid w:val="00400E8F"/>
    <w:rsid w:val="0040152B"/>
    <w:rsid w:val="00401751"/>
    <w:rsid w:val="00401A0D"/>
    <w:rsid w:val="0040242C"/>
    <w:rsid w:val="00402FE5"/>
    <w:rsid w:val="00405BFF"/>
    <w:rsid w:val="00407D06"/>
    <w:rsid w:val="00411E94"/>
    <w:rsid w:val="004141D7"/>
    <w:rsid w:val="00414857"/>
    <w:rsid w:val="00416A66"/>
    <w:rsid w:val="00420C8A"/>
    <w:rsid w:val="00423726"/>
    <w:rsid w:val="00423E26"/>
    <w:rsid w:val="00427277"/>
    <w:rsid w:val="004272A8"/>
    <w:rsid w:val="00430D12"/>
    <w:rsid w:val="004322A1"/>
    <w:rsid w:val="00432742"/>
    <w:rsid w:val="004340D4"/>
    <w:rsid w:val="004347BA"/>
    <w:rsid w:val="00435694"/>
    <w:rsid w:val="00436687"/>
    <w:rsid w:val="004378AF"/>
    <w:rsid w:val="00441CB7"/>
    <w:rsid w:val="00446AC4"/>
    <w:rsid w:val="00446FB0"/>
    <w:rsid w:val="00454AC5"/>
    <w:rsid w:val="00456472"/>
    <w:rsid w:val="00456671"/>
    <w:rsid w:val="00457F67"/>
    <w:rsid w:val="00460549"/>
    <w:rsid w:val="00460EBD"/>
    <w:rsid w:val="004614BD"/>
    <w:rsid w:val="00461C66"/>
    <w:rsid w:val="00464353"/>
    <w:rsid w:val="00466685"/>
    <w:rsid w:val="00466FA9"/>
    <w:rsid w:val="0047096D"/>
    <w:rsid w:val="0047227A"/>
    <w:rsid w:val="00477B9C"/>
    <w:rsid w:val="00482A7F"/>
    <w:rsid w:val="00484E7F"/>
    <w:rsid w:val="00485424"/>
    <w:rsid w:val="004856DD"/>
    <w:rsid w:val="00486FAD"/>
    <w:rsid w:val="0048754A"/>
    <w:rsid w:val="00494439"/>
    <w:rsid w:val="00494CA5"/>
    <w:rsid w:val="00494ED9"/>
    <w:rsid w:val="004963E0"/>
    <w:rsid w:val="00496A03"/>
    <w:rsid w:val="00497E0A"/>
    <w:rsid w:val="004A45CF"/>
    <w:rsid w:val="004A4DD9"/>
    <w:rsid w:val="004A7B9E"/>
    <w:rsid w:val="004B4405"/>
    <w:rsid w:val="004B49ED"/>
    <w:rsid w:val="004B4A24"/>
    <w:rsid w:val="004B4E11"/>
    <w:rsid w:val="004B7D1E"/>
    <w:rsid w:val="004C0301"/>
    <w:rsid w:val="004C171B"/>
    <w:rsid w:val="004C2C1E"/>
    <w:rsid w:val="004C4667"/>
    <w:rsid w:val="004D0525"/>
    <w:rsid w:val="004D063B"/>
    <w:rsid w:val="004D33CF"/>
    <w:rsid w:val="004D535A"/>
    <w:rsid w:val="004D547B"/>
    <w:rsid w:val="004D62FA"/>
    <w:rsid w:val="004D69D7"/>
    <w:rsid w:val="004E010B"/>
    <w:rsid w:val="004E1068"/>
    <w:rsid w:val="004E136F"/>
    <w:rsid w:val="004E166C"/>
    <w:rsid w:val="004E306F"/>
    <w:rsid w:val="004F0425"/>
    <w:rsid w:val="004F0F97"/>
    <w:rsid w:val="004F29BE"/>
    <w:rsid w:val="004F4497"/>
    <w:rsid w:val="004F7005"/>
    <w:rsid w:val="00500D3A"/>
    <w:rsid w:val="0050402E"/>
    <w:rsid w:val="005046D3"/>
    <w:rsid w:val="005131E3"/>
    <w:rsid w:val="00513AA5"/>
    <w:rsid w:val="005159C5"/>
    <w:rsid w:val="00520A81"/>
    <w:rsid w:val="00527B2D"/>
    <w:rsid w:val="00530B96"/>
    <w:rsid w:val="00532D53"/>
    <w:rsid w:val="00533F20"/>
    <w:rsid w:val="00534784"/>
    <w:rsid w:val="005354F0"/>
    <w:rsid w:val="0053567F"/>
    <w:rsid w:val="00535F90"/>
    <w:rsid w:val="00537261"/>
    <w:rsid w:val="00537E88"/>
    <w:rsid w:val="00540473"/>
    <w:rsid w:val="00542C03"/>
    <w:rsid w:val="00543855"/>
    <w:rsid w:val="0054446C"/>
    <w:rsid w:val="005457FE"/>
    <w:rsid w:val="00545C40"/>
    <w:rsid w:val="00546E36"/>
    <w:rsid w:val="00547A4D"/>
    <w:rsid w:val="005508ED"/>
    <w:rsid w:val="0055117C"/>
    <w:rsid w:val="00551B10"/>
    <w:rsid w:val="00555648"/>
    <w:rsid w:val="00556B92"/>
    <w:rsid w:val="00557036"/>
    <w:rsid w:val="00566039"/>
    <w:rsid w:val="005667BF"/>
    <w:rsid w:val="005700B1"/>
    <w:rsid w:val="00573432"/>
    <w:rsid w:val="0057551F"/>
    <w:rsid w:val="00575749"/>
    <w:rsid w:val="00581C85"/>
    <w:rsid w:val="005834AF"/>
    <w:rsid w:val="005856CE"/>
    <w:rsid w:val="005857C0"/>
    <w:rsid w:val="00585CD0"/>
    <w:rsid w:val="00593CA0"/>
    <w:rsid w:val="00594EA5"/>
    <w:rsid w:val="0059571B"/>
    <w:rsid w:val="0059674B"/>
    <w:rsid w:val="0059699D"/>
    <w:rsid w:val="005972D1"/>
    <w:rsid w:val="005977A6"/>
    <w:rsid w:val="005978FC"/>
    <w:rsid w:val="005A0149"/>
    <w:rsid w:val="005A0725"/>
    <w:rsid w:val="005A470A"/>
    <w:rsid w:val="005A6717"/>
    <w:rsid w:val="005B0197"/>
    <w:rsid w:val="005B0FEC"/>
    <w:rsid w:val="005B1D26"/>
    <w:rsid w:val="005B3A85"/>
    <w:rsid w:val="005B6B26"/>
    <w:rsid w:val="005B7327"/>
    <w:rsid w:val="005B75A2"/>
    <w:rsid w:val="005B75F1"/>
    <w:rsid w:val="005D3D1D"/>
    <w:rsid w:val="005D5A88"/>
    <w:rsid w:val="005E02DE"/>
    <w:rsid w:val="005E1CF9"/>
    <w:rsid w:val="005E401F"/>
    <w:rsid w:val="005E48C3"/>
    <w:rsid w:val="005E532F"/>
    <w:rsid w:val="005E5CF4"/>
    <w:rsid w:val="005E7582"/>
    <w:rsid w:val="005E7762"/>
    <w:rsid w:val="005F1739"/>
    <w:rsid w:val="005F2E63"/>
    <w:rsid w:val="005F2ED7"/>
    <w:rsid w:val="005F4298"/>
    <w:rsid w:val="005F5DBE"/>
    <w:rsid w:val="006012F2"/>
    <w:rsid w:val="00601BD2"/>
    <w:rsid w:val="00605B2D"/>
    <w:rsid w:val="00606A24"/>
    <w:rsid w:val="00611F92"/>
    <w:rsid w:val="0061665C"/>
    <w:rsid w:val="0062072A"/>
    <w:rsid w:val="00621387"/>
    <w:rsid w:val="006228BD"/>
    <w:rsid w:val="0062363B"/>
    <w:rsid w:val="00623737"/>
    <w:rsid w:val="00624EB0"/>
    <w:rsid w:val="00625F9F"/>
    <w:rsid w:val="00626B92"/>
    <w:rsid w:val="00626DF5"/>
    <w:rsid w:val="0063101C"/>
    <w:rsid w:val="006345D6"/>
    <w:rsid w:val="00634C5B"/>
    <w:rsid w:val="00634F8A"/>
    <w:rsid w:val="00636F1A"/>
    <w:rsid w:val="00637FFA"/>
    <w:rsid w:val="00640043"/>
    <w:rsid w:val="006408E3"/>
    <w:rsid w:val="00640FC6"/>
    <w:rsid w:val="00642E43"/>
    <w:rsid w:val="00643CE3"/>
    <w:rsid w:val="0064639C"/>
    <w:rsid w:val="00646B91"/>
    <w:rsid w:val="006521AE"/>
    <w:rsid w:val="0065261E"/>
    <w:rsid w:val="006567C0"/>
    <w:rsid w:val="006575D2"/>
    <w:rsid w:val="00665887"/>
    <w:rsid w:val="00666E41"/>
    <w:rsid w:val="00672B9B"/>
    <w:rsid w:val="0067301A"/>
    <w:rsid w:val="00673DD7"/>
    <w:rsid w:val="0067496A"/>
    <w:rsid w:val="00674B1A"/>
    <w:rsid w:val="0067767D"/>
    <w:rsid w:val="00677A92"/>
    <w:rsid w:val="006819A2"/>
    <w:rsid w:val="00681C82"/>
    <w:rsid w:val="00685A8F"/>
    <w:rsid w:val="00686CD5"/>
    <w:rsid w:val="0068745D"/>
    <w:rsid w:val="00687A9F"/>
    <w:rsid w:val="006905EE"/>
    <w:rsid w:val="00692F38"/>
    <w:rsid w:val="006949BC"/>
    <w:rsid w:val="00694F0F"/>
    <w:rsid w:val="00695A42"/>
    <w:rsid w:val="006A0183"/>
    <w:rsid w:val="006A0896"/>
    <w:rsid w:val="006A6150"/>
    <w:rsid w:val="006A63ED"/>
    <w:rsid w:val="006B1908"/>
    <w:rsid w:val="006B303C"/>
    <w:rsid w:val="006B3D80"/>
    <w:rsid w:val="006B41B8"/>
    <w:rsid w:val="006C1A78"/>
    <w:rsid w:val="006C2008"/>
    <w:rsid w:val="006C2F11"/>
    <w:rsid w:val="006C343B"/>
    <w:rsid w:val="006C4514"/>
    <w:rsid w:val="006C4A62"/>
    <w:rsid w:val="006D14B2"/>
    <w:rsid w:val="006D1788"/>
    <w:rsid w:val="006D17FD"/>
    <w:rsid w:val="006D1C03"/>
    <w:rsid w:val="006D382A"/>
    <w:rsid w:val="006D7E1C"/>
    <w:rsid w:val="006D7F96"/>
    <w:rsid w:val="006E2275"/>
    <w:rsid w:val="006E30CF"/>
    <w:rsid w:val="006F2AB5"/>
    <w:rsid w:val="006F3000"/>
    <w:rsid w:val="006F3DD5"/>
    <w:rsid w:val="006F562C"/>
    <w:rsid w:val="00701AB6"/>
    <w:rsid w:val="00703C38"/>
    <w:rsid w:val="0071177B"/>
    <w:rsid w:val="00713897"/>
    <w:rsid w:val="00714295"/>
    <w:rsid w:val="007156A0"/>
    <w:rsid w:val="007161CE"/>
    <w:rsid w:val="00716BA5"/>
    <w:rsid w:val="0072015D"/>
    <w:rsid w:val="0072026E"/>
    <w:rsid w:val="0072057C"/>
    <w:rsid w:val="00723FCE"/>
    <w:rsid w:val="007251E7"/>
    <w:rsid w:val="007257E6"/>
    <w:rsid w:val="0072594D"/>
    <w:rsid w:val="0072686F"/>
    <w:rsid w:val="00730F0A"/>
    <w:rsid w:val="007320A5"/>
    <w:rsid w:val="007323FC"/>
    <w:rsid w:val="0073286E"/>
    <w:rsid w:val="00735071"/>
    <w:rsid w:val="00736CE9"/>
    <w:rsid w:val="00737B9E"/>
    <w:rsid w:val="0074005C"/>
    <w:rsid w:val="0074048E"/>
    <w:rsid w:val="00741C6F"/>
    <w:rsid w:val="007452AE"/>
    <w:rsid w:val="00746DBA"/>
    <w:rsid w:val="00750F27"/>
    <w:rsid w:val="00750F77"/>
    <w:rsid w:val="007514BA"/>
    <w:rsid w:val="00751DB7"/>
    <w:rsid w:val="00751E36"/>
    <w:rsid w:val="00752571"/>
    <w:rsid w:val="00755B7F"/>
    <w:rsid w:val="007609D6"/>
    <w:rsid w:val="00762B1C"/>
    <w:rsid w:val="00762B80"/>
    <w:rsid w:val="007640B5"/>
    <w:rsid w:val="0076757A"/>
    <w:rsid w:val="00767639"/>
    <w:rsid w:val="00770C74"/>
    <w:rsid w:val="0077372C"/>
    <w:rsid w:val="007754AD"/>
    <w:rsid w:val="00775E61"/>
    <w:rsid w:val="00775FFE"/>
    <w:rsid w:val="007778AA"/>
    <w:rsid w:val="00780495"/>
    <w:rsid w:val="007828FD"/>
    <w:rsid w:val="00782EA5"/>
    <w:rsid w:val="00784544"/>
    <w:rsid w:val="00784F86"/>
    <w:rsid w:val="0078503E"/>
    <w:rsid w:val="0078515E"/>
    <w:rsid w:val="00785A70"/>
    <w:rsid w:val="0078669E"/>
    <w:rsid w:val="007878A0"/>
    <w:rsid w:val="00790535"/>
    <w:rsid w:val="007912B9"/>
    <w:rsid w:val="00792C37"/>
    <w:rsid w:val="007964A2"/>
    <w:rsid w:val="007972F3"/>
    <w:rsid w:val="0079736E"/>
    <w:rsid w:val="00797CB4"/>
    <w:rsid w:val="007A229C"/>
    <w:rsid w:val="007A41AE"/>
    <w:rsid w:val="007A5992"/>
    <w:rsid w:val="007A5DBD"/>
    <w:rsid w:val="007A6E50"/>
    <w:rsid w:val="007A7CD3"/>
    <w:rsid w:val="007B0907"/>
    <w:rsid w:val="007B103E"/>
    <w:rsid w:val="007B11E4"/>
    <w:rsid w:val="007B18D7"/>
    <w:rsid w:val="007B1E8C"/>
    <w:rsid w:val="007B2ED1"/>
    <w:rsid w:val="007B4BF0"/>
    <w:rsid w:val="007B70B3"/>
    <w:rsid w:val="007B76C5"/>
    <w:rsid w:val="007C1937"/>
    <w:rsid w:val="007C29C4"/>
    <w:rsid w:val="007C6F3B"/>
    <w:rsid w:val="007D0ED9"/>
    <w:rsid w:val="007D23CB"/>
    <w:rsid w:val="007D2413"/>
    <w:rsid w:val="007D2938"/>
    <w:rsid w:val="007D4A31"/>
    <w:rsid w:val="007D76D2"/>
    <w:rsid w:val="007D7F0B"/>
    <w:rsid w:val="007E0277"/>
    <w:rsid w:val="007E061D"/>
    <w:rsid w:val="007E171C"/>
    <w:rsid w:val="007E3BDF"/>
    <w:rsid w:val="007E4FC8"/>
    <w:rsid w:val="007E5B8D"/>
    <w:rsid w:val="007E70E1"/>
    <w:rsid w:val="007F5226"/>
    <w:rsid w:val="007F5481"/>
    <w:rsid w:val="007F7F87"/>
    <w:rsid w:val="00803EA4"/>
    <w:rsid w:val="00804B7E"/>
    <w:rsid w:val="0081092E"/>
    <w:rsid w:val="008138B3"/>
    <w:rsid w:val="00813F24"/>
    <w:rsid w:val="008164D2"/>
    <w:rsid w:val="00817B46"/>
    <w:rsid w:val="00817D49"/>
    <w:rsid w:val="00820196"/>
    <w:rsid w:val="00821DA1"/>
    <w:rsid w:val="00826186"/>
    <w:rsid w:val="00826636"/>
    <w:rsid w:val="0082772C"/>
    <w:rsid w:val="00833368"/>
    <w:rsid w:val="0083391E"/>
    <w:rsid w:val="0083437F"/>
    <w:rsid w:val="0083643E"/>
    <w:rsid w:val="00837A90"/>
    <w:rsid w:val="00837CF9"/>
    <w:rsid w:val="00837EAA"/>
    <w:rsid w:val="0084093B"/>
    <w:rsid w:val="008419E2"/>
    <w:rsid w:val="008423C4"/>
    <w:rsid w:val="008425BD"/>
    <w:rsid w:val="008514C8"/>
    <w:rsid w:val="00853271"/>
    <w:rsid w:val="00856F7C"/>
    <w:rsid w:val="00860B11"/>
    <w:rsid w:val="008617C6"/>
    <w:rsid w:val="008619D7"/>
    <w:rsid w:val="0086457D"/>
    <w:rsid w:val="008654E1"/>
    <w:rsid w:val="0086551E"/>
    <w:rsid w:val="00865BEB"/>
    <w:rsid w:val="00867EB2"/>
    <w:rsid w:val="00870F2B"/>
    <w:rsid w:val="008716AC"/>
    <w:rsid w:val="0088199D"/>
    <w:rsid w:val="00882126"/>
    <w:rsid w:val="008848DA"/>
    <w:rsid w:val="008850AA"/>
    <w:rsid w:val="00885371"/>
    <w:rsid w:val="008870EC"/>
    <w:rsid w:val="008904F0"/>
    <w:rsid w:val="00891C0C"/>
    <w:rsid w:val="008959C8"/>
    <w:rsid w:val="00896D26"/>
    <w:rsid w:val="008A1EF6"/>
    <w:rsid w:val="008A200B"/>
    <w:rsid w:val="008A2E5A"/>
    <w:rsid w:val="008A2FD5"/>
    <w:rsid w:val="008A5A8D"/>
    <w:rsid w:val="008A7423"/>
    <w:rsid w:val="008B0C86"/>
    <w:rsid w:val="008B2170"/>
    <w:rsid w:val="008B2D34"/>
    <w:rsid w:val="008B592D"/>
    <w:rsid w:val="008C2F1A"/>
    <w:rsid w:val="008C4BB8"/>
    <w:rsid w:val="008C4E8A"/>
    <w:rsid w:val="008C56A4"/>
    <w:rsid w:val="008C57CE"/>
    <w:rsid w:val="008C6156"/>
    <w:rsid w:val="008C744C"/>
    <w:rsid w:val="008D04D5"/>
    <w:rsid w:val="008D1311"/>
    <w:rsid w:val="008D1CEF"/>
    <w:rsid w:val="008D3C1A"/>
    <w:rsid w:val="008D4B1B"/>
    <w:rsid w:val="008D6723"/>
    <w:rsid w:val="008D6CD2"/>
    <w:rsid w:val="008E09BB"/>
    <w:rsid w:val="008E111C"/>
    <w:rsid w:val="008E53BF"/>
    <w:rsid w:val="008E77CE"/>
    <w:rsid w:val="008E7AB2"/>
    <w:rsid w:val="008F1F42"/>
    <w:rsid w:val="008F2601"/>
    <w:rsid w:val="008F2F80"/>
    <w:rsid w:val="008F497D"/>
    <w:rsid w:val="008F592D"/>
    <w:rsid w:val="008F7150"/>
    <w:rsid w:val="008F72E9"/>
    <w:rsid w:val="008F7AB4"/>
    <w:rsid w:val="009004CF"/>
    <w:rsid w:val="00900906"/>
    <w:rsid w:val="00900AFD"/>
    <w:rsid w:val="0090260E"/>
    <w:rsid w:val="00906609"/>
    <w:rsid w:val="0091062E"/>
    <w:rsid w:val="00910A32"/>
    <w:rsid w:val="009110B0"/>
    <w:rsid w:val="00911710"/>
    <w:rsid w:val="00913286"/>
    <w:rsid w:val="00915D57"/>
    <w:rsid w:val="0091600F"/>
    <w:rsid w:val="00916461"/>
    <w:rsid w:val="00917EF1"/>
    <w:rsid w:val="00921823"/>
    <w:rsid w:val="00921ADF"/>
    <w:rsid w:val="00921BEB"/>
    <w:rsid w:val="009221CA"/>
    <w:rsid w:val="00922688"/>
    <w:rsid w:val="009300FA"/>
    <w:rsid w:val="00931D26"/>
    <w:rsid w:val="00935889"/>
    <w:rsid w:val="00937C73"/>
    <w:rsid w:val="00940E5D"/>
    <w:rsid w:val="009415E8"/>
    <w:rsid w:val="0094164F"/>
    <w:rsid w:val="00942C67"/>
    <w:rsid w:val="0094793F"/>
    <w:rsid w:val="00947F49"/>
    <w:rsid w:val="0095067A"/>
    <w:rsid w:val="00951F6A"/>
    <w:rsid w:val="00952750"/>
    <w:rsid w:val="00952D39"/>
    <w:rsid w:val="00952EC9"/>
    <w:rsid w:val="0095498F"/>
    <w:rsid w:val="009550EA"/>
    <w:rsid w:val="00955427"/>
    <w:rsid w:val="00955A23"/>
    <w:rsid w:val="009565D8"/>
    <w:rsid w:val="00957F4B"/>
    <w:rsid w:val="009632C1"/>
    <w:rsid w:val="00964CB4"/>
    <w:rsid w:val="00966806"/>
    <w:rsid w:val="00966B3E"/>
    <w:rsid w:val="00970639"/>
    <w:rsid w:val="00971360"/>
    <w:rsid w:val="009721DE"/>
    <w:rsid w:val="0097586F"/>
    <w:rsid w:val="00977F4F"/>
    <w:rsid w:val="00980B98"/>
    <w:rsid w:val="00981148"/>
    <w:rsid w:val="00983CC4"/>
    <w:rsid w:val="00983D65"/>
    <w:rsid w:val="0098452B"/>
    <w:rsid w:val="00985A6E"/>
    <w:rsid w:val="00986CFC"/>
    <w:rsid w:val="00991844"/>
    <w:rsid w:val="00991F5E"/>
    <w:rsid w:val="00994FF1"/>
    <w:rsid w:val="00995896"/>
    <w:rsid w:val="00997443"/>
    <w:rsid w:val="00997EC6"/>
    <w:rsid w:val="009A0156"/>
    <w:rsid w:val="009A3F2B"/>
    <w:rsid w:val="009A427E"/>
    <w:rsid w:val="009A4D55"/>
    <w:rsid w:val="009A5988"/>
    <w:rsid w:val="009A7ED9"/>
    <w:rsid w:val="009B03E8"/>
    <w:rsid w:val="009B1EFC"/>
    <w:rsid w:val="009B2280"/>
    <w:rsid w:val="009B2817"/>
    <w:rsid w:val="009B2DA9"/>
    <w:rsid w:val="009B582B"/>
    <w:rsid w:val="009B7ECA"/>
    <w:rsid w:val="009C0BB4"/>
    <w:rsid w:val="009C16A4"/>
    <w:rsid w:val="009C1F4A"/>
    <w:rsid w:val="009C1F76"/>
    <w:rsid w:val="009C277D"/>
    <w:rsid w:val="009C63CF"/>
    <w:rsid w:val="009C67DA"/>
    <w:rsid w:val="009C6D2E"/>
    <w:rsid w:val="009C705E"/>
    <w:rsid w:val="009C7DC2"/>
    <w:rsid w:val="009D0FBF"/>
    <w:rsid w:val="009D12DE"/>
    <w:rsid w:val="009D1C1A"/>
    <w:rsid w:val="009D2698"/>
    <w:rsid w:val="009D3070"/>
    <w:rsid w:val="009D4B49"/>
    <w:rsid w:val="009D4DAF"/>
    <w:rsid w:val="009D5D1D"/>
    <w:rsid w:val="009D76DD"/>
    <w:rsid w:val="009E0D14"/>
    <w:rsid w:val="009E1255"/>
    <w:rsid w:val="009E2A53"/>
    <w:rsid w:val="009E5DE1"/>
    <w:rsid w:val="009E663E"/>
    <w:rsid w:val="009E6A79"/>
    <w:rsid w:val="009F358B"/>
    <w:rsid w:val="009F36CA"/>
    <w:rsid w:val="009F3AC0"/>
    <w:rsid w:val="009F460C"/>
    <w:rsid w:val="009F49A5"/>
    <w:rsid w:val="009F4A93"/>
    <w:rsid w:val="009F5F76"/>
    <w:rsid w:val="009F654D"/>
    <w:rsid w:val="009F6CCC"/>
    <w:rsid w:val="009F7804"/>
    <w:rsid w:val="00A00D30"/>
    <w:rsid w:val="00A02041"/>
    <w:rsid w:val="00A05F2C"/>
    <w:rsid w:val="00A0703E"/>
    <w:rsid w:val="00A1007B"/>
    <w:rsid w:val="00A14F99"/>
    <w:rsid w:val="00A21A9C"/>
    <w:rsid w:val="00A21B7E"/>
    <w:rsid w:val="00A21BD8"/>
    <w:rsid w:val="00A247BE"/>
    <w:rsid w:val="00A32347"/>
    <w:rsid w:val="00A377C8"/>
    <w:rsid w:val="00A41D17"/>
    <w:rsid w:val="00A42BAC"/>
    <w:rsid w:val="00A45218"/>
    <w:rsid w:val="00A52512"/>
    <w:rsid w:val="00A53A89"/>
    <w:rsid w:val="00A53BF1"/>
    <w:rsid w:val="00A53E47"/>
    <w:rsid w:val="00A53F7D"/>
    <w:rsid w:val="00A5466C"/>
    <w:rsid w:val="00A56CF7"/>
    <w:rsid w:val="00A57275"/>
    <w:rsid w:val="00A6077F"/>
    <w:rsid w:val="00A608F5"/>
    <w:rsid w:val="00A60C7D"/>
    <w:rsid w:val="00A624EE"/>
    <w:rsid w:val="00A64D2D"/>
    <w:rsid w:val="00A746CA"/>
    <w:rsid w:val="00A74759"/>
    <w:rsid w:val="00A7582C"/>
    <w:rsid w:val="00A76E78"/>
    <w:rsid w:val="00A76F22"/>
    <w:rsid w:val="00A76FCA"/>
    <w:rsid w:val="00A77181"/>
    <w:rsid w:val="00A777C3"/>
    <w:rsid w:val="00A8097A"/>
    <w:rsid w:val="00A80B9E"/>
    <w:rsid w:val="00A8221D"/>
    <w:rsid w:val="00A837EF"/>
    <w:rsid w:val="00A84706"/>
    <w:rsid w:val="00A84895"/>
    <w:rsid w:val="00A849DF"/>
    <w:rsid w:val="00A85096"/>
    <w:rsid w:val="00A9169D"/>
    <w:rsid w:val="00A9261F"/>
    <w:rsid w:val="00A94BD7"/>
    <w:rsid w:val="00A96AF7"/>
    <w:rsid w:val="00A97DC2"/>
    <w:rsid w:val="00AA008C"/>
    <w:rsid w:val="00AA37E0"/>
    <w:rsid w:val="00AA520F"/>
    <w:rsid w:val="00AA5CB1"/>
    <w:rsid w:val="00AA6378"/>
    <w:rsid w:val="00AA7247"/>
    <w:rsid w:val="00AA740F"/>
    <w:rsid w:val="00AB036D"/>
    <w:rsid w:val="00AB3DA0"/>
    <w:rsid w:val="00AB4258"/>
    <w:rsid w:val="00AB7B47"/>
    <w:rsid w:val="00AC09A4"/>
    <w:rsid w:val="00AC23CF"/>
    <w:rsid w:val="00AC38DF"/>
    <w:rsid w:val="00AC5168"/>
    <w:rsid w:val="00AD0B94"/>
    <w:rsid w:val="00AD72B0"/>
    <w:rsid w:val="00AD79EA"/>
    <w:rsid w:val="00AD7BEB"/>
    <w:rsid w:val="00AE0670"/>
    <w:rsid w:val="00AE0DB7"/>
    <w:rsid w:val="00AE0DE2"/>
    <w:rsid w:val="00AE167A"/>
    <w:rsid w:val="00AE58AC"/>
    <w:rsid w:val="00AF00F8"/>
    <w:rsid w:val="00AF4301"/>
    <w:rsid w:val="00AF55D0"/>
    <w:rsid w:val="00AF6279"/>
    <w:rsid w:val="00AF7BD8"/>
    <w:rsid w:val="00AF7E62"/>
    <w:rsid w:val="00B009A1"/>
    <w:rsid w:val="00B00F7A"/>
    <w:rsid w:val="00B02D1E"/>
    <w:rsid w:val="00B041FF"/>
    <w:rsid w:val="00B0466B"/>
    <w:rsid w:val="00B060FC"/>
    <w:rsid w:val="00B06FC9"/>
    <w:rsid w:val="00B075FE"/>
    <w:rsid w:val="00B10369"/>
    <w:rsid w:val="00B116F2"/>
    <w:rsid w:val="00B128BB"/>
    <w:rsid w:val="00B14223"/>
    <w:rsid w:val="00B1519D"/>
    <w:rsid w:val="00B152B8"/>
    <w:rsid w:val="00B15F29"/>
    <w:rsid w:val="00B22CA9"/>
    <w:rsid w:val="00B31007"/>
    <w:rsid w:val="00B314ED"/>
    <w:rsid w:val="00B32B8B"/>
    <w:rsid w:val="00B35583"/>
    <w:rsid w:val="00B3675E"/>
    <w:rsid w:val="00B36C9E"/>
    <w:rsid w:val="00B43500"/>
    <w:rsid w:val="00B44D3F"/>
    <w:rsid w:val="00B45338"/>
    <w:rsid w:val="00B47403"/>
    <w:rsid w:val="00B50121"/>
    <w:rsid w:val="00B515F3"/>
    <w:rsid w:val="00B52529"/>
    <w:rsid w:val="00B52C09"/>
    <w:rsid w:val="00B53B6E"/>
    <w:rsid w:val="00B56A1D"/>
    <w:rsid w:val="00B56FC4"/>
    <w:rsid w:val="00B577FD"/>
    <w:rsid w:val="00B60C93"/>
    <w:rsid w:val="00B61EA9"/>
    <w:rsid w:val="00B645A2"/>
    <w:rsid w:val="00B64D65"/>
    <w:rsid w:val="00B65BEC"/>
    <w:rsid w:val="00B66568"/>
    <w:rsid w:val="00B67D9E"/>
    <w:rsid w:val="00B726A9"/>
    <w:rsid w:val="00B73286"/>
    <w:rsid w:val="00B73588"/>
    <w:rsid w:val="00B73828"/>
    <w:rsid w:val="00B7449D"/>
    <w:rsid w:val="00B74987"/>
    <w:rsid w:val="00B74D0D"/>
    <w:rsid w:val="00B75A66"/>
    <w:rsid w:val="00B76DDE"/>
    <w:rsid w:val="00B8034C"/>
    <w:rsid w:val="00B80A90"/>
    <w:rsid w:val="00B81E40"/>
    <w:rsid w:val="00B820DE"/>
    <w:rsid w:val="00B826B8"/>
    <w:rsid w:val="00B866A3"/>
    <w:rsid w:val="00B86E42"/>
    <w:rsid w:val="00B92F71"/>
    <w:rsid w:val="00B932C9"/>
    <w:rsid w:val="00B9623A"/>
    <w:rsid w:val="00BA0BDA"/>
    <w:rsid w:val="00BA23A8"/>
    <w:rsid w:val="00BA33A5"/>
    <w:rsid w:val="00BA59E1"/>
    <w:rsid w:val="00BA6424"/>
    <w:rsid w:val="00BA7FE4"/>
    <w:rsid w:val="00BB1A08"/>
    <w:rsid w:val="00BB4668"/>
    <w:rsid w:val="00BB4938"/>
    <w:rsid w:val="00BB5F20"/>
    <w:rsid w:val="00BB7100"/>
    <w:rsid w:val="00BB7DAC"/>
    <w:rsid w:val="00BC22CD"/>
    <w:rsid w:val="00BC2B5C"/>
    <w:rsid w:val="00BC4A8D"/>
    <w:rsid w:val="00BC7EE1"/>
    <w:rsid w:val="00BD7F9C"/>
    <w:rsid w:val="00BE0838"/>
    <w:rsid w:val="00BE180E"/>
    <w:rsid w:val="00BE1EFE"/>
    <w:rsid w:val="00BE2A25"/>
    <w:rsid w:val="00BE3319"/>
    <w:rsid w:val="00BE3F10"/>
    <w:rsid w:val="00BE614E"/>
    <w:rsid w:val="00BE6366"/>
    <w:rsid w:val="00BE7110"/>
    <w:rsid w:val="00BE782A"/>
    <w:rsid w:val="00BF07F4"/>
    <w:rsid w:val="00BF16A1"/>
    <w:rsid w:val="00BF2319"/>
    <w:rsid w:val="00BF29CD"/>
    <w:rsid w:val="00C00E5F"/>
    <w:rsid w:val="00C034BF"/>
    <w:rsid w:val="00C03BA7"/>
    <w:rsid w:val="00C04044"/>
    <w:rsid w:val="00C04743"/>
    <w:rsid w:val="00C0621B"/>
    <w:rsid w:val="00C06710"/>
    <w:rsid w:val="00C07644"/>
    <w:rsid w:val="00C125AC"/>
    <w:rsid w:val="00C127B1"/>
    <w:rsid w:val="00C14ECF"/>
    <w:rsid w:val="00C163CA"/>
    <w:rsid w:val="00C20BB8"/>
    <w:rsid w:val="00C21E2B"/>
    <w:rsid w:val="00C22E52"/>
    <w:rsid w:val="00C23FCF"/>
    <w:rsid w:val="00C24A71"/>
    <w:rsid w:val="00C25AB3"/>
    <w:rsid w:val="00C30D36"/>
    <w:rsid w:val="00C311C6"/>
    <w:rsid w:val="00C32701"/>
    <w:rsid w:val="00C32B80"/>
    <w:rsid w:val="00C33637"/>
    <w:rsid w:val="00C33B6F"/>
    <w:rsid w:val="00C35E2F"/>
    <w:rsid w:val="00C3668F"/>
    <w:rsid w:val="00C4075B"/>
    <w:rsid w:val="00C40CB9"/>
    <w:rsid w:val="00C41A0B"/>
    <w:rsid w:val="00C428D9"/>
    <w:rsid w:val="00C42B84"/>
    <w:rsid w:val="00C442E4"/>
    <w:rsid w:val="00C4636A"/>
    <w:rsid w:val="00C47DF0"/>
    <w:rsid w:val="00C47EBC"/>
    <w:rsid w:val="00C50879"/>
    <w:rsid w:val="00C518B8"/>
    <w:rsid w:val="00C528D2"/>
    <w:rsid w:val="00C53A24"/>
    <w:rsid w:val="00C53FA8"/>
    <w:rsid w:val="00C54C6F"/>
    <w:rsid w:val="00C60474"/>
    <w:rsid w:val="00C60DC2"/>
    <w:rsid w:val="00C6281F"/>
    <w:rsid w:val="00C628A1"/>
    <w:rsid w:val="00C62D5B"/>
    <w:rsid w:val="00C63373"/>
    <w:rsid w:val="00C63403"/>
    <w:rsid w:val="00C63571"/>
    <w:rsid w:val="00C64691"/>
    <w:rsid w:val="00C65076"/>
    <w:rsid w:val="00C66F72"/>
    <w:rsid w:val="00C673DA"/>
    <w:rsid w:val="00C71F4E"/>
    <w:rsid w:val="00C825B5"/>
    <w:rsid w:val="00C827B8"/>
    <w:rsid w:val="00C830D1"/>
    <w:rsid w:val="00C83E72"/>
    <w:rsid w:val="00C8406D"/>
    <w:rsid w:val="00C84879"/>
    <w:rsid w:val="00C8553E"/>
    <w:rsid w:val="00C86DEA"/>
    <w:rsid w:val="00C87428"/>
    <w:rsid w:val="00C91899"/>
    <w:rsid w:val="00CA24D2"/>
    <w:rsid w:val="00CA29A3"/>
    <w:rsid w:val="00CA319B"/>
    <w:rsid w:val="00CA371C"/>
    <w:rsid w:val="00CA6E6A"/>
    <w:rsid w:val="00CB03D6"/>
    <w:rsid w:val="00CB0767"/>
    <w:rsid w:val="00CB1949"/>
    <w:rsid w:val="00CB2CBA"/>
    <w:rsid w:val="00CB2E36"/>
    <w:rsid w:val="00CB3AA2"/>
    <w:rsid w:val="00CB49AE"/>
    <w:rsid w:val="00CB602C"/>
    <w:rsid w:val="00CB6695"/>
    <w:rsid w:val="00CC0A39"/>
    <w:rsid w:val="00CC25CC"/>
    <w:rsid w:val="00CC4245"/>
    <w:rsid w:val="00CD0672"/>
    <w:rsid w:val="00CD173A"/>
    <w:rsid w:val="00CD18D6"/>
    <w:rsid w:val="00CD2717"/>
    <w:rsid w:val="00CD4A46"/>
    <w:rsid w:val="00CD4C85"/>
    <w:rsid w:val="00CE0436"/>
    <w:rsid w:val="00CE048F"/>
    <w:rsid w:val="00CE16FE"/>
    <w:rsid w:val="00CE1BB2"/>
    <w:rsid w:val="00CE284D"/>
    <w:rsid w:val="00CE51D2"/>
    <w:rsid w:val="00CE686E"/>
    <w:rsid w:val="00CE7C13"/>
    <w:rsid w:val="00CE7D75"/>
    <w:rsid w:val="00CE7FD0"/>
    <w:rsid w:val="00CF1212"/>
    <w:rsid w:val="00CF2B7C"/>
    <w:rsid w:val="00D0329D"/>
    <w:rsid w:val="00D03E68"/>
    <w:rsid w:val="00D049D2"/>
    <w:rsid w:val="00D04F37"/>
    <w:rsid w:val="00D04FCE"/>
    <w:rsid w:val="00D06FD4"/>
    <w:rsid w:val="00D07D7E"/>
    <w:rsid w:val="00D07F89"/>
    <w:rsid w:val="00D122F1"/>
    <w:rsid w:val="00D12B5A"/>
    <w:rsid w:val="00D14AA5"/>
    <w:rsid w:val="00D162CD"/>
    <w:rsid w:val="00D16B45"/>
    <w:rsid w:val="00D16B9D"/>
    <w:rsid w:val="00D207DD"/>
    <w:rsid w:val="00D20C30"/>
    <w:rsid w:val="00D20EE0"/>
    <w:rsid w:val="00D2586C"/>
    <w:rsid w:val="00D26B0A"/>
    <w:rsid w:val="00D27585"/>
    <w:rsid w:val="00D27763"/>
    <w:rsid w:val="00D27E79"/>
    <w:rsid w:val="00D30E23"/>
    <w:rsid w:val="00D3147A"/>
    <w:rsid w:val="00D33C09"/>
    <w:rsid w:val="00D34572"/>
    <w:rsid w:val="00D34FB2"/>
    <w:rsid w:val="00D36BB2"/>
    <w:rsid w:val="00D36D5E"/>
    <w:rsid w:val="00D37B33"/>
    <w:rsid w:val="00D37E45"/>
    <w:rsid w:val="00D40425"/>
    <w:rsid w:val="00D404F6"/>
    <w:rsid w:val="00D428A8"/>
    <w:rsid w:val="00D439C9"/>
    <w:rsid w:val="00D445A9"/>
    <w:rsid w:val="00D44723"/>
    <w:rsid w:val="00D4498A"/>
    <w:rsid w:val="00D44B1F"/>
    <w:rsid w:val="00D44D22"/>
    <w:rsid w:val="00D45966"/>
    <w:rsid w:val="00D526EF"/>
    <w:rsid w:val="00D5290A"/>
    <w:rsid w:val="00D562A3"/>
    <w:rsid w:val="00D564C1"/>
    <w:rsid w:val="00D56634"/>
    <w:rsid w:val="00D56D92"/>
    <w:rsid w:val="00D57290"/>
    <w:rsid w:val="00D578F7"/>
    <w:rsid w:val="00D605CF"/>
    <w:rsid w:val="00D60872"/>
    <w:rsid w:val="00D61F89"/>
    <w:rsid w:val="00D62686"/>
    <w:rsid w:val="00D63BD4"/>
    <w:rsid w:val="00D6412A"/>
    <w:rsid w:val="00D6540B"/>
    <w:rsid w:val="00D6718D"/>
    <w:rsid w:val="00D70D1A"/>
    <w:rsid w:val="00D70E31"/>
    <w:rsid w:val="00D71995"/>
    <w:rsid w:val="00D71DFC"/>
    <w:rsid w:val="00D72D0C"/>
    <w:rsid w:val="00D75A9D"/>
    <w:rsid w:val="00D77681"/>
    <w:rsid w:val="00D80304"/>
    <w:rsid w:val="00D8390F"/>
    <w:rsid w:val="00D854B6"/>
    <w:rsid w:val="00D869A8"/>
    <w:rsid w:val="00D87A5D"/>
    <w:rsid w:val="00D90240"/>
    <w:rsid w:val="00D9206B"/>
    <w:rsid w:val="00D93974"/>
    <w:rsid w:val="00D9623D"/>
    <w:rsid w:val="00D97227"/>
    <w:rsid w:val="00DA37A5"/>
    <w:rsid w:val="00DA46C0"/>
    <w:rsid w:val="00DA5D0B"/>
    <w:rsid w:val="00DA72AA"/>
    <w:rsid w:val="00DB1ED2"/>
    <w:rsid w:val="00DB20EE"/>
    <w:rsid w:val="00DB2614"/>
    <w:rsid w:val="00DB388A"/>
    <w:rsid w:val="00DB3EFC"/>
    <w:rsid w:val="00DB53A9"/>
    <w:rsid w:val="00DB5623"/>
    <w:rsid w:val="00DC15D3"/>
    <w:rsid w:val="00DC34B3"/>
    <w:rsid w:val="00DC4CED"/>
    <w:rsid w:val="00DC5F8E"/>
    <w:rsid w:val="00DC66A7"/>
    <w:rsid w:val="00DD26A5"/>
    <w:rsid w:val="00DD398E"/>
    <w:rsid w:val="00DD7EF9"/>
    <w:rsid w:val="00DE0939"/>
    <w:rsid w:val="00DE1C13"/>
    <w:rsid w:val="00DE28BE"/>
    <w:rsid w:val="00DE4043"/>
    <w:rsid w:val="00DE604B"/>
    <w:rsid w:val="00DE6370"/>
    <w:rsid w:val="00DE65A1"/>
    <w:rsid w:val="00DE7C48"/>
    <w:rsid w:val="00DF112C"/>
    <w:rsid w:val="00DF1347"/>
    <w:rsid w:val="00DF1433"/>
    <w:rsid w:val="00DF1D9F"/>
    <w:rsid w:val="00DF3276"/>
    <w:rsid w:val="00DF3874"/>
    <w:rsid w:val="00DF445E"/>
    <w:rsid w:val="00DF7467"/>
    <w:rsid w:val="00DF7CAF"/>
    <w:rsid w:val="00DF7D25"/>
    <w:rsid w:val="00E00B24"/>
    <w:rsid w:val="00E02A52"/>
    <w:rsid w:val="00E03EAC"/>
    <w:rsid w:val="00E054AF"/>
    <w:rsid w:val="00E069D8"/>
    <w:rsid w:val="00E06C16"/>
    <w:rsid w:val="00E113F3"/>
    <w:rsid w:val="00E124A2"/>
    <w:rsid w:val="00E14818"/>
    <w:rsid w:val="00E15353"/>
    <w:rsid w:val="00E15B30"/>
    <w:rsid w:val="00E1619F"/>
    <w:rsid w:val="00E16AB9"/>
    <w:rsid w:val="00E20BA0"/>
    <w:rsid w:val="00E215E9"/>
    <w:rsid w:val="00E21D3F"/>
    <w:rsid w:val="00E22C8B"/>
    <w:rsid w:val="00E23FB5"/>
    <w:rsid w:val="00E26C5E"/>
    <w:rsid w:val="00E32DB0"/>
    <w:rsid w:val="00E34832"/>
    <w:rsid w:val="00E35335"/>
    <w:rsid w:val="00E35B81"/>
    <w:rsid w:val="00E403D2"/>
    <w:rsid w:val="00E47850"/>
    <w:rsid w:val="00E51D09"/>
    <w:rsid w:val="00E5652F"/>
    <w:rsid w:val="00E56AA5"/>
    <w:rsid w:val="00E621E8"/>
    <w:rsid w:val="00E64BC0"/>
    <w:rsid w:val="00E6637C"/>
    <w:rsid w:val="00E67292"/>
    <w:rsid w:val="00E70DFC"/>
    <w:rsid w:val="00E70F06"/>
    <w:rsid w:val="00E71662"/>
    <w:rsid w:val="00E72026"/>
    <w:rsid w:val="00E7270A"/>
    <w:rsid w:val="00E72DC8"/>
    <w:rsid w:val="00E7437C"/>
    <w:rsid w:val="00E76405"/>
    <w:rsid w:val="00E76821"/>
    <w:rsid w:val="00E77CF1"/>
    <w:rsid w:val="00E82D60"/>
    <w:rsid w:val="00E848BD"/>
    <w:rsid w:val="00E84B7D"/>
    <w:rsid w:val="00E85E36"/>
    <w:rsid w:val="00E864B2"/>
    <w:rsid w:val="00E91267"/>
    <w:rsid w:val="00E91CC5"/>
    <w:rsid w:val="00E92BBA"/>
    <w:rsid w:val="00E959BC"/>
    <w:rsid w:val="00E97E2B"/>
    <w:rsid w:val="00EA00F4"/>
    <w:rsid w:val="00EA0893"/>
    <w:rsid w:val="00EA6D12"/>
    <w:rsid w:val="00EA79C6"/>
    <w:rsid w:val="00EA7C44"/>
    <w:rsid w:val="00EB016A"/>
    <w:rsid w:val="00EB0345"/>
    <w:rsid w:val="00EB1567"/>
    <w:rsid w:val="00EB466C"/>
    <w:rsid w:val="00EB7427"/>
    <w:rsid w:val="00EC1CB8"/>
    <w:rsid w:val="00EC4624"/>
    <w:rsid w:val="00EC5357"/>
    <w:rsid w:val="00EC6762"/>
    <w:rsid w:val="00EC676C"/>
    <w:rsid w:val="00EC7F91"/>
    <w:rsid w:val="00ED10C8"/>
    <w:rsid w:val="00ED190F"/>
    <w:rsid w:val="00ED4281"/>
    <w:rsid w:val="00ED44C6"/>
    <w:rsid w:val="00ED507D"/>
    <w:rsid w:val="00ED7643"/>
    <w:rsid w:val="00ED7937"/>
    <w:rsid w:val="00EE3ED7"/>
    <w:rsid w:val="00EE4503"/>
    <w:rsid w:val="00EE4D8E"/>
    <w:rsid w:val="00EE6A47"/>
    <w:rsid w:val="00EE7CF4"/>
    <w:rsid w:val="00EF4178"/>
    <w:rsid w:val="00EF4379"/>
    <w:rsid w:val="00F01313"/>
    <w:rsid w:val="00F01E0B"/>
    <w:rsid w:val="00F036E9"/>
    <w:rsid w:val="00F055C5"/>
    <w:rsid w:val="00F07938"/>
    <w:rsid w:val="00F11AD1"/>
    <w:rsid w:val="00F12CA5"/>
    <w:rsid w:val="00F12E5F"/>
    <w:rsid w:val="00F141C5"/>
    <w:rsid w:val="00F145ED"/>
    <w:rsid w:val="00F14B3C"/>
    <w:rsid w:val="00F15909"/>
    <w:rsid w:val="00F16142"/>
    <w:rsid w:val="00F16279"/>
    <w:rsid w:val="00F209E0"/>
    <w:rsid w:val="00F20CAF"/>
    <w:rsid w:val="00F20D42"/>
    <w:rsid w:val="00F23827"/>
    <w:rsid w:val="00F23CF7"/>
    <w:rsid w:val="00F241D1"/>
    <w:rsid w:val="00F25109"/>
    <w:rsid w:val="00F25AF2"/>
    <w:rsid w:val="00F30255"/>
    <w:rsid w:val="00F302F2"/>
    <w:rsid w:val="00F35A05"/>
    <w:rsid w:val="00F36BAD"/>
    <w:rsid w:val="00F42CEC"/>
    <w:rsid w:val="00F44134"/>
    <w:rsid w:val="00F44292"/>
    <w:rsid w:val="00F45144"/>
    <w:rsid w:val="00F456B3"/>
    <w:rsid w:val="00F463D3"/>
    <w:rsid w:val="00F47A09"/>
    <w:rsid w:val="00F5236C"/>
    <w:rsid w:val="00F5319F"/>
    <w:rsid w:val="00F559C5"/>
    <w:rsid w:val="00F70594"/>
    <w:rsid w:val="00F834E1"/>
    <w:rsid w:val="00F922A9"/>
    <w:rsid w:val="00F93EFD"/>
    <w:rsid w:val="00F97031"/>
    <w:rsid w:val="00FA16C4"/>
    <w:rsid w:val="00FA2B40"/>
    <w:rsid w:val="00FA32AD"/>
    <w:rsid w:val="00FA3A87"/>
    <w:rsid w:val="00FA3DC5"/>
    <w:rsid w:val="00FA42F2"/>
    <w:rsid w:val="00FA748F"/>
    <w:rsid w:val="00FB0832"/>
    <w:rsid w:val="00FB1FAD"/>
    <w:rsid w:val="00FB28AB"/>
    <w:rsid w:val="00FB3D3B"/>
    <w:rsid w:val="00FB4A2D"/>
    <w:rsid w:val="00FB7B6C"/>
    <w:rsid w:val="00FC30B3"/>
    <w:rsid w:val="00FC37D8"/>
    <w:rsid w:val="00FC4C5C"/>
    <w:rsid w:val="00FD1ED4"/>
    <w:rsid w:val="00FD27B8"/>
    <w:rsid w:val="00FD2ED9"/>
    <w:rsid w:val="00FD475D"/>
    <w:rsid w:val="00FD64FB"/>
    <w:rsid w:val="00FD670F"/>
    <w:rsid w:val="00FD697F"/>
    <w:rsid w:val="00FD6FDC"/>
    <w:rsid w:val="00FE131A"/>
    <w:rsid w:val="00FE1625"/>
    <w:rsid w:val="00FE2567"/>
    <w:rsid w:val="00FE7AD9"/>
    <w:rsid w:val="00FF0C4A"/>
    <w:rsid w:val="00FF2500"/>
    <w:rsid w:val="00FF2998"/>
    <w:rsid w:val="00FF58BE"/>
    <w:rsid w:val="00FF66EA"/>
    <w:rsid w:val="00FF79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9B569"/>
  <w15:docId w15:val="{FE8BCBF6-9CF9-42ED-AD2D-6DC44A1B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Times New Roman"/>
        <w:sz w:val="22"/>
        <w:szCs w:val="22"/>
        <w:lang w:val="nl-NL"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BAD"/>
    <w:pPr>
      <w:spacing w:line="240" w:lineRule="atLeast"/>
    </w:pPr>
    <w:rPr>
      <w:rFonts w:cs="Verdana"/>
      <w:sz w:val="18"/>
      <w:szCs w:val="18"/>
      <w:lang w:eastAsia="en-US"/>
    </w:rPr>
  </w:style>
  <w:style w:type="paragraph" w:styleId="Heading1">
    <w:name w:val="heading 1"/>
    <w:basedOn w:val="Normal"/>
    <w:next w:val="Normal"/>
    <w:link w:val="Heading1Char"/>
    <w:uiPriority w:val="99"/>
    <w:qFormat/>
    <w:rsid w:val="00F36BAD"/>
    <w:pPr>
      <w:keepNext/>
      <w:numPr>
        <w:numId w:val="1"/>
      </w:numPr>
      <w:spacing w:before="240" w:after="60"/>
      <w:outlineLvl w:val="0"/>
    </w:pPr>
    <w:rPr>
      <w:rFonts w:eastAsia="Times New Roman"/>
      <w:kern w:val="32"/>
      <w:sz w:val="24"/>
      <w:szCs w:val="24"/>
    </w:rPr>
  </w:style>
  <w:style w:type="paragraph" w:styleId="Heading2">
    <w:name w:val="heading 2"/>
    <w:basedOn w:val="Normal"/>
    <w:next w:val="Normal"/>
    <w:link w:val="Heading2Char"/>
    <w:uiPriority w:val="99"/>
    <w:qFormat/>
    <w:rsid w:val="00F36BAD"/>
    <w:pPr>
      <w:keepNext/>
      <w:numPr>
        <w:numId w:val="2"/>
      </w:numPr>
      <w:spacing w:before="240" w:after="60"/>
      <w:outlineLvl w:val="1"/>
    </w:pPr>
    <w:rPr>
      <w:rFonts w:eastAsia="Times New Roman"/>
      <w:b/>
      <w:bCs/>
    </w:rPr>
  </w:style>
  <w:style w:type="paragraph" w:styleId="Heading3">
    <w:name w:val="heading 3"/>
    <w:basedOn w:val="Heading1"/>
    <w:next w:val="Normal"/>
    <w:link w:val="Heading3Char"/>
    <w:uiPriority w:val="99"/>
    <w:qFormat/>
    <w:rsid w:val="00F36BAD"/>
    <w:pPr>
      <w:ind w:left="0" w:firstLine="0"/>
      <w:outlineLvl w:val="2"/>
    </w:pPr>
    <w:rPr>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6BAD"/>
    <w:rPr>
      <w:rFonts w:eastAsia="Times New Roman" w:cs="Verdana"/>
      <w:kern w:val="32"/>
      <w:sz w:val="24"/>
      <w:szCs w:val="24"/>
      <w:lang w:eastAsia="en-US"/>
    </w:rPr>
  </w:style>
  <w:style w:type="character" w:customStyle="1" w:styleId="Heading2Char">
    <w:name w:val="Heading 2 Char"/>
    <w:basedOn w:val="DefaultParagraphFont"/>
    <w:link w:val="Heading2"/>
    <w:uiPriority w:val="99"/>
    <w:locked/>
    <w:rsid w:val="00F36BAD"/>
    <w:rPr>
      <w:rFonts w:eastAsia="Times New Roman" w:cs="Verdana"/>
      <w:b/>
      <w:bCs/>
      <w:sz w:val="18"/>
      <w:szCs w:val="18"/>
      <w:lang w:eastAsia="en-US"/>
    </w:rPr>
  </w:style>
  <w:style w:type="character" w:customStyle="1" w:styleId="Heading3Char">
    <w:name w:val="Heading 3 Char"/>
    <w:basedOn w:val="DefaultParagraphFont"/>
    <w:link w:val="Heading3"/>
    <w:uiPriority w:val="99"/>
    <w:locked/>
    <w:rsid w:val="00F36BAD"/>
    <w:rPr>
      <w:rFonts w:eastAsia="Times New Roman" w:cs="Verdana"/>
      <w:i/>
      <w:iCs/>
      <w:kern w:val="32"/>
      <w:sz w:val="18"/>
      <w:szCs w:val="18"/>
      <w:lang w:eastAsia="en-US"/>
    </w:rPr>
  </w:style>
  <w:style w:type="character" w:customStyle="1" w:styleId="65pt">
    <w:name w:val="6.5 pt"/>
    <w:basedOn w:val="DefaultParagraphFont"/>
    <w:uiPriority w:val="99"/>
    <w:rsid w:val="007251E7"/>
    <w:rPr>
      <w:rFonts w:cs="Times New Roman"/>
      <w:sz w:val="13"/>
      <w:szCs w:val="13"/>
    </w:rPr>
  </w:style>
  <w:style w:type="character" w:customStyle="1" w:styleId="Cursief">
    <w:name w:val="Cursief"/>
    <w:basedOn w:val="DefaultParagraphFont"/>
    <w:uiPriority w:val="99"/>
    <w:rsid w:val="007251E7"/>
    <w:rPr>
      <w:rFonts w:cs="Times New Roman"/>
      <w:i/>
      <w:iCs/>
    </w:rPr>
  </w:style>
  <w:style w:type="paragraph" w:customStyle="1" w:styleId="Huisstijl-Adres">
    <w:name w:val="Huisstijl-Adres"/>
    <w:basedOn w:val="Normal"/>
    <w:uiPriority w:val="99"/>
    <w:rsid w:val="007251E7"/>
    <w:pPr>
      <w:tabs>
        <w:tab w:val="left" w:pos="193"/>
      </w:tabs>
      <w:spacing w:after="90" w:line="180" w:lineRule="exact"/>
    </w:pPr>
    <w:rPr>
      <w:noProof/>
      <w:sz w:val="13"/>
      <w:szCs w:val="13"/>
    </w:rPr>
  </w:style>
  <w:style w:type="paragraph" w:customStyle="1" w:styleId="Huisstijl-Gegeven">
    <w:name w:val="Huisstijl-Gegeven"/>
    <w:basedOn w:val="Normal"/>
    <w:link w:val="Huisstijl-GegevenChar"/>
    <w:uiPriority w:val="99"/>
    <w:rsid w:val="007251E7"/>
    <w:pPr>
      <w:spacing w:after="92" w:line="180" w:lineRule="exact"/>
    </w:pPr>
    <w:rPr>
      <w:noProof/>
      <w:sz w:val="13"/>
      <w:szCs w:val="13"/>
    </w:rPr>
  </w:style>
  <w:style w:type="character" w:customStyle="1" w:styleId="Huisstijl-GegevenChar">
    <w:name w:val="Huisstijl-Gegeven Char"/>
    <w:basedOn w:val="DefaultParagraphFont"/>
    <w:link w:val="Huisstijl-Gegeven"/>
    <w:uiPriority w:val="99"/>
    <w:locked/>
    <w:rsid w:val="007251E7"/>
    <w:rPr>
      <w:rFonts w:ascii="Verdana" w:hAnsi="Verdana" w:cs="Verdana"/>
      <w:noProof/>
      <w:sz w:val="13"/>
      <w:szCs w:val="13"/>
    </w:rPr>
  </w:style>
  <w:style w:type="paragraph" w:customStyle="1" w:styleId="Huisstijl-Kopie">
    <w:name w:val="Huisstijl-Kopie"/>
    <w:basedOn w:val="Huisstijl-Gegeven"/>
    <w:uiPriority w:val="99"/>
    <w:rsid w:val="007251E7"/>
    <w:pPr>
      <w:spacing w:after="0"/>
    </w:pPr>
    <w:rPr>
      <w:b/>
      <w:bCs/>
    </w:rPr>
  </w:style>
  <w:style w:type="paragraph" w:customStyle="1" w:styleId="Huisstijl-NAW">
    <w:name w:val="Huisstijl-NAW"/>
    <w:basedOn w:val="Normal"/>
    <w:uiPriority w:val="99"/>
    <w:rsid w:val="007251E7"/>
    <w:rPr>
      <w:noProof/>
    </w:rPr>
  </w:style>
  <w:style w:type="paragraph" w:customStyle="1" w:styleId="Huisstijl-Paginanummering">
    <w:name w:val="Huisstijl-Paginanummering"/>
    <w:basedOn w:val="Normal"/>
    <w:uiPriority w:val="99"/>
    <w:rsid w:val="0048754A"/>
    <w:pPr>
      <w:spacing w:line="180" w:lineRule="exact"/>
    </w:pPr>
    <w:rPr>
      <w:noProof/>
      <w:sz w:val="13"/>
      <w:szCs w:val="13"/>
    </w:rPr>
  </w:style>
  <w:style w:type="paragraph" w:customStyle="1" w:styleId="Huisstijl-Rubricering">
    <w:name w:val="Huisstijl-Rubricering"/>
    <w:basedOn w:val="Normal"/>
    <w:uiPriority w:val="99"/>
    <w:rsid w:val="0048754A"/>
    <w:pPr>
      <w:spacing w:line="180" w:lineRule="exact"/>
    </w:pPr>
    <w:rPr>
      <w:b/>
      <w:bCs/>
      <w:smallCaps/>
      <w:noProof/>
      <w:sz w:val="13"/>
      <w:szCs w:val="13"/>
    </w:rPr>
  </w:style>
  <w:style w:type="paragraph" w:customStyle="1" w:styleId="Huisstijl-Voorwaarden">
    <w:name w:val="Huisstijl-Voorwaarden"/>
    <w:basedOn w:val="Normal"/>
    <w:uiPriority w:val="99"/>
    <w:rsid w:val="0048754A"/>
    <w:pPr>
      <w:spacing w:line="240" w:lineRule="exact"/>
    </w:pPr>
    <w:rPr>
      <w:i/>
      <w:iCs/>
      <w:noProof/>
      <w:sz w:val="13"/>
      <w:szCs w:val="13"/>
    </w:rPr>
  </w:style>
  <w:style w:type="paragraph" w:styleId="Header">
    <w:name w:val="header"/>
    <w:basedOn w:val="Normal"/>
    <w:link w:val="HeaderChar"/>
    <w:uiPriority w:val="99"/>
    <w:rsid w:val="00F36BAD"/>
    <w:pPr>
      <w:numPr>
        <w:numId w:val="3"/>
      </w:numPr>
      <w:tabs>
        <w:tab w:val="center" w:pos="4536"/>
        <w:tab w:val="right" w:pos="9072"/>
      </w:tabs>
      <w:spacing w:line="240" w:lineRule="auto"/>
    </w:pPr>
  </w:style>
  <w:style w:type="character" w:customStyle="1" w:styleId="HeaderChar">
    <w:name w:val="Header Char"/>
    <w:basedOn w:val="DefaultParagraphFont"/>
    <w:link w:val="Header"/>
    <w:uiPriority w:val="99"/>
    <w:locked/>
    <w:rsid w:val="00F36BAD"/>
    <w:rPr>
      <w:rFonts w:cs="Verdana"/>
      <w:sz w:val="18"/>
      <w:szCs w:val="18"/>
      <w:lang w:eastAsia="en-US"/>
    </w:rPr>
  </w:style>
  <w:style w:type="paragraph" w:styleId="ListBullet">
    <w:name w:val="List Bullet"/>
    <w:basedOn w:val="Normal"/>
    <w:uiPriority w:val="99"/>
    <w:semiHidden/>
    <w:rsid w:val="00F36BAD"/>
    <w:pPr>
      <w:ind w:left="360" w:hanging="360"/>
      <w:contextualSpacing/>
    </w:pPr>
    <w:rPr>
      <w:noProof/>
    </w:rPr>
  </w:style>
  <w:style w:type="paragraph" w:styleId="ListBullet2">
    <w:name w:val="List Bullet 2"/>
    <w:basedOn w:val="Normal"/>
    <w:uiPriority w:val="99"/>
    <w:semiHidden/>
    <w:rsid w:val="00F36BAD"/>
    <w:pPr>
      <w:tabs>
        <w:tab w:val="left" w:pos="357"/>
        <w:tab w:val="left" w:pos="442"/>
      </w:tabs>
      <w:ind w:left="643" w:hanging="360"/>
      <w:contextualSpacing/>
    </w:pPr>
    <w:rPr>
      <w:noProof/>
    </w:rPr>
  </w:style>
  <w:style w:type="paragraph" w:styleId="Footer">
    <w:name w:val="footer"/>
    <w:basedOn w:val="Normal"/>
    <w:link w:val="FooterChar"/>
    <w:uiPriority w:val="99"/>
    <w:rsid w:val="00F36BAD"/>
    <w:pPr>
      <w:tabs>
        <w:tab w:val="center" w:pos="4536"/>
        <w:tab w:val="right" w:pos="9072"/>
      </w:tabs>
      <w:spacing w:line="240" w:lineRule="auto"/>
    </w:pPr>
  </w:style>
  <w:style w:type="character" w:customStyle="1" w:styleId="FooterChar">
    <w:name w:val="Footer Char"/>
    <w:basedOn w:val="DefaultParagraphFont"/>
    <w:link w:val="Footer"/>
    <w:uiPriority w:val="99"/>
    <w:locked/>
    <w:rsid w:val="00F36BAD"/>
    <w:rPr>
      <w:rFonts w:ascii="Verdana" w:hAnsi="Verdana" w:cs="Verdana"/>
      <w:sz w:val="18"/>
      <w:szCs w:val="18"/>
    </w:rPr>
  </w:style>
  <w:style w:type="paragraph" w:styleId="ListParagraph">
    <w:name w:val="List Paragraph"/>
    <w:basedOn w:val="Normal"/>
    <w:uiPriority w:val="99"/>
    <w:qFormat/>
    <w:rsid w:val="002935A1"/>
    <w:pPr>
      <w:ind w:left="720"/>
      <w:contextualSpacing/>
    </w:pPr>
  </w:style>
  <w:style w:type="paragraph" w:styleId="BalloonText">
    <w:name w:val="Balloon Text"/>
    <w:basedOn w:val="Normal"/>
    <w:link w:val="BalloonTextChar"/>
    <w:uiPriority w:val="99"/>
    <w:semiHidden/>
    <w:rsid w:val="009358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5889"/>
    <w:rPr>
      <w:rFonts w:ascii="Tahoma" w:hAnsi="Tahoma" w:cs="Tahoma"/>
      <w:sz w:val="16"/>
      <w:szCs w:val="16"/>
    </w:rPr>
  </w:style>
  <w:style w:type="character" w:styleId="Hyperlink">
    <w:name w:val="Hyperlink"/>
    <w:basedOn w:val="DefaultParagraphFont"/>
    <w:uiPriority w:val="99"/>
    <w:semiHidden/>
    <w:rsid w:val="00CE1BB2"/>
    <w:rPr>
      <w:rFonts w:cs="Times New Roman"/>
      <w:color w:val="003399"/>
      <w:u w:val="single"/>
    </w:rPr>
  </w:style>
  <w:style w:type="paragraph" w:styleId="Revision">
    <w:name w:val="Revision"/>
    <w:hidden/>
    <w:uiPriority w:val="99"/>
    <w:semiHidden/>
    <w:rsid w:val="00FC37D8"/>
    <w:rPr>
      <w:rFonts w:cs="Verdana"/>
      <w:sz w:val="18"/>
      <w:szCs w:val="18"/>
      <w:lang w:eastAsia="en-US"/>
    </w:rPr>
  </w:style>
  <w:style w:type="character" w:styleId="Strong">
    <w:name w:val="Strong"/>
    <w:basedOn w:val="DefaultParagraphFont"/>
    <w:uiPriority w:val="99"/>
    <w:qFormat/>
    <w:rsid w:val="00350261"/>
    <w:rPr>
      <w:rFonts w:cs="Times New Roman"/>
      <w:b/>
      <w:bCs/>
    </w:rPr>
  </w:style>
  <w:style w:type="character" w:styleId="CommentReference">
    <w:name w:val="annotation reference"/>
    <w:basedOn w:val="DefaultParagraphFont"/>
    <w:uiPriority w:val="99"/>
    <w:semiHidden/>
    <w:rsid w:val="000D6F9D"/>
    <w:rPr>
      <w:rFonts w:cs="Times New Roman"/>
      <w:sz w:val="16"/>
      <w:szCs w:val="16"/>
    </w:rPr>
  </w:style>
  <w:style w:type="paragraph" w:styleId="CommentText">
    <w:name w:val="annotation text"/>
    <w:basedOn w:val="Normal"/>
    <w:link w:val="CommentTextChar"/>
    <w:uiPriority w:val="99"/>
    <w:semiHidden/>
    <w:rsid w:val="000D6F9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D6F9D"/>
    <w:rPr>
      <w:rFonts w:cs="Verdana"/>
      <w:sz w:val="20"/>
      <w:szCs w:val="20"/>
      <w:lang w:val="nl-NL"/>
    </w:rPr>
  </w:style>
  <w:style w:type="paragraph" w:styleId="CommentSubject">
    <w:name w:val="annotation subject"/>
    <w:basedOn w:val="CommentText"/>
    <w:next w:val="CommentText"/>
    <w:link w:val="CommentSubjectChar"/>
    <w:uiPriority w:val="99"/>
    <w:semiHidden/>
    <w:rsid w:val="00994FF1"/>
    <w:rPr>
      <w:b/>
      <w:bCs/>
    </w:rPr>
  </w:style>
  <w:style w:type="character" w:customStyle="1" w:styleId="CommentSubjectChar">
    <w:name w:val="Comment Subject Char"/>
    <w:basedOn w:val="CommentTextChar"/>
    <w:link w:val="CommentSubject"/>
    <w:uiPriority w:val="99"/>
    <w:semiHidden/>
    <w:locked/>
    <w:rsid w:val="00994FF1"/>
    <w:rPr>
      <w:rFonts w:cs="Verdana"/>
      <w:b/>
      <w:bCs/>
      <w:sz w:val="20"/>
      <w:szCs w:val="20"/>
      <w:lang w:val="nl-NL"/>
    </w:rPr>
  </w:style>
  <w:style w:type="paragraph" w:styleId="FootnoteText">
    <w:name w:val="footnote text"/>
    <w:basedOn w:val="Normal"/>
    <w:link w:val="FootnoteTextChar"/>
    <w:uiPriority w:val="99"/>
    <w:semiHidden/>
    <w:rsid w:val="008C744C"/>
    <w:pPr>
      <w:spacing w:line="240" w:lineRule="auto"/>
    </w:pPr>
    <w:rPr>
      <w:sz w:val="20"/>
      <w:szCs w:val="20"/>
    </w:rPr>
  </w:style>
  <w:style w:type="character" w:customStyle="1" w:styleId="FootnoteTextChar">
    <w:name w:val="Footnote Text Char"/>
    <w:basedOn w:val="DefaultParagraphFont"/>
    <w:link w:val="FootnoteText"/>
    <w:uiPriority w:val="99"/>
    <w:semiHidden/>
    <w:locked/>
    <w:rsid w:val="008C744C"/>
    <w:rPr>
      <w:rFonts w:cs="Verdana"/>
      <w:sz w:val="20"/>
      <w:szCs w:val="20"/>
      <w:lang w:val="nl-NL"/>
    </w:rPr>
  </w:style>
  <w:style w:type="character" w:styleId="FootnoteReference">
    <w:name w:val="footnote reference"/>
    <w:basedOn w:val="DefaultParagraphFont"/>
    <w:uiPriority w:val="99"/>
    <w:semiHidden/>
    <w:rsid w:val="008C744C"/>
    <w:rPr>
      <w:rFonts w:cs="Times New Roman"/>
      <w:vertAlign w:val="superscript"/>
    </w:rPr>
  </w:style>
  <w:style w:type="paragraph" w:customStyle="1" w:styleId="CM4">
    <w:name w:val="CM4"/>
    <w:basedOn w:val="Normal"/>
    <w:next w:val="Normal"/>
    <w:uiPriority w:val="99"/>
    <w:rsid w:val="005E401F"/>
    <w:pPr>
      <w:autoSpaceDE w:val="0"/>
      <w:autoSpaceDN w:val="0"/>
      <w:adjustRightInd w:val="0"/>
      <w:spacing w:line="240" w:lineRule="auto"/>
    </w:pPr>
    <w:rPr>
      <w:rFonts w:ascii="EUAlbertina" w:hAnsi="EUAlbertina" w:cs="Times New Roman"/>
      <w:sz w:val="24"/>
      <w:szCs w:val="24"/>
      <w:lang w:eastAsia="zh-CN"/>
    </w:rPr>
  </w:style>
  <w:style w:type="paragraph" w:customStyle="1" w:styleId="Default">
    <w:name w:val="Default"/>
    <w:rsid w:val="005E401F"/>
    <w:pPr>
      <w:autoSpaceDE w:val="0"/>
      <w:autoSpaceDN w:val="0"/>
      <w:adjustRightInd w:val="0"/>
    </w:pPr>
    <w:rPr>
      <w:rFonts w:ascii="Times New Roman" w:hAnsi="Times New Roman"/>
      <w:color w:val="000000"/>
      <w:sz w:val="24"/>
      <w:szCs w:val="24"/>
    </w:rPr>
  </w:style>
  <w:style w:type="character" w:customStyle="1" w:styleId="preformatted">
    <w:name w:val="preformatted"/>
    <w:basedOn w:val="DefaultParagraphFont"/>
    <w:rsid w:val="003963EA"/>
  </w:style>
  <w:style w:type="character" w:styleId="FollowedHyperlink">
    <w:name w:val="FollowedHyperlink"/>
    <w:basedOn w:val="DefaultParagraphFont"/>
    <w:uiPriority w:val="99"/>
    <w:semiHidden/>
    <w:unhideWhenUsed/>
    <w:locked/>
    <w:rsid w:val="00320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9014">
      <w:bodyDiv w:val="1"/>
      <w:marLeft w:val="0"/>
      <w:marRight w:val="0"/>
      <w:marTop w:val="0"/>
      <w:marBottom w:val="0"/>
      <w:divBdr>
        <w:top w:val="none" w:sz="0" w:space="0" w:color="auto"/>
        <w:left w:val="none" w:sz="0" w:space="0" w:color="auto"/>
        <w:bottom w:val="none" w:sz="0" w:space="0" w:color="auto"/>
        <w:right w:val="none" w:sz="0" w:space="0" w:color="auto"/>
      </w:divBdr>
      <w:divsChild>
        <w:div w:id="2112628992">
          <w:marLeft w:val="0"/>
          <w:marRight w:val="0"/>
          <w:marTop w:val="0"/>
          <w:marBottom w:val="0"/>
          <w:divBdr>
            <w:top w:val="none" w:sz="0" w:space="0" w:color="auto"/>
            <w:left w:val="none" w:sz="0" w:space="0" w:color="auto"/>
            <w:bottom w:val="none" w:sz="0" w:space="0" w:color="auto"/>
            <w:right w:val="none" w:sz="0" w:space="0" w:color="auto"/>
          </w:divBdr>
          <w:divsChild>
            <w:div w:id="626199419">
              <w:marLeft w:val="0"/>
              <w:marRight w:val="0"/>
              <w:marTop w:val="0"/>
              <w:marBottom w:val="0"/>
              <w:divBdr>
                <w:top w:val="none" w:sz="0" w:space="0" w:color="auto"/>
                <w:left w:val="none" w:sz="0" w:space="0" w:color="auto"/>
                <w:bottom w:val="none" w:sz="0" w:space="0" w:color="auto"/>
                <w:right w:val="none" w:sz="0" w:space="0" w:color="auto"/>
              </w:divBdr>
              <w:divsChild>
                <w:div w:id="2084254998">
                  <w:marLeft w:val="0"/>
                  <w:marRight w:val="0"/>
                  <w:marTop w:val="0"/>
                  <w:marBottom w:val="0"/>
                  <w:divBdr>
                    <w:top w:val="none" w:sz="0" w:space="0" w:color="auto"/>
                    <w:left w:val="none" w:sz="0" w:space="0" w:color="auto"/>
                    <w:bottom w:val="none" w:sz="0" w:space="0" w:color="auto"/>
                    <w:right w:val="none" w:sz="0" w:space="0" w:color="auto"/>
                  </w:divBdr>
                  <w:divsChild>
                    <w:div w:id="1473330103">
                      <w:marLeft w:val="0"/>
                      <w:marRight w:val="0"/>
                      <w:marTop w:val="0"/>
                      <w:marBottom w:val="0"/>
                      <w:divBdr>
                        <w:top w:val="none" w:sz="0" w:space="0" w:color="auto"/>
                        <w:left w:val="none" w:sz="0" w:space="0" w:color="auto"/>
                        <w:bottom w:val="none" w:sz="0" w:space="0" w:color="auto"/>
                        <w:right w:val="none" w:sz="0" w:space="0" w:color="auto"/>
                      </w:divBdr>
                      <w:divsChild>
                        <w:div w:id="428547076">
                          <w:marLeft w:val="0"/>
                          <w:marRight w:val="0"/>
                          <w:marTop w:val="0"/>
                          <w:marBottom w:val="0"/>
                          <w:divBdr>
                            <w:top w:val="none" w:sz="0" w:space="0" w:color="auto"/>
                            <w:left w:val="none" w:sz="0" w:space="0" w:color="auto"/>
                            <w:bottom w:val="none" w:sz="0" w:space="0" w:color="auto"/>
                            <w:right w:val="none" w:sz="0" w:space="0" w:color="auto"/>
                          </w:divBdr>
                          <w:divsChild>
                            <w:div w:id="8415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430386">
      <w:bodyDiv w:val="1"/>
      <w:marLeft w:val="0"/>
      <w:marRight w:val="0"/>
      <w:marTop w:val="0"/>
      <w:marBottom w:val="0"/>
      <w:divBdr>
        <w:top w:val="none" w:sz="0" w:space="0" w:color="auto"/>
        <w:left w:val="none" w:sz="0" w:space="0" w:color="auto"/>
        <w:bottom w:val="none" w:sz="0" w:space="0" w:color="auto"/>
        <w:right w:val="none" w:sz="0" w:space="0" w:color="auto"/>
      </w:divBdr>
      <w:divsChild>
        <w:div w:id="655693239">
          <w:marLeft w:val="0"/>
          <w:marRight w:val="0"/>
          <w:marTop w:val="0"/>
          <w:marBottom w:val="0"/>
          <w:divBdr>
            <w:top w:val="none" w:sz="0" w:space="0" w:color="auto"/>
            <w:left w:val="none" w:sz="0" w:space="0" w:color="auto"/>
            <w:bottom w:val="none" w:sz="0" w:space="0" w:color="auto"/>
            <w:right w:val="none" w:sz="0" w:space="0" w:color="auto"/>
          </w:divBdr>
          <w:divsChild>
            <w:div w:id="964505854">
              <w:marLeft w:val="0"/>
              <w:marRight w:val="0"/>
              <w:marTop w:val="0"/>
              <w:marBottom w:val="0"/>
              <w:divBdr>
                <w:top w:val="none" w:sz="0" w:space="0" w:color="auto"/>
                <w:left w:val="none" w:sz="0" w:space="0" w:color="auto"/>
                <w:bottom w:val="none" w:sz="0" w:space="0" w:color="auto"/>
                <w:right w:val="none" w:sz="0" w:space="0" w:color="auto"/>
              </w:divBdr>
              <w:divsChild>
                <w:div w:id="1144658260">
                  <w:marLeft w:val="0"/>
                  <w:marRight w:val="0"/>
                  <w:marTop w:val="0"/>
                  <w:marBottom w:val="0"/>
                  <w:divBdr>
                    <w:top w:val="none" w:sz="0" w:space="0" w:color="auto"/>
                    <w:left w:val="none" w:sz="0" w:space="0" w:color="auto"/>
                    <w:bottom w:val="none" w:sz="0" w:space="0" w:color="auto"/>
                    <w:right w:val="none" w:sz="0" w:space="0" w:color="auto"/>
                  </w:divBdr>
                  <w:divsChild>
                    <w:div w:id="430320615">
                      <w:marLeft w:val="0"/>
                      <w:marRight w:val="0"/>
                      <w:marTop w:val="0"/>
                      <w:marBottom w:val="0"/>
                      <w:divBdr>
                        <w:top w:val="none" w:sz="0" w:space="0" w:color="auto"/>
                        <w:left w:val="none" w:sz="0" w:space="0" w:color="auto"/>
                        <w:bottom w:val="none" w:sz="0" w:space="0" w:color="auto"/>
                        <w:right w:val="none" w:sz="0" w:space="0" w:color="auto"/>
                      </w:divBdr>
                      <w:divsChild>
                        <w:div w:id="1093548947">
                          <w:marLeft w:val="0"/>
                          <w:marRight w:val="0"/>
                          <w:marTop w:val="0"/>
                          <w:marBottom w:val="0"/>
                          <w:divBdr>
                            <w:top w:val="none" w:sz="0" w:space="0" w:color="auto"/>
                            <w:left w:val="none" w:sz="0" w:space="0" w:color="auto"/>
                            <w:bottom w:val="none" w:sz="0" w:space="0" w:color="auto"/>
                            <w:right w:val="none" w:sz="0" w:space="0" w:color="auto"/>
                          </w:divBdr>
                          <w:divsChild>
                            <w:div w:id="20014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831243">
      <w:bodyDiv w:val="1"/>
      <w:marLeft w:val="0"/>
      <w:marRight w:val="0"/>
      <w:marTop w:val="0"/>
      <w:marBottom w:val="0"/>
      <w:divBdr>
        <w:top w:val="none" w:sz="0" w:space="0" w:color="auto"/>
        <w:left w:val="none" w:sz="0" w:space="0" w:color="auto"/>
        <w:bottom w:val="none" w:sz="0" w:space="0" w:color="auto"/>
        <w:right w:val="none" w:sz="0" w:space="0" w:color="auto"/>
      </w:divBdr>
      <w:divsChild>
        <w:div w:id="540676902">
          <w:marLeft w:val="0"/>
          <w:marRight w:val="0"/>
          <w:marTop w:val="0"/>
          <w:marBottom w:val="0"/>
          <w:divBdr>
            <w:top w:val="none" w:sz="0" w:space="0" w:color="auto"/>
            <w:left w:val="none" w:sz="0" w:space="0" w:color="auto"/>
            <w:bottom w:val="none" w:sz="0" w:space="0" w:color="auto"/>
            <w:right w:val="none" w:sz="0" w:space="0" w:color="auto"/>
          </w:divBdr>
          <w:divsChild>
            <w:div w:id="592933917">
              <w:marLeft w:val="0"/>
              <w:marRight w:val="0"/>
              <w:marTop w:val="0"/>
              <w:marBottom w:val="0"/>
              <w:divBdr>
                <w:top w:val="none" w:sz="0" w:space="0" w:color="auto"/>
                <w:left w:val="none" w:sz="0" w:space="0" w:color="auto"/>
                <w:bottom w:val="none" w:sz="0" w:space="0" w:color="auto"/>
                <w:right w:val="none" w:sz="0" w:space="0" w:color="auto"/>
              </w:divBdr>
              <w:divsChild>
                <w:div w:id="1207982451">
                  <w:marLeft w:val="0"/>
                  <w:marRight w:val="0"/>
                  <w:marTop w:val="0"/>
                  <w:marBottom w:val="0"/>
                  <w:divBdr>
                    <w:top w:val="none" w:sz="0" w:space="0" w:color="auto"/>
                    <w:left w:val="none" w:sz="0" w:space="0" w:color="auto"/>
                    <w:bottom w:val="none" w:sz="0" w:space="0" w:color="auto"/>
                    <w:right w:val="none" w:sz="0" w:space="0" w:color="auto"/>
                  </w:divBdr>
                  <w:divsChild>
                    <w:div w:id="1433696610">
                      <w:marLeft w:val="0"/>
                      <w:marRight w:val="0"/>
                      <w:marTop w:val="0"/>
                      <w:marBottom w:val="0"/>
                      <w:divBdr>
                        <w:top w:val="none" w:sz="0" w:space="0" w:color="auto"/>
                        <w:left w:val="none" w:sz="0" w:space="0" w:color="auto"/>
                        <w:bottom w:val="none" w:sz="0" w:space="0" w:color="auto"/>
                        <w:right w:val="none" w:sz="0" w:space="0" w:color="auto"/>
                      </w:divBdr>
                      <w:divsChild>
                        <w:div w:id="407577414">
                          <w:marLeft w:val="0"/>
                          <w:marRight w:val="0"/>
                          <w:marTop w:val="0"/>
                          <w:marBottom w:val="0"/>
                          <w:divBdr>
                            <w:top w:val="none" w:sz="0" w:space="0" w:color="auto"/>
                            <w:left w:val="none" w:sz="0" w:space="0" w:color="auto"/>
                            <w:bottom w:val="none" w:sz="0" w:space="0" w:color="auto"/>
                            <w:right w:val="none" w:sz="0" w:space="0" w:color="auto"/>
                          </w:divBdr>
                          <w:divsChild>
                            <w:div w:id="325325319">
                              <w:marLeft w:val="0"/>
                              <w:marRight w:val="0"/>
                              <w:marTop w:val="0"/>
                              <w:marBottom w:val="0"/>
                              <w:divBdr>
                                <w:top w:val="none" w:sz="0" w:space="0" w:color="auto"/>
                                <w:left w:val="none" w:sz="0" w:space="0" w:color="auto"/>
                                <w:bottom w:val="none" w:sz="0" w:space="0" w:color="auto"/>
                                <w:right w:val="none" w:sz="0" w:space="0" w:color="auto"/>
                              </w:divBdr>
                              <w:divsChild>
                                <w:div w:id="1356690617">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7767">
      <w:marLeft w:val="0"/>
      <w:marRight w:val="0"/>
      <w:marTop w:val="0"/>
      <w:marBottom w:val="0"/>
      <w:divBdr>
        <w:top w:val="none" w:sz="0" w:space="0" w:color="auto"/>
        <w:left w:val="none" w:sz="0" w:space="0" w:color="auto"/>
        <w:bottom w:val="none" w:sz="0" w:space="0" w:color="auto"/>
        <w:right w:val="none" w:sz="0" w:space="0" w:color="auto"/>
      </w:divBdr>
      <w:divsChild>
        <w:div w:id="973947766">
          <w:marLeft w:val="0"/>
          <w:marRight w:val="0"/>
          <w:marTop w:val="0"/>
          <w:marBottom w:val="0"/>
          <w:divBdr>
            <w:top w:val="none" w:sz="0" w:space="0" w:color="auto"/>
            <w:left w:val="none" w:sz="0" w:space="0" w:color="auto"/>
            <w:bottom w:val="none" w:sz="0" w:space="0" w:color="auto"/>
            <w:right w:val="none" w:sz="0" w:space="0" w:color="auto"/>
          </w:divBdr>
          <w:divsChild>
            <w:div w:id="973947768">
              <w:marLeft w:val="0"/>
              <w:marRight w:val="0"/>
              <w:marTop w:val="0"/>
              <w:marBottom w:val="0"/>
              <w:divBdr>
                <w:top w:val="none" w:sz="0" w:space="0" w:color="auto"/>
                <w:left w:val="single" w:sz="6" w:space="0" w:color="3D62A8"/>
                <w:bottom w:val="single" w:sz="12" w:space="0" w:color="3D62A8"/>
                <w:right w:val="single" w:sz="12" w:space="0" w:color="83A5E4"/>
              </w:divBdr>
              <w:divsChild>
                <w:div w:id="973947769">
                  <w:marLeft w:val="0"/>
                  <w:marRight w:val="0"/>
                  <w:marTop w:val="0"/>
                  <w:marBottom w:val="0"/>
                  <w:divBdr>
                    <w:top w:val="single" w:sz="6" w:space="0" w:color="979BA4"/>
                    <w:left w:val="single" w:sz="6" w:space="0" w:color="979BA4"/>
                    <w:bottom w:val="single" w:sz="6" w:space="0" w:color="979BA4"/>
                    <w:right w:val="single" w:sz="6" w:space="0" w:color="979BA4"/>
                  </w:divBdr>
                </w:div>
              </w:divsChild>
            </w:div>
          </w:divsChild>
        </w:div>
      </w:divsChild>
    </w:div>
    <w:div w:id="1003052734">
      <w:bodyDiv w:val="1"/>
      <w:marLeft w:val="0"/>
      <w:marRight w:val="0"/>
      <w:marTop w:val="0"/>
      <w:marBottom w:val="0"/>
      <w:divBdr>
        <w:top w:val="none" w:sz="0" w:space="0" w:color="auto"/>
        <w:left w:val="none" w:sz="0" w:space="0" w:color="auto"/>
        <w:bottom w:val="none" w:sz="0" w:space="0" w:color="auto"/>
        <w:right w:val="none" w:sz="0" w:space="0" w:color="auto"/>
      </w:divBdr>
    </w:div>
    <w:div w:id="1613896191">
      <w:bodyDiv w:val="1"/>
      <w:marLeft w:val="0"/>
      <w:marRight w:val="0"/>
      <w:marTop w:val="0"/>
      <w:marBottom w:val="0"/>
      <w:divBdr>
        <w:top w:val="none" w:sz="0" w:space="0" w:color="auto"/>
        <w:left w:val="none" w:sz="0" w:space="0" w:color="auto"/>
        <w:bottom w:val="none" w:sz="0" w:space="0" w:color="auto"/>
        <w:right w:val="none" w:sz="0" w:space="0" w:color="auto"/>
      </w:divBdr>
      <w:divsChild>
        <w:div w:id="144856493">
          <w:marLeft w:val="0"/>
          <w:marRight w:val="0"/>
          <w:marTop w:val="0"/>
          <w:marBottom w:val="0"/>
          <w:divBdr>
            <w:top w:val="none" w:sz="0" w:space="0" w:color="auto"/>
            <w:left w:val="none" w:sz="0" w:space="0" w:color="auto"/>
            <w:bottom w:val="none" w:sz="0" w:space="0" w:color="auto"/>
            <w:right w:val="none" w:sz="0" w:space="0" w:color="auto"/>
          </w:divBdr>
          <w:divsChild>
            <w:div w:id="994720816">
              <w:marLeft w:val="0"/>
              <w:marRight w:val="0"/>
              <w:marTop w:val="0"/>
              <w:marBottom w:val="0"/>
              <w:divBdr>
                <w:top w:val="none" w:sz="0" w:space="0" w:color="auto"/>
                <w:left w:val="none" w:sz="0" w:space="0" w:color="auto"/>
                <w:bottom w:val="none" w:sz="0" w:space="0" w:color="auto"/>
                <w:right w:val="none" w:sz="0" w:space="0" w:color="auto"/>
              </w:divBdr>
              <w:divsChild>
                <w:div w:id="375589870">
                  <w:marLeft w:val="0"/>
                  <w:marRight w:val="0"/>
                  <w:marTop w:val="0"/>
                  <w:marBottom w:val="0"/>
                  <w:divBdr>
                    <w:top w:val="none" w:sz="0" w:space="0" w:color="auto"/>
                    <w:left w:val="none" w:sz="0" w:space="0" w:color="auto"/>
                    <w:bottom w:val="none" w:sz="0" w:space="0" w:color="auto"/>
                    <w:right w:val="none" w:sz="0" w:space="0" w:color="auto"/>
                  </w:divBdr>
                  <w:divsChild>
                    <w:div w:id="17152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sustainabledevelopment.un.org/futurewewant.html" TargetMode="External"/><Relationship Id="rId1" Type="http://schemas.openxmlformats.org/officeDocument/2006/relationships/hyperlink" Target="http://www.unep.org/chemicalsandwaste/Mercury/GlobalMercuryPartnership/MandatesDecision255/tabid/4565/language/en-U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5179</ap:Words>
  <ap:Characters>28489</ap:Characters>
  <ap:DocSecurity>0</ap:DocSecurity>
  <ap:Lines>237</ap:Lines>
  <ap:Paragraphs>67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Toelichtende nota</vt:lpstr>
      <vt:lpstr>Toelichtende nota</vt:lpstr>
    </vt:vector>
  </ap:TitlesOfParts>
  <ap:LinksUpToDate>false</ap:LinksUpToDate>
  <ap:CharactersWithSpaces>33601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2016-11-29T10:36:00.0000000Z</lastPrinted>
  <dcterms:created xsi:type="dcterms:W3CDTF">2017-01-17T13:22:00.0000000Z</dcterms:created>
  <dcterms:modified xsi:type="dcterms:W3CDTF">2017-01-17T13:22:00.0000000Z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0x010100EF01C4AD5514FF42852E86E64F522663</vt:lpwstr>
  </property>
</Properties>
</file>