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74CAD" w:rsidR="00181212" w:rsidP="00F74CAD" w:rsidRDefault="00181212">
      <w:pPr>
        <w:spacing w:line="360" w:lineRule="auto"/>
        <w:rPr>
          <w:rFonts w:ascii="Verdana" w:hAnsi="Verdana"/>
          <w:b/>
          <w:sz w:val="18"/>
          <w:szCs w:val="18"/>
        </w:rPr>
      </w:pPr>
      <w:bookmarkStart w:name="_GoBack" w:id="0"/>
      <w:bookmarkEnd w:id="0"/>
      <w:r w:rsidRPr="00F74CAD">
        <w:rPr>
          <w:rFonts w:ascii="Verdana" w:hAnsi="Verdana"/>
          <w:b/>
          <w:sz w:val="18"/>
          <w:szCs w:val="18"/>
        </w:rPr>
        <w:t>Protocol</w:t>
      </w:r>
      <w:r w:rsidRPr="00F74CAD" w:rsidR="008D3AB8">
        <w:rPr>
          <w:rFonts w:ascii="Verdana" w:hAnsi="Verdana"/>
          <w:b/>
          <w:sz w:val="18"/>
          <w:szCs w:val="18"/>
        </w:rPr>
        <w:t xml:space="preserve"> </w:t>
      </w:r>
      <w:r w:rsidRPr="00F74CAD">
        <w:rPr>
          <w:rFonts w:ascii="Verdana" w:hAnsi="Verdana"/>
          <w:b/>
          <w:sz w:val="18"/>
          <w:szCs w:val="18"/>
        </w:rPr>
        <w:t xml:space="preserve">houdende wijziging </w:t>
      </w:r>
      <w:r w:rsidRPr="00F74CAD" w:rsidR="00663452">
        <w:rPr>
          <w:rFonts w:ascii="Verdana" w:hAnsi="Verdana"/>
          <w:b/>
          <w:sz w:val="18"/>
          <w:szCs w:val="18"/>
        </w:rPr>
        <w:t xml:space="preserve">van het Benelux-verdrag inzake de intellectuele eigendom (merken en tekeningen of modellen), </w:t>
      </w:r>
      <w:r w:rsidRPr="00F74CAD" w:rsidR="00663452">
        <w:rPr>
          <w:rFonts w:ascii="Verdana" w:hAnsi="Verdana"/>
          <w:b/>
          <w:sz w:val="18"/>
          <w:szCs w:val="18"/>
          <w:lang w:val="nl-BE"/>
        </w:rPr>
        <w:t>wat betreft de oppositie en de invoering van een administratieve procedure tot nietigverklaring of vervallenverklaring van merken</w:t>
      </w:r>
      <w:r w:rsidRPr="00F74CAD" w:rsidR="00D84DBC">
        <w:rPr>
          <w:rFonts w:ascii="Verdana" w:hAnsi="Verdana"/>
          <w:b/>
          <w:sz w:val="18"/>
          <w:szCs w:val="18"/>
          <w:lang w:val="nl-BE"/>
        </w:rPr>
        <w:t>; Brussel</w:t>
      </w:r>
      <w:r w:rsidRPr="00F74CAD" w:rsidR="005F63AA">
        <w:rPr>
          <w:rFonts w:ascii="Verdana" w:hAnsi="Verdana"/>
          <w:b/>
          <w:sz w:val="18"/>
          <w:szCs w:val="18"/>
          <w:lang w:val="nl-BE"/>
        </w:rPr>
        <w:t>,</w:t>
      </w:r>
      <w:r w:rsidRPr="00F74CAD" w:rsidR="00D84DBC">
        <w:rPr>
          <w:rFonts w:ascii="Verdana" w:hAnsi="Verdana"/>
          <w:b/>
          <w:sz w:val="18"/>
          <w:szCs w:val="18"/>
          <w:lang w:val="nl-BE"/>
        </w:rPr>
        <w:t xml:space="preserve"> 16 december 2014</w:t>
      </w:r>
      <w:r w:rsidRPr="00F74CAD" w:rsidR="003428CA">
        <w:rPr>
          <w:rFonts w:ascii="Verdana" w:hAnsi="Verdana"/>
          <w:b/>
          <w:sz w:val="18"/>
          <w:szCs w:val="18"/>
          <w:lang w:val="nl-BE"/>
        </w:rPr>
        <w:t>,</w:t>
      </w:r>
      <w:r w:rsidRPr="00F74CAD" w:rsidR="00663452">
        <w:rPr>
          <w:rFonts w:ascii="Verdana" w:hAnsi="Verdana"/>
          <w:b/>
          <w:sz w:val="18"/>
          <w:szCs w:val="18"/>
          <w:lang w:val="nl-BE"/>
        </w:rPr>
        <w:t xml:space="preserve"> </w:t>
      </w:r>
      <w:r w:rsidRPr="00F74CAD" w:rsidR="00D11057">
        <w:rPr>
          <w:rFonts w:ascii="Verdana" w:hAnsi="Verdana"/>
          <w:b/>
          <w:sz w:val="18"/>
          <w:szCs w:val="18"/>
          <w:lang w:val="nl-BE"/>
        </w:rPr>
        <w:t>(Trb. 2015, 13)</w:t>
      </w:r>
      <w:r w:rsidRPr="00F74CAD" w:rsidR="00663452">
        <w:rPr>
          <w:rFonts w:ascii="Verdana" w:hAnsi="Verdana"/>
          <w:b/>
          <w:sz w:val="18"/>
          <w:szCs w:val="18"/>
        </w:rPr>
        <w:t xml:space="preserve"> </w:t>
      </w:r>
    </w:p>
    <w:p w:rsidRPr="00F74CAD" w:rsidR="00847AD9" w:rsidP="00F74CAD" w:rsidRDefault="001D40B7">
      <w:pPr>
        <w:spacing w:line="360" w:lineRule="auto"/>
        <w:rPr>
          <w:rFonts w:ascii="Verdana" w:hAnsi="Verdana"/>
          <w:b/>
          <w:sz w:val="18"/>
          <w:szCs w:val="18"/>
        </w:rPr>
      </w:pPr>
      <w:r>
        <w:rPr>
          <w:rFonts w:ascii="Verdana" w:hAnsi="Verdana"/>
          <w:b/>
          <w:sz w:val="18"/>
          <w:szCs w:val="18"/>
        </w:rPr>
        <w:t>TOELICHTENDE NOTA</w:t>
      </w:r>
    </w:p>
    <w:p w:rsidRPr="00F74CAD" w:rsidR="00742C06" w:rsidP="00F74CAD" w:rsidRDefault="00D84DBC">
      <w:pPr>
        <w:spacing w:line="360" w:lineRule="auto"/>
        <w:rPr>
          <w:rFonts w:ascii="Verdana" w:hAnsi="Verdana"/>
          <w:b/>
          <w:sz w:val="18"/>
          <w:szCs w:val="18"/>
        </w:rPr>
      </w:pPr>
      <w:r w:rsidRPr="00F74CAD">
        <w:rPr>
          <w:rFonts w:ascii="Verdana" w:hAnsi="Verdana"/>
          <w:b/>
          <w:sz w:val="18"/>
          <w:szCs w:val="18"/>
        </w:rPr>
        <w:t>Inleiding</w:t>
      </w:r>
    </w:p>
    <w:p w:rsidRPr="00F74CAD" w:rsidR="00742C06" w:rsidP="00F74CAD" w:rsidRDefault="00E97274">
      <w:pPr>
        <w:spacing w:line="360" w:lineRule="auto"/>
        <w:rPr>
          <w:rFonts w:ascii="Verdana" w:hAnsi="Verdana"/>
          <w:sz w:val="18"/>
          <w:szCs w:val="18"/>
        </w:rPr>
      </w:pPr>
      <w:r w:rsidRPr="00F74CAD">
        <w:rPr>
          <w:rFonts w:ascii="Verdana" w:hAnsi="Verdana"/>
          <w:sz w:val="18"/>
          <w:szCs w:val="18"/>
        </w:rPr>
        <w:t>Het onderhavige Protocol</w:t>
      </w:r>
      <w:r w:rsidRPr="00F74CAD" w:rsidR="00A551F8">
        <w:rPr>
          <w:rFonts w:ascii="Verdana" w:hAnsi="Verdana"/>
          <w:sz w:val="18"/>
          <w:szCs w:val="18"/>
        </w:rPr>
        <w:t xml:space="preserve"> houdende wijziging van het Benelux-verdrag inzake de intellectuele eigendom (me</w:t>
      </w:r>
      <w:r w:rsidRPr="00F74CAD" w:rsidR="00E10D2B">
        <w:rPr>
          <w:rFonts w:ascii="Verdana" w:hAnsi="Verdana"/>
          <w:sz w:val="18"/>
          <w:szCs w:val="18"/>
        </w:rPr>
        <w:t>rken en tekeningen of modellen)</w:t>
      </w:r>
      <w:r w:rsidRPr="00F74CAD" w:rsidR="00A551F8">
        <w:rPr>
          <w:rFonts w:ascii="Verdana" w:hAnsi="Verdana"/>
          <w:sz w:val="18"/>
          <w:szCs w:val="18"/>
        </w:rPr>
        <w:t xml:space="preserve"> </w:t>
      </w:r>
      <w:r w:rsidRPr="00F74CAD" w:rsidR="00A551F8">
        <w:rPr>
          <w:rFonts w:ascii="Verdana" w:hAnsi="Verdana"/>
          <w:sz w:val="18"/>
          <w:szCs w:val="18"/>
          <w:lang w:val="nl-BE"/>
        </w:rPr>
        <w:t>wat betreft de oppositie en de invoering van een administratieve procedure tot nietigverklaring of vervallenverklaring van merken</w:t>
      </w:r>
      <w:r w:rsidRPr="00F74CAD" w:rsidR="00A551F8">
        <w:rPr>
          <w:rFonts w:ascii="Verdana" w:hAnsi="Verdana"/>
          <w:sz w:val="18"/>
          <w:szCs w:val="18"/>
        </w:rPr>
        <w:t xml:space="preserve"> </w:t>
      </w:r>
      <w:r w:rsidRPr="00F74CAD" w:rsidR="00C05886">
        <w:rPr>
          <w:rFonts w:ascii="Verdana" w:hAnsi="Verdana"/>
          <w:sz w:val="18"/>
          <w:szCs w:val="18"/>
        </w:rPr>
        <w:t xml:space="preserve">(Trb. 2015, 13) </w:t>
      </w:r>
      <w:r w:rsidRPr="00F74CAD" w:rsidR="00A551F8">
        <w:rPr>
          <w:rFonts w:ascii="Verdana" w:hAnsi="Verdana"/>
          <w:sz w:val="18"/>
          <w:szCs w:val="18"/>
        </w:rPr>
        <w:t>(hierna: het Protocol)</w:t>
      </w:r>
      <w:r w:rsidRPr="00F74CAD" w:rsidR="004F6EAD">
        <w:rPr>
          <w:rFonts w:ascii="Verdana" w:hAnsi="Verdana"/>
          <w:sz w:val="18"/>
          <w:szCs w:val="18"/>
        </w:rPr>
        <w:t>,</w:t>
      </w:r>
      <w:r w:rsidRPr="00F74CAD" w:rsidR="00A551F8">
        <w:rPr>
          <w:rFonts w:ascii="Verdana" w:hAnsi="Verdana"/>
          <w:sz w:val="18"/>
          <w:szCs w:val="18"/>
        </w:rPr>
        <w:t xml:space="preserve"> </w:t>
      </w:r>
      <w:r w:rsidRPr="00F74CAD">
        <w:rPr>
          <w:rFonts w:ascii="Verdana" w:hAnsi="Verdana"/>
          <w:sz w:val="18"/>
          <w:szCs w:val="18"/>
        </w:rPr>
        <w:t>h</w:t>
      </w:r>
      <w:r w:rsidRPr="00F74CAD" w:rsidR="00D411E8">
        <w:rPr>
          <w:rFonts w:ascii="Verdana" w:hAnsi="Verdana"/>
          <w:sz w:val="18"/>
          <w:szCs w:val="18"/>
        </w:rPr>
        <w:t>e</w:t>
      </w:r>
      <w:r w:rsidRPr="00F74CAD">
        <w:rPr>
          <w:rFonts w:ascii="Verdana" w:hAnsi="Verdana"/>
          <w:sz w:val="18"/>
          <w:szCs w:val="18"/>
        </w:rPr>
        <w:t xml:space="preserve">eft wijziging van het </w:t>
      </w:r>
      <w:r w:rsidRPr="00F74CAD" w:rsidR="005F63AA">
        <w:rPr>
          <w:rFonts w:ascii="Verdana" w:hAnsi="Verdana"/>
          <w:sz w:val="18"/>
          <w:szCs w:val="18"/>
        </w:rPr>
        <w:t xml:space="preserve">op 25 februari 2005 te ’s-Gravenhage tot stand gekomen </w:t>
      </w:r>
      <w:r w:rsidRPr="00F74CAD" w:rsidR="00D411E8">
        <w:rPr>
          <w:rFonts w:ascii="Verdana" w:hAnsi="Verdana"/>
          <w:sz w:val="18"/>
          <w:szCs w:val="18"/>
        </w:rPr>
        <w:t>Benelux-</w:t>
      </w:r>
      <w:r w:rsidRPr="00F74CAD" w:rsidR="006C0ACD">
        <w:rPr>
          <w:rFonts w:ascii="Verdana" w:hAnsi="Verdana"/>
          <w:sz w:val="18"/>
          <w:szCs w:val="18"/>
        </w:rPr>
        <w:t>v</w:t>
      </w:r>
      <w:r w:rsidRPr="00F74CAD" w:rsidR="00462286">
        <w:rPr>
          <w:rFonts w:ascii="Verdana" w:hAnsi="Verdana"/>
          <w:sz w:val="18"/>
          <w:szCs w:val="18"/>
        </w:rPr>
        <w:t>erdrag</w:t>
      </w:r>
      <w:r w:rsidRPr="00F74CAD" w:rsidR="00D411E8">
        <w:rPr>
          <w:rFonts w:ascii="Verdana" w:hAnsi="Verdana"/>
          <w:sz w:val="18"/>
          <w:szCs w:val="18"/>
        </w:rPr>
        <w:t xml:space="preserve"> inzake de intel</w:t>
      </w:r>
      <w:r w:rsidRPr="00F74CAD" w:rsidR="00FE70EC">
        <w:rPr>
          <w:rFonts w:ascii="Verdana" w:hAnsi="Verdana"/>
          <w:sz w:val="18"/>
          <w:szCs w:val="18"/>
        </w:rPr>
        <w:t>l</w:t>
      </w:r>
      <w:r w:rsidRPr="00F74CAD" w:rsidR="00D411E8">
        <w:rPr>
          <w:rFonts w:ascii="Verdana" w:hAnsi="Verdana"/>
          <w:sz w:val="18"/>
          <w:szCs w:val="18"/>
        </w:rPr>
        <w:t>e</w:t>
      </w:r>
      <w:r w:rsidRPr="00F74CAD" w:rsidR="00FE70EC">
        <w:rPr>
          <w:rFonts w:ascii="Verdana" w:hAnsi="Verdana"/>
          <w:sz w:val="18"/>
          <w:szCs w:val="18"/>
        </w:rPr>
        <w:t>ctuele eigendom (me</w:t>
      </w:r>
      <w:r w:rsidRPr="00F74CAD" w:rsidR="00D411E8">
        <w:rPr>
          <w:rFonts w:ascii="Verdana" w:hAnsi="Verdana"/>
          <w:sz w:val="18"/>
          <w:szCs w:val="18"/>
        </w:rPr>
        <w:t>rken en</w:t>
      </w:r>
      <w:r w:rsidRPr="00F74CAD" w:rsidR="00A551F8">
        <w:rPr>
          <w:rFonts w:ascii="Verdana" w:hAnsi="Verdana"/>
          <w:sz w:val="18"/>
          <w:szCs w:val="18"/>
        </w:rPr>
        <w:t xml:space="preserve"> </w:t>
      </w:r>
      <w:r w:rsidRPr="00F74CAD" w:rsidR="00D411E8">
        <w:rPr>
          <w:rFonts w:ascii="Verdana" w:hAnsi="Verdana"/>
          <w:sz w:val="18"/>
          <w:szCs w:val="18"/>
        </w:rPr>
        <w:t>tekeningen of modellen)</w:t>
      </w:r>
      <w:r w:rsidRPr="00F74CAD" w:rsidR="00663452">
        <w:rPr>
          <w:rFonts w:ascii="Verdana" w:hAnsi="Verdana"/>
          <w:sz w:val="18"/>
          <w:szCs w:val="18"/>
        </w:rPr>
        <w:t xml:space="preserve"> </w:t>
      </w:r>
      <w:r w:rsidRPr="00F74CAD" w:rsidR="005F63AA">
        <w:rPr>
          <w:rFonts w:ascii="Verdana" w:hAnsi="Verdana"/>
          <w:sz w:val="18"/>
          <w:szCs w:val="18"/>
        </w:rPr>
        <w:t>(Trb. 2005, 96)</w:t>
      </w:r>
      <w:r w:rsidR="00EB0422">
        <w:rPr>
          <w:rFonts w:ascii="Verdana" w:hAnsi="Verdana"/>
          <w:sz w:val="18"/>
          <w:szCs w:val="18"/>
        </w:rPr>
        <w:t xml:space="preserve"> (hier</w:t>
      </w:r>
      <w:r w:rsidRPr="00F74CAD" w:rsidR="001B57E6">
        <w:rPr>
          <w:rFonts w:ascii="Verdana" w:hAnsi="Verdana"/>
          <w:sz w:val="18"/>
          <w:szCs w:val="18"/>
        </w:rPr>
        <w:t>:</w:t>
      </w:r>
      <w:r w:rsidR="00EB0422">
        <w:rPr>
          <w:rFonts w:ascii="Verdana" w:hAnsi="Verdana"/>
          <w:sz w:val="18"/>
          <w:szCs w:val="18"/>
        </w:rPr>
        <w:t xml:space="preserve"> </w:t>
      </w:r>
      <w:r w:rsidRPr="00F74CAD" w:rsidR="001B57E6">
        <w:rPr>
          <w:rFonts w:ascii="Verdana" w:hAnsi="Verdana"/>
          <w:sz w:val="18"/>
          <w:szCs w:val="18"/>
        </w:rPr>
        <w:t>BVIE</w:t>
      </w:r>
      <w:r w:rsidR="00EB0422">
        <w:rPr>
          <w:rFonts w:ascii="Verdana" w:hAnsi="Verdana"/>
          <w:sz w:val="18"/>
          <w:szCs w:val="18"/>
        </w:rPr>
        <w:t>)</w:t>
      </w:r>
      <w:r w:rsidRPr="00F74CAD" w:rsidR="001B57E6">
        <w:rPr>
          <w:rFonts w:ascii="Verdana" w:hAnsi="Verdana"/>
          <w:sz w:val="18"/>
          <w:szCs w:val="18"/>
        </w:rPr>
        <w:t xml:space="preserve"> </w:t>
      </w:r>
      <w:r w:rsidRPr="00F74CAD" w:rsidR="00D411E8">
        <w:rPr>
          <w:rFonts w:ascii="Verdana" w:hAnsi="Verdana"/>
          <w:sz w:val="18"/>
          <w:szCs w:val="18"/>
        </w:rPr>
        <w:t xml:space="preserve">tot doel. </w:t>
      </w:r>
    </w:p>
    <w:p w:rsidRPr="00F74CAD" w:rsidR="00D84DBC" w:rsidP="00F74CAD" w:rsidRDefault="00181212">
      <w:pPr>
        <w:spacing w:line="360" w:lineRule="auto"/>
        <w:rPr>
          <w:rFonts w:ascii="Verdana" w:hAnsi="Verdana"/>
          <w:sz w:val="18"/>
          <w:szCs w:val="18"/>
        </w:rPr>
      </w:pPr>
      <w:r w:rsidRPr="00F74CAD">
        <w:rPr>
          <w:rFonts w:ascii="Verdana" w:hAnsi="Verdana"/>
          <w:sz w:val="18"/>
          <w:szCs w:val="18"/>
        </w:rPr>
        <w:t xml:space="preserve">Deze toelichtende nota </w:t>
      </w:r>
      <w:r w:rsidRPr="00F74CAD" w:rsidR="00F74CAD">
        <w:rPr>
          <w:rFonts w:ascii="Verdana" w:hAnsi="Verdana"/>
          <w:sz w:val="18"/>
          <w:szCs w:val="18"/>
        </w:rPr>
        <w:t xml:space="preserve">wordt </w:t>
      </w:r>
      <w:r w:rsidRPr="00F74CAD" w:rsidR="003428CA">
        <w:rPr>
          <w:rFonts w:ascii="Verdana" w:hAnsi="Verdana"/>
          <w:sz w:val="18"/>
          <w:szCs w:val="18"/>
        </w:rPr>
        <w:t xml:space="preserve">mede namens de Minister van Buitenlandse Zaken </w:t>
      </w:r>
      <w:r w:rsidRPr="00F74CAD" w:rsidR="00D84DBC">
        <w:rPr>
          <w:rFonts w:ascii="Verdana" w:hAnsi="Verdana"/>
          <w:sz w:val="18"/>
          <w:szCs w:val="18"/>
        </w:rPr>
        <w:t>aangeboden</w:t>
      </w:r>
      <w:r w:rsidRPr="00F74CAD">
        <w:rPr>
          <w:rFonts w:ascii="Verdana" w:hAnsi="Verdana"/>
          <w:sz w:val="18"/>
          <w:szCs w:val="18"/>
        </w:rPr>
        <w:t xml:space="preserve">. </w:t>
      </w:r>
    </w:p>
    <w:p w:rsidRPr="00F74CAD" w:rsidR="00181212" w:rsidP="00F74CAD" w:rsidRDefault="00D84DBC">
      <w:pPr>
        <w:spacing w:line="360" w:lineRule="auto"/>
        <w:rPr>
          <w:rFonts w:ascii="Verdana" w:hAnsi="Verdana"/>
          <w:sz w:val="18"/>
          <w:szCs w:val="18"/>
        </w:rPr>
      </w:pPr>
      <w:r w:rsidRPr="00F74CAD">
        <w:rPr>
          <w:rFonts w:ascii="Verdana" w:hAnsi="Verdana"/>
          <w:sz w:val="18"/>
          <w:szCs w:val="18"/>
        </w:rPr>
        <w:t>Bij het Protocol</w:t>
      </w:r>
      <w:r w:rsidRPr="00F74CAD" w:rsidR="00487F8C">
        <w:rPr>
          <w:rFonts w:ascii="Verdana" w:hAnsi="Verdana"/>
          <w:sz w:val="18"/>
          <w:szCs w:val="18"/>
        </w:rPr>
        <w:t xml:space="preserve">, </w:t>
      </w:r>
      <w:r w:rsidRPr="00F74CAD" w:rsidR="00F74CAD">
        <w:rPr>
          <w:rFonts w:ascii="Verdana" w:hAnsi="Verdana"/>
          <w:sz w:val="18"/>
          <w:szCs w:val="18"/>
        </w:rPr>
        <w:t xml:space="preserve">dat hierbij </w:t>
      </w:r>
      <w:r w:rsidRPr="00F74CAD" w:rsidR="00487F8C">
        <w:rPr>
          <w:rFonts w:ascii="Verdana" w:hAnsi="Verdana"/>
          <w:sz w:val="18"/>
          <w:szCs w:val="18"/>
        </w:rPr>
        <w:t>ter goedkeuring wordt aangeboden,</w:t>
      </w:r>
      <w:r w:rsidRPr="00F74CAD">
        <w:rPr>
          <w:rFonts w:ascii="Verdana" w:hAnsi="Verdana"/>
          <w:sz w:val="18"/>
          <w:szCs w:val="18"/>
        </w:rPr>
        <w:t xml:space="preserve"> behoort een door de partijen bij </w:t>
      </w:r>
      <w:r w:rsidRPr="00F74CAD" w:rsidR="00F74CAD">
        <w:rPr>
          <w:rFonts w:ascii="Verdana" w:hAnsi="Verdana"/>
          <w:sz w:val="18"/>
          <w:szCs w:val="18"/>
        </w:rPr>
        <w:t xml:space="preserve">het </w:t>
      </w:r>
      <w:r w:rsidRPr="00F74CAD">
        <w:rPr>
          <w:rFonts w:ascii="Verdana" w:hAnsi="Verdana"/>
          <w:sz w:val="18"/>
          <w:szCs w:val="18"/>
        </w:rPr>
        <w:t>BVIE gezamenlijk overeengekomen en vastgestelde gemeenschappelijke memorie van toelichting, die als bijlage bij deze toelichtende nota is gevoegd. De gemeenschappelijke memorie van toelichting is gedetailleerd en omvat onder andere gegevens over de totstandkoming van het Protocol en een artikelsgewijze toelichting. In deze toelichtende nota wordt daarom volstaan met een samenvatting op de hoofdpunten van het Protocol.</w:t>
      </w:r>
    </w:p>
    <w:p w:rsidRPr="00F74CAD" w:rsidR="00663452" w:rsidP="00F74CAD" w:rsidRDefault="00D84DBC">
      <w:pPr>
        <w:spacing w:line="360" w:lineRule="auto"/>
        <w:rPr>
          <w:rFonts w:ascii="Verdana" w:hAnsi="Verdana"/>
          <w:b/>
          <w:sz w:val="18"/>
          <w:szCs w:val="18"/>
        </w:rPr>
      </w:pPr>
      <w:r w:rsidRPr="00F74CAD">
        <w:rPr>
          <w:rFonts w:ascii="Verdana" w:hAnsi="Verdana"/>
          <w:b/>
          <w:sz w:val="18"/>
          <w:szCs w:val="18"/>
        </w:rPr>
        <w:t xml:space="preserve">Inhoud van het </w:t>
      </w:r>
      <w:r w:rsidRPr="00F74CAD" w:rsidR="00663452">
        <w:rPr>
          <w:rFonts w:ascii="Verdana" w:hAnsi="Verdana"/>
          <w:b/>
          <w:sz w:val="18"/>
          <w:szCs w:val="18"/>
        </w:rPr>
        <w:t>Protocol</w:t>
      </w:r>
    </w:p>
    <w:p w:rsidRPr="00F74CAD" w:rsidR="00F805DB" w:rsidP="00F74CAD" w:rsidRDefault="00462286">
      <w:pPr>
        <w:spacing w:line="360" w:lineRule="auto"/>
        <w:rPr>
          <w:rFonts w:ascii="Verdana" w:hAnsi="Verdana"/>
          <w:sz w:val="18"/>
          <w:szCs w:val="18"/>
        </w:rPr>
      </w:pPr>
      <w:r w:rsidRPr="00F74CAD">
        <w:rPr>
          <w:rFonts w:ascii="Verdana" w:hAnsi="Verdana"/>
          <w:sz w:val="18"/>
          <w:szCs w:val="18"/>
        </w:rPr>
        <w:t>Het Protocol bevat twee wijzigingen, die een verruiming betekenen van de mogelijkheden voor houders van oudere merken of andere belanghebbenden om zich tegen het depot van een merk te verzetten of de geldigheid van een ingeschreven merk te betwisten.</w:t>
      </w:r>
      <w:r w:rsidRPr="00F74CAD" w:rsidR="00954714">
        <w:rPr>
          <w:rFonts w:ascii="Verdana" w:hAnsi="Verdana"/>
          <w:sz w:val="18"/>
          <w:szCs w:val="18"/>
        </w:rPr>
        <w:t xml:space="preserve"> </w:t>
      </w:r>
    </w:p>
    <w:p w:rsidRPr="00F74CAD" w:rsidR="00630387" w:rsidP="00F74CAD" w:rsidRDefault="00462286">
      <w:pPr>
        <w:spacing w:line="360" w:lineRule="auto"/>
        <w:rPr>
          <w:rFonts w:ascii="Verdana" w:hAnsi="Verdana"/>
          <w:sz w:val="18"/>
          <w:szCs w:val="18"/>
        </w:rPr>
      </w:pPr>
      <w:r w:rsidRPr="00F74CAD">
        <w:rPr>
          <w:rFonts w:ascii="Verdana" w:hAnsi="Verdana"/>
          <w:sz w:val="18"/>
          <w:szCs w:val="18"/>
        </w:rPr>
        <w:t xml:space="preserve">De eerste wijziging betreft een uitbreiding van de gronden die in de reeds bestaande oppositieprocedure kunnen worden ingeroepen. </w:t>
      </w:r>
      <w:r w:rsidRPr="00F74CAD" w:rsidR="00473ADA">
        <w:rPr>
          <w:rFonts w:ascii="Verdana" w:hAnsi="Verdana"/>
          <w:sz w:val="18"/>
          <w:szCs w:val="18"/>
        </w:rPr>
        <w:t xml:space="preserve">Oppositie </w:t>
      </w:r>
      <w:r w:rsidRPr="00F74CAD" w:rsidR="00973C26">
        <w:rPr>
          <w:rFonts w:ascii="Verdana" w:hAnsi="Verdana"/>
          <w:sz w:val="18"/>
          <w:szCs w:val="18"/>
        </w:rPr>
        <w:t>was volgens art</w:t>
      </w:r>
      <w:r w:rsidRPr="00F74CAD" w:rsidR="00FA65EA">
        <w:rPr>
          <w:rFonts w:ascii="Verdana" w:hAnsi="Verdana"/>
          <w:sz w:val="18"/>
          <w:szCs w:val="18"/>
        </w:rPr>
        <w:t>ikel</w:t>
      </w:r>
      <w:r w:rsidRPr="00F74CAD" w:rsidR="00973C26">
        <w:rPr>
          <w:rFonts w:ascii="Verdana" w:hAnsi="Verdana"/>
          <w:sz w:val="18"/>
          <w:szCs w:val="18"/>
        </w:rPr>
        <w:t xml:space="preserve"> 2.14 BVIE reeds mogelijk op grond van de gronden a (</w:t>
      </w:r>
      <w:r w:rsidRPr="00F74CAD" w:rsidR="00473ADA">
        <w:rPr>
          <w:rFonts w:ascii="Verdana" w:hAnsi="Verdana"/>
          <w:sz w:val="18"/>
          <w:szCs w:val="18"/>
        </w:rPr>
        <w:t>“gelijke, voor dezelfde waren of diensten gedeponeerde merken”</w:t>
      </w:r>
      <w:r w:rsidRPr="00F74CAD" w:rsidR="00973C26">
        <w:rPr>
          <w:rFonts w:ascii="Verdana" w:hAnsi="Verdana"/>
          <w:sz w:val="18"/>
          <w:szCs w:val="18"/>
        </w:rPr>
        <w:t>) en b (</w:t>
      </w:r>
      <w:r w:rsidRPr="00F74CAD" w:rsidR="00473ADA">
        <w:rPr>
          <w:rFonts w:ascii="Verdana" w:hAnsi="Verdana"/>
          <w:sz w:val="18"/>
          <w:szCs w:val="18"/>
        </w:rPr>
        <w:t>“gelijke of overeenstemmende, voor dezelfde of soortgelijke waren of diensten gedeponeerde merken, indien bij het publiek verwarring, inhoudende de mogelijkheid van associatie met het oudere merk, kan ontstaan”</w:t>
      </w:r>
      <w:r w:rsidRPr="00F74CAD" w:rsidR="00973C26">
        <w:rPr>
          <w:rFonts w:ascii="Verdana" w:hAnsi="Verdana"/>
          <w:sz w:val="18"/>
          <w:szCs w:val="18"/>
        </w:rPr>
        <w:t xml:space="preserve">) genoemd in artikel 2.3 BVIE. </w:t>
      </w:r>
      <w:r w:rsidRPr="00F74CAD" w:rsidR="00D11057">
        <w:rPr>
          <w:rFonts w:ascii="Verdana" w:hAnsi="Verdana"/>
          <w:sz w:val="18"/>
          <w:szCs w:val="18"/>
        </w:rPr>
        <w:t>Als gevolg van</w:t>
      </w:r>
      <w:r w:rsidRPr="00F74CAD" w:rsidR="00973C26">
        <w:rPr>
          <w:rFonts w:ascii="Verdana" w:hAnsi="Verdana"/>
          <w:sz w:val="18"/>
          <w:szCs w:val="18"/>
        </w:rPr>
        <w:t xml:space="preserve"> het </w:t>
      </w:r>
      <w:r w:rsidRPr="00F74CAD" w:rsidR="006C0ACD">
        <w:rPr>
          <w:rFonts w:ascii="Verdana" w:hAnsi="Verdana"/>
          <w:sz w:val="18"/>
          <w:szCs w:val="18"/>
        </w:rPr>
        <w:t>P</w:t>
      </w:r>
      <w:r w:rsidRPr="00F74CAD" w:rsidR="00973C26">
        <w:rPr>
          <w:rFonts w:ascii="Verdana" w:hAnsi="Verdana"/>
          <w:sz w:val="18"/>
          <w:szCs w:val="18"/>
        </w:rPr>
        <w:t xml:space="preserve">rotocol is oppositie nu ook mogelijk op de derde grond </w:t>
      </w:r>
      <w:r w:rsidRPr="00F74CAD" w:rsidR="00FA65EA">
        <w:rPr>
          <w:rFonts w:ascii="Verdana" w:hAnsi="Verdana"/>
          <w:sz w:val="18"/>
          <w:szCs w:val="18"/>
        </w:rPr>
        <w:t xml:space="preserve">(sub c) </w:t>
      </w:r>
      <w:r w:rsidRPr="00F74CAD" w:rsidR="00973C26">
        <w:rPr>
          <w:rFonts w:ascii="Verdana" w:hAnsi="Verdana"/>
          <w:sz w:val="18"/>
          <w:szCs w:val="18"/>
        </w:rPr>
        <w:t xml:space="preserve">genoemd in artikel 2.3 BVIE, </w:t>
      </w:r>
      <w:r w:rsidRPr="00F74CAD" w:rsidR="004E5084">
        <w:rPr>
          <w:rFonts w:ascii="Verdana" w:hAnsi="Verdana"/>
          <w:sz w:val="18"/>
          <w:szCs w:val="18"/>
        </w:rPr>
        <w:t>die het voor de houder van een ouder ingeschreven merk dat bekendheid geniet, mogelijk maakt om, onder omstandigheden, zich te verzetten tegen de inschrijving van een jonger merk, ook voor niet-soortgelijke waren of diensten</w:t>
      </w:r>
      <w:r w:rsidRPr="00F74CAD" w:rsidR="00973C26">
        <w:rPr>
          <w:rFonts w:ascii="Verdana" w:hAnsi="Verdana"/>
          <w:sz w:val="18"/>
          <w:szCs w:val="18"/>
        </w:rPr>
        <w:t xml:space="preserve">. </w:t>
      </w:r>
    </w:p>
    <w:p w:rsidRPr="00F74CAD" w:rsidR="00060D49" w:rsidP="00F74CAD" w:rsidRDefault="00462286">
      <w:pPr>
        <w:spacing w:line="360" w:lineRule="auto"/>
        <w:rPr>
          <w:rFonts w:ascii="Verdana" w:hAnsi="Verdana"/>
          <w:sz w:val="18"/>
          <w:szCs w:val="18"/>
        </w:rPr>
      </w:pPr>
      <w:r w:rsidRPr="00F74CAD">
        <w:rPr>
          <w:rFonts w:ascii="Verdana" w:hAnsi="Verdana"/>
          <w:sz w:val="18"/>
          <w:szCs w:val="18"/>
        </w:rPr>
        <w:lastRenderedPageBreak/>
        <w:t xml:space="preserve">De tweede wijziging betreft de invoering van een nieuwe procedure bij </w:t>
      </w:r>
      <w:r w:rsidRPr="00F74CAD" w:rsidR="004E5084">
        <w:rPr>
          <w:rFonts w:ascii="Verdana" w:hAnsi="Verdana"/>
          <w:sz w:val="18"/>
          <w:szCs w:val="18"/>
        </w:rPr>
        <w:t xml:space="preserve">het </w:t>
      </w:r>
      <w:r w:rsidRPr="00F74CAD" w:rsidR="00630387">
        <w:rPr>
          <w:rFonts w:ascii="Verdana" w:hAnsi="Verdana"/>
          <w:sz w:val="18"/>
          <w:szCs w:val="18"/>
        </w:rPr>
        <w:t xml:space="preserve">Benelux-Bureau voor de Intellectuele Eigendom (hierna: </w:t>
      </w:r>
      <w:r w:rsidRPr="00F74CAD" w:rsidR="004E5084">
        <w:rPr>
          <w:rFonts w:ascii="Verdana" w:hAnsi="Verdana"/>
          <w:sz w:val="18"/>
          <w:szCs w:val="18"/>
        </w:rPr>
        <w:t>B</w:t>
      </w:r>
      <w:r w:rsidRPr="00F74CAD" w:rsidR="00B626C1">
        <w:rPr>
          <w:rFonts w:ascii="Verdana" w:hAnsi="Verdana"/>
          <w:sz w:val="18"/>
          <w:szCs w:val="18"/>
        </w:rPr>
        <w:t>BIE</w:t>
      </w:r>
      <w:r w:rsidRPr="00F74CAD" w:rsidR="00630387">
        <w:rPr>
          <w:rFonts w:ascii="Verdana" w:hAnsi="Verdana"/>
          <w:sz w:val="18"/>
          <w:szCs w:val="18"/>
        </w:rPr>
        <w:t>)</w:t>
      </w:r>
      <w:r w:rsidRPr="00F74CAD" w:rsidR="00E73656">
        <w:rPr>
          <w:rFonts w:ascii="Verdana" w:hAnsi="Verdana"/>
          <w:sz w:val="18"/>
          <w:szCs w:val="18"/>
        </w:rPr>
        <w:t xml:space="preserve">, waarin nietigverklaring </w:t>
      </w:r>
      <w:r w:rsidRPr="00F74CAD" w:rsidR="008049EE">
        <w:rPr>
          <w:rFonts w:ascii="Verdana" w:hAnsi="Verdana"/>
          <w:sz w:val="18"/>
          <w:szCs w:val="18"/>
        </w:rPr>
        <w:t xml:space="preserve">(met terugwerkende kracht) </w:t>
      </w:r>
      <w:r w:rsidRPr="00F74CAD" w:rsidR="00E73656">
        <w:rPr>
          <w:rFonts w:ascii="Verdana" w:hAnsi="Verdana"/>
          <w:sz w:val="18"/>
          <w:szCs w:val="18"/>
        </w:rPr>
        <w:t xml:space="preserve">of vervallenverklaring </w:t>
      </w:r>
      <w:r w:rsidRPr="00F74CAD" w:rsidR="008049EE">
        <w:rPr>
          <w:rFonts w:ascii="Verdana" w:hAnsi="Verdana"/>
          <w:sz w:val="18"/>
          <w:szCs w:val="18"/>
        </w:rPr>
        <w:t xml:space="preserve">(zonder terugwerkende kracht) </w:t>
      </w:r>
      <w:r w:rsidRPr="00F74CAD" w:rsidR="00E73656">
        <w:rPr>
          <w:rFonts w:ascii="Verdana" w:hAnsi="Verdana"/>
          <w:sz w:val="18"/>
          <w:szCs w:val="18"/>
        </w:rPr>
        <w:t>kan worden gevorderd.</w:t>
      </w:r>
      <w:r w:rsidRPr="00F74CAD" w:rsidR="008049EE">
        <w:rPr>
          <w:rFonts w:ascii="Verdana" w:hAnsi="Verdana"/>
          <w:sz w:val="18"/>
          <w:szCs w:val="18"/>
        </w:rPr>
        <w:t xml:space="preserve"> Uit onderzoek blijkt dat gebruikers positief zijn over de invoering van deze procedures, die reeds ook voor Gemeenschapsmerken beschikbaar zijn. </w:t>
      </w:r>
      <w:r w:rsidRPr="00F74CAD" w:rsidR="009479D5">
        <w:rPr>
          <w:rFonts w:ascii="Verdana" w:hAnsi="Verdana"/>
          <w:sz w:val="18"/>
          <w:szCs w:val="18"/>
        </w:rPr>
        <w:t>De nieuwe procedure kan vooral nuttig zijn in die gevallen</w:t>
      </w:r>
      <w:r w:rsidRPr="00F74CAD" w:rsidR="004E26A2">
        <w:rPr>
          <w:rFonts w:ascii="Verdana" w:hAnsi="Verdana"/>
          <w:sz w:val="18"/>
          <w:szCs w:val="18"/>
        </w:rPr>
        <w:t>,</w:t>
      </w:r>
      <w:r w:rsidRPr="00F74CAD" w:rsidR="009479D5">
        <w:rPr>
          <w:rFonts w:ascii="Verdana" w:hAnsi="Verdana"/>
          <w:sz w:val="18"/>
          <w:szCs w:val="18"/>
        </w:rPr>
        <w:t xml:space="preserve"> waarin nog geen conflict over het gebruik van een merk bestaat, maar een derde er niettemin belang bij heeft om een bepaalde inschrijving uit het register verwijderd te krijgen, bijvoorbeeld om er zeker van te zijn dat deze hem later niet kan worden tegengeworpen. </w:t>
      </w:r>
      <w:r w:rsidRPr="00F74CAD" w:rsidR="006358ED">
        <w:rPr>
          <w:rFonts w:ascii="Verdana" w:hAnsi="Verdana"/>
          <w:sz w:val="18"/>
          <w:szCs w:val="18"/>
        </w:rPr>
        <w:t>Bij deze</w:t>
      </w:r>
      <w:r w:rsidRPr="00F74CAD" w:rsidR="009479D5">
        <w:rPr>
          <w:rFonts w:ascii="Verdana" w:hAnsi="Verdana"/>
          <w:sz w:val="18"/>
          <w:szCs w:val="18"/>
        </w:rPr>
        <w:t xml:space="preserve"> nieuwe, relatief eenvoudige administratieve, </w:t>
      </w:r>
      <w:r w:rsidRPr="00F74CAD" w:rsidR="006358ED">
        <w:rPr>
          <w:rFonts w:ascii="Verdana" w:hAnsi="Verdana"/>
          <w:sz w:val="18"/>
          <w:szCs w:val="18"/>
        </w:rPr>
        <w:t xml:space="preserve">procedure gaat het </w:t>
      </w:r>
      <w:r w:rsidRPr="00F74CAD" w:rsidR="009479D5">
        <w:rPr>
          <w:rFonts w:ascii="Verdana" w:hAnsi="Verdana"/>
          <w:sz w:val="18"/>
          <w:szCs w:val="18"/>
        </w:rPr>
        <w:t xml:space="preserve">dus </w:t>
      </w:r>
      <w:r w:rsidRPr="00F74CAD" w:rsidR="006358ED">
        <w:rPr>
          <w:rFonts w:ascii="Verdana" w:hAnsi="Verdana"/>
          <w:sz w:val="18"/>
          <w:szCs w:val="18"/>
        </w:rPr>
        <w:t xml:space="preserve">om reeds ingeschreven merken. </w:t>
      </w:r>
      <w:r w:rsidRPr="00F74CAD" w:rsidR="008E3964">
        <w:rPr>
          <w:rFonts w:ascii="Verdana" w:hAnsi="Verdana"/>
          <w:sz w:val="18"/>
          <w:szCs w:val="18"/>
        </w:rPr>
        <w:t>Qua procedure wordt aangesloten bij de reeds bekende oppositieprocedure</w:t>
      </w:r>
      <w:r w:rsidRPr="00F74CAD" w:rsidR="00F805DB">
        <w:rPr>
          <w:rFonts w:ascii="Verdana" w:hAnsi="Verdana"/>
          <w:sz w:val="18"/>
          <w:szCs w:val="18"/>
        </w:rPr>
        <w:t>.</w:t>
      </w:r>
      <w:r w:rsidRPr="00F74CAD" w:rsidR="008E3964">
        <w:rPr>
          <w:rFonts w:ascii="Verdana" w:hAnsi="Verdana"/>
          <w:sz w:val="18"/>
          <w:szCs w:val="18"/>
        </w:rPr>
        <w:t xml:space="preserve"> </w:t>
      </w:r>
      <w:r w:rsidRPr="00F74CAD" w:rsidR="009479D5">
        <w:rPr>
          <w:rFonts w:ascii="Verdana" w:hAnsi="Verdana"/>
          <w:sz w:val="18"/>
          <w:szCs w:val="18"/>
        </w:rPr>
        <w:t>Het is</w:t>
      </w:r>
      <w:r w:rsidRPr="00F74CAD" w:rsidR="006358ED">
        <w:rPr>
          <w:rFonts w:ascii="Verdana" w:hAnsi="Verdana"/>
          <w:sz w:val="18"/>
          <w:szCs w:val="18"/>
        </w:rPr>
        <w:t xml:space="preserve"> belangrijk op te merken dat de nieuwe </w:t>
      </w:r>
      <w:r w:rsidRPr="00F74CAD" w:rsidR="008E3964">
        <w:rPr>
          <w:rFonts w:ascii="Verdana" w:hAnsi="Verdana"/>
          <w:sz w:val="18"/>
          <w:szCs w:val="18"/>
        </w:rPr>
        <w:t>procedure náá</w:t>
      </w:r>
      <w:r w:rsidRPr="00F74CAD" w:rsidR="006358ED">
        <w:rPr>
          <w:rFonts w:ascii="Verdana" w:hAnsi="Verdana"/>
          <w:sz w:val="18"/>
          <w:szCs w:val="18"/>
        </w:rPr>
        <w:t xml:space="preserve">st de procedure </w:t>
      </w:r>
      <w:r w:rsidRPr="00F74CAD" w:rsidR="00F805DB">
        <w:rPr>
          <w:rFonts w:ascii="Verdana" w:hAnsi="Verdana"/>
          <w:sz w:val="18"/>
          <w:szCs w:val="18"/>
        </w:rPr>
        <w:t xml:space="preserve">staat om </w:t>
      </w:r>
      <w:r w:rsidRPr="00F74CAD" w:rsidR="006358ED">
        <w:rPr>
          <w:rFonts w:ascii="Verdana" w:hAnsi="Verdana"/>
          <w:sz w:val="18"/>
          <w:szCs w:val="18"/>
        </w:rPr>
        <w:t>bij de rechter</w:t>
      </w:r>
      <w:r w:rsidRPr="00F74CAD" w:rsidR="006C0ACD">
        <w:rPr>
          <w:rFonts w:ascii="Verdana" w:hAnsi="Verdana"/>
          <w:sz w:val="18"/>
          <w:szCs w:val="18"/>
        </w:rPr>
        <w:t xml:space="preserve"> </w:t>
      </w:r>
      <w:r w:rsidRPr="00F74CAD" w:rsidR="006358ED">
        <w:rPr>
          <w:rFonts w:ascii="Verdana" w:hAnsi="Verdana"/>
          <w:sz w:val="18"/>
          <w:szCs w:val="18"/>
        </w:rPr>
        <w:t xml:space="preserve">verval of nietigheid van een merk in te roepen, en niet daarvoor in de plaats komt. </w:t>
      </w:r>
      <w:r w:rsidRPr="00F74CAD" w:rsidR="009479D5">
        <w:rPr>
          <w:rFonts w:ascii="Verdana" w:hAnsi="Verdana"/>
          <w:sz w:val="18"/>
          <w:szCs w:val="18"/>
        </w:rPr>
        <w:t>De beslissing van het B</w:t>
      </w:r>
      <w:r w:rsidRPr="00F74CAD" w:rsidR="00B626C1">
        <w:rPr>
          <w:rFonts w:ascii="Verdana" w:hAnsi="Verdana"/>
          <w:sz w:val="18"/>
          <w:szCs w:val="18"/>
        </w:rPr>
        <w:t>BIE</w:t>
      </w:r>
      <w:r w:rsidRPr="00F74CAD" w:rsidR="009479D5">
        <w:rPr>
          <w:rFonts w:ascii="Verdana" w:hAnsi="Verdana"/>
          <w:sz w:val="18"/>
          <w:szCs w:val="18"/>
        </w:rPr>
        <w:t xml:space="preserve"> is uiteraard aan rechterlijke toetsing onderworpen. </w:t>
      </w:r>
    </w:p>
    <w:p w:rsidR="00462286" w:rsidP="00F74CAD" w:rsidRDefault="00496FA1">
      <w:pPr>
        <w:spacing w:after="0" w:line="360" w:lineRule="auto"/>
        <w:rPr>
          <w:rFonts w:ascii="Verdana" w:hAnsi="Verdana"/>
          <w:sz w:val="18"/>
          <w:szCs w:val="18"/>
        </w:rPr>
      </w:pPr>
      <w:r w:rsidRPr="00F74CAD">
        <w:rPr>
          <w:rFonts w:ascii="Verdana" w:hAnsi="Verdana"/>
          <w:sz w:val="18"/>
          <w:szCs w:val="18"/>
        </w:rPr>
        <w:t>De minister is va</w:t>
      </w:r>
      <w:r w:rsidRPr="00F74CAD" w:rsidR="005F63AA">
        <w:rPr>
          <w:rFonts w:ascii="Verdana" w:hAnsi="Verdana"/>
          <w:sz w:val="18"/>
          <w:szCs w:val="18"/>
        </w:rPr>
        <w:t xml:space="preserve">n mening dat bepalingen </w:t>
      </w:r>
      <w:r w:rsidR="0057151A">
        <w:rPr>
          <w:rFonts w:ascii="Verdana" w:hAnsi="Verdana"/>
          <w:sz w:val="18"/>
          <w:szCs w:val="18"/>
        </w:rPr>
        <w:t>va</w:t>
      </w:r>
      <w:r w:rsidRPr="00F74CAD" w:rsidR="005F63AA">
        <w:rPr>
          <w:rFonts w:ascii="Verdana" w:hAnsi="Verdana"/>
          <w:sz w:val="18"/>
          <w:szCs w:val="18"/>
        </w:rPr>
        <w:t xml:space="preserve">n het </w:t>
      </w:r>
      <w:r w:rsidRPr="00F74CAD" w:rsidR="00F74CAD">
        <w:rPr>
          <w:rFonts w:ascii="Verdana" w:hAnsi="Verdana"/>
          <w:sz w:val="18"/>
          <w:szCs w:val="18"/>
        </w:rPr>
        <w:t xml:space="preserve">onderhavige </w:t>
      </w:r>
      <w:r w:rsidRPr="00F74CAD" w:rsidR="005F63AA">
        <w:rPr>
          <w:rFonts w:ascii="Verdana" w:hAnsi="Verdana"/>
          <w:sz w:val="18"/>
          <w:szCs w:val="18"/>
        </w:rPr>
        <w:t>P</w:t>
      </w:r>
      <w:r w:rsidRPr="00F74CAD">
        <w:rPr>
          <w:rFonts w:ascii="Verdana" w:hAnsi="Verdana"/>
          <w:sz w:val="18"/>
          <w:szCs w:val="18"/>
        </w:rPr>
        <w:t>rotocol</w:t>
      </w:r>
      <w:r w:rsidRPr="00F74CAD" w:rsidR="00060D49">
        <w:rPr>
          <w:rFonts w:ascii="Verdana" w:hAnsi="Verdana"/>
          <w:sz w:val="18"/>
          <w:szCs w:val="18"/>
        </w:rPr>
        <w:t xml:space="preserve"> </w:t>
      </w:r>
      <w:r w:rsidRPr="00F74CAD">
        <w:rPr>
          <w:rFonts w:ascii="Verdana" w:hAnsi="Verdana"/>
          <w:sz w:val="18"/>
          <w:szCs w:val="18"/>
        </w:rPr>
        <w:t>rechtstreekse werking kunnen hebben.</w:t>
      </w:r>
      <w:r w:rsidRPr="00F74CAD" w:rsidR="00B83B97">
        <w:rPr>
          <w:rFonts w:ascii="Verdana" w:hAnsi="Verdana"/>
          <w:sz w:val="18"/>
          <w:szCs w:val="18"/>
        </w:rPr>
        <w:t xml:space="preserve"> Zo wordt </w:t>
      </w:r>
      <w:r w:rsidRPr="00F74CAD" w:rsidR="00060D49">
        <w:rPr>
          <w:rFonts w:ascii="Verdana" w:hAnsi="Verdana"/>
          <w:sz w:val="18"/>
          <w:szCs w:val="18"/>
        </w:rPr>
        <w:t xml:space="preserve">middels het Protocol </w:t>
      </w:r>
      <w:r w:rsidRPr="00F74CAD" w:rsidR="00B83B97">
        <w:rPr>
          <w:rFonts w:ascii="Verdana" w:hAnsi="Verdana"/>
          <w:sz w:val="18"/>
          <w:szCs w:val="18"/>
        </w:rPr>
        <w:t xml:space="preserve">in titel II van het BVIE een nieuw hoofdstuk 6 bis </w:t>
      </w:r>
      <w:r w:rsidRPr="00F74CAD" w:rsidR="00060D49">
        <w:rPr>
          <w:rFonts w:ascii="Verdana" w:hAnsi="Verdana"/>
          <w:sz w:val="18"/>
          <w:szCs w:val="18"/>
        </w:rPr>
        <w:t xml:space="preserve">“Procedure tot nietigverklaring of vervallenverklaring bij het Bureau” </w:t>
      </w:r>
      <w:r w:rsidRPr="00F74CAD" w:rsidR="00B83B97">
        <w:rPr>
          <w:rFonts w:ascii="Verdana" w:hAnsi="Verdana"/>
          <w:sz w:val="18"/>
          <w:szCs w:val="18"/>
        </w:rPr>
        <w:t>ingevoegd, d</w:t>
      </w:r>
      <w:r w:rsidRPr="00F74CAD" w:rsidR="004260BC">
        <w:rPr>
          <w:rFonts w:ascii="Verdana" w:hAnsi="Verdana"/>
          <w:sz w:val="18"/>
          <w:szCs w:val="18"/>
        </w:rPr>
        <w:t>at</w:t>
      </w:r>
      <w:r w:rsidRPr="00F74CAD" w:rsidR="00B83B97">
        <w:rPr>
          <w:rFonts w:ascii="Verdana" w:hAnsi="Verdana"/>
          <w:sz w:val="18"/>
          <w:szCs w:val="18"/>
        </w:rPr>
        <w:t xml:space="preserve"> de procedure tot nietigverkl</w:t>
      </w:r>
      <w:r w:rsidRPr="00F74CAD" w:rsidR="004260BC">
        <w:rPr>
          <w:rFonts w:ascii="Verdana" w:hAnsi="Verdana"/>
          <w:sz w:val="18"/>
          <w:szCs w:val="18"/>
        </w:rPr>
        <w:t>a</w:t>
      </w:r>
      <w:r w:rsidRPr="00F74CAD" w:rsidR="00B83B97">
        <w:rPr>
          <w:rFonts w:ascii="Verdana" w:hAnsi="Verdana"/>
          <w:sz w:val="18"/>
          <w:szCs w:val="18"/>
        </w:rPr>
        <w:t xml:space="preserve">ring of vervallenverklaring bij </w:t>
      </w:r>
      <w:r w:rsidRPr="00F74CAD" w:rsidR="00CB112C">
        <w:rPr>
          <w:rFonts w:ascii="Verdana" w:hAnsi="Verdana"/>
          <w:sz w:val="18"/>
          <w:szCs w:val="18"/>
        </w:rPr>
        <w:t>het “</w:t>
      </w:r>
      <w:r w:rsidRPr="00F74CAD" w:rsidR="00060D49">
        <w:rPr>
          <w:rFonts w:ascii="Verdana" w:hAnsi="Verdana"/>
          <w:sz w:val="18"/>
          <w:szCs w:val="18"/>
        </w:rPr>
        <w:t>Bureau</w:t>
      </w:r>
      <w:r w:rsidRPr="00F74CAD" w:rsidR="00CB112C">
        <w:rPr>
          <w:rFonts w:ascii="Verdana" w:hAnsi="Verdana"/>
          <w:sz w:val="18"/>
          <w:szCs w:val="18"/>
        </w:rPr>
        <w:t>”</w:t>
      </w:r>
      <w:r w:rsidRPr="00F74CAD" w:rsidR="00060D49">
        <w:rPr>
          <w:rFonts w:ascii="Verdana" w:hAnsi="Verdana"/>
          <w:sz w:val="18"/>
          <w:szCs w:val="18"/>
        </w:rPr>
        <w:t xml:space="preserve"> </w:t>
      </w:r>
      <w:r w:rsidRPr="00F74CAD" w:rsidR="004260BC">
        <w:rPr>
          <w:rFonts w:ascii="Verdana" w:hAnsi="Verdana"/>
          <w:sz w:val="18"/>
          <w:szCs w:val="18"/>
        </w:rPr>
        <w:t xml:space="preserve">omschrijft. </w:t>
      </w:r>
      <w:r w:rsidRPr="00F74CAD" w:rsidR="00060D49">
        <w:rPr>
          <w:rFonts w:ascii="Verdana" w:hAnsi="Verdana"/>
          <w:sz w:val="18"/>
          <w:szCs w:val="18"/>
        </w:rPr>
        <w:t xml:space="preserve">Onder “Bureau” wordt hier verstaan het Benelux-Bureau voor de Intellectuele Eigendom (merken en tekeningen of modellen). </w:t>
      </w:r>
      <w:r w:rsidRPr="00F74CAD" w:rsidR="004260BC">
        <w:rPr>
          <w:rFonts w:ascii="Verdana" w:hAnsi="Verdana"/>
          <w:sz w:val="18"/>
          <w:szCs w:val="18"/>
        </w:rPr>
        <w:t xml:space="preserve">In het nieuwe artikel 230bis (instellen van een vordering) onder </w:t>
      </w:r>
      <w:r w:rsidRPr="00F74CAD" w:rsidR="00060D49">
        <w:rPr>
          <w:rFonts w:ascii="Verdana" w:hAnsi="Verdana"/>
          <w:sz w:val="18"/>
          <w:szCs w:val="18"/>
        </w:rPr>
        <w:t xml:space="preserve">hoofdstuk 6bis </w:t>
      </w:r>
      <w:r w:rsidRPr="00F74CAD" w:rsidR="004260BC">
        <w:rPr>
          <w:rFonts w:ascii="Verdana" w:hAnsi="Verdana"/>
          <w:sz w:val="18"/>
          <w:szCs w:val="18"/>
        </w:rPr>
        <w:t xml:space="preserve">worden </w:t>
      </w:r>
      <w:r w:rsidRPr="00F74CAD" w:rsidR="00060D49">
        <w:rPr>
          <w:rFonts w:ascii="Verdana" w:hAnsi="Verdana"/>
          <w:sz w:val="18"/>
          <w:szCs w:val="18"/>
        </w:rPr>
        <w:t>belanghebbenden</w:t>
      </w:r>
      <w:r w:rsidRPr="00F74CAD" w:rsidR="004260BC">
        <w:rPr>
          <w:rFonts w:ascii="Verdana" w:hAnsi="Verdana"/>
          <w:sz w:val="18"/>
          <w:szCs w:val="18"/>
        </w:rPr>
        <w:t xml:space="preserve">, </w:t>
      </w:r>
      <w:r w:rsidRPr="00F74CAD" w:rsidR="00060D49">
        <w:rPr>
          <w:rFonts w:ascii="Verdana" w:hAnsi="Verdana"/>
          <w:sz w:val="18"/>
          <w:szCs w:val="18"/>
        </w:rPr>
        <w:t>deposanten</w:t>
      </w:r>
      <w:r w:rsidRPr="00F74CAD" w:rsidR="004260BC">
        <w:rPr>
          <w:rFonts w:ascii="Verdana" w:hAnsi="Verdana"/>
          <w:sz w:val="18"/>
          <w:szCs w:val="18"/>
        </w:rPr>
        <w:t xml:space="preserve"> of houders van een merk</w:t>
      </w:r>
      <w:r w:rsidRPr="00F74CAD" w:rsidR="00CB112C">
        <w:rPr>
          <w:rFonts w:ascii="Verdana" w:hAnsi="Verdana"/>
          <w:sz w:val="18"/>
          <w:szCs w:val="18"/>
        </w:rPr>
        <w:t>,</w:t>
      </w:r>
      <w:r w:rsidRPr="00F74CAD" w:rsidR="004260BC">
        <w:rPr>
          <w:rFonts w:ascii="Verdana" w:hAnsi="Verdana"/>
          <w:sz w:val="18"/>
          <w:szCs w:val="18"/>
        </w:rPr>
        <w:t xml:space="preserve"> het </w:t>
      </w:r>
      <w:r w:rsidRPr="00F74CAD" w:rsidR="00060D49">
        <w:rPr>
          <w:rFonts w:ascii="Verdana" w:hAnsi="Verdana"/>
          <w:sz w:val="18"/>
          <w:szCs w:val="18"/>
        </w:rPr>
        <w:t>recht gegeven</w:t>
      </w:r>
      <w:r w:rsidRPr="00F74CAD" w:rsidR="004260BC">
        <w:rPr>
          <w:rFonts w:ascii="Verdana" w:hAnsi="Verdana"/>
          <w:sz w:val="18"/>
          <w:szCs w:val="18"/>
        </w:rPr>
        <w:t xml:space="preserve"> een vordering tot </w:t>
      </w:r>
      <w:r w:rsidRPr="00F74CAD" w:rsidR="00060D49">
        <w:rPr>
          <w:rFonts w:ascii="Verdana" w:hAnsi="Verdana"/>
          <w:sz w:val="18"/>
          <w:szCs w:val="18"/>
        </w:rPr>
        <w:t>nietigverklaring</w:t>
      </w:r>
      <w:r w:rsidRPr="00F74CAD" w:rsidR="004260BC">
        <w:rPr>
          <w:rFonts w:ascii="Verdana" w:hAnsi="Verdana"/>
          <w:sz w:val="18"/>
          <w:szCs w:val="18"/>
        </w:rPr>
        <w:t xml:space="preserve"> of </w:t>
      </w:r>
      <w:r w:rsidRPr="00F74CAD" w:rsidR="00060D49">
        <w:rPr>
          <w:rFonts w:ascii="Verdana" w:hAnsi="Verdana"/>
          <w:sz w:val="18"/>
          <w:szCs w:val="18"/>
        </w:rPr>
        <w:t>vervallenverklaring</w:t>
      </w:r>
      <w:r w:rsidRPr="00F74CAD" w:rsidR="004260BC">
        <w:rPr>
          <w:rFonts w:ascii="Verdana" w:hAnsi="Verdana"/>
          <w:sz w:val="18"/>
          <w:szCs w:val="18"/>
        </w:rPr>
        <w:t xml:space="preserve"> van een merk bij het Bureau in te </w:t>
      </w:r>
      <w:r w:rsidRPr="00F74CAD" w:rsidR="00060D49">
        <w:rPr>
          <w:rFonts w:ascii="Verdana" w:hAnsi="Verdana"/>
          <w:sz w:val="18"/>
          <w:szCs w:val="18"/>
        </w:rPr>
        <w:t>dienen</w:t>
      </w:r>
      <w:r w:rsidRPr="00F74CAD" w:rsidR="004260BC">
        <w:rPr>
          <w:rFonts w:ascii="Verdana" w:hAnsi="Verdana"/>
          <w:sz w:val="18"/>
          <w:szCs w:val="18"/>
        </w:rPr>
        <w:t xml:space="preserve">. </w:t>
      </w:r>
      <w:proofErr w:type="gramStart"/>
      <w:r w:rsidRPr="00F74CAD" w:rsidR="004260BC">
        <w:rPr>
          <w:rFonts w:ascii="Verdana" w:hAnsi="Verdana"/>
          <w:sz w:val="18"/>
          <w:szCs w:val="18"/>
        </w:rPr>
        <w:t>Een zelfde</w:t>
      </w:r>
      <w:proofErr w:type="gramEnd"/>
      <w:r w:rsidRPr="00F74CAD" w:rsidR="004260BC">
        <w:rPr>
          <w:rFonts w:ascii="Verdana" w:hAnsi="Verdana"/>
          <w:sz w:val="18"/>
          <w:szCs w:val="18"/>
        </w:rPr>
        <w:t xml:space="preserve"> </w:t>
      </w:r>
      <w:r w:rsidRPr="00F74CAD" w:rsidR="00060D49">
        <w:rPr>
          <w:rFonts w:ascii="Verdana" w:hAnsi="Verdana"/>
          <w:sz w:val="18"/>
          <w:szCs w:val="18"/>
        </w:rPr>
        <w:t>strekking</w:t>
      </w:r>
      <w:r w:rsidRPr="00F74CAD" w:rsidR="004260BC">
        <w:rPr>
          <w:rFonts w:ascii="Verdana" w:hAnsi="Verdana"/>
          <w:sz w:val="18"/>
          <w:szCs w:val="18"/>
        </w:rPr>
        <w:t xml:space="preserve"> heeft het </w:t>
      </w:r>
      <w:r w:rsidRPr="00F74CAD" w:rsidR="00060D49">
        <w:rPr>
          <w:rFonts w:ascii="Verdana" w:hAnsi="Verdana"/>
          <w:sz w:val="18"/>
          <w:szCs w:val="18"/>
        </w:rPr>
        <w:t>nieuwe</w:t>
      </w:r>
      <w:r w:rsidRPr="00F74CAD" w:rsidR="004260BC">
        <w:rPr>
          <w:rFonts w:ascii="Verdana" w:hAnsi="Verdana"/>
          <w:sz w:val="18"/>
          <w:szCs w:val="18"/>
        </w:rPr>
        <w:t xml:space="preserve"> artikel 230quater </w:t>
      </w:r>
      <w:r w:rsidRPr="00F74CAD" w:rsidR="00060D49">
        <w:rPr>
          <w:rFonts w:ascii="Verdana" w:hAnsi="Verdana"/>
          <w:sz w:val="18"/>
          <w:szCs w:val="18"/>
        </w:rPr>
        <w:t>(</w:t>
      </w:r>
      <w:r w:rsidRPr="00F74CAD" w:rsidR="004260BC">
        <w:rPr>
          <w:rFonts w:ascii="Verdana" w:hAnsi="Verdana"/>
          <w:sz w:val="18"/>
          <w:szCs w:val="18"/>
        </w:rPr>
        <w:t xml:space="preserve">vordering tot </w:t>
      </w:r>
      <w:r w:rsidRPr="00F74CAD" w:rsidR="00060D49">
        <w:rPr>
          <w:rFonts w:ascii="Verdana" w:hAnsi="Verdana"/>
          <w:sz w:val="18"/>
          <w:szCs w:val="18"/>
        </w:rPr>
        <w:t>nietigverklaring</w:t>
      </w:r>
      <w:r w:rsidRPr="00F74CAD" w:rsidR="004260BC">
        <w:rPr>
          <w:rFonts w:ascii="Verdana" w:hAnsi="Verdana"/>
          <w:sz w:val="18"/>
          <w:szCs w:val="18"/>
        </w:rPr>
        <w:t xml:space="preserve"> of </w:t>
      </w:r>
      <w:r w:rsidRPr="00F74CAD" w:rsidR="00060D49">
        <w:rPr>
          <w:rFonts w:ascii="Verdana" w:hAnsi="Verdana"/>
          <w:sz w:val="18"/>
          <w:szCs w:val="18"/>
        </w:rPr>
        <w:t xml:space="preserve">vervallenverklaring </w:t>
      </w:r>
      <w:r w:rsidRPr="00F74CAD" w:rsidR="004260BC">
        <w:rPr>
          <w:rFonts w:ascii="Verdana" w:hAnsi="Verdana"/>
          <w:sz w:val="18"/>
          <w:szCs w:val="18"/>
        </w:rPr>
        <w:t>van internationale depots</w:t>
      </w:r>
      <w:r w:rsidRPr="00F74CAD" w:rsidR="00060D49">
        <w:rPr>
          <w:rFonts w:ascii="Verdana" w:hAnsi="Verdana"/>
          <w:sz w:val="18"/>
          <w:szCs w:val="18"/>
        </w:rPr>
        <w:t>)</w:t>
      </w:r>
      <w:r w:rsidRPr="00F74CAD" w:rsidR="004260BC">
        <w:rPr>
          <w:rFonts w:ascii="Verdana" w:hAnsi="Verdana"/>
          <w:sz w:val="18"/>
          <w:szCs w:val="18"/>
        </w:rPr>
        <w:t xml:space="preserve">. </w:t>
      </w:r>
      <w:r w:rsidRPr="00F74CAD" w:rsidR="00060D49">
        <w:rPr>
          <w:rFonts w:ascii="Verdana" w:hAnsi="Verdana"/>
          <w:sz w:val="18"/>
          <w:szCs w:val="18"/>
        </w:rPr>
        <w:t>Onder dat artikel kan tegen een internationaal depot</w:t>
      </w:r>
      <w:r w:rsidRPr="00F74CAD" w:rsidR="003428CA">
        <w:rPr>
          <w:rFonts w:ascii="Verdana" w:hAnsi="Verdana"/>
          <w:sz w:val="18"/>
          <w:szCs w:val="18"/>
        </w:rPr>
        <w:t>,</w:t>
      </w:r>
      <w:r w:rsidRPr="00F74CAD" w:rsidR="00060D49">
        <w:rPr>
          <w:rFonts w:ascii="Verdana" w:hAnsi="Verdana"/>
          <w:sz w:val="18"/>
          <w:szCs w:val="18"/>
        </w:rPr>
        <w:t xml:space="preserve"> waarvan is verzocht de </w:t>
      </w:r>
      <w:r w:rsidRPr="00F74CAD" w:rsidR="00CB112C">
        <w:rPr>
          <w:rFonts w:ascii="Verdana" w:hAnsi="Verdana"/>
          <w:sz w:val="18"/>
          <w:szCs w:val="18"/>
        </w:rPr>
        <w:t>bescherming</w:t>
      </w:r>
      <w:r w:rsidRPr="00F74CAD" w:rsidR="00060D49">
        <w:rPr>
          <w:rFonts w:ascii="Verdana" w:hAnsi="Verdana"/>
          <w:sz w:val="18"/>
          <w:szCs w:val="18"/>
        </w:rPr>
        <w:t xml:space="preserve"> uit te streken tot het Benelux-gebied</w:t>
      </w:r>
      <w:r w:rsidRPr="00F74CAD" w:rsidR="003428CA">
        <w:rPr>
          <w:rFonts w:ascii="Verdana" w:hAnsi="Verdana"/>
          <w:sz w:val="18"/>
          <w:szCs w:val="18"/>
        </w:rPr>
        <w:t>,</w:t>
      </w:r>
      <w:r w:rsidRPr="00F74CAD" w:rsidR="00060D49">
        <w:rPr>
          <w:rFonts w:ascii="Verdana" w:hAnsi="Verdana"/>
          <w:sz w:val="18"/>
          <w:szCs w:val="18"/>
        </w:rPr>
        <w:t xml:space="preserve"> een vordering tot </w:t>
      </w:r>
      <w:r w:rsidRPr="00F74CAD" w:rsidR="00CB112C">
        <w:rPr>
          <w:rFonts w:ascii="Verdana" w:hAnsi="Verdana"/>
          <w:sz w:val="18"/>
          <w:szCs w:val="18"/>
        </w:rPr>
        <w:t>nietigverklaring</w:t>
      </w:r>
      <w:r w:rsidRPr="00F74CAD" w:rsidR="00060D49">
        <w:rPr>
          <w:rFonts w:ascii="Verdana" w:hAnsi="Verdana"/>
          <w:sz w:val="18"/>
          <w:szCs w:val="18"/>
        </w:rPr>
        <w:t xml:space="preserve"> of </w:t>
      </w:r>
      <w:r w:rsidRPr="00F74CAD" w:rsidR="00CB112C">
        <w:rPr>
          <w:rFonts w:ascii="Verdana" w:hAnsi="Verdana"/>
          <w:sz w:val="18"/>
          <w:szCs w:val="18"/>
        </w:rPr>
        <w:t>vervallenverklaring</w:t>
      </w:r>
      <w:r w:rsidRPr="00F74CAD" w:rsidR="00060D49">
        <w:rPr>
          <w:rFonts w:ascii="Verdana" w:hAnsi="Verdana"/>
          <w:sz w:val="18"/>
          <w:szCs w:val="18"/>
        </w:rPr>
        <w:t xml:space="preserve"> worden ingesteld </w:t>
      </w:r>
      <w:r w:rsidRPr="00F74CAD" w:rsidR="00CB112C">
        <w:rPr>
          <w:rFonts w:ascii="Verdana" w:hAnsi="Verdana"/>
          <w:sz w:val="18"/>
          <w:szCs w:val="18"/>
        </w:rPr>
        <w:t>bij</w:t>
      </w:r>
      <w:r w:rsidRPr="00F74CAD" w:rsidR="00060D49">
        <w:rPr>
          <w:rFonts w:ascii="Verdana" w:hAnsi="Verdana"/>
          <w:sz w:val="18"/>
          <w:szCs w:val="18"/>
        </w:rPr>
        <w:t xml:space="preserve"> het Bureau. </w:t>
      </w:r>
    </w:p>
    <w:p w:rsidRPr="00F74CAD" w:rsidR="00A9553B" w:rsidP="00F74CAD" w:rsidRDefault="00A9553B">
      <w:pPr>
        <w:spacing w:after="0" w:line="360" w:lineRule="auto"/>
        <w:rPr>
          <w:rFonts w:ascii="Verdana" w:hAnsi="Verdana"/>
          <w:sz w:val="18"/>
          <w:szCs w:val="18"/>
        </w:rPr>
      </w:pPr>
    </w:p>
    <w:p w:rsidRPr="00F74CAD" w:rsidR="00F805DB" w:rsidP="00F74CAD" w:rsidRDefault="00A551F8">
      <w:pPr>
        <w:spacing w:line="360" w:lineRule="auto"/>
        <w:rPr>
          <w:rFonts w:ascii="Verdana" w:hAnsi="Verdana"/>
          <w:sz w:val="18"/>
          <w:szCs w:val="18"/>
        </w:rPr>
      </w:pPr>
      <w:r w:rsidRPr="00F74CAD">
        <w:rPr>
          <w:rFonts w:ascii="Verdana" w:hAnsi="Verdana"/>
          <w:sz w:val="18"/>
          <w:szCs w:val="18"/>
        </w:rPr>
        <w:t xml:space="preserve">Het Protocol heeft geen organisatorische of financiële gevolgen voor Nederland, nu het BVIE wordt uitgevoerd door de Benelux-Organisatie voor de Intellectuele Eigendom. </w:t>
      </w:r>
      <w:r w:rsidRPr="00F74CAD" w:rsidR="003428CA">
        <w:rPr>
          <w:rFonts w:ascii="Verdana" w:hAnsi="Verdana"/>
          <w:sz w:val="18"/>
          <w:szCs w:val="18"/>
        </w:rPr>
        <w:t>Ook vereist het geen nadere uitvoeringswetgeving</w:t>
      </w:r>
      <w:r w:rsidR="00E64DDB">
        <w:rPr>
          <w:rFonts w:ascii="Verdana" w:hAnsi="Verdana"/>
          <w:sz w:val="18"/>
          <w:szCs w:val="18"/>
        </w:rPr>
        <w:t xml:space="preserve"> (</w:t>
      </w:r>
      <w:r w:rsidR="00A04B22">
        <w:rPr>
          <w:rFonts w:ascii="Verdana" w:hAnsi="Verdana"/>
          <w:sz w:val="18"/>
          <w:szCs w:val="18"/>
        </w:rPr>
        <w:t>zie o.m. art. II</w:t>
      </w:r>
      <w:r w:rsidR="00E64DDB">
        <w:rPr>
          <w:rFonts w:ascii="Verdana" w:hAnsi="Verdana"/>
          <w:sz w:val="18"/>
          <w:szCs w:val="18"/>
        </w:rPr>
        <w:t>)</w:t>
      </w:r>
      <w:r w:rsidR="00A9553B">
        <w:rPr>
          <w:rFonts w:ascii="Verdana" w:hAnsi="Verdana"/>
          <w:sz w:val="18"/>
          <w:szCs w:val="18"/>
        </w:rPr>
        <w:t>.</w:t>
      </w:r>
    </w:p>
    <w:p w:rsidRPr="00F74CAD" w:rsidR="009479D5" w:rsidP="00F74CAD" w:rsidRDefault="00181212">
      <w:pPr>
        <w:spacing w:line="360" w:lineRule="auto"/>
        <w:rPr>
          <w:rFonts w:ascii="Verdana" w:hAnsi="Verdana"/>
          <w:b/>
          <w:sz w:val="18"/>
          <w:szCs w:val="18"/>
        </w:rPr>
      </w:pPr>
      <w:r w:rsidRPr="00F74CAD">
        <w:rPr>
          <w:rFonts w:ascii="Verdana" w:hAnsi="Verdana"/>
          <w:b/>
          <w:sz w:val="18"/>
          <w:szCs w:val="18"/>
        </w:rPr>
        <w:t>Koninkrijkspositie</w:t>
      </w:r>
    </w:p>
    <w:p w:rsidRPr="00F74CAD" w:rsidR="00181212" w:rsidP="00F74CAD" w:rsidRDefault="00976C3B">
      <w:pPr>
        <w:spacing w:line="360" w:lineRule="auto"/>
        <w:rPr>
          <w:rFonts w:ascii="Verdana" w:hAnsi="Verdana"/>
          <w:sz w:val="18"/>
          <w:szCs w:val="18"/>
        </w:rPr>
      </w:pPr>
      <w:r w:rsidRPr="00F74CAD">
        <w:rPr>
          <w:rFonts w:ascii="Verdana" w:hAnsi="Verdana"/>
          <w:sz w:val="18"/>
          <w:szCs w:val="18"/>
        </w:rPr>
        <w:t xml:space="preserve">Wat betreft het Koninkrijk der Nederlanden zal het Protocol, evenals BVIE, alleen gelden voor het Europese deel van Nederland (ingevolge artikel 1.16 BVIE is de toepassing van </w:t>
      </w:r>
      <w:r w:rsidRPr="00F74CAD" w:rsidR="003C584F">
        <w:rPr>
          <w:rFonts w:ascii="Verdana" w:hAnsi="Verdana"/>
          <w:sz w:val="18"/>
          <w:szCs w:val="18"/>
        </w:rPr>
        <w:t>BVIE</w:t>
      </w:r>
      <w:r w:rsidRPr="00F74CAD">
        <w:rPr>
          <w:rFonts w:ascii="Verdana" w:hAnsi="Verdana"/>
          <w:sz w:val="18"/>
          <w:szCs w:val="18"/>
        </w:rPr>
        <w:t xml:space="preserve"> beperkt tot het grondgebied van het Koninkrijk der Nederlanden in Europa). Het Caribische deel van Nederland valt niet onder de Benelux Unie.</w:t>
      </w:r>
    </w:p>
    <w:p w:rsidR="00BA0C07" w:rsidRDefault="00181212">
      <w:pPr>
        <w:spacing w:line="360" w:lineRule="auto"/>
        <w:rPr>
          <w:rFonts w:ascii="Verdana" w:hAnsi="Verdana"/>
          <w:sz w:val="18"/>
          <w:szCs w:val="18"/>
        </w:rPr>
      </w:pPr>
      <w:r w:rsidRPr="00F74CAD">
        <w:rPr>
          <w:rFonts w:ascii="Verdana" w:hAnsi="Verdana"/>
          <w:sz w:val="18"/>
          <w:szCs w:val="18"/>
        </w:rPr>
        <w:t xml:space="preserve">De Minister van Economische Zaken, </w:t>
      </w:r>
    </w:p>
    <w:p w:rsidRPr="00BA0C07" w:rsidR="00F74CAD" w:rsidP="00BA0C07" w:rsidRDefault="00BA0C07">
      <w:pPr>
        <w:tabs>
          <w:tab w:val="left" w:pos="3270"/>
        </w:tabs>
        <w:rPr>
          <w:rFonts w:ascii="Verdana" w:hAnsi="Verdana"/>
          <w:sz w:val="18"/>
          <w:szCs w:val="18"/>
        </w:rPr>
      </w:pPr>
      <w:r>
        <w:rPr>
          <w:rFonts w:ascii="Verdana" w:hAnsi="Verdana"/>
          <w:sz w:val="18"/>
          <w:szCs w:val="18"/>
        </w:rPr>
        <w:tab/>
      </w:r>
    </w:p>
    <w:sectPr w:rsidRPr="00BA0C07" w:rsidR="00F74CAD" w:rsidSect="005E3085">
      <w:footerReference w:type="even" r:id="rId7"/>
      <w:footerReference w:type="default" r:id="rId8"/>
      <w:pgSz w:w="12240" w:h="15840" w:code="1"/>
      <w:pgMar w:top="1440" w:right="1440" w:bottom="28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EB4" w:rsidRDefault="00AB0EB4" w:rsidP="00BA0C07">
      <w:pPr>
        <w:spacing w:after="0" w:line="240" w:lineRule="auto"/>
      </w:pPr>
      <w:r>
        <w:separator/>
      </w:r>
    </w:p>
  </w:endnote>
  <w:endnote w:type="continuationSeparator" w:id="0">
    <w:p w:rsidR="00AB0EB4" w:rsidRDefault="00AB0EB4" w:rsidP="00BA0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085" w:rsidRDefault="005E3085" w:rsidP="005E3085">
    <w:pPr>
      <w:pStyle w:val="Footer"/>
      <w:jc w:val="center"/>
    </w:pPr>
    <w: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085" w:rsidRPr="005E3085" w:rsidRDefault="005E3085" w:rsidP="005E3085">
    <w:pPr>
      <w:tabs>
        <w:tab w:val="left" w:pos="360"/>
        <w:tab w:val="left" w:pos="2160"/>
        <w:tab w:val="left" w:pos="4320"/>
        <w:tab w:val="left" w:pos="6480"/>
      </w:tabs>
      <w:spacing w:after="0" w:line="240" w:lineRule="auto"/>
      <w:contextualSpacing/>
      <w:jc w:val="center"/>
      <w:rPr>
        <w:rFonts w:ascii="Verdana" w:eastAsia="Times New Roman" w:hAnsi="Verdana" w:cs="Times New Roman"/>
        <w:sz w:val="18"/>
        <w:szCs w:val="18"/>
        <w:lang w:eastAsia="nl-NL"/>
      </w:rPr>
    </w:pPr>
    <w:r w:rsidRPr="005E3085">
      <w:rPr>
        <w:rFonts w:ascii="Verdana" w:eastAsia="Times New Roman" w:hAnsi="Verdana" w:cs="Times New Roman"/>
        <w:sz w:val="18"/>
        <w:szCs w:val="18"/>
        <w:lang w:eastAsia="nl-NL"/>
      </w:rPr>
      <w:t>1</w:t>
    </w:r>
  </w:p>
  <w:p w:rsidR="005E3085" w:rsidRDefault="005E3085" w:rsidP="005E3085">
    <w:pPr>
      <w:tabs>
        <w:tab w:val="left" w:pos="360"/>
        <w:tab w:val="left" w:pos="2160"/>
        <w:tab w:val="left" w:pos="4320"/>
        <w:tab w:val="left" w:pos="6480"/>
      </w:tabs>
      <w:spacing w:after="0" w:line="240" w:lineRule="auto"/>
      <w:contextualSpacing/>
      <w:rPr>
        <w:rFonts w:ascii="Verdana" w:eastAsia="Times New Roman" w:hAnsi="Verdana" w:cs="Times New Roman"/>
        <w:b/>
        <w:sz w:val="12"/>
        <w:szCs w:val="12"/>
        <w:lang w:eastAsia="nl-NL"/>
      </w:rPr>
    </w:pPr>
  </w:p>
  <w:p w:rsidR="005E3085" w:rsidRDefault="005E3085" w:rsidP="005E3085">
    <w:pPr>
      <w:tabs>
        <w:tab w:val="left" w:pos="360"/>
        <w:tab w:val="left" w:pos="2160"/>
        <w:tab w:val="left" w:pos="4320"/>
        <w:tab w:val="left" w:pos="6480"/>
      </w:tabs>
      <w:spacing w:after="0" w:line="240" w:lineRule="auto"/>
      <w:contextualSpacing/>
      <w:rPr>
        <w:rFonts w:ascii="Verdana" w:eastAsia="Times New Roman" w:hAnsi="Verdana" w:cs="Times New Roman"/>
        <w:b/>
        <w:sz w:val="12"/>
        <w:szCs w:val="12"/>
        <w:lang w:eastAsia="nl-NL"/>
      </w:rPr>
    </w:pPr>
    <w:r w:rsidRPr="005E3085">
      <w:rPr>
        <w:rFonts w:ascii="Verdana" w:eastAsia="Times New Roman" w:hAnsi="Verdana" w:cs="Times New Roman"/>
        <w:b/>
        <w:sz w:val="12"/>
        <w:szCs w:val="12"/>
        <w:lang w:eastAsia="nl-NL"/>
      </w:rPr>
      <w:t xml:space="preserve">Het advies van de Afdeling advisering van de </w:t>
    </w:r>
  </w:p>
  <w:p w:rsidR="005E3085" w:rsidRDefault="005E3085" w:rsidP="005E3085">
    <w:pPr>
      <w:tabs>
        <w:tab w:val="left" w:pos="360"/>
        <w:tab w:val="left" w:pos="2160"/>
        <w:tab w:val="left" w:pos="5496"/>
      </w:tabs>
      <w:spacing w:after="0" w:line="240" w:lineRule="auto"/>
      <w:contextualSpacing/>
      <w:rPr>
        <w:rFonts w:ascii="Verdana" w:eastAsia="Times New Roman" w:hAnsi="Verdana" w:cs="Times New Roman"/>
        <w:b/>
        <w:sz w:val="12"/>
        <w:szCs w:val="12"/>
        <w:lang w:eastAsia="nl-NL"/>
      </w:rPr>
    </w:pPr>
    <w:r w:rsidRPr="005E3085">
      <w:rPr>
        <w:rFonts w:ascii="Verdana" w:eastAsia="Times New Roman" w:hAnsi="Verdana" w:cs="Times New Roman"/>
        <w:b/>
        <w:sz w:val="12"/>
        <w:szCs w:val="12"/>
        <w:lang w:eastAsia="nl-NL"/>
      </w:rPr>
      <w:t xml:space="preserve">Raad van State wordt niet openbaar gemaakt, </w:t>
    </w:r>
    <w:r>
      <w:rPr>
        <w:rFonts w:ascii="Verdana" w:eastAsia="Times New Roman" w:hAnsi="Verdana" w:cs="Times New Roman"/>
        <w:b/>
        <w:sz w:val="12"/>
        <w:szCs w:val="12"/>
        <w:lang w:eastAsia="nl-NL"/>
      </w:rPr>
      <w:tab/>
    </w:r>
  </w:p>
  <w:p w:rsidR="005E3085" w:rsidRDefault="005E3085" w:rsidP="005E3085">
    <w:pPr>
      <w:tabs>
        <w:tab w:val="left" w:pos="360"/>
        <w:tab w:val="left" w:pos="2160"/>
        <w:tab w:val="left" w:pos="4320"/>
        <w:tab w:val="left" w:pos="6480"/>
      </w:tabs>
      <w:spacing w:after="0" w:line="240" w:lineRule="auto"/>
      <w:rPr>
        <w:rFonts w:ascii="Verdana" w:eastAsia="Times New Roman" w:hAnsi="Verdana" w:cs="Times New Roman"/>
        <w:b/>
        <w:sz w:val="12"/>
        <w:szCs w:val="12"/>
        <w:lang w:eastAsia="nl-NL"/>
      </w:rPr>
    </w:pPr>
    <w:proofErr w:type="gramStart"/>
    <w:r w:rsidRPr="005E3085">
      <w:rPr>
        <w:rFonts w:ascii="Verdana" w:eastAsia="Times New Roman" w:hAnsi="Verdana" w:cs="Times New Roman"/>
        <w:b/>
        <w:sz w:val="12"/>
        <w:szCs w:val="12"/>
        <w:lang w:eastAsia="nl-NL"/>
      </w:rPr>
      <w:t>omdat</w:t>
    </w:r>
    <w:proofErr w:type="gramEnd"/>
    <w:r w:rsidRPr="005E3085">
      <w:rPr>
        <w:rFonts w:ascii="Verdana" w:eastAsia="Times New Roman" w:hAnsi="Verdana" w:cs="Times New Roman"/>
        <w:b/>
        <w:sz w:val="12"/>
        <w:szCs w:val="12"/>
        <w:lang w:eastAsia="nl-NL"/>
      </w:rPr>
      <w:t xml:space="preserve"> het zonder meer instemmend luidt</w:t>
    </w:r>
  </w:p>
  <w:p w:rsidR="005E3085" w:rsidRPr="005E3085" w:rsidRDefault="005E3085" w:rsidP="005E3085">
    <w:pPr>
      <w:tabs>
        <w:tab w:val="left" w:pos="360"/>
        <w:tab w:val="left" w:pos="2160"/>
        <w:tab w:val="left" w:pos="4320"/>
        <w:tab w:val="left" w:pos="6480"/>
      </w:tabs>
      <w:spacing w:after="0" w:line="240" w:lineRule="auto"/>
      <w:rPr>
        <w:rFonts w:ascii="Verdana" w:eastAsia="Times New Roman" w:hAnsi="Verdana" w:cs="Times New Roman"/>
        <w:b/>
        <w:sz w:val="12"/>
        <w:szCs w:val="12"/>
        <w:lang w:eastAsia="nl-NL"/>
      </w:rPr>
    </w:pPr>
    <w:r w:rsidRPr="005E3085">
      <w:rPr>
        <w:rFonts w:ascii="Verdana" w:eastAsia="Times New Roman" w:hAnsi="Verdana" w:cs="Times New Roman"/>
        <w:b/>
        <w:sz w:val="12"/>
        <w:szCs w:val="12"/>
        <w:lang w:eastAsia="nl-NL"/>
      </w:rPr>
      <w:t>(</w:t>
    </w:r>
    <w:proofErr w:type="gramStart"/>
    <w:r w:rsidRPr="005E3085">
      <w:rPr>
        <w:rFonts w:ascii="Verdana" w:eastAsia="Times New Roman" w:hAnsi="Verdana" w:cs="Times New Roman"/>
        <w:b/>
        <w:sz w:val="12"/>
        <w:szCs w:val="12"/>
        <w:lang w:eastAsia="nl-NL"/>
      </w:rPr>
      <w:t>artikel</w:t>
    </w:r>
    <w:proofErr w:type="gramEnd"/>
    <w:r w:rsidRPr="005E3085">
      <w:rPr>
        <w:rFonts w:ascii="Verdana" w:eastAsia="Times New Roman" w:hAnsi="Verdana" w:cs="Times New Roman"/>
        <w:b/>
        <w:sz w:val="12"/>
        <w:szCs w:val="12"/>
        <w:lang w:eastAsia="nl-NL"/>
      </w:rPr>
      <w:t xml:space="preserve"> 26, vijfde lid, v</w:t>
    </w:r>
    <w:r>
      <w:rPr>
        <w:rFonts w:ascii="Verdana" w:eastAsia="Times New Roman" w:hAnsi="Verdana" w:cs="Times New Roman"/>
        <w:b/>
        <w:sz w:val="12"/>
        <w:szCs w:val="12"/>
        <w:lang w:eastAsia="nl-NL"/>
      </w:rPr>
      <w:t>an de Wet op de Raad van State)</w:t>
    </w:r>
  </w:p>
  <w:p w:rsidR="00BA0C07" w:rsidRDefault="00BA0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EB4" w:rsidRDefault="00AB0EB4" w:rsidP="00BA0C07">
      <w:pPr>
        <w:spacing w:after="0" w:line="240" w:lineRule="auto"/>
      </w:pPr>
      <w:r>
        <w:separator/>
      </w:r>
    </w:p>
  </w:footnote>
  <w:footnote w:type="continuationSeparator" w:id="0">
    <w:p w:rsidR="00AB0EB4" w:rsidRDefault="00AB0EB4" w:rsidP="00BA0C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274"/>
    <w:rsid w:val="00060D49"/>
    <w:rsid w:val="000A5AD1"/>
    <w:rsid w:val="000B4824"/>
    <w:rsid w:val="000D66E0"/>
    <w:rsid w:val="00105C16"/>
    <w:rsid w:val="00106F5D"/>
    <w:rsid w:val="00181212"/>
    <w:rsid w:val="00182C40"/>
    <w:rsid w:val="001B57E6"/>
    <w:rsid w:val="001D40B7"/>
    <w:rsid w:val="002471BE"/>
    <w:rsid w:val="002A4231"/>
    <w:rsid w:val="003404A6"/>
    <w:rsid w:val="003428CA"/>
    <w:rsid w:val="003768F4"/>
    <w:rsid w:val="003B6E70"/>
    <w:rsid w:val="003C584F"/>
    <w:rsid w:val="00413BDA"/>
    <w:rsid w:val="004144BC"/>
    <w:rsid w:val="004260BC"/>
    <w:rsid w:val="00462286"/>
    <w:rsid w:val="0046773E"/>
    <w:rsid w:val="00473ADA"/>
    <w:rsid w:val="00487F8C"/>
    <w:rsid w:val="00496FA1"/>
    <w:rsid w:val="004E2277"/>
    <w:rsid w:val="004E26A2"/>
    <w:rsid w:val="004E5084"/>
    <w:rsid w:val="004F6EAD"/>
    <w:rsid w:val="0057151A"/>
    <w:rsid w:val="005E3085"/>
    <w:rsid w:val="005F63AA"/>
    <w:rsid w:val="0061280D"/>
    <w:rsid w:val="00630387"/>
    <w:rsid w:val="006358ED"/>
    <w:rsid w:val="00663452"/>
    <w:rsid w:val="006A3DE6"/>
    <w:rsid w:val="006B4D00"/>
    <w:rsid w:val="006C0ACD"/>
    <w:rsid w:val="00742C06"/>
    <w:rsid w:val="00781506"/>
    <w:rsid w:val="008049EE"/>
    <w:rsid w:val="00847AD9"/>
    <w:rsid w:val="008764A7"/>
    <w:rsid w:val="008D3AB8"/>
    <w:rsid w:val="008E3964"/>
    <w:rsid w:val="009479D5"/>
    <w:rsid w:val="009501D5"/>
    <w:rsid w:val="00954714"/>
    <w:rsid w:val="00973C26"/>
    <w:rsid w:val="00976C3B"/>
    <w:rsid w:val="009D53D8"/>
    <w:rsid w:val="00A04B22"/>
    <w:rsid w:val="00A551F8"/>
    <w:rsid w:val="00A9553B"/>
    <w:rsid w:val="00AA2E47"/>
    <w:rsid w:val="00AB0EB4"/>
    <w:rsid w:val="00AC09D4"/>
    <w:rsid w:val="00B1269C"/>
    <w:rsid w:val="00B626C1"/>
    <w:rsid w:val="00B83B97"/>
    <w:rsid w:val="00BA0C07"/>
    <w:rsid w:val="00C05886"/>
    <w:rsid w:val="00C40BA3"/>
    <w:rsid w:val="00C83F10"/>
    <w:rsid w:val="00CB112C"/>
    <w:rsid w:val="00CF7F41"/>
    <w:rsid w:val="00D11057"/>
    <w:rsid w:val="00D32B11"/>
    <w:rsid w:val="00D411E8"/>
    <w:rsid w:val="00D84DBC"/>
    <w:rsid w:val="00E10D2B"/>
    <w:rsid w:val="00E64DDB"/>
    <w:rsid w:val="00E73656"/>
    <w:rsid w:val="00E773D5"/>
    <w:rsid w:val="00E97274"/>
    <w:rsid w:val="00EB0422"/>
    <w:rsid w:val="00EC1F91"/>
    <w:rsid w:val="00F74CAD"/>
    <w:rsid w:val="00F805DB"/>
    <w:rsid w:val="00F978D2"/>
    <w:rsid w:val="00FA65EA"/>
    <w:rsid w:val="00FE70EC"/>
    <w:rsid w:val="00FF0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590C83-F3EF-4B81-9B4A-E76FEE1F9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12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212"/>
    <w:rPr>
      <w:rFonts w:ascii="Tahoma" w:hAnsi="Tahoma" w:cs="Tahoma"/>
      <w:sz w:val="16"/>
      <w:szCs w:val="16"/>
      <w:lang w:val="nl-NL"/>
    </w:rPr>
  </w:style>
  <w:style w:type="character" w:styleId="CommentReference">
    <w:name w:val="annotation reference"/>
    <w:basedOn w:val="DefaultParagraphFont"/>
    <w:uiPriority w:val="99"/>
    <w:semiHidden/>
    <w:unhideWhenUsed/>
    <w:rsid w:val="00B626C1"/>
    <w:rPr>
      <w:sz w:val="16"/>
      <w:szCs w:val="16"/>
    </w:rPr>
  </w:style>
  <w:style w:type="paragraph" w:styleId="CommentText">
    <w:name w:val="annotation text"/>
    <w:basedOn w:val="Normal"/>
    <w:link w:val="CommentTextChar"/>
    <w:uiPriority w:val="99"/>
    <w:semiHidden/>
    <w:unhideWhenUsed/>
    <w:rsid w:val="00B626C1"/>
    <w:pPr>
      <w:spacing w:line="240" w:lineRule="auto"/>
    </w:pPr>
    <w:rPr>
      <w:sz w:val="20"/>
      <w:szCs w:val="20"/>
    </w:rPr>
  </w:style>
  <w:style w:type="character" w:customStyle="1" w:styleId="CommentTextChar">
    <w:name w:val="Comment Text Char"/>
    <w:basedOn w:val="DefaultParagraphFont"/>
    <w:link w:val="CommentText"/>
    <w:uiPriority w:val="99"/>
    <w:semiHidden/>
    <w:rsid w:val="00B626C1"/>
    <w:rPr>
      <w:sz w:val="20"/>
      <w:szCs w:val="20"/>
      <w:lang w:val="nl-NL"/>
    </w:rPr>
  </w:style>
  <w:style w:type="paragraph" w:styleId="CommentSubject">
    <w:name w:val="annotation subject"/>
    <w:basedOn w:val="CommentText"/>
    <w:next w:val="CommentText"/>
    <w:link w:val="CommentSubjectChar"/>
    <w:uiPriority w:val="99"/>
    <w:semiHidden/>
    <w:unhideWhenUsed/>
    <w:rsid w:val="00B626C1"/>
    <w:rPr>
      <w:b/>
      <w:bCs/>
    </w:rPr>
  </w:style>
  <w:style w:type="character" w:customStyle="1" w:styleId="CommentSubjectChar">
    <w:name w:val="Comment Subject Char"/>
    <w:basedOn w:val="CommentTextChar"/>
    <w:link w:val="CommentSubject"/>
    <w:uiPriority w:val="99"/>
    <w:semiHidden/>
    <w:rsid w:val="00B626C1"/>
    <w:rPr>
      <w:b/>
      <w:bCs/>
      <w:sz w:val="20"/>
      <w:szCs w:val="20"/>
      <w:lang w:val="nl-NL"/>
    </w:rPr>
  </w:style>
  <w:style w:type="paragraph" w:styleId="NoSpacing">
    <w:name w:val="No Spacing"/>
    <w:uiPriority w:val="1"/>
    <w:qFormat/>
    <w:rsid w:val="00742C06"/>
    <w:pPr>
      <w:spacing w:after="0" w:line="240" w:lineRule="auto"/>
    </w:pPr>
    <w:rPr>
      <w:lang w:val="nl-NL"/>
    </w:rPr>
  </w:style>
  <w:style w:type="paragraph" w:styleId="Header">
    <w:name w:val="header"/>
    <w:basedOn w:val="Normal"/>
    <w:link w:val="HeaderChar"/>
    <w:uiPriority w:val="99"/>
    <w:unhideWhenUsed/>
    <w:rsid w:val="00BA0C0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A0C07"/>
    <w:rPr>
      <w:lang w:val="nl-NL"/>
    </w:rPr>
  </w:style>
  <w:style w:type="paragraph" w:styleId="Footer">
    <w:name w:val="footer"/>
    <w:basedOn w:val="Normal"/>
    <w:link w:val="FooterChar"/>
    <w:uiPriority w:val="99"/>
    <w:unhideWhenUsed/>
    <w:rsid w:val="00BA0C0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A0C07"/>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310133">
      <w:bodyDiv w:val="1"/>
      <w:marLeft w:val="0"/>
      <w:marRight w:val="0"/>
      <w:marTop w:val="0"/>
      <w:marBottom w:val="0"/>
      <w:divBdr>
        <w:top w:val="none" w:sz="0" w:space="0" w:color="auto"/>
        <w:left w:val="none" w:sz="0" w:space="0" w:color="auto"/>
        <w:bottom w:val="none" w:sz="0" w:space="0" w:color="auto"/>
        <w:right w:val="none" w:sz="0" w:space="0" w:color="auto"/>
      </w:divBdr>
    </w:div>
    <w:div w:id="1296717568">
      <w:bodyDiv w:val="1"/>
      <w:marLeft w:val="0"/>
      <w:marRight w:val="0"/>
      <w:marTop w:val="0"/>
      <w:marBottom w:val="0"/>
      <w:divBdr>
        <w:top w:val="none" w:sz="0" w:space="0" w:color="auto"/>
        <w:left w:val="none" w:sz="0" w:space="0" w:color="auto"/>
        <w:bottom w:val="none" w:sz="0" w:space="0" w:color="auto"/>
        <w:right w:val="none" w:sz="0" w:space="0" w:color="auto"/>
      </w:divBdr>
    </w:div>
    <w:div w:id="185036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842</ap:Words>
  <ap:Characters>4632</ap:Characters>
  <ap:DocSecurity>0</ap:DocSecurity>
  <ap:Lines>38</ap:Lines>
  <ap:Paragraphs>10</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5464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2017-02-16T14:08:00.0000000Z</lastPrinted>
  <dcterms:created xsi:type="dcterms:W3CDTF">2017-09-07T09:55:00.0000000Z</dcterms:created>
  <dcterms:modified xsi:type="dcterms:W3CDTF">2017-09-07T09:55:00.0000000Z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0x010100A667B5A8C0637E4597791E8B02C06073</vt:lpwstr>
  </property>
</Properties>
</file>