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BD" w:rsidP="00E154BD" w:rsidRDefault="00E154BD">
      <w:pPr>
        <w:spacing w:after="0" w:line="23" w:lineRule="atLeast"/>
        <w:rPr>
          <w:b/>
          <w:bCs/>
        </w:rPr>
      </w:pPr>
      <w:r>
        <w:rPr>
          <w:b/>
          <w:bCs/>
        </w:rPr>
        <w:t>Uitleg lastenontwikkeling</w:t>
      </w:r>
    </w:p>
    <w:p w:rsidR="00B872DC" w:rsidP="00B872DC" w:rsidRDefault="00B872DC">
      <w:pPr>
        <w:spacing w:after="0" w:line="23" w:lineRule="atLeast"/>
      </w:pPr>
      <w:r>
        <w:t>Meerdere fracties hebben gevraagd om een nadere uitleg over de lastenontwikkeling in deze kabinetsperiode. Er zijn verschillende manieren om de lastenontwikkeling als gevolg van het Regeerakkoord te presenteren. Er zijn dan ook verschillende getallen die door elkaar gebruikt worden. Hieronder wordt de aansluiting tussen die verschillende cijfers uitgelegd.</w:t>
      </w:r>
    </w:p>
    <w:p w:rsidR="00E154BD" w:rsidP="00E154BD" w:rsidRDefault="00E154BD">
      <w:pPr>
        <w:spacing w:after="0" w:line="23" w:lineRule="atLeast"/>
        <w:rPr>
          <w:i/>
          <w:iCs/>
        </w:rPr>
      </w:pPr>
    </w:p>
    <w:p w:rsidR="00E154BD" w:rsidP="00E154BD" w:rsidRDefault="00E154BD">
      <w:pPr>
        <w:spacing w:after="0" w:line="23" w:lineRule="atLeast"/>
      </w:pPr>
      <w:r>
        <w:rPr>
          <w:i/>
          <w:iCs/>
        </w:rPr>
        <w:t>2021-structureel</w:t>
      </w:r>
      <w:r>
        <w:t xml:space="preserve"> </w:t>
      </w:r>
    </w:p>
    <w:p w:rsidR="00B872DC" w:rsidP="00B872DC" w:rsidRDefault="00B872DC">
      <w:pPr>
        <w:spacing w:after="0" w:line="23" w:lineRule="atLeast"/>
      </w:pPr>
      <w:r>
        <w:t xml:space="preserve">In het Regeerakkoord zijn de lasten ingedeeld in verschillende pakketten, waarbij uitgaven en lasten soms door elkaar lopen. Onderstaande tabel 1 geeft de lastenontwikkeling per pakket zoals gepresenteerd in het Regeerakkoord. </w:t>
      </w:r>
    </w:p>
    <w:p w:rsidR="00E154BD" w:rsidP="00E154BD" w:rsidRDefault="00E154BD">
      <w:pPr>
        <w:spacing w:after="0" w:line="23" w:lineRule="atLeast"/>
      </w:pPr>
    </w:p>
    <w:p w:rsidR="00E154BD" w:rsidP="00E154BD" w:rsidRDefault="00E154BD">
      <w:pPr>
        <w:spacing w:after="0" w:line="23" w:lineRule="atLeast"/>
      </w:pPr>
      <w:r w:rsidRPr="00FE18B0">
        <w:rPr>
          <w:i/>
        </w:rPr>
        <w:t xml:space="preserve">Tabel 1: lastenontwikkeling </w:t>
      </w:r>
      <w:r>
        <w:rPr>
          <w:i/>
        </w:rPr>
        <w:t xml:space="preserve">Regeerakkoord </w:t>
      </w:r>
    </w:p>
    <w:tbl>
      <w:tblPr>
        <w:tblW w:w="6520" w:type="dxa"/>
        <w:tblInd w:w="51" w:type="dxa"/>
        <w:tblCellMar>
          <w:left w:w="70" w:type="dxa"/>
          <w:right w:w="70" w:type="dxa"/>
        </w:tblCellMar>
        <w:tblLook w:val="04A0"/>
      </w:tblPr>
      <w:tblGrid>
        <w:gridCol w:w="4120"/>
        <w:gridCol w:w="1080"/>
        <w:gridCol w:w="1320"/>
      </w:tblGrid>
      <w:tr w:rsidRPr="00FE18B0" w:rsidR="00E154BD" w:rsidTr="00195155">
        <w:trPr>
          <w:trHeight w:val="225"/>
        </w:trPr>
        <w:tc>
          <w:tcPr>
            <w:tcW w:w="4120" w:type="dxa"/>
            <w:tcBorders>
              <w:top w:val="single" w:color="000000" w:sz="4" w:space="0"/>
              <w:left w:val="single" w:color="000000" w:sz="4" w:space="0"/>
              <w:bottom w:val="single" w:color="auto" w:sz="4" w:space="0"/>
              <w:right w:val="nil"/>
            </w:tcBorders>
            <w:shd w:val="clear" w:color="000000" w:fill="000000"/>
            <w:noWrap/>
            <w:vAlign w:val="bottom"/>
            <w:hideMark/>
          </w:tcPr>
          <w:p w:rsidRPr="00FE18B0" w:rsidR="00E154BD" w:rsidP="00195155" w:rsidRDefault="00E154BD">
            <w:pPr>
              <w:widowControl w:val="0"/>
              <w:spacing w:after="0" w:line="240" w:lineRule="auto"/>
              <w:ind w:left="51" w:hanging="51"/>
              <w:rPr>
                <w:bCs/>
                <w:color w:val="FFFFFF" w:themeColor="background1"/>
                <w:sz w:val="16"/>
                <w:szCs w:val="16"/>
              </w:rPr>
            </w:pPr>
            <w:r w:rsidRPr="0005064C">
              <w:rPr>
                <w:bCs/>
                <w:color w:val="FFFFFF" w:themeColor="background1"/>
                <w:sz w:val="16"/>
                <w:szCs w:val="16"/>
              </w:rPr>
              <w:t> (in miljarden euro’s; - is lastenverlichting/saldoverslechterend)</w:t>
            </w:r>
          </w:p>
        </w:tc>
        <w:tc>
          <w:tcPr>
            <w:tcW w:w="1080" w:type="dxa"/>
            <w:tcBorders>
              <w:top w:val="single" w:color="000000" w:sz="4" w:space="0"/>
              <w:left w:val="nil"/>
              <w:bottom w:val="single" w:color="auto" w:sz="4" w:space="0"/>
              <w:right w:val="nil"/>
            </w:tcBorders>
            <w:shd w:val="clear" w:color="000000" w:fill="000000"/>
            <w:noWrap/>
            <w:vAlign w:val="bottom"/>
            <w:hideMark/>
          </w:tcPr>
          <w:p w:rsidRPr="00FE18B0" w:rsidR="00E154BD" w:rsidP="00195155" w:rsidRDefault="00E154BD">
            <w:pPr>
              <w:widowControl w:val="0"/>
              <w:spacing w:after="0" w:line="240" w:lineRule="auto"/>
              <w:ind w:left="51" w:hanging="51"/>
              <w:jc w:val="center"/>
              <w:rPr>
                <w:bCs/>
                <w:color w:val="FFFFFF" w:themeColor="background1"/>
                <w:sz w:val="16"/>
                <w:szCs w:val="16"/>
              </w:rPr>
            </w:pPr>
            <w:r w:rsidRPr="00FE18B0">
              <w:rPr>
                <w:bCs/>
                <w:color w:val="FFFFFF" w:themeColor="background1"/>
                <w:sz w:val="16"/>
                <w:szCs w:val="16"/>
              </w:rPr>
              <w:t>2021</w:t>
            </w:r>
          </w:p>
        </w:tc>
        <w:tc>
          <w:tcPr>
            <w:tcW w:w="1320" w:type="dxa"/>
            <w:tcBorders>
              <w:top w:val="single" w:color="000000" w:sz="4" w:space="0"/>
              <w:left w:val="nil"/>
              <w:bottom w:val="single" w:color="auto" w:sz="4" w:space="0"/>
              <w:right w:val="single" w:color="000000" w:sz="4" w:space="0"/>
            </w:tcBorders>
            <w:shd w:val="clear" w:color="000000" w:fill="000000"/>
            <w:noWrap/>
            <w:vAlign w:val="bottom"/>
            <w:hideMark/>
          </w:tcPr>
          <w:p w:rsidRPr="00FE18B0" w:rsidR="00E154BD" w:rsidP="00195155" w:rsidRDefault="00E154BD">
            <w:pPr>
              <w:widowControl w:val="0"/>
              <w:spacing w:after="0" w:line="240" w:lineRule="auto"/>
              <w:ind w:left="51" w:hanging="51"/>
              <w:jc w:val="center"/>
              <w:rPr>
                <w:bCs/>
                <w:color w:val="FFFFFF" w:themeColor="background1"/>
                <w:sz w:val="16"/>
                <w:szCs w:val="16"/>
              </w:rPr>
            </w:pPr>
            <w:r w:rsidRPr="00FE18B0">
              <w:rPr>
                <w:bCs/>
                <w:color w:val="FFFFFF" w:themeColor="background1"/>
                <w:sz w:val="16"/>
                <w:szCs w:val="16"/>
              </w:rPr>
              <w:t>Structureel</w:t>
            </w:r>
          </w:p>
        </w:tc>
      </w:tr>
      <w:tr w:rsidRPr="00FE18B0" w:rsidR="00E154BD" w:rsidTr="00195155">
        <w:trPr>
          <w:trHeight w:val="225" w:hRule="exact"/>
        </w:trPr>
        <w:tc>
          <w:tcPr>
            <w:tcW w:w="4120" w:type="dxa"/>
            <w:tcBorders>
              <w:top w:val="nil"/>
              <w:left w:val="single" w:color="000000" w:sz="4" w:space="0"/>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rPr>
                <w:sz w:val="16"/>
                <w:szCs w:val="16"/>
              </w:rPr>
            </w:pPr>
            <w:proofErr w:type="spellStart"/>
            <w:r w:rsidRPr="00FE18B0">
              <w:rPr>
                <w:sz w:val="16"/>
                <w:szCs w:val="16"/>
              </w:rPr>
              <w:t>IB-pakket</w:t>
            </w:r>
            <w:proofErr w:type="spellEnd"/>
            <w:r w:rsidRPr="00FE18B0">
              <w:rPr>
                <w:sz w:val="16"/>
                <w:szCs w:val="16"/>
              </w:rPr>
              <w:t xml:space="preserve"> </w:t>
            </w:r>
          </w:p>
        </w:tc>
        <w:tc>
          <w:tcPr>
            <w:tcW w:w="1080" w:type="dxa"/>
            <w:tcBorders>
              <w:top w:val="nil"/>
              <w:left w:val="nil"/>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-5,2</w:t>
            </w:r>
          </w:p>
        </w:tc>
        <w:tc>
          <w:tcPr>
            <w:tcW w:w="1320" w:type="dxa"/>
            <w:tcBorders>
              <w:top w:val="nil"/>
              <w:left w:val="nil"/>
              <w:bottom w:val="nil"/>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-3,4</w:t>
            </w:r>
          </w:p>
        </w:tc>
      </w:tr>
      <w:tr w:rsidRPr="00FE18B0" w:rsidR="00E154BD" w:rsidTr="00195155">
        <w:trPr>
          <w:trHeight w:val="225" w:hRule="exact"/>
        </w:trPr>
        <w:tc>
          <w:tcPr>
            <w:tcW w:w="4120" w:type="dxa"/>
            <w:tcBorders>
              <w:top w:val="single" w:color="000000" w:sz="4" w:space="0"/>
              <w:left w:val="single" w:color="000000" w:sz="4" w:space="0"/>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rPr>
                <w:i/>
                <w:sz w:val="16"/>
                <w:szCs w:val="16"/>
              </w:rPr>
            </w:pPr>
            <w:proofErr w:type="spellStart"/>
            <w:r w:rsidRPr="00FE18B0">
              <w:rPr>
                <w:i/>
                <w:iCs/>
                <w:sz w:val="16"/>
                <w:szCs w:val="16"/>
              </w:rPr>
              <w:t>w.v</w:t>
            </w:r>
            <w:proofErr w:type="spellEnd"/>
            <w:r w:rsidRPr="00FE18B0">
              <w:rPr>
                <w:i/>
                <w:iCs/>
                <w:sz w:val="16"/>
                <w:szCs w:val="16"/>
              </w:rPr>
              <w:t>. box 1</w:t>
            </w:r>
          </w:p>
        </w:tc>
        <w:tc>
          <w:tcPr>
            <w:tcW w:w="1080" w:type="dxa"/>
            <w:tcBorders>
              <w:top w:val="single" w:color="000000" w:sz="4" w:space="0"/>
              <w:left w:val="nil"/>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i/>
                <w:sz w:val="16"/>
                <w:szCs w:val="16"/>
              </w:rPr>
            </w:pPr>
            <w:r w:rsidRPr="00FE18B0">
              <w:rPr>
                <w:i/>
                <w:sz w:val="16"/>
                <w:szCs w:val="16"/>
              </w:rPr>
              <w:t>-8,9</w:t>
            </w:r>
          </w:p>
        </w:tc>
        <w:tc>
          <w:tcPr>
            <w:tcW w:w="1320" w:type="dxa"/>
            <w:tcBorders>
              <w:top w:val="single" w:color="000000" w:sz="4" w:space="0"/>
              <w:left w:val="nil"/>
              <w:bottom w:val="nil"/>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i/>
                <w:sz w:val="16"/>
                <w:szCs w:val="16"/>
              </w:rPr>
            </w:pPr>
            <w:r w:rsidRPr="00FE18B0">
              <w:rPr>
                <w:i/>
                <w:sz w:val="16"/>
                <w:szCs w:val="16"/>
              </w:rPr>
              <w:t>-7,7</w:t>
            </w:r>
          </w:p>
        </w:tc>
      </w:tr>
      <w:tr w:rsidRPr="00FE18B0" w:rsidR="00E154BD" w:rsidTr="00195155">
        <w:trPr>
          <w:trHeight w:val="225" w:hRule="exact"/>
        </w:trPr>
        <w:tc>
          <w:tcPr>
            <w:tcW w:w="4120" w:type="dxa"/>
            <w:tcBorders>
              <w:top w:val="single" w:color="000000" w:sz="4" w:space="0"/>
              <w:left w:val="single" w:color="000000" w:sz="4" w:space="0"/>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rPr>
                <w:i/>
                <w:sz w:val="16"/>
                <w:szCs w:val="16"/>
              </w:rPr>
            </w:pPr>
            <w:proofErr w:type="spellStart"/>
            <w:r w:rsidRPr="00FE18B0">
              <w:rPr>
                <w:i/>
                <w:iCs/>
                <w:sz w:val="16"/>
                <w:szCs w:val="16"/>
              </w:rPr>
              <w:t>w.v</w:t>
            </w:r>
            <w:proofErr w:type="spellEnd"/>
            <w:r w:rsidRPr="00FE18B0">
              <w:rPr>
                <w:i/>
                <w:iCs/>
                <w:sz w:val="16"/>
                <w:szCs w:val="16"/>
              </w:rPr>
              <w:t>. vergroening</w:t>
            </w:r>
          </w:p>
        </w:tc>
        <w:tc>
          <w:tcPr>
            <w:tcW w:w="1080" w:type="dxa"/>
            <w:tcBorders>
              <w:top w:val="single" w:color="000000" w:sz="4" w:space="0"/>
              <w:left w:val="nil"/>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i/>
                <w:sz w:val="16"/>
                <w:szCs w:val="16"/>
              </w:rPr>
            </w:pPr>
            <w:r w:rsidRPr="00FE18B0">
              <w:rPr>
                <w:i/>
                <w:sz w:val="16"/>
                <w:szCs w:val="16"/>
              </w:rPr>
              <w:t>0,9</w:t>
            </w:r>
          </w:p>
        </w:tc>
        <w:tc>
          <w:tcPr>
            <w:tcW w:w="1320" w:type="dxa"/>
            <w:tcBorders>
              <w:top w:val="single" w:color="000000" w:sz="4" w:space="0"/>
              <w:left w:val="nil"/>
              <w:bottom w:val="nil"/>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i/>
                <w:sz w:val="16"/>
                <w:szCs w:val="16"/>
              </w:rPr>
            </w:pPr>
            <w:r w:rsidRPr="00FE18B0">
              <w:rPr>
                <w:i/>
                <w:sz w:val="16"/>
                <w:szCs w:val="16"/>
              </w:rPr>
              <w:t>1,4</w:t>
            </w:r>
          </w:p>
        </w:tc>
      </w:tr>
      <w:tr w:rsidRPr="00FE18B0" w:rsidR="00E154BD" w:rsidTr="00195155">
        <w:trPr>
          <w:trHeight w:val="225" w:hRule="exact"/>
        </w:trPr>
        <w:tc>
          <w:tcPr>
            <w:tcW w:w="4120" w:type="dxa"/>
            <w:tcBorders>
              <w:top w:val="single" w:color="000000" w:sz="4" w:space="0"/>
              <w:left w:val="single" w:color="000000" w:sz="4" w:space="0"/>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rPr>
                <w:i/>
                <w:sz w:val="16"/>
                <w:szCs w:val="16"/>
              </w:rPr>
            </w:pPr>
            <w:proofErr w:type="spellStart"/>
            <w:r w:rsidRPr="00FE18B0">
              <w:rPr>
                <w:i/>
                <w:iCs/>
                <w:sz w:val="16"/>
                <w:szCs w:val="16"/>
              </w:rPr>
              <w:t>w.v</w:t>
            </w:r>
            <w:proofErr w:type="spellEnd"/>
            <w:r w:rsidRPr="00FE18B0">
              <w:rPr>
                <w:i/>
                <w:iCs/>
                <w:sz w:val="16"/>
                <w:szCs w:val="16"/>
              </w:rPr>
              <w:t>. overig (o.a. btw)</w:t>
            </w:r>
          </w:p>
        </w:tc>
        <w:tc>
          <w:tcPr>
            <w:tcW w:w="1080" w:type="dxa"/>
            <w:tcBorders>
              <w:top w:val="single" w:color="000000" w:sz="4" w:space="0"/>
              <w:left w:val="nil"/>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i/>
                <w:sz w:val="16"/>
                <w:szCs w:val="16"/>
              </w:rPr>
            </w:pPr>
            <w:r w:rsidRPr="00FE18B0">
              <w:rPr>
                <w:i/>
                <w:sz w:val="16"/>
                <w:szCs w:val="16"/>
              </w:rPr>
              <w:t>2,8</w:t>
            </w:r>
          </w:p>
        </w:tc>
        <w:tc>
          <w:tcPr>
            <w:tcW w:w="1320" w:type="dxa"/>
            <w:tcBorders>
              <w:top w:val="single" w:color="000000" w:sz="4" w:space="0"/>
              <w:left w:val="nil"/>
              <w:bottom w:val="nil"/>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i/>
                <w:sz w:val="16"/>
                <w:szCs w:val="16"/>
              </w:rPr>
            </w:pPr>
            <w:r w:rsidRPr="00FE18B0">
              <w:rPr>
                <w:i/>
                <w:sz w:val="16"/>
                <w:szCs w:val="16"/>
              </w:rPr>
              <w:t>2,9</w:t>
            </w:r>
          </w:p>
        </w:tc>
      </w:tr>
      <w:tr w:rsidRPr="00FE18B0" w:rsidR="00E154BD" w:rsidTr="00195155">
        <w:trPr>
          <w:trHeight w:val="225" w:hRule="exact"/>
        </w:trPr>
        <w:tc>
          <w:tcPr>
            <w:tcW w:w="4120" w:type="dxa"/>
            <w:tcBorders>
              <w:top w:val="single" w:color="000000" w:sz="4" w:space="0"/>
              <w:left w:val="single" w:color="000000" w:sz="4" w:space="0"/>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rPr>
                <w:sz w:val="16"/>
                <w:szCs w:val="16"/>
              </w:rPr>
            </w:pPr>
            <w:r w:rsidRPr="00FE18B0">
              <w:rPr>
                <w:sz w:val="16"/>
                <w:szCs w:val="16"/>
              </w:rPr>
              <w:t>Pakket bedrijfsleven</w:t>
            </w:r>
          </w:p>
        </w:tc>
        <w:tc>
          <w:tcPr>
            <w:tcW w:w="1080" w:type="dxa"/>
            <w:tcBorders>
              <w:top w:val="single" w:color="000000" w:sz="4" w:space="0"/>
              <w:left w:val="nil"/>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-3</w:t>
            </w:r>
          </w:p>
        </w:tc>
        <w:tc>
          <w:tcPr>
            <w:tcW w:w="1320" w:type="dxa"/>
            <w:tcBorders>
              <w:top w:val="single" w:color="000000" w:sz="4" w:space="0"/>
              <w:left w:val="nil"/>
              <w:bottom w:val="nil"/>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-1,2</w:t>
            </w:r>
          </w:p>
        </w:tc>
      </w:tr>
      <w:tr w:rsidRPr="00FE18B0" w:rsidR="00E154BD" w:rsidTr="00195155">
        <w:trPr>
          <w:trHeight w:val="225" w:hRule="exact"/>
        </w:trPr>
        <w:tc>
          <w:tcPr>
            <w:tcW w:w="4120" w:type="dxa"/>
            <w:tcBorders>
              <w:top w:val="single" w:color="000000" w:sz="4" w:space="0"/>
              <w:left w:val="single" w:color="000000" w:sz="4" w:space="0"/>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rPr>
                <w:sz w:val="16"/>
                <w:szCs w:val="16"/>
              </w:rPr>
            </w:pPr>
            <w:r w:rsidRPr="00FE18B0">
              <w:rPr>
                <w:sz w:val="16"/>
                <w:szCs w:val="16"/>
              </w:rPr>
              <w:t>Milieupakket bedrijven</w:t>
            </w:r>
          </w:p>
        </w:tc>
        <w:tc>
          <w:tcPr>
            <w:tcW w:w="1080" w:type="dxa"/>
            <w:tcBorders>
              <w:top w:val="single" w:color="000000" w:sz="4" w:space="0"/>
              <w:left w:val="nil"/>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0,4</w:t>
            </w:r>
          </w:p>
        </w:tc>
        <w:tc>
          <w:tcPr>
            <w:tcW w:w="1320" w:type="dxa"/>
            <w:tcBorders>
              <w:top w:val="single" w:color="000000" w:sz="4" w:space="0"/>
              <w:left w:val="nil"/>
              <w:bottom w:val="nil"/>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0,7</w:t>
            </w:r>
          </w:p>
        </w:tc>
      </w:tr>
      <w:tr w:rsidRPr="00FE18B0" w:rsidR="00E154BD" w:rsidTr="00195155">
        <w:trPr>
          <w:trHeight w:val="225" w:hRule="exact"/>
        </w:trPr>
        <w:tc>
          <w:tcPr>
            <w:tcW w:w="4120" w:type="dxa"/>
            <w:tcBorders>
              <w:top w:val="single" w:color="000000" w:sz="4" w:space="0"/>
              <w:left w:val="single" w:color="000000" w:sz="4" w:space="0"/>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rPr>
                <w:sz w:val="16"/>
                <w:szCs w:val="16"/>
              </w:rPr>
            </w:pPr>
            <w:r w:rsidRPr="00FE18B0">
              <w:rPr>
                <w:sz w:val="16"/>
                <w:szCs w:val="16"/>
              </w:rPr>
              <w:t>Lastenmaatregelen in uitgavenpakketten</w:t>
            </w:r>
          </w:p>
        </w:tc>
        <w:tc>
          <w:tcPr>
            <w:tcW w:w="1080" w:type="dxa"/>
            <w:tcBorders>
              <w:top w:val="single" w:color="000000" w:sz="4" w:space="0"/>
              <w:left w:val="nil"/>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0,7</w:t>
            </w:r>
          </w:p>
        </w:tc>
        <w:tc>
          <w:tcPr>
            <w:tcW w:w="1320" w:type="dxa"/>
            <w:tcBorders>
              <w:top w:val="single" w:color="000000" w:sz="4" w:space="0"/>
              <w:left w:val="nil"/>
              <w:bottom w:val="nil"/>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4</w:t>
            </w:r>
          </w:p>
        </w:tc>
      </w:tr>
      <w:tr w:rsidRPr="00FE18B0" w:rsidR="00E154BD" w:rsidTr="00195155">
        <w:trPr>
          <w:trHeight w:val="225" w:hRule="exact"/>
        </w:trPr>
        <w:tc>
          <w:tcPr>
            <w:tcW w:w="4120" w:type="dxa"/>
            <w:tcBorders>
              <w:top w:val="single" w:color="000000" w:sz="4" w:space="0"/>
              <w:left w:val="single" w:color="000000" w:sz="4" w:space="0"/>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rPr>
                <w:sz w:val="16"/>
                <w:szCs w:val="16"/>
              </w:rPr>
            </w:pPr>
            <w:r w:rsidRPr="00FE18B0">
              <w:rPr>
                <w:sz w:val="16"/>
                <w:szCs w:val="16"/>
              </w:rPr>
              <w:t>Zorgpremies en compensatie</w:t>
            </w:r>
          </w:p>
        </w:tc>
        <w:tc>
          <w:tcPr>
            <w:tcW w:w="1080" w:type="dxa"/>
            <w:tcBorders>
              <w:top w:val="single" w:color="000000" w:sz="4" w:space="0"/>
              <w:left w:val="nil"/>
              <w:bottom w:val="nil"/>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0,5</w:t>
            </w:r>
          </w:p>
        </w:tc>
        <w:tc>
          <w:tcPr>
            <w:tcW w:w="1320" w:type="dxa"/>
            <w:tcBorders>
              <w:top w:val="single" w:color="000000" w:sz="4" w:space="0"/>
              <w:left w:val="nil"/>
              <w:bottom w:val="nil"/>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sz w:val="16"/>
                <w:szCs w:val="16"/>
              </w:rPr>
            </w:pPr>
            <w:r w:rsidRPr="00FE18B0">
              <w:rPr>
                <w:sz w:val="16"/>
                <w:szCs w:val="16"/>
              </w:rPr>
              <w:t>0,5</w:t>
            </w:r>
          </w:p>
        </w:tc>
      </w:tr>
      <w:tr w:rsidRPr="00FE18B0" w:rsidR="00E154BD" w:rsidTr="00195155">
        <w:trPr>
          <w:trHeight w:val="225" w:hRule="exact"/>
        </w:trPr>
        <w:tc>
          <w:tcPr>
            <w:tcW w:w="4120" w:type="dxa"/>
            <w:tcBorders>
              <w:top w:val="single" w:color="000000" w:sz="4" w:space="0"/>
              <w:left w:val="single" w:color="000000" w:sz="4" w:space="0"/>
              <w:bottom w:val="single" w:color="auto" w:sz="4" w:space="0"/>
              <w:right w:val="nil"/>
            </w:tcBorders>
            <w:shd w:val="clear" w:color="auto" w:fill="auto"/>
            <w:noWrap/>
            <w:vAlign w:val="bottom"/>
            <w:hideMark/>
          </w:tcPr>
          <w:p w:rsidRPr="00FE18B0" w:rsidR="00E154BD" w:rsidP="0074182F" w:rsidRDefault="00E154BD">
            <w:pPr>
              <w:widowControl w:val="0"/>
              <w:spacing w:after="0" w:line="240" w:lineRule="auto"/>
              <w:ind w:left="51" w:hanging="51"/>
              <w:rPr>
                <w:b/>
                <w:bCs/>
                <w:sz w:val="16"/>
                <w:szCs w:val="16"/>
              </w:rPr>
            </w:pPr>
            <w:r w:rsidRPr="00FE18B0">
              <w:rPr>
                <w:b/>
                <w:bCs/>
                <w:sz w:val="16"/>
                <w:szCs w:val="16"/>
              </w:rPr>
              <w:t xml:space="preserve">Totaal </w:t>
            </w:r>
          </w:p>
        </w:tc>
        <w:tc>
          <w:tcPr>
            <w:tcW w:w="1080" w:type="dxa"/>
            <w:tcBorders>
              <w:top w:val="single" w:color="000000" w:sz="4" w:space="0"/>
              <w:left w:val="nil"/>
              <w:bottom w:val="single" w:color="auto" w:sz="4" w:space="0"/>
              <w:right w:val="nil"/>
            </w:tcBorders>
            <w:shd w:val="clear" w:color="auto" w:fill="auto"/>
            <w:noWrap/>
            <w:vAlign w:val="bottom"/>
            <w:hideMark/>
          </w:tcPr>
          <w:p w:rsidRPr="00FE18B0" w:rsidR="00E154BD" w:rsidP="00195155" w:rsidRDefault="00E154BD">
            <w:pPr>
              <w:widowControl w:val="0"/>
              <w:spacing w:after="0" w:line="240" w:lineRule="auto"/>
              <w:ind w:left="51" w:hanging="51"/>
              <w:jc w:val="center"/>
              <w:rPr>
                <w:b/>
                <w:bCs/>
                <w:sz w:val="16"/>
                <w:szCs w:val="16"/>
              </w:rPr>
            </w:pPr>
            <w:r w:rsidRPr="00FE18B0">
              <w:rPr>
                <w:b/>
                <w:bCs/>
                <w:sz w:val="16"/>
                <w:szCs w:val="16"/>
              </w:rPr>
              <w:t>-6,6</w:t>
            </w:r>
          </w:p>
        </w:tc>
        <w:tc>
          <w:tcPr>
            <w:tcW w:w="1320" w:type="dxa"/>
            <w:tcBorders>
              <w:top w:val="single" w:color="000000" w:sz="4" w:space="0"/>
              <w:left w:val="nil"/>
              <w:bottom w:val="single" w:color="auto" w:sz="4" w:space="0"/>
              <w:right w:val="single" w:color="000000" w:sz="4" w:space="0"/>
            </w:tcBorders>
            <w:shd w:val="clear" w:color="auto" w:fill="auto"/>
            <w:noWrap/>
            <w:vAlign w:val="bottom"/>
            <w:hideMark/>
          </w:tcPr>
          <w:p w:rsidRPr="00FE18B0" w:rsidR="00E154BD" w:rsidP="00195155" w:rsidRDefault="00E154BD">
            <w:pPr>
              <w:widowControl w:val="0"/>
              <w:spacing w:after="0" w:line="240" w:lineRule="auto"/>
              <w:ind w:left="51" w:hanging="51"/>
              <w:jc w:val="center"/>
              <w:rPr>
                <w:b/>
                <w:bCs/>
                <w:sz w:val="16"/>
                <w:szCs w:val="16"/>
              </w:rPr>
            </w:pPr>
            <w:r w:rsidRPr="00FE18B0">
              <w:rPr>
                <w:b/>
                <w:bCs/>
                <w:sz w:val="16"/>
                <w:szCs w:val="16"/>
              </w:rPr>
              <w:t>0,6</w:t>
            </w:r>
          </w:p>
        </w:tc>
      </w:tr>
    </w:tbl>
    <w:p w:rsidR="00E154BD" w:rsidP="00E154BD" w:rsidRDefault="00E154BD">
      <w:pPr>
        <w:widowControl w:val="0"/>
        <w:spacing w:after="0" w:line="240" w:lineRule="auto"/>
        <w:ind w:left="51" w:hanging="51"/>
      </w:pPr>
    </w:p>
    <w:p w:rsidR="00B872DC" w:rsidP="00B872DC" w:rsidRDefault="00B872DC">
      <w:pPr>
        <w:spacing w:after="0" w:line="23" w:lineRule="atLeast"/>
      </w:pPr>
      <w:r>
        <w:t xml:space="preserve">In de financiële bijlage van het Regeerakkoord staat bij het totaal </w:t>
      </w:r>
      <w:r w:rsidR="00195155">
        <w:t xml:space="preserve">van het </w:t>
      </w:r>
      <w:proofErr w:type="spellStart"/>
      <w:r w:rsidR="00195155">
        <w:t>IB-pakket</w:t>
      </w:r>
      <w:proofErr w:type="spellEnd"/>
      <w:r w:rsidR="00195155">
        <w:t xml:space="preserve"> </w:t>
      </w:r>
      <w:r>
        <w:t xml:space="preserve">een bedrag van 6,2 </w:t>
      </w:r>
      <w:proofErr w:type="spellStart"/>
      <w:r>
        <w:t>mld</w:t>
      </w:r>
      <w:proofErr w:type="spellEnd"/>
      <w:r>
        <w:t xml:space="preserve">, daarvan is </w:t>
      </w:r>
      <w:proofErr w:type="gramStart"/>
      <w:r>
        <w:t>1</w:t>
      </w:r>
      <w:proofErr w:type="gramEnd"/>
      <w:r>
        <w:t xml:space="preserve"> </w:t>
      </w:r>
      <w:proofErr w:type="spellStart"/>
      <w:r>
        <w:t>mld</w:t>
      </w:r>
      <w:proofErr w:type="spellEnd"/>
      <w:r>
        <w:t xml:space="preserve"> uitgaven, het lasteneffect is daarom 5,2 </w:t>
      </w:r>
      <w:proofErr w:type="spellStart"/>
      <w:r>
        <w:t>mld</w:t>
      </w:r>
      <w:proofErr w:type="spellEnd"/>
      <w:r>
        <w:t xml:space="preserve"> cf. bovenstaande tabel. De maatregelen in het Regeerakkoord leiden in totaal tot een lastenverlichting van 6,6 </w:t>
      </w:r>
      <w:proofErr w:type="spellStart"/>
      <w:r>
        <w:t>mld</w:t>
      </w:r>
      <w:proofErr w:type="spellEnd"/>
      <w:r>
        <w:t xml:space="preserve"> in 2021. Structureel is er sprake van een lastenverzwaring van 0,6 mld. Dit verschil ontstaat vooral omdat maatregelen ingroeien, zoals het afschaffen van de wet Hillen, het versoberen van de verliesverrekening in de vennootschapsbelasting en de oploop in de ODE heffing (</w:t>
      </w:r>
      <w:proofErr w:type="spellStart"/>
      <w:r w:rsidR="00F8303E">
        <w:fldChar w:fldCharType="begin"/>
      </w:r>
      <w:r>
        <w:instrText xml:space="preserve"> HYPERLINK "http://a.g.v.de"</w:instrText>
      </w:r>
      <w:r w:rsidR="00F8303E">
        <w:fldChar w:fldCharType="separate"/>
      </w:r>
      <w:r>
        <w:t>a.g.v</w:t>
      </w:r>
      <w:proofErr w:type="spellEnd"/>
      <w:r>
        <w:t>. de</w:t>
      </w:r>
      <w:r w:rsidR="00F8303E">
        <w:fldChar w:fldCharType="end"/>
      </w:r>
      <w:r>
        <w:t xml:space="preserve"> </w:t>
      </w:r>
      <w:proofErr w:type="spellStart"/>
      <w:r>
        <w:t>één-op-één</w:t>
      </w:r>
      <w:proofErr w:type="spellEnd"/>
      <w:r>
        <w:t xml:space="preserve"> doorwerking van de hogere SDE+-uitgaven op de </w:t>
      </w:r>
      <w:proofErr w:type="spellStart"/>
      <w:r>
        <w:t>ODE-heffing</w:t>
      </w:r>
      <w:proofErr w:type="spellEnd"/>
      <w:r>
        <w:t>).</w:t>
      </w:r>
    </w:p>
    <w:p w:rsidR="00E154BD" w:rsidP="00E154BD" w:rsidRDefault="00E154BD">
      <w:pPr>
        <w:spacing w:after="0" w:line="23" w:lineRule="atLeast"/>
      </w:pPr>
    </w:p>
    <w:p w:rsidR="00E154BD" w:rsidP="00E154BD" w:rsidRDefault="00E154BD">
      <w:pPr>
        <w:spacing w:after="0" w:line="23" w:lineRule="atLeast"/>
        <w:rPr>
          <w:i/>
          <w:iCs/>
        </w:rPr>
      </w:pPr>
      <w:r>
        <w:rPr>
          <w:i/>
          <w:iCs/>
        </w:rPr>
        <w:t>Lastenontwikkeling 2021 inclusief basispad</w:t>
      </w:r>
    </w:p>
    <w:p w:rsidR="00E154BD" w:rsidP="00E154BD" w:rsidRDefault="00E154BD">
      <w:pPr>
        <w:spacing w:after="0" w:line="23" w:lineRule="atLeast"/>
      </w:pPr>
      <w:r>
        <w:t xml:space="preserve">De startnota geeft de totale beleidsmatige lastenontwikkeling in de kabinetsperiode, dus inclusief de lastenontwikkeling in het basispad. Dit is vastgelegd in het inkomstenkader. Onderstaande tabel 2 geeft de lastenontwikkeling in 2021 volgens de startnota. </w:t>
      </w:r>
    </w:p>
    <w:p w:rsidR="00E154BD" w:rsidP="00E154BD" w:rsidRDefault="00E154BD">
      <w:pPr>
        <w:spacing w:after="0" w:line="23" w:lineRule="atLeast"/>
      </w:pPr>
    </w:p>
    <w:p w:rsidRPr="00FE18B0" w:rsidR="00E154BD" w:rsidP="00E154BD" w:rsidRDefault="00E154BD">
      <w:pPr>
        <w:spacing w:after="0" w:line="23" w:lineRule="atLeast"/>
        <w:rPr>
          <w:i/>
        </w:rPr>
      </w:pPr>
      <w:r w:rsidRPr="00FE18B0">
        <w:rPr>
          <w:i/>
        </w:rPr>
        <w:t>Tabel 2: lastenontwikkeling startnota</w:t>
      </w:r>
      <w:r>
        <w:rPr>
          <w:i/>
        </w:rPr>
        <w:t xml:space="preserve"> (</w:t>
      </w:r>
      <w:r w:rsidRPr="00FE18B0">
        <w:rPr>
          <w:i/>
        </w:rPr>
        <w:t>inclusief basispad)</w:t>
      </w:r>
    </w:p>
    <w:tbl>
      <w:tblPr>
        <w:tblW w:w="6040" w:type="dxa"/>
        <w:tblInd w:w="53" w:type="dxa"/>
        <w:tblCellMar>
          <w:left w:w="70" w:type="dxa"/>
          <w:right w:w="70" w:type="dxa"/>
        </w:tblCellMar>
        <w:tblLook w:val="04A0"/>
      </w:tblPr>
      <w:tblGrid>
        <w:gridCol w:w="4680"/>
        <w:gridCol w:w="1360"/>
      </w:tblGrid>
      <w:tr w:rsidRPr="0005064C" w:rsidR="00E154BD" w:rsidTr="00195155">
        <w:trPr>
          <w:trHeight w:val="435"/>
        </w:trPr>
        <w:tc>
          <w:tcPr>
            <w:tcW w:w="4680" w:type="dxa"/>
            <w:tcBorders>
              <w:top w:val="single" w:color="000000" w:sz="4" w:space="0"/>
              <w:left w:val="single" w:color="000000" w:sz="4" w:space="0"/>
              <w:bottom w:val="single" w:color="auto" w:sz="8" w:space="0"/>
              <w:right w:val="nil"/>
            </w:tcBorders>
            <w:shd w:val="clear" w:color="000000" w:fill="000000"/>
            <w:vAlign w:val="bottom"/>
            <w:hideMark/>
          </w:tcPr>
          <w:p w:rsidRPr="0005064C" w:rsidR="00E154BD" w:rsidP="00195155" w:rsidRDefault="00E154BD">
            <w:pPr>
              <w:spacing w:after="0" w:line="23" w:lineRule="atLeast"/>
              <w:rPr>
                <w:bCs/>
                <w:color w:val="FFFFFF" w:themeColor="background1"/>
                <w:sz w:val="16"/>
                <w:szCs w:val="16"/>
              </w:rPr>
            </w:pPr>
            <w:r w:rsidRPr="0005064C">
              <w:rPr>
                <w:bCs/>
                <w:color w:val="FFFFFF" w:themeColor="background1"/>
                <w:sz w:val="16"/>
                <w:szCs w:val="16"/>
              </w:rPr>
              <w:t> (in miljarden euro’s; - is lastenverlichting/saldoverslechterend)</w:t>
            </w:r>
          </w:p>
        </w:tc>
        <w:tc>
          <w:tcPr>
            <w:tcW w:w="1360" w:type="dxa"/>
            <w:tcBorders>
              <w:top w:val="single" w:color="000000" w:sz="4" w:space="0"/>
              <w:left w:val="nil"/>
              <w:bottom w:val="single" w:color="auto" w:sz="8" w:space="0"/>
              <w:right w:val="single" w:color="000000" w:sz="4" w:space="0"/>
            </w:tcBorders>
            <w:shd w:val="clear" w:color="000000" w:fill="000000"/>
            <w:vAlign w:val="bottom"/>
            <w:hideMark/>
          </w:tcPr>
          <w:p w:rsidRPr="0005064C" w:rsidR="00E154BD" w:rsidP="00195155" w:rsidRDefault="00C83F8F">
            <w:pPr>
              <w:spacing w:after="0" w:line="23" w:lineRule="atLeast"/>
              <w:jc w:val="center"/>
              <w:rPr>
                <w:bCs/>
                <w:color w:val="FFFFFF" w:themeColor="background1"/>
                <w:sz w:val="16"/>
                <w:szCs w:val="16"/>
              </w:rPr>
            </w:pPr>
            <w:r>
              <w:rPr>
                <w:bCs/>
                <w:color w:val="FFFFFF" w:themeColor="background1"/>
                <w:sz w:val="16"/>
                <w:szCs w:val="16"/>
              </w:rPr>
              <w:t>Cumulatief 2018-</w:t>
            </w:r>
            <w:r w:rsidRPr="0005064C" w:rsidR="00E154BD">
              <w:rPr>
                <w:bCs/>
                <w:color w:val="FFFFFF" w:themeColor="background1"/>
                <w:sz w:val="16"/>
                <w:szCs w:val="16"/>
              </w:rPr>
              <w:t>2021</w:t>
            </w:r>
          </w:p>
        </w:tc>
      </w:tr>
      <w:tr w:rsidRPr="0005064C" w:rsidR="00E154BD" w:rsidTr="00195155">
        <w:trPr>
          <w:trHeight w:val="225"/>
        </w:trPr>
        <w:tc>
          <w:tcPr>
            <w:tcW w:w="4680" w:type="dxa"/>
            <w:tcBorders>
              <w:top w:val="nil"/>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b/>
                <w:bCs/>
                <w:sz w:val="16"/>
                <w:szCs w:val="16"/>
              </w:rPr>
            </w:pPr>
            <w:r w:rsidRPr="0005064C">
              <w:rPr>
                <w:b/>
                <w:bCs/>
                <w:sz w:val="16"/>
                <w:szCs w:val="16"/>
              </w:rPr>
              <w:t>Basispad</w:t>
            </w:r>
          </w:p>
        </w:tc>
        <w:tc>
          <w:tcPr>
            <w:tcW w:w="1360" w:type="dxa"/>
            <w:tcBorders>
              <w:top w:val="nil"/>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b/>
                <w:bCs/>
                <w:sz w:val="16"/>
                <w:szCs w:val="16"/>
              </w:rPr>
            </w:pPr>
            <w:r w:rsidRPr="0005064C">
              <w:rPr>
                <w:b/>
                <w:bCs/>
                <w:sz w:val="16"/>
                <w:szCs w:val="16"/>
              </w:rPr>
              <w:t>9</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r w:rsidRPr="0005064C">
              <w:rPr>
                <w:sz w:val="16"/>
                <w:szCs w:val="16"/>
              </w:rPr>
              <w:t>Maatregelen vorige kabinetten</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3,1</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r w:rsidRPr="0005064C">
              <w:rPr>
                <w:sz w:val="16"/>
                <w:szCs w:val="16"/>
              </w:rPr>
              <w:t>Zorgpremies</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4,8</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roofErr w:type="gramStart"/>
            <w:r w:rsidRPr="0005064C">
              <w:rPr>
                <w:sz w:val="16"/>
                <w:szCs w:val="16"/>
              </w:rPr>
              <w:t>Uitboeken</w:t>
            </w:r>
            <w:proofErr w:type="gramEnd"/>
            <w:r w:rsidRPr="0005064C">
              <w:rPr>
                <w:sz w:val="16"/>
                <w:szCs w:val="16"/>
              </w:rPr>
              <w:t xml:space="preserve"> LIV/LKV</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0,9</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roofErr w:type="spellStart"/>
            <w:r w:rsidRPr="0005064C">
              <w:rPr>
                <w:sz w:val="16"/>
                <w:szCs w:val="16"/>
              </w:rPr>
              <w:t>Btw-sport</w:t>
            </w:r>
            <w:proofErr w:type="spellEnd"/>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0,2</w:t>
            </w:r>
          </w:p>
        </w:tc>
      </w:tr>
      <w:tr w:rsidRPr="0005064C" w:rsidR="00E154BD" w:rsidTr="00195155">
        <w:trPr>
          <w:trHeight w:val="28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b/>
                <w:bCs/>
                <w:sz w:val="16"/>
                <w:szCs w:val="16"/>
              </w:rPr>
            </w:pPr>
            <w:r w:rsidRPr="0005064C">
              <w:rPr>
                <w:b/>
                <w:bCs/>
                <w:sz w:val="16"/>
                <w:szCs w:val="16"/>
              </w:rPr>
              <w:t xml:space="preserve">Regeerakkoord </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b/>
                <w:bCs/>
                <w:sz w:val="16"/>
                <w:szCs w:val="16"/>
              </w:rPr>
            </w:pPr>
            <w:r w:rsidRPr="0005064C">
              <w:rPr>
                <w:b/>
                <w:bCs/>
                <w:sz w:val="16"/>
                <w:szCs w:val="16"/>
              </w:rPr>
              <w:t>-6,5</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roofErr w:type="spellStart"/>
            <w:r w:rsidRPr="0005064C">
              <w:rPr>
                <w:sz w:val="16"/>
                <w:szCs w:val="16"/>
              </w:rPr>
              <w:t>IB-pakket</w:t>
            </w:r>
            <w:proofErr w:type="spellEnd"/>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-5,4</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roofErr w:type="spellStart"/>
            <w:r w:rsidRPr="0005064C">
              <w:rPr>
                <w:sz w:val="16"/>
                <w:szCs w:val="16"/>
              </w:rPr>
              <w:t>w.v</w:t>
            </w:r>
            <w:proofErr w:type="spellEnd"/>
            <w:r w:rsidRPr="0005064C">
              <w:rPr>
                <w:sz w:val="16"/>
                <w:szCs w:val="16"/>
              </w:rPr>
              <w:t xml:space="preserve">. box </w:t>
            </w:r>
            <w:proofErr w:type="gramStart"/>
            <w:r w:rsidRPr="0005064C">
              <w:rPr>
                <w:sz w:val="16"/>
                <w:szCs w:val="16"/>
              </w:rPr>
              <w:t>1</w:t>
            </w:r>
            <w:proofErr w:type="gramEnd"/>
            <w:r w:rsidRPr="0005064C">
              <w:rPr>
                <w:sz w:val="16"/>
                <w:szCs w:val="16"/>
              </w:rPr>
              <w:t xml:space="preserve"> maatregelen</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-9,4</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roofErr w:type="spellStart"/>
            <w:r w:rsidRPr="0005064C">
              <w:rPr>
                <w:sz w:val="16"/>
                <w:szCs w:val="16"/>
              </w:rPr>
              <w:t>w.v</w:t>
            </w:r>
            <w:proofErr w:type="spellEnd"/>
            <w:r w:rsidRPr="0005064C">
              <w:rPr>
                <w:sz w:val="16"/>
                <w:szCs w:val="16"/>
              </w:rPr>
              <w:t>. vergroening burgers</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1</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roofErr w:type="spellStart"/>
            <w:r w:rsidRPr="0005064C">
              <w:rPr>
                <w:sz w:val="16"/>
                <w:szCs w:val="16"/>
              </w:rPr>
              <w:t>w.v</w:t>
            </w:r>
            <w:proofErr w:type="spellEnd"/>
            <w:r w:rsidRPr="0005064C">
              <w:rPr>
                <w:sz w:val="16"/>
                <w:szCs w:val="16"/>
              </w:rPr>
              <w:t>. overige lasten</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3</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r w:rsidRPr="0005064C">
              <w:rPr>
                <w:sz w:val="16"/>
                <w:szCs w:val="16"/>
              </w:rPr>
              <w:t>Pakket bedrijfsleven</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-2,2</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r w:rsidRPr="0005064C">
              <w:rPr>
                <w:sz w:val="16"/>
                <w:szCs w:val="16"/>
              </w:rPr>
              <w:t>Milieupakket bedrijven</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0,4</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r w:rsidRPr="0005064C">
              <w:rPr>
                <w:sz w:val="16"/>
                <w:szCs w:val="16"/>
              </w:rPr>
              <w:t>Lastenmaatregelen in uitgavenpakketten</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0,7</w:t>
            </w:r>
          </w:p>
        </w:tc>
      </w:tr>
      <w:tr w:rsidRPr="0005064C" w:rsidR="00E154BD" w:rsidTr="00195155">
        <w:trPr>
          <w:trHeight w:val="28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p>
        </w:tc>
      </w:tr>
      <w:tr w:rsidRPr="0005064C" w:rsidR="00E154BD" w:rsidTr="00195155">
        <w:trPr>
          <w:trHeight w:val="420"/>
        </w:trPr>
        <w:tc>
          <w:tcPr>
            <w:tcW w:w="4680" w:type="dxa"/>
            <w:tcBorders>
              <w:top w:val="single" w:color="000000" w:sz="4" w:space="0"/>
              <w:left w:val="single" w:color="000000" w:sz="4" w:space="0"/>
              <w:bottom w:val="nil"/>
              <w:right w:val="nil"/>
            </w:tcBorders>
            <w:shd w:val="clear" w:color="auto" w:fill="auto"/>
            <w:vAlign w:val="bottom"/>
            <w:hideMark/>
          </w:tcPr>
          <w:p w:rsidRPr="0005064C" w:rsidR="00E154BD" w:rsidP="00195155" w:rsidRDefault="00E154BD">
            <w:pPr>
              <w:spacing w:after="0" w:line="23" w:lineRule="atLeast"/>
              <w:rPr>
                <w:b/>
                <w:bCs/>
                <w:sz w:val="16"/>
                <w:szCs w:val="16"/>
              </w:rPr>
            </w:pPr>
            <w:r w:rsidRPr="0005064C">
              <w:rPr>
                <w:b/>
                <w:bCs/>
                <w:sz w:val="16"/>
                <w:szCs w:val="16"/>
              </w:rPr>
              <w:t>Doorwerking Regeerakkoord op zorgpremies en compensatie</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b/>
                <w:bCs/>
                <w:sz w:val="16"/>
                <w:szCs w:val="16"/>
              </w:rPr>
            </w:pPr>
            <w:r w:rsidRPr="0005064C">
              <w:rPr>
                <w:b/>
                <w:bCs/>
                <w:sz w:val="16"/>
                <w:szCs w:val="16"/>
              </w:rPr>
              <w:t>0,8</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r w:rsidRPr="0005064C">
              <w:rPr>
                <w:sz w:val="16"/>
                <w:szCs w:val="16"/>
              </w:rPr>
              <w:t>Zorgpremies</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-0,9</w:t>
            </w:r>
          </w:p>
        </w:tc>
      </w:tr>
      <w:tr w:rsidRPr="0005064C" w:rsidR="00E154BD" w:rsidTr="00195155">
        <w:trPr>
          <w:trHeight w:val="22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r w:rsidRPr="0005064C">
              <w:rPr>
                <w:sz w:val="16"/>
                <w:szCs w:val="16"/>
              </w:rPr>
              <w:t>Compensatie zorgpremies</w:t>
            </w: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r w:rsidRPr="0005064C">
              <w:rPr>
                <w:sz w:val="16"/>
                <w:szCs w:val="16"/>
              </w:rPr>
              <w:t>1,7</w:t>
            </w:r>
          </w:p>
        </w:tc>
      </w:tr>
      <w:tr w:rsidRPr="0005064C" w:rsidR="00E154BD" w:rsidTr="00195155">
        <w:trPr>
          <w:trHeight w:val="285"/>
        </w:trPr>
        <w:tc>
          <w:tcPr>
            <w:tcW w:w="4680" w:type="dxa"/>
            <w:tcBorders>
              <w:top w:val="single" w:color="000000" w:sz="4" w:space="0"/>
              <w:left w:val="single" w:color="000000" w:sz="4" w:space="0"/>
              <w:bottom w:val="nil"/>
              <w:right w:val="nil"/>
            </w:tcBorders>
            <w:shd w:val="clear" w:color="auto" w:fill="auto"/>
            <w:noWrap/>
            <w:vAlign w:val="bottom"/>
            <w:hideMark/>
          </w:tcPr>
          <w:p w:rsidRPr="0005064C" w:rsidR="00E154BD" w:rsidP="00195155" w:rsidRDefault="00E154BD">
            <w:pPr>
              <w:spacing w:after="0" w:line="23" w:lineRule="atLeast"/>
              <w:rPr>
                <w:sz w:val="16"/>
                <w:szCs w:val="16"/>
              </w:rPr>
            </w:pPr>
          </w:p>
        </w:tc>
        <w:tc>
          <w:tcPr>
            <w:tcW w:w="1360" w:type="dxa"/>
            <w:tcBorders>
              <w:top w:val="single" w:color="000000" w:sz="4" w:space="0"/>
              <w:left w:val="nil"/>
              <w:bottom w:val="nil"/>
              <w:right w:val="single" w:color="000000" w:sz="4" w:space="0"/>
            </w:tcBorders>
            <w:shd w:val="clear" w:color="auto" w:fill="auto"/>
            <w:noWrap/>
            <w:vAlign w:val="bottom"/>
            <w:hideMark/>
          </w:tcPr>
          <w:p w:rsidRPr="0005064C" w:rsidR="00E154BD" w:rsidP="00195155" w:rsidRDefault="00E154BD">
            <w:pPr>
              <w:spacing w:after="0" w:line="23" w:lineRule="atLeast"/>
              <w:jc w:val="center"/>
              <w:rPr>
                <w:sz w:val="16"/>
                <w:szCs w:val="16"/>
              </w:rPr>
            </w:pPr>
          </w:p>
        </w:tc>
      </w:tr>
      <w:tr w:rsidRPr="0005064C" w:rsidR="00E154BD" w:rsidTr="00195155">
        <w:trPr>
          <w:trHeight w:val="225"/>
        </w:trPr>
        <w:tc>
          <w:tcPr>
            <w:tcW w:w="4680" w:type="dxa"/>
            <w:tcBorders>
              <w:top w:val="single" w:color="000000" w:sz="4" w:space="0"/>
              <w:left w:val="single" w:color="000000" w:sz="4" w:space="0"/>
              <w:bottom w:val="single" w:color="auto" w:sz="8" w:space="0"/>
              <w:right w:val="nil"/>
            </w:tcBorders>
            <w:shd w:val="clear" w:color="auto" w:fill="auto"/>
            <w:noWrap/>
            <w:vAlign w:val="bottom"/>
            <w:hideMark/>
          </w:tcPr>
          <w:p w:rsidRPr="0005064C" w:rsidR="00E154BD" w:rsidP="00195155" w:rsidRDefault="00E154BD">
            <w:pPr>
              <w:spacing w:after="0" w:line="23" w:lineRule="atLeast"/>
              <w:rPr>
                <w:b/>
                <w:bCs/>
                <w:sz w:val="16"/>
                <w:szCs w:val="16"/>
              </w:rPr>
            </w:pPr>
            <w:r w:rsidRPr="0005064C">
              <w:rPr>
                <w:b/>
                <w:bCs/>
                <w:sz w:val="16"/>
                <w:szCs w:val="16"/>
              </w:rPr>
              <w:t>Totaal</w:t>
            </w:r>
          </w:p>
        </w:tc>
        <w:tc>
          <w:tcPr>
            <w:tcW w:w="1360" w:type="dxa"/>
            <w:tcBorders>
              <w:top w:val="single" w:color="000000" w:sz="4" w:space="0"/>
              <w:left w:val="nil"/>
              <w:bottom w:val="single" w:color="auto" w:sz="8" w:space="0"/>
              <w:right w:val="single" w:color="000000" w:sz="4" w:space="0"/>
            </w:tcBorders>
            <w:shd w:val="clear" w:color="auto" w:fill="auto"/>
            <w:noWrap/>
            <w:vAlign w:val="bottom"/>
            <w:hideMark/>
          </w:tcPr>
          <w:p w:rsidRPr="0005064C" w:rsidR="00E154BD" w:rsidP="00195155" w:rsidRDefault="00E154BD">
            <w:pPr>
              <w:spacing w:after="0" w:line="23" w:lineRule="atLeast"/>
              <w:jc w:val="center"/>
              <w:rPr>
                <w:b/>
                <w:bCs/>
                <w:sz w:val="16"/>
                <w:szCs w:val="16"/>
              </w:rPr>
            </w:pPr>
            <w:r w:rsidRPr="0005064C">
              <w:rPr>
                <w:b/>
                <w:bCs/>
                <w:sz w:val="16"/>
                <w:szCs w:val="16"/>
              </w:rPr>
              <w:t>3,4</w:t>
            </w:r>
          </w:p>
        </w:tc>
      </w:tr>
    </w:tbl>
    <w:p w:rsidR="00E154BD" w:rsidP="00E154BD" w:rsidRDefault="00E154BD">
      <w:pPr>
        <w:spacing w:after="0" w:line="23" w:lineRule="atLeast"/>
      </w:pPr>
    </w:p>
    <w:p w:rsidR="00E154BD" w:rsidP="00E154BD" w:rsidRDefault="00E154BD">
      <w:pPr>
        <w:spacing w:after="0" w:line="23" w:lineRule="atLeast"/>
      </w:pPr>
    </w:p>
    <w:p w:rsidR="00E154BD" w:rsidP="00E154BD" w:rsidRDefault="00E154BD">
      <w:pPr>
        <w:spacing w:after="0" w:line="23" w:lineRule="atLeast"/>
      </w:pPr>
      <w:r>
        <w:t xml:space="preserve">De beleidsmatige lastenontwikkeling in de periode 2018 tot en met 2021 wordt bepaald door het basispad en het effect van het Regeerakkoord. Het effect van het basispad bestaat in de eerste plaats uit maatregelen van vorige kabinetten zoals de afbouw van de overdraagbaarheid van de algemene heffingskorting en extra </w:t>
      </w:r>
      <w:proofErr w:type="spellStart"/>
      <w:r>
        <w:t>premieinkomsten</w:t>
      </w:r>
      <w:proofErr w:type="spellEnd"/>
      <w:r>
        <w:t xml:space="preserve"> als gevolg van het verhogen van de </w:t>
      </w:r>
      <w:proofErr w:type="spellStart"/>
      <w:r>
        <w:t>AOW-leeftijd</w:t>
      </w:r>
      <w:proofErr w:type="spellEnd"/>
      <w:r>
        <w:t xml:space="preserve">. Een tweede belangrijke reden voor de lastenverzwaring in het basispad is dat de zorgpremies stijgen door de stijgende zorgkosten (de premies zijn immers lastendekkend). Een derde bron van lastenverzwaring uit het basispad betreft technische correcties van het inkomstenkader waar geen daadwerkelijke maatregel </w:t>
      </w:r>
      <w:proofErr w:type="spellStart"/>
      <w:r>
        <w:t>cq</w:t>
      </w:r>
      <w:proofErr w:type="spellEnd"/>
      <w:r>
        <w:t xml:space="preserve"> lastenverzwaring mee gemoeid is. Het betreft het boeken van de LIV/LKV onder het uitgavenplafond en de compensatie van gemeentes en sportverenigingen voor hogere btw opbrengsten als gevolg van een gerechtelijke uitspraak.</w:t>
      </w:r>
    </w:p>
    <w:p w:rsidR="00E154BD" w:rsidP="00E154BD" w:rsidRDefault="00E154BD">
      <w:pPr>
        <w:spacing w:after="0" w:line="23" w:lineRule="atLeast"/>
      </w:pPr>
    </w:p>
    <w:p w:rsidR="00E154BD" w:rsidP="00E154BD" w:rsidRDefault="00E154BD">
      <w:pPr>
        <w:spacing w:after="0" w:line="23" w:lineRule="atLeast"/>
      </w:pPr>
      <w:r>
        <w:t xml:space="preserve">De maatregelen van het Regeerakkoord zoals geboekt in het inkomstenkader leiden tot een lastenverlichting van 6,5 mld. Het verschil met het bedrag in het Regeerakkoord komt onder andere door het omzetten van de bedragen in het Regeerakkoord van prijzen 2017 naar constante prijzen in het jaar van invoering, temporisering van de wet Hillen naar 30 jaar in plaats van 20 jaar en het niet meenemen van anticipatie-effecten bij het afschaffen van de dividendbelasting en het verhogen van het box 2-tarief. Tot slot is er een verschil tussen de bedragen in het RA en de bedragen in het inkomstenkader als gevolg van de macro-economische doorwerking die in het lastenkader wel is meegenomen. </w:t>
      </w:r>
    </w:p>
    <w:p w:rsidR="00E154BD" w:rsidP="00E154BD" w:rsidRDefault="00E154BD">
      <w:pPr>
        <w:spacing w:after="0" w:line="23" w:lineRule="atLeast"/>
      </w:pPr>
    </w:p>
    <w:p w:rsidR="00E154BD" w:rsidP="00E154BD" w:rsidRDefault="00E154BD">
      <w:pPr>
        <w:spacing w:after="0" w:line="23" w:lineRule="atLeast"/>
      </w:pPr>
      <w:r>
        <w:t xml:space="preserve">Uiteindelijk leidt dat tot een lastenverzwaring van 3,4 </w:t>
      </w:r>
      <w:proofErr w:type="spellStart"/>
      <w:r>
        <w:t>mld</w:t>
      </w:r>
      <w:proofErr w:type="spellEnd"/>
      <w:r>
        <w:t xml:space="preserve"> in 2021. Het Regeerakkoord zorgt dus voor een lastenverlichting bovenop het basispad. </w:t>
      </w:r>
    </w:p>
    <w:p w:rsidR="00E154BD" w:rsidP="00E154BD" w:rsidRDefault="00E154BD">
      <w:pPr>
        <w:spacing w:after="0" w:line="23" w:lineRule="atLeast"/>
      </w:pPr>
    </w:p>
    <w:p w:rsidRPr="00195155" w:rsidR="00195155" w:rsidP="00E154BD" w:rsidRDefault="00195155">
      <w:pPr>
        <w:spacing w:after="0" w:line="23" w:lineRule="atLeast"/>
        <w:rPr>
          <w:b/>
        </w:rPr>
      </w:pPr>
      <w:r w:rsidRPr="00195155">
        <w:rPr>
          <w:b/>
        </w:rPr>
        <w:t>Compensatie zorgpremies</w:t>
      </w:r>
    </w:p>
    <w:p w:rsidR="00195155" w:rsidP="00195155" w:rsidRDefault="00195155">
      <w:pPr>
        <w:spacing w:after="0" w:line="240" w:lineRule="auto"/>
      </w:pPr>
      <w:r w:rsidRPr="00195155">
        <w:t xml:space="preserve">Zowel </w:t>
      </w:r>
      <w:r w:rsidR="006E6A22">
        <w:t xml:space="preserve">de fractie van </w:t>
      </w:r>
      <w:r>
        <w:t xml:space="preserve">GroenLinks </w:t>
      </w:r>
      <w:r w:rsidRPr="00195155">
        <w:t xml:space="preserve">als </w:t>
      </w:r>
      <w:r w:rsidR="006E6A22">
        <w:t xml:space="preserve">de fractie van </w:t>
      </w:r>
      <w:r>
        <w:t xml:space="preserve">D66 </w:t>
      </w:r>
      <w:proofErr w:type="gramStart"/>
      <w:r w:rsidRPr="00195155">
        <w:t>hebben</w:t>
      </w:r>
      <w:proofErr w:type="gramEnd"/>
      <w:r w:rsidRPr="00195155">
        <w:t xml:space="preserve"> gevraagd waarom lagere zorgpremies </w:t>
      </w:r>
      <w:r>
        <w:t>als gevolg van het</w:t>
      </w:r>
      <w:r w:rsidRPr="00195155">
        <w:t xml:space="preserve"> beperken van zorguitgaven </w:t>
      </w:r>
      <w:r w:rsidR="00763838">
        <w:t>door middel van maatregelen zoals het afsluiten van Hoofdlijnenakkoorden</w:t>
      </w:r>
      <w:r w:rsidRPr="00195155">
        <w:t xml:space="preserve"> worden gecompenseerd met hogere belastingen.</w:t>
      </w:r>
    </w:p>
    <w:p w:rsidR="00195155" w:rsidP="00195155" w:rsidRDefault="00195155">
      <w:pPr>
        <w:spacing w:after="0" w:line="240" w:lineRule="auto"/>
      </w:pPr>
    </w:p>
    <w:p w:rsidRPr="00195155" w:rsidR="00195155" w:rsidP="00195155" w:rsidRDefault="00195155">
      <w:pPr>
        <w:spacing w:after="0" w:line="240" w:lineRule="auto"/>
      </w:pPr>
      <w:r w:rsidRPr="00195155">
        <w:t xml:space="preserve">De </w:t>
      </w:r>
      <w:proofErr w:type="spellStart"/>
      <w:r w:rsidRPr="00195155">
        <w:t>Zvw</w:t>
      </w:r>
      <w:proofErr w:type="spellEnd"/>
      <w:r w:rsidRPr="00195155">
        <w:t xml:space="preserve">, dat wil zeggen de </w:t>
      </w:r>
      <w:proofErr w:type="spellStart"/>
      <w:r w:rsidRPr="00195155">
        <w:rPr>
          <w:i/>
        </w:rPr>
        <w:t>cure</w:t>
      </w:r>
      <w:proofErr w:type="spellEnd"/>
      <w:r w:rsidRPr="00195155">
        <w:t xml:space="preserve"> wordt lastendekkend gefinancierd. Enerzijds door </w:t>
      </w:r>
      <w:r w:rsidR="00763838">
        <w:t xml:space="preserve">de </w:t>
      </w:r>
      <w:r w:rsidRPr="00195155">
        <w:t xml:space="preserve">nominale premies die burgers maandelijks betalen aan hun zorgverzekeraar, anderzijds door de inkomensafhankelijke bijdrage </w:t>
      </w:r>
      <w:r>
        <w:t>(</w:t>
      </w:r>
      <w:proofErr w:type="spellStart"/>
      <w:r>
        <w:t>iab</w:t>
      </w:r>
      <w:proofErr w:type="spellEnd"/>
      <w:r>
        <w:t xml:space="preserve">) </w:t>
      </w:r>
      <w:r w:rsidRPr="00195155">
        <w:t>die voornamelijk wordt betaald door werkgevers</w:t>
      </w:r>
      <w:r>
        <w:rPr>
          <w:rStyle w:val="Voetnootmarkering"/>
        </w:rPr>
        <w:footnoteReference w:id="2"/>
      </w:r>
      <w:r w:rsidRPr="00195155">
        <w:t xml:space="preserve">. Mensen zonder werkgever betalen de </w:t>
      </w:r>
      <w:proofErr w:type="spellStart"/>
      <w:r w:rsidRPr="00195155">
        <w:t>iab</w:t>
      </w:r>
      <w:proofErr w:type="spellEnd"/>
      <w:r w:rsidRPr="00195155">
        <w:t xml:space="preserve"> zelf uit hun netto loon.</w:t>
      </w:r>
      <w:r>
        <w:t xml:space="preserve"> Er bestaat een 50-50 verdeling tussen nominale premie en </w:t>
      </w:r>
      <w:proofErr w:type="spellStart"/>
      <w:r>
        <w:t>iab</w:t>
      </w:r>
      <w:proofErr w:type="spellEnd"/>
      <w:r>
        <w:t xml:space="preserve"> die wettelijk is vastgelegd. </w:t>
      </w:r>
      <w:r w:rsidRPr="00195155">
        <w:t xml:space="preserve">Deze lastendekkende premies zorgen ervoor dat maatregelen in de </w:t>
      </w:r>
      <w:proofErr w:type="spellStart"/>
      <w:r w:rsidRPr="00195155">
        <w:t>cure</w:t>
      </w:r>
      <w:proofErr w:type="spellEnd"/>
      <w:r w:rsidRPr="00195155">
        <w:t xml:space="preserve"> zoals zorgakkoorden zich één op één doorvertalen in lagere premies</w:t>
      </w:r>
      <w:r>
        <w:t>.</w:t>
      </w:r>
      <w:r w:rsidRPr="00195155">
        <w:t xml:space="preserve"> Zowel de lagere zorguitgaven als de lagere zorgpremies zijn relevant voor het EMU-saldo. Dat betekent dat zowel de uitgaven als de inkomsten van de overheid dalen zodat er per saldo geen effect op het EMU-saldo optreedt.</w:t>
      </w:r>
      <w:r>
        <w:t xml:space="preserve"> </w:t>
      </w:r>
      <w:r w:rsidRPr="00195155">
        <w:t xml:space="preserve">Om de maatregelen in de </w:t>
      </w:r>
      <w:proofErr w:type="spellStart"/>
      <w:r w:rsidRPr="00195155">
        <w:t>cure</w:t>
      </w:r>
      <w:proofErr w:type="spellEnd"/>
      <w:r w:rsidRPr="00195155">
        <w:t xml:space="preserve"> toch te laten leiden tot ruimte binnen het EMU-saldo moet de lastenverlichting als gevolg van lagere zorgpremies gecompenseerd worden. In het </w:t>
      </w:r>
      <w:r w:rsidR="00967D2A">
        <w:t>Regeerakkoord</w:t>
      </w:r>
      <w:r w:rsidRPr="00195155">
        <w:t xml:space="preserve"> is deze compenserende lastenverzwaring zo lastenneutraal vormgegeven door het basistarief in het nieuwe </w:t>
      </w:r>
      <w:proofErr w:type="spellStart"/>
      <w:r w:rsidRPr="00195155">
        <w:t>tweeschijvenstelsel</w:t>
      </w:r>
      <w:proofErr w:type="spellEnd"/>
      <w:r w:rsidRPr="00195155">
        <w:t xml:space="preserve"> en de </w:t>
      </w:r>
      <w:proofErr w:type="spellStart"/>
      <w:r w:rsidRPr="00195155">
        <w:t>aof-premie</w:t>
      </w:r>
      <w:proofErr w:type="spellEnd"/>
      <w:r w:rsidRPr="00195155">
        <w:t xml:space="preserve"> te verhogen. </w:t>
      </w:r>
    </w:p>
    <w:p w:rsidRPr="00195155" w:rsidR="00195155" w:rsidP="00195155" w:rsidRDefault="00195155">
      <w:pPr>
        <w:spacing w:after="0" w:line="240" w:lineRule="auto"/>
      </w:pPr>
    </w:p>
    <w:p w:rsidRPr="00195155" w:rsidR="00195155" w:rsidP="00195155" w:rsidRDefault="00195155">
      <w:pPr>
        <w:spacing w:after="0" w:line="240" w:lineRule="auto"/>
      </w:pPr>
      <w:r w:rsidRPr="00195155">
        <w:t xml:space="preserve">Daarnaast heeft dhr Snels gevraagd waarom de lagere zorgpremies </w:t>
      </w:r>
      <w:r w:rsidR="00967D2A">
        <w:t xml:space="preserve">als gevolg van </w:t>
      </w:r>
      <w:r w:rsidRPr="00195155">
        <w:t xml:space="preserve">maatregelen in het </w:t>
      </w:r>
      <w:r w:rsidR="00967D2A">
        <w:t>Regeerakkoord</w:t>
      </w:r>
      <w:r w:rsidRPr="00195155">
        <w:t xml:space="preserve"> leiden tot een lastenverlichting van 0,9 </w:t>
      </w:r>
      <w:proofErr w:type="spellStart"/>
      <w:r w:rsidRPr="00195155">
        <w:t>mld</w:t>
      </w:r>
      <w:proofErr w:type="spellEnd"/>
      <w:r w:rsidRPr="00195155">
        <w:t xml:space="preserve"> </w:t>
      </w:r>
      <w:r w:rsidR="00967D2A">
        <w:t xml:space="preserve">euro </w:t>
      </w:r>
      <w:r w:rsidRPr="00195155">
        <w:t xml:space="preserve">en de compenserende lastenverzwaring 1,7 </w:t>
      </w:r>
      <w:proofErr w:type="spellStart"/>
      <w:r w:rsidRPr="00195155">
        <w:t>mld</w:t>
      </w:r>
      <w:proofErr w:type="spellEnd"/>
      <w:r w:rsidRPr="00195155">
        <w:t xml:space="preserve"> </w:t>
      </w:r>
      <w:r w:rsidR="00967D2A">
        <w:t xml:space="preserve">euro </w:t>
      </w:r>
      <w:r w:rsidRPr="00195155">
        <w:t>bedraagt?</w:t>
      </w:r>
    </w:p>
    <w:p w:rsidRPr="00195155" w:rsidR="00195155" w:rsidP="00195155" w:rsidRDefault="00195155">
      <w:pPr>
        <w:spacing w:after="0" w:line="240" w:lineRule="auto"/>
      </w:pPr>
    </w:p>
    <w:p w:rsidRPr="00967D2A" w:rsidR="00195155" w:rsidP="00967D2A" w:rsidRDefault="00195155">
      <w:pPr>
        <w:spacing w:after="0" w:line="240" w:lineRule="auto"/>
      </w:pPr>
      <w:r w:rsidRPr="00195155">
        <w:t xml:space="preserve">De compenserende lastenverzwaring van 1,7 </w:t>
      </w:r>
      <w:proofErr w:type="spellStart"/>
      <w:r w:rsidRPr="00195155">
        <w:t>mld</w:t>
      </w:r>
      <w:proofErr w:type="spellEnd"/>
      <w:r w:rsidRPr="00195155">
        <w:t xml:space="preserve"> </w:t>
      </w:r>
      <w:r w:rsidR="00967D2A">
        <w:t xml:space="preserve">euro </w:t>
      </w:r>
      <w:r w:rsidRPr="00195155">
        <w:t xml:space="preserve">bestaat </w:t>
      </w:r>
      <w:r w:rsidR="00967D2A">
        <w:t xml:space="preserve">voor </w:t>
      </w:r>
      <w:r w:rsidRPr="00195155">
        <w:t xml:space="preserve">0,8 </w:t>
      </w:r>
      <w:proofErr w:type="spellStart"/>
      <w:r w:rsidRPr="00195155">
        <w:t>mld</w:t>
      </w:r>
      <w:proofErr w:type="spellEnd"/>
      <w:r w:rsidRPr="00195155">
        <w:t xml:space="preserve"> </w:t>
      </w:r>
      <w:r w:rsidR="00967D2A">
        <w:t xml:space="preserve">euro uit een </w:t>
      </w:r>
      <w:r w:rsidRPr="00195155">
        <w:t xml:space="preserve">verhoging </w:t>
      </w:r>
      <w:r w:rsidR="00967D2A">
        <w:t xml:space="preserve">van </w:t>
      </w:r>
      <w:r w:rsidRPr="00195155">
        <w:t xml:space="preserve">tarief eerste schijf in de IB, 0,8 </w:t>
      </w:r>
      <w:proofErr w:type="spellStart"/>
      <w:r w:rsidRPr="00195155">
        <w:t>mld</w:t>
      </w:r>
      <w:proofErr w:type="spellEnd"/>
      <w:r w:rsidRPr="00195155">
        <w:t xml:space="preserve"> </w:t>
      </w:r>
      <w:r w:rsidR="00967D2A">
        <w:t xml:space="preserve">euro </w:t>
      </w:r>
      <w:r w:rsidRPr="00195155">
        <w:t xml:space="preserve">verhoging </w:t>
      </w:r>
      <w:r w:rsidR="00967D2A">
        <w:t xml:space="preserve">van de </w:t>
      </w:r>
      <w:proofErr w:type="spellStart"/>
      <w:r w:rsidR="00967D2A">
        <w:t>aof</w:t>
      </w:r>
      <w:r w:rsidRPr="00195155">
        <w:t>-premie</w:t>
      </w:r>
      <w:proofErr w:type="spellEnd"/>
      <w:r w:rsidRPr="00195155">
        <w:t xml:space="preserve"> en 0,1 </w:t>
      </w:r>
      <w:proofErr w:type="spellStart"/>
      <w:r w:rsidRPr="00195155">
        <w:t>mld</w:t>
      </w:r>
      <w:proofErr w:type="spellEnd"/>
      <w:r w:rsidRPr="00195155">
        <w:t xml:space="preserve"> </w:t>
      </w:r>
      <w:r w:rsidR="00967D2A">
        <w:t xml:space="preserve">euro </w:t>
      </w:r>
      <w:r w:rsidRPr="00195155">
        <w:t xml:space="preserve">lagere zorgtoeslag. Het verschil met de lastenverlichting </w:t>
      </w:r>
      <w:r w:rsidR="00967D2A">
        <w:t xml:space="preserve">als gevolg van lagere zorgpremies </w:t>
      </w:r>
      <w:r w:rsidRPr="00195155">
        <w:t xml:space="preserve">van 0,9 </w:t>
      </w:r>
      <w:proofErr w:type="spellStart"/>
      <w:r w:rsidRPr="00195155">
        <w:t>mld</w:t>
      </w:r>
      <w:proofErr w:type="spellEnd"/>
      <w:r w:rsidRPr="00195155">
        <w:t xml:space="preserve"> </w:t>
      </w:r>
      <w:r w:rsidR="00967D2A">
        <w:t xml:space="preserve">euro </w:t>
      </w:r>
      <w:r w:rsidRPr="00195155">
        <w:t xml:space="preserve">komt vooral doordat er in het </w:t>
      </w:r>
      <w:r w:rsidR="00967D2A">
        <w:t>Regeerakkoord</w:t>
      </w:r>
      <w:r w:rsidRPr="00195155">
        <w:t xml:space="preserve"> </w:t>
      </w:r>
      <w:r w:rsidR="00967D2A">
        <w:t xml:space="preserve">voor </w:t>
      </w:r>
      <w:r w:rsidRPr="00195155">
        <w:t>is gekozen om de hogere zorgpremies a</w:t>
      </w:r>
      <w:r w:rsidR="00967D2A">
        <w:t xml:space="preserve">ls gevolg van </w:t>
      </w:r>
      <w:r w:rsidRPr="00195155">
        <w:t xml:space="preserve">het bevriezen van het eigen risico niet te compenseren via lagere lasten </w:t>
      </w:r>
      <w:proofErr w:type="gramStart"/>
      <w:r w:rsidRPr="00195155">
        <w:t>elders</w:t>
      </w:r>
      <w:proofErr w:type="gramEnd"/>
      <w:r w:rsidRPr="00195155">
        <w:t>.</w:t>
      </w:r>
      <w:r w:rsidR="00967D2A">
        <w:t xml:space="preserve"> </w:t>
      </w:r>
      <w:r w:rsidRPr="00195155">
        <w:t xml:space="preserve">Bovendien zorgt de macro economische doorwerking van het </w:t>
      </w:r>
      <w:r w:rsidR="00967D2A">
        <w:t>Regeerakkoord</w:t>
      </w:r>
      <w:r w:rsidRPr="00195155" w:rsidR="00967D2A">
        <w:t xml:space="preserve"> </w:t>
      </w:r>
      <w:r w:rsidRPr="00195155">
        <w:t xml:space="preserve">tot hogere lonen en prijzen en dus hogere zorguitgaven en zorgpremies. Hierdoor valt de lastenverlichting </w:t>
      </w:r>
      <w:r w:rsidR="00967D2A">
        <w:t>als gevolg van</w:t>
      </w:r>
      <w:r w:rsidRPr="00195155">
        <w:t xml:space="preserve"> lagere zorgpremies dus lager uit dan de </w:t>
      </w:r>
      <w:r w:rsidR="00967D2A">
        <w:t>compenserende lastenverzwaring.</w:t>
      </w:r>
    </w:p>
    <w:p w:rsidR="0074182F" w:rsidP="00137358" w:rsidRDefault="0074182F">
      <w:pPr>
        <w:spacing w:after="0" w:line="23" w:lineRule="atLeast"/>
        <w:rPr>
          <w:b/>
        </w:rPr>
      </w:pPr>
    </w:p>
    <w:p w:rsidR="0074182F" w:rsidP="00137358" w:rsidRDefault="0074182F">
      <w:pPr>
        <w:spacing w:after="0" w:line="23" w:lineRule="atLeast"/>
        <w:rPr>
          <w:b/>
        </w:rPr>
      </w:pPr>
    </w:p>
    <w:p w:rsidR="0074182F" w:rsidP="00137358" w:rsidRDefault="0074182F">
      <w:pPr>
        <w:spacing w:after="0" w:line="23" w:lineRule="atLeast"/>
        <w:rPr>
          <w:b/>
        </w:rPr>
      </w:pPr>
    </w:p>
    <w:p w:rsidR="0074182F" w:rsidP="00137358" w:rsidRDefault="0074182F">
      <w:pPr>
        <w:spacing w:after="0" w:line="23" w:lineRule="atLeast"/>
        <w:rPr>
          <w:b/>
        </w:rPr>
      </w:pPr>
    </w:p>
    <w:p w:rsidR="00967D2A" w:rsidP="00137358" w:rsidRDefault="00967D2A">
      <w:pPr>
        <w:spacing w:after="0" w:line="23" w:lineRule="atLeast"/>
        <w:rPr>
          <w:b/>
        </w:rPr>
      </w:pPr>
      <w:r>
        <w:rPr>
          <w:b/>
        </w:rPr>
        <w:t>Ontwikkeling werkloosheid</w:t>
      </w:r>
    </w:p>
    <w:p w:rsidRPr="00967D2A" w:rsidR="00967D2A" w:rsidP="00967D2A" w:rsidRDefault="006E6A22">
      <w:pPr>
        <w:spacing w:after="0" w:line="23" w:lineRule="atLeast"/>
      </w:pPr>
      <w:r>
        <w:t xml:space="preserve">De fractie van de </w:t>
      </w:r>
      <w:r w:rsidR="00967D2A">
        <w:t>PVV vraagt h</w:t>
      </w:r>
      <w:r w:rsidRPr="00967D2A" w:rsidR="00967D2A">
        <w:t xml:space="preserve">oe </w:t>
      </w:r>
      <w:r w:rsidR="006B0B0E">
        <w:t xml:space="preserve">het </w:t>
      </w:r>
      <w:r w:rsidRPr="00967D2A" w:rsidR="00967D2A">
        <w:t xml:space="preserve">kan dat de werkloosheid aan het eind van de kabinetsperiode weer oploopt? Het klopt dat de werkloosheid in de nieuwe </w:t>
      </w:r>
      <w:proofErr w:type="spellStart"/>
      <w:r w:rsidRPr="00967D2A" w:rsidR="00967D2A">
        <w:t>CPB-raming</w:t>
      </w:r>
      <w:proofErr w:type="spellEnd"/>
      <w:r w:rsidRPr="00967D2A" w:rsidR="00967D2A">
        <w:t xml:space="preserve"> inderdaad licht oploopt tussen 2019 en 2021.</w:t>
      </w:r>
      <w:r w:rsidR="00967D2A">
        <w:t xml:space="preserve"> </w:t>
      </w:r>
      <w:r w:rsidRPr="00967D2A" w:rsidR="00967D2A">
        <w:t xml:space="preserve">Dit hangt samen met het feit dat de economie in het </w:t>
      </w:r>
      <w:proofErr w:type="spellStart"/>
      <w:r w:rsidRPr="00967D2A" w:rsidR="00967D2A">
        <w:t>CPB-model</w:t>
      </w:r>
      <w:proofErr w:type="spellEnd"/>
      <w:r w:rsidRPr="00967D2A" w:rsidR="00967D2A">
        <w:t xml:space="preserve"> gestaag terugkeert richting evenwicht, terwijl de lonen en het arbeidsaanbod blijven groeien. Dat leidt tot een iets hogere werkloosheid. Het aantal werkenden (de werkzame beroepsbevolking) blijft wel groeien.</w:t>
      </w:r>
      <w:r w:rsidR="00967D2A">
        <w:t xml:space="preserve"> </w:t>
      </w:r>
      <w:r w:rsidRPr="00967D2A" w:rsidR="00967D2A">
        <w:t>Uit de doorrekening van het RA blijkt dat de werkloosheid in 2021 uitkomt op 4,1%, terwijl het zonder het RA 4,6% zou zijn. Het RA leidt dus in 2021 wel tot een lagere werkloosheid.</w:t>
      </w:r>
    </w:p>
    <w:p w:rsidRPr="00967D2A" w:rsidR="00967D2A" w:rsidP="00137358" w:rsidRDefault="00967D2A">
      <w:pPr>
        <w:spacing w:after="0" w:line="23" w:lineRule="atLeast"/>
        <w:rPr>
          <w:b/>
        </w:rPr>
      </w:pPr>
    </w:p>
    <w:p w:rsidRPr="007C7BD9" w:rsidR="00137358" w:rsidP="00967D2A" w:rsidRDefault="00137358">
      <w:pPr>
        <w:spacing w:after="0" w:line="240" w:lineRule="auto"/>
        <w:rPr>
          <w:b/>
        </w:rPr>
      </w:pPr>
      <w:r w:rsidRPr="007C7BD9">
        <w:rPr>
          <w:b/>
        </w:rPr>
        <w:t>Effecten verhogen box 2</w:t>
      </w:r>
      <w:r>
        <w:rPr>
          <w:b/>
        </w:rPr>
        <w:t>-</w:t>
      </w:r>
      <w:r w:rsidRPr="007C7BD9">
        <w:rPr>
          <w:b/>
        </w:rPr>
        <w:t>tarief</w:t>
      </w:r>
    </w:p>
    <w:p w:rsidR="00B872DC" w:rsidP="00B872DC" w:rsidRDefault="00763838">
      <w:pPr>
        <w:spacing w:after="0" w:line="23" w:lineRule="atLeast"/>
      </w:pPr>
      <w:r>
        <w:t>De fractie van</w:t>
      </w:r>
      <w:r w:rsidR="00B872DC">
        <w:t xml:space="preserve"> Forum voor Democratie heeft gevraagd of de 3,3 </w:t>
      </w:r>
      <w:proofErr w:type="spellStart"/>
      <w:r w:rsidR="00B872DC">
        <w:t>mld</w:t>
      </w:r>
      <w:proofErr w:type="spellEnd"/>
      <w:r w:rsidR="00B872DC">
        <w:t xml:space="preserve"> euro in tabel 4 van de startnota onder het kopje overige lasten in 2019 ook extra belastingopbrengsten in verband met de verhoging van het box 2-tarief bevat. </w:t>
      </w:r>
    </w:p>
    <w:p w:rsidRPr="007C7BD9" w:rsidR="00137358" w:rsidP="00137358" w:rsidRDefault="00137358">
      <w:pPr>
        <w:spacing w:after="0" w:line="23" w:lineRule="atLeast"/>
      </w:pPr>
    </w:p>
    <w:p w:rsidRPr="007C7BD9" w:rsidR="00137358" w:rsidP="00137358" w:rsidRDefault="00137358">
      <w:pPr>
        <w:spacing w:after="0" w:line="23" w:lineRule="atLeast"/>
      </w:pPr>
      <w:r w:rsidRPr="007C7BD9">
        <w:t xml:space="preserve">De lastenverzwaring van 3,3 </w:t>
      </w:r>
      <w:proofErr w:type="spellStart"/>
      <w:r w:rsidRPr="007C7BD9">
        <w:t>mld</w:t>
      </w:r>
      <w:proofErr w:type="spellEnd"/>
      <w:r w:rsidRPr="007C7BD9">
        <w:t xml:space="preserve"> euro in 2019 betreft vooral de verhoging van het lage btw-tarief en het beperken van de 30%-regeling. De aanpassing van het box 2</w:t>
      </w:r>
      <w:r>
        <w:t>-</w:t>
      </w:r>
      <w:r w:rsidRPr="007C7BD9">
        <w:t xml:space="preserve">tarief zit in het ‘bedrijfslevenpakket’ en leidt in 2019 tot extra belastingopbrengsten van 1,4 </w:t>
      </w:r>
      <w:proofErr w:type="spellStart"/>
      <w:r w:rsidRPr="007C7BD9">
        <w:t>mld</w:t>
      </w:r>
      <w:proofErr w:type="spellEnd"/>
      <w:r w:rsidRPr="007C7BD9">
        <w:t xml:space="preserve"> omdat </w:t>
      </w:r>
      <w:proofErr w:type="spellStart"/>
      <w:r w:rsidRPr="007C7BD9">
        <w:t>DGA’s</w:t>
      </w:r>
      <w:proofErr w:type="spellEnd"/>
      <w:r w:rsidRPr="007C7BD9">
        <w:t xml:space="preserve"> naar verwachting extra dividend uitkeren als anticipatie op de tariefsverhoging in 2020. De maatregel leidt tot een structurele lastenverzwaring van 0,4 mld. Dit tijdelijke anticipatie-effect van 1,4 </w:t>
      </w:r>
      <w:proofErr w:type="spellStart"/>
      <w:r w:rsidRPr="007C7BD9">
        <w:t>mld</w:t>
      </w:r>
      <w:proofErr w:type="spellEnd"/>
      <w:r w:rsidRPr="007C7BD9">
        <w:t xml:space="preserve"> euro wordt overigens niet geboekt in het inkomstenkader en is dus ook niet zichtbaar in tabel 4 van de startnota.</w:t>
      </w:r>
    </w:p>
    <w:p w:rsidRPr="007C7BD9" w:rsidR="00137358" w:rsidP="00137358" w:rsidRDefault="00137358">
      <w:pPr>
        <w:spacing w:after="0" w:line="23" w:lineRule="atLeast"/>
      </w:pPr>
    </w:p>
    <w:p w:rsidRPr="007C7BD9" w:rsidR="00137358" w:rsidP="00137358" w:rsidRDefault="00137358">
      <w:pPr>
        <w:spacing w:after="0" w:line="23" w:lineRule="atLeast"/>
      </w:pPr>
      <w:r w:rsidRPr="00137358">
        <w:t>De reden</w:t>
      </w:r>
      <w:r w:rsidRPr="007C7BD9">
        <w:t xml:space="preserve"> van het aanpassen van het box 2-tarief (in 2020 naar 27,3% en vanaf 2021 naar 28,5%) is het zoveel mogelijk gelijk houden van het globaal evenwicht in belastingdruk tussen de </w:t>
      </w:r>
      <w:proofErr w:type="spellStart"/>
      <w:r w:rsidRPr="007C7BD9">
        <w:t>IB-ondernemer</w:t>
      </w:r>
      <w:proofErr w:type="spellEnd"/>
      <w:r w:rsidRPr="007C7BD9">
        <w:t xml:space="preserve"> en de DGA</w:t>
      </w:r>
      <w:r>
        <w:t xml:space="preserve"> om een aanzuigende werking naar de BV te voorkomen</w:t>
      </w:r>
      <w:r w:rsidRPr="007C7BD9">
        <w:t xml:space="preserve">. </w:t>
      </w:r>
      <w:r>
        <w:t>D</w:t>
      </w:r>
      <w:r w:rsidRPr="007C7BD9">
        <w:t xml:space="preserve">oor het verlagen van het </w:t>
      </w:r>
      <w:proofErr w:type="spellStart"/>
      <w:r w:rsidRPr="007C7BD9">
        <w:t>Vpb-tarief</w:t>
      </w:r>
      <w:proofErr w:type="spellEnd"/>
      <w:r>
        <w:rPr>
          <w:rStyle w:val="Voetnootmarkering"/>
        </w:rPr>
        <w:footnoteReference w:id="3"/>
      </w:r>
      <w:r>
        <w:t xml:space="preserve"> wordt de belastingdruk van de DGA verlaagd</w:t>
      </w:r>
      <w:r w:rsidRPr="007C7BD9">
        <w:t xml:space="preserve">. De verhoging van het box 2-tarief compenseert zo nauwkeurig mogelijk deze verlaging van het </w:t>
      </w:r>
      <w:proofErr w:type="spellStart"/>
      <w:r w:rsidRPr="007C7BD9">
        <w:t>Vpb-tarief</w:t>
      </w:r>
      <w:proofErr w:type="spellEnd"/>
      <w:r>
        <w:t>. In onderstaande tabel is weergegeven wat het resulterende effectieve tarief is in de verschillende situaties. Ook is weergegeven wat het effectieve tarief zou zijn zonder correctie van het box 2-tarief.</w:t>
      </w:r>
    </w:p>
    <w:p w:rsidR="00137358" w:rsidP="00137358" w:rsidRDefault="00137358">
      <w:pPr>
        <w:spacing w:after="0" w:line="23" w:lineRule="atLeast"/>
      </w:pPr>
    </w:p>
    <w:p w:rsidRPr="00137358" w:rsidR="00137358" w:rsidP="00137358" w:rsidRDefault="00137358">
      <w:pPr>
        <w:spacing w:after="0" w:line="23" w:lineRule="atLeast"/>
        <w:rPr>
          <w:i/>
        </w:rPr>
      </w:pPr>
      <w:r w:rsidRPr="00137358">
        <w:rPr>
          <w:i/>
        </w:rPr>
        <w:t>Tabel 3</w:t>
      </w:r>
      <w:r w:rsidR="0074182F">
        <w:rPr>
          <w:i/>
        </w:rPr>
        <w:t>:</w:t>
      </w:r>
      <w:r w:rsidRPr="00137358">
        <w:rPr>
          <w:i/>
        </w:rPr>
        <w:t xml:space="preserve"> Vergelijking effectief toptarief voor verschillende situaties</w:t>
      </w:r>
    </w:p>
    <w:tbl>
      <w:tblPr>
        <w:tblW w:w="0" w:type="auto"/>
        <w:tblLayout w:type="fixed"/>
        <w:tblCellMar>
          <w:left w:w="0" w:type="dxa"/>
          <w:right w:w="0" w:type="dxa"/>
        </w:tblCellMar>
        <w:tblLook w:val="04A0"/>
      </w:tblPr>
      <w:tblGrid>
        <w:gridCol w:w="1933"/>
        <w:gridCol w:w="1114"/>
        <w:gridCol w:w="1134"/>
        <w:gridCol w:w="1559"/>
        <w:gridCol w:w="1670"/>
        <w:gridCol w:w="1517"/>
      </w:tblGrid>
      <w:tr w:rsidRPr="005E32AA" w:rsidR="00137358" w:rsidTr="00195155">
        <w:trPr>
          <w:trHeight w:val="300"/>
        </w:trPr>
        <w:tc>
          <w:tcPr>
            <w:tcW w:w="1933"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 </w:t>
            </w:r>
          </w:p>
        </w:tc>
        <w:tc>
          <w:tcPr>
            <w:tcW w:w="1114"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5E32AA" w:rsidR="00137358" w:rsidP="00195155" w:rsidRDefault="00137358">
            <w:pPr>
              <w:spacing w:after="0"/>
              <w:rPr>
                <w:rFonts w:cs="Arial"/>
                <w:bCs/>
                <w:sz w:val="16"/>
                <w:szCs w:val="16"/>
              </w:rPr>
            </w:pPr>
            <w:r w:rsidRPr="005E32AA">
              <w:rPr>
                <w:rFonts w:cs="Arial"/>
                <w:bCs/>
                <w:sz w:val="16"/>
                <w:szCs w:val="16"/>
              </w:rPr>
              <w:t>Huidig</w:t>
            </w:r>
          </w:p>
        </w:tc>
        <w:tc>
          <w:tcPr>
            <w:tcW w:w="1134"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5E32AA" w:rsidR="00137358" w:rsidP="00195155" w:rsidRDefault="00137358">
            <w:pPr>
              <w:spacing w:after="0"/>
              <w:rPr>
                <w:rFonts w:cs="Arial"/>
                <w:bCs/>
                <w:sz w:val="16"/>
                <w:szCs w:val="16"/>
              </w:rPr>
            </w:pPr>
            <w:r w:rsidRPr="005E32AA">
              <w:rPr>
                <w:rFonts w:cs="Arial"/>
                <w:bCs/>
                <w:sz w:val="16"/>
                <w:szCs w:val="16"/>
              </w:rPr>
              <w:t>2021</w:t>
            </w:r>
          </w:p>
        </w:tc>
        <w:tc>
          <w:tcPr>
            <w:tcW w:w="1559" w:type="dxa"/>
            <w:tcBorders>
              <w:top w:val="single" w:color="auto" w:sz="8" w:space="0"/>
              <w:left w:val="nil"/>
              <w:bottom w:val="single" w:color="auto" w:sz="8" w:space="0"/>
              <w:right w:val="nil"/>
            </w:tcBorders>
            <w:vAlign w:val="bottom"/>
          </w:tcPr>
          <w:p w:rsidRPr="005E32AA" w:rsidR="00137358" w:rsidP="00195155" w:rsidRDefault="00137358">
            <w:pPr>
              <w:spacing w:after="0"/>
              <w:rPr>
                <w:rFonts w:cs="Arial"/>
                <w:bCs/>
                <w:sz w:val="16"/>
                <w:szCs w:val="16"/>
              </w:rPr>
            </w:pPr>
            <w:r w:rsidRPr="005E32AA">
              <w:rPr>
                <w:rFonts w:cs="Arial"/>
                <w:bCs/>
                <w:sz w:val="16"/>
                <w:szCs w:val="16"/>
              </w:rPr>
              <w:t xml:space="preserve">2021 zonder </w:t>
            </w:r>
            <w:proofErr w:type="spellStart"/>
            <w:r w:rsidRPr="005E32AA">
              <w:rPr>
                <w:rFonts w:cs="Arial"/>
                <w:bCs/>
                <w:sz w:val="16"/>
                <w:szCs w:val="16"/>
              </w:rPr>
              <w:t>corr</w:t>
            </w:r>
            <w:proofErr w:type="spellEnd"/>
            <w:r w:rsidRPr="005E32AA">
              <w:rPr>
                <w:rFonts w:cs="Arial"/>
                <w:bCs/>
                <w:sz w:val="16"/>
                <w:szCs w:val="16"/>
              </w:rPr>
              <w:t>.</w:t>
            </w:r>
          </w:p>
        </w:tc>
        <w:tc>
          <w:tcPr>
            <w:tcW w:w="167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5E32AA" w:rsidR="00137358" w:rsidP="00195155" w:rsidRDefault="00137358">
            <w:pPr>
              <w:spacing w:after="0"/>
              <w:rPr>
                <w:rFonts w:cs="Arial"/>
                <w:bCs/>
                <w:sz w:val="16"/>
                <w:szCs w:val="16"/>
              </w:rPr>
            </w:pPr>
            <w:r w:rsidRPr="005E32AA">
              <w:rPr>
                <w:rFonts w:cs="Arial"/>
                <w:bCs/>
                <w:sz w:val="16"/>
                <w:szCs w:val="16"/>
              </w:rPr>
              <w:t>Structureel (2023)</w:t>
            </w:r>
          </w:p>
        </w:tc>
        <w:tc>
          <w:tcPr>
            <w:tcW w:w="1517" w:type="dxa"/>
            <w:tcBorders>
              <w:top w:val="single" w:color="auto" w:sz="8" w:space="0"/>
              <w:left w:val="nil"/>
              <w:bottom w:val="single" w:color="auto" w:sz="8" w:space="0"/>
              <w:right w:val="nil"/>
            </w:tcBorders>
            <w:vAlign w:val="bottom"/>
          </w:tcPr>
          <w:p w:rsidRPr="005E32AA" w:rsidR="00137358" w:rsidP="00195155" w:rsidRDefault="00137358">
            <w:pPr>
              <w:spacing w:after="0"/>
              <w:rPr>
                <w:rFonts w:cs="Arial"/>
                <w:bCs/>
                <w:sz w:val="16"/>
                <w:szCs w:val="16"/>
              </w:rPr>
            </w:pPr>
            <w:proofErr w:type="spellStart"/>
            <w:r w:rsidRPr="005E32AA">
              <w:rPr>
                <w:rFonts w:cs="Arial"/>
                <w:bCs/>
                <w:sz w:val="16"/>
                <w:szCs w:val="16"/>
              </w:rPr>
              <w:t>Struc</w:t>
            </w:r>
            <w:proofErr w:type="spellEnd"/>
            <w:r w:rsidRPr="005E32AA">
              <w:rPr>
                <w:rFonts w:cs="Arial"/>
                <w:bCs/>
                <w:sz w:val="16"/>
                <w:szCs w:val="16"/>
              </w:rPr>
              <w:t xml:space="preserve">. zonder </w:t>
            </w:r>
            <w:proofErr w:type="spellStart"/>
            <w:r w:rsidRPr="005E32AA">
              <w:rPr>
                <w:rFonts w:cs="Arial"/>
                <w:bCs/>
                <w:sz w:val="16"/>
                <w:szCs w:val="16"/>
              </w:rPr>
              <w:t>corr</w:t>
            </w:r>
            <w:proofErr w:type="spellEnd"/>
            <w:r w:rsidRPr="005E32AA">
              <w:rPr>
                <w:rFonts w:cs="Arial"/>
                <w:bCs/>
                <w:sz w:val="16"/>
                <w:szCs w:val="16"/>
              </w:rPr>
              <w:t>.</w:t>
            </w:r>
          </w:p>
        </w:tc>
      </w:tr>
      <w:tr w:rsidRPr="005E32AA" w:rsidR="00137358" w:rsidTr="00195155">
        <w:trPr>
          <w:trHeight w:val="300"/>
        </w:trPr>
        <w:tc>
          <w:tcPr>
            <w:tcW w:w="1933"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Werknemer</w:t>
            </w:r>
          </w:p>
        </w:tc>
        <w:tc>
          <w:tcPr>
            <w:tcW w:w="1114"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52,00%</w:t>
            </w:r>
          </w:p>
        </w:tc>
        <w:tc>
          <w:tcPr>
            <w:tcW w:w="1134"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49,50%</w:t>
            </w:r>
          </w:p>
        </w:tc>
        <w:tc>
          <w:tcPr>
            <w:tcW w:w="1559" w:type="dxa"/>
            <w:vAlign w:val="bottom"/>
          </w:tcPr>
          <w:p w:rsidRPr="005E32AA" w:rsidR="00137358" w:rsidP="00195155" w:rsidRDefault="00137358">
            <w:pPr>
              <w:spacing w:after="0"/>
              <w:rPr>
                <w:rFonts w:cs="Arial"/>
                <w:sz w:val="16"/>
                <w:szCs w:val="16"/>
              </w:rPr>
            </w:pPr>
          </w:p>
        </w:tc>
        <w:tc>
          <w:tcPr>
            <w:tcW w:w="1670"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49,50%</w:t>
            </w:r>
          </w:p>
        </w:tc>
        <w:tc>
          <w:tcPr>
            <w:tcW w:w="1517" w:type="dxa"/>
            <w:vAlign w:val="bottom"/>
          </w:tcPr>
          <w:p w:rsidRPr="005E32AA" w:rsidR="00137358" w:rsidP="00195155" w:rsidRDefault="00137358">
            <w:pPr>
              <w:spacing w:after="0"/>
              <w:rPr>
                <w:rFonts w:cs="Arial"/>
                <w:sz w:val="16"/>
                <w:szCs w:val="16"/>
              </w:rPr>
            </w:pPr>
          </w:p>
        </w:tc>
      </w:tr>
      <w:tr w:rsidRPr="005E32AA" w:rsidR="00137358" w:rsidTr="00195155">
        <w:trPr>
          <w:trHeight w:val="300"/>
        </w:trPr>
        <w:tc>
          <w:tcPr>
            <w:tcW w:w="1933"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proofErr w:type="spellStart"/>
            <w:r w:rsidRPr="005E32AA">
              <w:rPr>
                <w:rFonts w:cs="Arial"/>
                <w:sz w:val="16"/>
                <w:szCs w:val="16"/>
              </w:rPr>
              <w:t>IB-ondernemer</w:t>
            </w:r>
            <w:proofErr w:type="spellEnd"/>
          </w:p>
        </w:tc>
        <w:tc>
          <w:tcPr>
            <w:tcW w:w="1114"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44,72%</w:t>
            </w:r>
          </w:p>
        </w:tc>
        <w:tc>
          <w:tcPr>
            <w:tcW w:w="1134"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43,48%</w:t>
            </w:r>
          </w:p>
        </w:tc>
        <w:tc>
          <w:tcPr>
            <w:tcW w:w="1559" w:type="dxa"/>
            <w:vAlign w:val="bottom"/>
          </w:tcPr>
          <w:p w:rsidRPr="005E32AA" w:rsidR="00137358" w:rsidP="00195155" w:rsidRDefault="00137358">
            <w:pPr>
              <w:spacing w:after="0"/>
              <w:rPr>
                <w:rFonts w:cs="Arial"/>
                <w:sz w:val="16"/>
                <w:szCs w:val="16"/>
              </w:rPr>
            </w:pPr>
          </w:p>
        </w:tc>
        <w:tc>
          <w:tcPr>
            <w:tcW w:w="1670"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44,33%</w:t>
            </w:r>
          </w:p>
        </w:tc>
        <w:tc>
          <w:tcPr>
            <w:tcW w:w="1517" w:type="dxa"/>
            <w:vAlign w:val="bottom"/>
          </w:tcPr>
          <w:p w:rsidRPr="005E32AA" w:rsidR="00137358" w:rsidP="00195155" w:rsidRDefault="00137358">
            <w:pPr>
              <w:spacing w:after="0"/>
              <w:rPr>
                <w:rFonts w:cs="Arial"/>
                <w:sz w:val="16"/>
                <w:szCs w:val="16"/>
              </w:rPr>
            </w:pPr>
          </w:p>
        </w:tc>
      </w:tr>
      <w:tr w:rsidRPr="005E32AA" w:rsidR="00137358" w:rsidTr="00195155">
        <w:trPr>
          <w:trHeight w:val="300"/>
        </w:trPr>
        <w:tc>
          <w:tcPr>
            <w:tcW w:w="1933"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 xml:space="preserve">DGA winst &lt;€200.000 </w:t>
            </w:r>
          </w:p>
        </w:tc>
        <w:tc>
          <w:tcPr>
            <w:tcW w:w="1114"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40,00%</w:t>
            </w:r>
          </w:p>
        </w:tc>
        <w:tc>
          <w:tcPr>
            <w:tcW w:w="1134"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39,94%</w:t>
            </w:r>
          </w:p>
        </w:tc>
        <w:tc>
          <w:tcPr>
            <w:tcW w:w="1559" w:type="dxa"/>
            <w:vAlign w:val="bottom"/>
          </w:tcPr>
          <w:p w:rsidRPr="005E32AA" w:rsidR="00137358" w:rsidP="00195155" w:rsidRDefault="00137358">
            <w:pPr>
              <w:spacing w:after="0"/>
              <w:rPr>
                <w:rFonts w:cs="Arial"/>
                <w:sz w:val="16"/>
                <w:szCs w:val="16"/>
              </w:rPr>
            </w:pPr>
            <w:r w:rsidRPr="005E32AA">
              <w:rPr>
                <w:rFonts w:cs="Arial"/>
                <w:sz w:val="16"/>
                <w:szCs w:val="16"/>
              </w:rPr>
              <w:t>37%</w:t>
            </w:r>
          </w:p>
        </w:tc>
        <w:tc>
          <w:tcPr>
            <w:tcW w:w="1670" w:type="dxa"/>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39,94%</w:t>
            </w:r>
          </w:p>
        </w:tc>
        <w:tc>
          <w:tcPr>
            <w:tcW w:w="1517" w:type="dxa"/>
            <w:vAlign w:val="bottom"/>
          </w:tcPr>
          <w:p w:rsidRPr="005E32AA" w:rsidR="00137358" w:rsidP="00195155" w:rsidRDefault="00137358">
            <w:pPr>
              <w:spacing w:after="0"/>
              <w:rPr>
                <w:rFonts w:cs="Arial"/>
                <w:sz w:val="16"/>
                <w:szCs w:val="16"/>
              </w:rPr>
            </w:pPr>
            <w:r w:rsidRPr="005E32AA">
              <w:rPr>
                <w:rFonts w:cs="Arial"/>
                <w:sz w:val="16"/>
                <w:szCs w:val="16"/>
              </w:rPr>
              <w:t>37%</w:t>
            </w:r>
          </w:p>
        </w:tc>
      </w:tr>
      <w:tr w:rsidRPr="005E32AA" w:rsidR="00137358" w:rsidTr="00195155">
        <w:trPr>
          <w:trHeight w:val="300"/>
        </w:trPr>
        <w:tc>
          <w:tcPr>
            <w:tcW w:w="1933" w:type="dxa"/>
            <w:tcBorders>
              <w:top w:val="nil"/>
              <w:left w:val="nil"/>
              <w:bottom w:val="single" w:color="auto" w:sz="8" w:space="0"/>
              <w:right w:val="nil"/>
            </w:tcBorders>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 xml:space="preserve">DGA winst &gt;€200.000 </w:t>
            </w:r>
          </w:p>
        </w:tc>
        <w:tc>
          <w:tcPr>
            <w:tcW w:w="1114" w:type="dxa"/>
            <w:tcBorders>
              <w:top w:val="nil"/>
              <w:left w:val="nil"/>
              <w:bottom w:val="single" w:color="auto" w:sz="8" w:space="0"/>
              <w:right w:val="nil"/>
            </w:tcBorders>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43,75%</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43,52%</w:t>
            </w:r>
          </w:p>
        </w:tc>
        <w:tc>
          <w:tcPr>
            <w:tcW w:w="1559" w:type="dxa"/>
            <w:tcBorders>
              <w:top w:val="nil"/>
              <w:left w:val="nil"/>
              <w:bottom w:val="single" w:color="auto" w:sz="8" w:space="0"/>
              <w:right w:val="nil"/>
            </w:tcBorders>
            <w:vAlign w:val="bottom"/>
          </w:tcPr>
          <w:p w:rsidRPr="005E32AA" w:rsidR="00137358" w:rsidP="00195155" w:rsidRDefault="00137358">
            <w:pPr>
              <w:spacing w:after="0"/>
              <w:rPr>
                <w:rFonts w:cs="Arial"/>
                <w:sz w:val="16"/>
                <w:szCs w:val="16"/>
              </w:rPr>
            </w:pPr>
            <w:r w:rsidRPr="005E32AA">
              <w:rPr>
                <w:rFonts w:cs="Arial"/>
                <w:sz w:val="16"/>
                <w:szCs w:val="16"/>
              </w:rPr>
              <w:t>40,75%</w:t>
            </w:r>
          </w:p>
        </w:tc>
        <w:tc>
          <w:tcPr>
            <w:tcW w:w="1670" w:type="dxa"/>
            <w:tcBorders>
              <w:top w:val="nil"/>
              <w:left w:val="nil"/>
              <w:bottom w:val="single" w:color="auto" w:sz="8" w:space="0"/>
              <w:right w:val="nil"/>
            </w:tcBorders>
            <w:noWrap/>
            <w:tcMar>
              <w:top w:w="0" w:type="dxa"/>
              <w:left w:w="70" w:type="dxa"/>
              <w:bottom w:w="0" w:type="dxa"/>
              <w:right w:w="70" w:type="dxa"/>
            </w:tcMar>
            <w:vAlign w:val="bottom"/>
            <w:hideMark/>
          </w:tcPr>
          <w:p w:rsidRPr="005E32AA" w:rsidR="00137358" w:rsidP="00195155" w:rsidRDefault="00137358">
            <w:pPr>
              <w:spacing w:after="0"/>
              <w:rPr>
                <w:rFonts w:cs="Arial"/>
                <w:sz w:val="16"/>
                <w:szCs w:val="16"/>
              </w:rPr>
            </w:pPr>
            <w:r w:rsidRPr="005E32AA">
              <w:rPr>
                <w:rFonts w:cs="Arial"/>
                <w:sz w:val="16"/>
                <w:szCs w:val="16"/>
              </w:rPr>
              <w:t>43,52%</w:t>
            </w:r>
          </w:p>
        </w:tc>
        <w:tc>
          <w:tcPr>
            <w:tcW w:w="1517" w:type="dxa"/>
            <w:tcBorders>
              <w:top w:val="nil"/>
              <w:left w:val="nil"/>
              <w:bottom w:val="single" w:color="auto" w:sz="8" w:space="0"/>
              <w:right w:val="nil"/>
            </w:tcBorders>
            <w:vAlign w:val="bottom"/>
          </w:tcPr>
          <w:p w:rsidRPr="005E32AA" w:rsidR="00137358" w:rsidP="00195155" w:rsidRDefault="00137358">
            <w:pPr>
              <w:spacing w:after="0"/>
              <w:rPr>
                <w:rFonts w:cs="Arial"/>
                <w:sz w:val="16"/>
                <w:szCs w:val="16"/>
              </w:rPr>
            </w:pPr>
            <w:r w:rsidRPr="005E32AA">
              <w:rPr>
                <w:rFonts w:cs="Arial"/>
                <w:sz w:val="16"/>
                <w:szCs w:val="16"/>
              </w:rPr>
              <w:t>40,75%</w:t>
            </w:r>
          </w:p>
        </w:tc>
      </w:tr>
    </w:tbl>
    <w:p w:rsidRPr="006B513F" w:rsidR="00137358" w:rsidP="00137358" w:rsidRDefault="00137358">
      <w:pPr>
        <w:spacing w:after="0" w:line="23" w:lineRule="atLeast"/>
      </w:pPr>
    </w:p>
    <w:p w:rsidR="00137358" w:rsidP="00137358" w:rsidRDefault="00137358">
      <w:pPr>
        <w:spacing w:after="0" w:line="23" w:lineRule="atLeast"/>
      </w:pPr>
      <w:r>
        <w:t xml:space="preserve">In de hiervoor opgenomen tabel en in hierna opgenomen grafiek is ook weergegeven hoe de effectieve toptarieven van de werknemer en de </w:t>
      </w:r>
      <w:proofErr w:type="spellStart"/>
      <w:r>
        <w:t>IB-ondernemer</w:t>
      </w:r>
      <w:proofErr w:type="spellEnd"/>
      <w:r>
        <w:t xml:space="preserve"> zich ontwikkelen. Voor de werknemer daalt het toptarief van 52% naar 49,5%. Dit is ook het geval voor de </w:t>
      </w:r>
      <w:proofErr w:type="spellStart"/>
      <w:r>
        <w:t>IB-ondernemer</w:t>
      </w:r>
      <w:proofErr w:type="spellEnd"/>
      <w:r>
        <w:t xml:space="preserve">, maar daarnaast is van belang dat het aftrektarief van de </w:t>
      </w:r>
      <w:proofErr w:type="spellStart"/>
      <w:r>
        <w:t>MKB-winstvrijstelling</w:t>
      </w:r>
      <w:proofErr w:type="spellEnd"/>
      <w:r>
        <w:t xml:space="preserve"> stapsgewijs verlaagd wordt naar het basistarief van 36,9%. Het gevolg hiervan is dat het effectieve toptarief van de </w:t>
      </w:r>
      <w:proofErr w:type="spellStart"/>
      <w:r>
        <w:t>IB-ondernemer</w:t>
      </w:r>
      <w:proofErr w:type="spellEnd"/>
      <w:r>
        <w:t xml:space="preserve"> niet wezenlijk verandert: van 44,72% in de huidige situatie tot 44,33% in de nieuwe structurele situatie.</w:t>
      </w:r>
    </w:p>
    <w:p w:rsidRPr="007C7BD9" w:rsidR="00137358" w:rsidP="00137358" w:rsidRDefault="00137358">
      <w:pPr>
        <w:spacing w:after="0" w:line="23" w:lineRule="atLeast"/>
      </w:pPr>
    </w:p>
    <w:p w:rsidR="00137358" w:rsidP="00137358" w:rsidRDefault="00137358">
      <w:pPr>
        <w:spacing w:after="0" w:line="23" w:lineRule="atLeast"/>
      </w:pPr>
      <w:r>
        <w:t>Met de aanpassing van het box 2-tarief</w:t>
      </w:r>
      <w:r w:rsidRPr="007C7BD9">
        <w:t xml:space="preserve"> wordt berei</w:t>
      </w:r>
      <w:r>
        <w:t xml:space="preserve">kt dat het verschil in belastingdruk tussen de DGA en de </w:t>
      </w:r>
      <w:proofErr w:type="spellStart"/>
      <w:r>
        <w:t>IB-ondernemer</w:t>
      </w:r>
      <w:proofErr w:type="spellEnd"/>
      <w:r>
        <w:t xml:space="preserve"> vrijwel gelijk blijft.</w:t>
      </w:r>
    </w:p>
    <w:p w:rsidR="00137358" w:rsidP="00137358" w:rsidRDefault="00137358">
      <w:pPr>
        <w:spacing w:after="0" w:line="23" w:lineRule="atLeast"/>
      </w:pPr>
    </w:p>
    <w:p w:rsidR="00763838" w:rsidRDefault="00763838">
      <w:pPr>
        <w:spacing w:after="0" w:line="240" w:lineRule="auto"/>
        <w:rPr>
          <w:i/>
        </w:rPr>
      </w:pPr>
      <w:r>
        <w:rPr>
          <w:i/>
        </w:rPr>
        <w:br w:type="page"/>
      </w:r>
    </w:p>
    <w:p w:rsidRPr="00137358" w:rsidR="00137358" w:rsidP="00137358" w:rsidRDefault="00137358">
      <w:pPr>
        <w:spacing w:after="0" w:line="23" w:lineRule="atLeast"/>
        <w:rPr>
          <w:i/>
        </w:rPr>
      </w:pPr>
      <w:r w:rsidRPr="00137358">
        <w:rPr>
          <w:i/>
        </w:rPr>
        <w:t>Figuur 1 Vergelijking effectief toptarief voor verschillende situaties</w:t>
      </w:r>
    </w:p>
    <w:p w:rsidRPr="00060248" w:rsidR="00137358" w:rsidP="00137358" w:rsidRDefault="00137358">
      <w:pPr>
        <w:spacing w:after="0" w:line="23" w:lineRule="atLeast"/>
        <w:rPr>
          <w:sz w:val="16"/>
          <w:szCs w:val="16"/>
        </w:rPr>
      </w:pPr>
      <w:r>
        <w:rPr>
          <w:noProof/>
          <w:sz w:val="16"/>
          <w:szCs w:val="16"/>
        </w:rPr>
        <w:drawing>
          <wp:inline distT="0" distB="0" distL="0" distR="0">
            <wp:extent cx="3543410" cy="2130950"/>
            <wp:effectExtent l="19050" t="0" r="0" b="0"/>
            <wp:docPr id="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543374" cy="2130928"/>
                    </a:xfrm>
                    <a:prstGeom prst="rect">
                      <a:avLst/>
                    </a:prstGeom>
                    <a:noFill/>
                    <a:ln w="9525">
                      <a:noFill/>
                      <a:miter lim="800000"/>
                      <a:headEnd/>
                      <a:tailEnd/>
                    </a:ln>
                  </pic:spPr>
                </pic:pic>
              </a:graphicData>
            </a:graphic>
          </wp:inline>
        </w:drawing>
      </w:r>
    </w:p>
    <w:p w:rsidR="00137358" w:rsidP="00137358" w:rsidRDefault="00137358">
      <w:pPr>
        <w:spacing w:after="0" w:line="23" w:lineRule="atLeast"/>
      </w:pPr>
    </w:p>
    <w:p w:rsidRPr="00967D2A" w:rsidR="00967D2A" w:rsidP="00967D2A" w:rsidRDefault="00967D2A">
      <w:pPr>
        <w:spacing w:after="0" w:line="23" w:lineRule="atLeast"/>
        <w:rPr>
          <w:b/>
        </w:rPr>
      </w:pPr>
      <w:r w:rsidRPr="00967D2A">
        <w:rPr>
          <w:b/>
        </w:rPr>
        <w:t xml:space="preserve">Effecten uitfasering </w:t>
      </w:r>
      <w:proofErr w:type="spellStart"/>
      <w:r w:rsidRPr="00967D2A">
        <w:rPr>
          <w:b/>
        </w:rPr>
        <w:t>Hillen-regeling</w:t>
      </w:r>
      <w:proofErr w:type="spellEnd"/>
      <w:r w:rsidRPr="00967D2A">
        <w:rPr>
          <w:b/>
        </w:rPr>
        <w:t xml:space="preserve"> in 2048</w:t>
      </w:r>
    </w:p>
    <w:p w:rsidR="00967D2A" w:rsidP="00967D2A" w:rsidRDefault="00967D2A">
      <w:pPr>
        <w:spacing w:after="0" w:line="23" w:lineRule="atLeast"/>
      </w:pPr>
      <w:r w:rsidRPr="00967D2A">
        <w:t xml:space="preserve">De fractie van de SGP heeft gevraagd naar de effecten van de uitfasering van de </w:t>
      </w:r>
      <w:proofErr w:type="spellStart"/>
      <w:r w:rsidRPr="00967D2A">
        <w:t>Hillen-regeling</w:t>
      </w:r>
      <w:proofErr w:type="spellEnd"/>
      <w:r w:rsidRPr="00967D2A">
        <w:t xml:space="preserve"> op het moment van voltooiing van de uitfasering in 2048. Het effect op het besteedbare inkomen voor een aantal </w:t>
      </w:r>
      <w:proofErr w:type="spellStart"/>
      <w:r w:rsidRPr="00967D2A">
        <w:t>WOZ-waarden</w:t>
      </w:r>
      <w:proofErr w:type="spellEnd"/>
      <w:r w:rsidRPr="00967D2A">
        <w:t xml:space="preserve"> is weergegeven in de hierna opgenomen tabel. De effecten op de koopkracht kunnen niet weergegeven worden omdat er </w:t>
      </w:r>
      <w:r w:rsidR="006B0B0E">
        <w:t>g</w:t>
      </w:r>
      <w:r w:rsidRPr="00967D2A">
        <w:t>een integrale koopkrachtdoorrekening voor 2048 gemaakt kan worden. Dit komt onder meer doordat op dit moment nog niet bekend is wat de waarden van verschillende belastingparameters in 2048 zullen zijn.</w:t>
      </w:r>
    </w:p>
    <w:p w:rsidR="006E6A22" w:rsidP="00967D2A" w:rsidRDefault="006E6A22">
      <w:pPr>
        <w:spacing w:after="0" w:line="23" w:lineRule="atLeast"/>
      </w:pPr>
    </w:p>
    <w:p w:rsidRPr="006B0B0E" w:rsidR="006E6A22" w:rsidP="006B0B0E" w:rsidRDefault="006B0B0E">
      <w:pPr>
        <w:spacing w:after="0"/>
        <w:rPr>
          <w:i/>
        </w:rPr>
      </w:pPr>
      <w:r>
        <w:rPr>
          <w:i/>
          <w:iCs/>
        </w:rPr>
        <w:t>Tabel 4: met het effect op het besteedbaar inkomen op jaarbasis voor 2048</w:t>
      </w:r>
    </w:p>
    <w:tbl>
      <w:tblPr>
        <w:tblpPr w:leftFromText="141" w:rightFromText="141" w:vertAnchor="text"/>
        <w:tblW w:w="9780" w:type="dxa"/>
        <w:tblCellMar>
          <w:left w:w="0" w:type="dxa"/>
          <w:right w:w="0" w:type="dxa"/>
        </w:tblCellMar>
        <w:tblLook w:val="04A0"/>
      </w:tblPr>
      <w:tblGrid>
        <w:gridCol w:w="1435"/>
        <w:gridCol w:w="1328"/>
        <w:gridCol w:w="1271"/>
        <w:gridCol w:w="1094"/>
        <w:gridCol w:w="1232"/>
        <w:gridCol w:w="1094"/>
        <w:gridCol w:w="1094"/>
        <w:gridCol w:w="1232"/>
      </w:tblGrid>
      <w:tr w:rsidR="006E6A22" w:rsidTr="006E6A22">
        <w:trPr>
          <w:trHeight w:val="235"/>
        </w:trPr>
        <w:tc>
          <w:tcPr>
            <w:tcW w:w="1435" w:type="dxa"/>
            <w:tcBorders>
              <w:top w:val="single" w:color="4F81BD" w:sz="8" w:space="0"/>
              <w:left w:val="single" w:color="4F81BD" w:sz="8" w:space="0"/>
              <w:bottom w:val="single" w:color="auto" w:sz="8" w:space="0"/>
              <w:right w:val="nil"/>
            </w:tcBorders>
            <w:shd w:val="clear" w:color="auto" w:fill="4F81BD"/>
            <w:noWrap/>
            <w:tcMar>
              <w:top w:w="0" w:type="dxa"/>
              <w:left w:w="70" w:type="dxa"/>
              <w:bottom w:w="0" w:type="dxa"/>
              <w:right w:w="70" w:type="dxa"/>
            </w:tcMar>
            <w:vAlign w:val="bottom"/>
            <w:hideMark/>
          </w:tcPr>
          <w:p w:rsidR="006E6A22" w:rsidP="006E6A22" w:rsidRDefault="006E6A22">
            <w:pPr>
              <w:spacing w:after="0" w:line="240" w:lineRule="auto"/>
              <w:rPr>
                <w:rFonts w:asciiTheme="minorHAnsi" w:hAnsiTheme="minorHAnsi" w:eastAsiaTheme="minorEastAsia" w:cstheme="minorBidi"/>
                <w:color w:val="auto"/>
                <w:sz w:val="22"/>
                <w:szCs w:val="22"/>
              </w:rPr>
            </w:pPr>
          </w:p>
        </w:tc>
        <w:tc>
          <w:tcPr>
            <w:tcW w:w="1327" w:type="dxa"/>
            <w:tcBorders>
              <w:top w:val="single" w:color="4F81BD" w:sz="8" w:space="0"/>
              <w:left w:val="nil"/>
              <w:bottom w:val="single" w:color="auto" w:sz="8" w:space="0"/>
              <w:right w:val="nil"/>
            </w:tcBorders>
            <w:shd w:val="clear" w:color="auto" w:fill="4F81BD"/>
            <w:noWrap/>
            <w:tcMar>
              <w:top w:w="0" w:type="dxa"/>
              <w:left w:w="70" w:type="dxa"/>
              <w:bottom w:w="0" w:type="dxa"/>
              <w:right w:w="70" w:type="dxa"/>
            </w:tcMar>
            <w:vAlign w:val="bottom"/>
            <w:hideMark/>
          </w:tcPr>
          <w:p w:rsidR="006E6A22" w:rsidP="006E6A22" w:rsidRDefault="006E6A22">
            <w:pPr>
              <w:spacing w:after="0"/>
              <w:rPr>
                <w:rFonts w:eastAsiaTheme="minorHAnsi"/>
                <w:sz w:val="16"/>
                <w:szCs w:val="16"/>
              </w:rPr>
            </w:pPr>
            <w:proofErr w:type="spellStart"/>
            <w:r>
              <w:rPr>
                <w:b/>
                <w:bCs/>
                <w:color w:val="FFFFFF"/>
                <w:sz w:val="16"/>
                <w:szCs w:val="16"/>
              </w:rPr>
              <w:t>WOZ-waarde</w:t>
            </w:r>
            <w:proofErr w:type="spellEnd"/>
          </w:p>
        </w:tc>
        <w:tc>
          <w:tcPr>
            <w:tcW w:w="1270" w:type="dxa"/>
            <w:tcBorders>
              <w:top w:val="single" w:color="4F81BD" w:sz="8" w:space="0"/>
              <w:left w:val="nil"/>
              <w:bottom w:val="single" w:color="auto" w:sz="8" w:space="0"/>
              <w:right w:val="nil"/>
            </w:tcBorders>
            <w:shd w:val="clear" w:color="auto" w:fill="4F81BD"/>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color w:val="FFFFFF"/>
                <w:sz w:val="16"/>
                <w:szCs w:val="16"/>
              </w:rPr>
              <w:t>€ 200.000</w:t>
            </w:r>
          </w:p>
        </w:tc>
        <w:tc>
          <w:tcPr>
            <w:tcW w:w="1093" w:type="dxa"/>
            <w:tcBorders>
              <w:top w:val="single" w:color="4F81BD" w:sz="8" w:space="0"/>
              <w:left w:val="nil"/>
              <w:bottom w:val="single" w:color="auto" w:sz="8" w:space="0"/>
              <w:right w:val="nil"/>
            </w:tcBorders>
            <w:shd w:val="clear" w:color="auto" w:fill="4F81BD"/>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color w:val="FFFFFF"/>
                <w:sz w:val="16"/>
                <w:szCs w:val="16"/>
              </w:rPr>
              <w:t>€ 300.000</w:t>
            </w:r>
          </w:p>
        </w:tc>
        <w:tc>
          <w:tcPr>
            <w:tcW w:w="1231" w:type="dxa"/>
            <w:tcBorders>
              <w:top w:val="single" w:color="4F81BD" w:sz="8" w:space="0"/>
              <w:left w:val="nil"/>
              <w:bottom w:val="single" w:color="auto" w:sz="8" w:space="0"/>
              <w:right w:val="nil"/>
            </w:tcBorders>
            <w:shd w:val="clear" w:color="auto" w:fill="4F81BD"/>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color w:val="FFFFFF"/>
                <w:sz w:val="16"/>
                <w:szCs w:val="16"/>
              </w:rPr>
              <w:t>€ 400.000</w:t>
            </w:r>
          </w:p>
        </w:tc>
        <w:tc>
          <w:tcPr>
            <w:tcW w:w="1093" w:type="dxa"/>
            <w:tcBorders>
              <w:top w:val="single" w:color="4F81BD" w:sz="8" w:space="0"/>
              <w:left w:val="nil"/>
              <w:bottom w:val="single" w:color="auto" w:sz="8" w:space="0"/>
              <w:right w:val="nil"/>
            </w:tcBorders>
            <w:shd w:val="clear" w:color="auto" w:fill="4F81BD"/>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color w:val="FFFFFF"/>
                <w:sz w:val="16"/>
                <w:szCs w:val="16"/>
              </w:rPr>
              <w:t>€ 500.000</w:t>
            </w:r>
          </w:p>
        </w:tc>
        <w:tc>
          <w:tcPr>
            <w:tcW w:w="1093" w:type="dxa"/>
            <w:tcBorders>
              <w:top w:val="single" w:color="4F81BD" w:sz="8" w:space="0"/>
              <w:left w:val="nil"/>
              <w:bottom w:val="single" w:color="auto" w:sz="8" w:space="0"/>
              <w:right w:val="nil"/>
            </w:tcBorders>
            <w:shd w:val="clear" w:color="auto" w:fill="4F81BD"/>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color w:val="FFFFFF"/>
                <w:sz w:val="16"/>
                <w:szCs w:val="16"/>
              </w:rPr>
              <w:t>€ 700.000</w:t>
            </w:r>
          </w:p>
        </w:tc>
        <w:tc>
          <w:tcPr>
            <w:tcW w:w="1231" w:type="dxa"/>
            <w:tcBorders>
              <w:top w:val="single" w:color="4F81BD" w:sz="8" w:space="0"/>
              <w:left w:val="nil"/>
              <w:bottom w:val="single" w:color="auto" w:sz="8" w:space="0"/>
              <w:right w:val="single" w:color="4F81BD" w:sz="8" w:space="0"/>
            </w:tcBorders>
            <w:shd w:val="clear" w:color="auto" w:fill="4F81BD"/>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color w:val="FFFFFF"/>
                <w:sz w:val="16"/>
                <w:szCs w:val="16"/>
              </w:rPr>
              <w:t>€ 1.000.000</w:t>
            </w:r>
          </w:p>
        </w:tc>
      </w:tr>
      <w:tr w:rsidR="006E6A22" w:rsidTr="006E6A22">
        <w:trPr>
          <w:trHeight w:val="235"/>
        </w:trPr>
        <w:tc>
          <w:tcPr>
            <w:tcW w:w="1435" w:type="dxa"/>
            <w:tcBorders>
              <w:top w:val="nil"/>
              <w:left w:val="single" w:color="4F81BD" w:sz="8" w:space="0"/>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rPr>
                <w:rFonts w:eastAsiaTheme="minorHAnsi"/>
                <w:b/>
                <w:bCs/>
                <w:sz w:val="16"/>
                <w:szCs w:val="16"/>
              </w:rPr>
            </w:pPr>
            <w:proofErr w:type="spellStart"/>
            <w:r>
              <w:rPr>
                <w:b/>
                <w:bCs/>
                <w:sz w:val="16"/>
                <w:szCs w:val="16"/>
              </w:rPr>
              <w:t>EWF-tarief</w:t>
            </w:r>
            <w:proofErr w:type="spellEnd"/>
          </w:p>
        </w:tc>
        <w:tc>
          <w:tcPr>
            <w:tcW w:w="1327"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0,50%</w:t>
            </w:r>
          </w:p>
        </w:tc>
        <w:tc>
          <w:tcPr>
            <w:tcW w:w="1270"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€ 1.000</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€ 1.500</w:t>
            </w:r>
          </w:p>
        </w:tc>
        <w:tc>
          <w:tcPr>
            <w:tcW w:w="1231"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€ 2.000</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€ 2.500</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€ 3.500</w:t>
            </w:r>
          </w:p>
        </w:tc>
        <w:tc>
          <w:tcPr>
            <w:tcW w:w="1231" w:type="dxa"/>
            <w:tcBorders>
              <w:top w:val="nil"/>
              <w:left w:val="nil"/>
              <w:bottom w:val="single" w:color="auto" w:sz="8" w:space="0"/>
              <w:right w:val="single" w:color="4F81BD" w:sz="8" w:space="0"/>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€ 5.000</w:t>
            </w:r>
          </w:p>
        </w:tc>
      </w:tr>
      <w:tr w:rsidR="006E6A22" w:rsidTr="006E6A22">
        <w:trPr>
          <w:trHeight w:val="235"/>
        </w:trPr>
        <w:tc>
          <w:tcPr>
            <w:tcW w:w="1435" w:type="dxa"/>
            <w:tcBorders>
              <w:top w:val="nil"/>
              <w:left w:val="single" w:color="4F81BD" w:sz="8" w:space="0"/>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rPr>
                <w:rFonts w:eastAsiaTheme="minorHAnsi"/>
                <w:b/>
                <w:bCs/>
                <w:sz w:val="16"/>
                <w:szCs w:val="16"/>
              </w:rPr>
            </w:pPr>
            <w:r>
              <w:rPr>
                <w:b/>
                <w:bCs/>
                <w:sz w:val="16"/>
                <w:szCs w:val="16"/>
              </w:rPr>
              <w:t>Minder Hillen</w:t>
            </w:r>
          </w:p>
        </w:tc>
        <w:tc>
          <w:tcPr>
            <w:tcW w:w="1327"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100%</w:t>
            </w:r>
          </w:p>
        </w:tc>
        <w:tc>
          <w:tcPr>
            <w:tcW w:w="1270"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€ 1.000</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€ 1.500</w:t>
            </w:r>
          </w:p>
        </w:tc>
        <w:tc>
          <w:tcPr>
            <w:tcW w:w="1231"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€ 2.000</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€ 2.500</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€ 3.500</w:t>
            </w:r>
          </w:p>
        </w:tc>
        <w:tc>
          <w:tcPr>
            <w:tcW w:w="1231" w:type="dxa"/>
            <w:tcBorders>
              <w:top w:val="nil"/>
              <w:left w:val="nil"/>
              <w:bottom w:val="single" w:color="auto" w:sz="8" w:space="0"/>
              <w:right w:val="single" w:color="4F81BD" w:sz="8" w:space="0"/>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€ 5.000</w:t>
            </w:r>
          </w:p>
        </w:tc>
      </w:tr>
      <w:tr w:rsidR="006E6A22" w:rsidTr="006E6A22">
        <w:trPr>
          <w:trHeight w:val="235"/>
        </w:trPr>
        <w:tc>
          <w:tcPr>
            <w:tcW w:w="1435" w:type="dxa"/>
            <w:tcBorders>
              <w:top w:val="nil"/>
              <w:left w:val="single" w:color="4F81BD" w:sz="8" w:space="0"/>
              <w:bottom w:val="nil"/>
              <w:right w:val="nil"/>
            </w:tcBorders>
            <w:noWrap/>
            <w:tcMar>
              <w:top w:w="0" w:type="dxa"/>
              <w:left w:w="70" w:type="dxa"/>
              <w:bottom w:w="0" w:type="dxa"/>
              <w:right w:w="70" w:type="dxa"/>
            </w:tcMar>
            <w:vAlign w:val="center"/>
            <w:hideMark/>
          </w:tcPr>
          <w:p w:rsidR="006E6A22" w:rsidP="006E6A22" w:rsidRDefault="006E6A22">
            <w:pPr>
              <w:spacing w:after="0"/>
              <w:rPr>
                <w:rFonts w:eastAsiaTheme="minorHAnsi"/>
                <w:b/>
                <w:bCs/>
                <w:sz w:val="16"/>
                <w:szCs w:val="16"/>
              </w:rPr>
            </w:pPr>
            <w:r>
              <w:rPr>
                <w:b/>
                <w:bCs/>
                <w:sz w:val="16"/>
                <w:szCs w:val="16"/>
              </w:rPr>
              <w:t>Kosten- gegeven tarief</w:t>
            </w:r>
          </w:p>
        </w:tc>
        <w:tc>
          <w:tcPr>
            <w:tcW w:w="1327"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19,05%</w:t>
            </w:r>
          </w:p>
        </w:tc>
        <w:tc>
          <w:tcPr>
            <w:tcW w:w="1270"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€ 191</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€ 286</w:t>
            </w:r>
          </w:p>
        </w:tc>
        <w:tc>
          <w:tcPr>
            <w:tcW w:w="1231"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€ 381</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€ 476</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€ 667</w:t>
            </w:r>
          </w:p>
        </w:tc>
        <w:tc>
          <w:tcPr>
            <w:tcW w:w="1231" w:type="dxa"/>
            <w:tcBorders>
              <w:top w:val="nil"/>
              <w:left w:val="nil"/>
              <w:bottom w:val="single" w:color="auto" w:sz="8" w:space="0"/>
              <w:right w:val="single" w:color="4F81BD" w:sz="8" w:space="0"/>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€ 953</w:t>
            </w:r>
          </w:p>
        </w:tc>
      </w:tr>
      <w:tr w:rsidR="006E6A22" w:rsidTr="006E6A22">
        <w:trPr>
          <w:trHeight w:val="235"/>
        </w:trPr>
        <w:tc>
          <w:tcPr>
            <w:tcW w:w="1435" w:type="dxa"/>
            <w:tcBorders>
              <w:top w:val="single" w:color="4F81BD" w:sz="8" w:space="0"/>
              <w:left w:val="single" w:color="4F81BD" w:sz="8" w:space="0"/>
              <w:bottom w:val="nil"/>
              <w:right w:val="nil"/>
            </w:tcBorders>
            <w:noWrap/>
            <w:tcMar>
              <w:top w:w="0" w:type="dxa"/>
              <w:left w:w="70" w:type="dxa"/>
              <w:bottom w:w="0" w:type="dxa"/>
              <w:right w:w="70" w:type="dxa"/>
            </w:tcMar>
            <w:vAlign w:val="center"/>
            <w:hideMark/>
          </w:tcPr>
          <w:p w:rsidR="006E6A22" w:rsidP="006E6A22" w:rsidRDefault="006E6A22">
            <w:pPr>
              <w:spacing w:after="0" w:line="240" w:lineRule="auto"/>
              <w:rPr>
                <w:rFonts w:asciiTheme="minorHAnsi" w:hAnsiTheme="minorHAnsi" w:eastAsiaTheme="minorEastAsia" w:cstheme="minorBidi"/>
                <w:color w:val="auto"/>
                <w:sz w:val="22"/>
                <w:szCs w:val="22"/>
              </w:rPr>
            </w:pPr>
          </w:p>
        </w:tc>
        <w:tc>
          <w:tcPr>
            <w:tcW w:w="1327"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36,95%</w:t>
            </w:r>
          </w:p>
        </w:tc>
        <w:tc>
          <w:tcPr>
            <w:tcW w:w="1270"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€ 370</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€ 554</w:t>
            </w:r>
          </w:p>
        </w:tc>
        <w:tc>
          <w:tcPr>
            <w:tcW w:w="1231"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€ 739</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€ 924</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€ 1.293</w:t>
            </w:r>
          </w:p>
        </w:tc>
        <w:tc>
          <w:tcPr>
            <w:tcW w:w="1231" w:type="dxa"/>
            <w:tcBorders>
              <w:top w:val="nil"/>
              <w:left w:val="nil"/>
              <w:bottom w:val="single" w:color="auto" w:sz="8" w:space="0"/>
              <w:right w:val="single" w:color="4F81BD" w:sz="8" w:space="0"/>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€ 1.848</w:t>
            </w:r>
          </w:p>
        </w:tc>
      </w:tr>
      <w:tr w:rsidR="006E6A22" w:rsidTr="006E6A22">
        <w:trPr>
          <w:trHeight w:val="235"/>
        </w:trPr>
        <w:tc>
          <w:tcPr>
            <w:tcW w:w="1435" w:type="dxa"/>
            <w:tcBorders>
              <w:top w:val="single" w:color="4F81BD" w:sz="8" w:space="0"/>
              <w:left w:val="single" w:color="4F81BD" w:sz="8" w:space="0"/>
              <w:bottom w:val="single" w:color="auto" w:sz="8" w:space="0"/>
              <w:right w:val="nil"/>
            </w:tcBorders>
            <w:noWrap/>
            <w:tcMar>
              <w:top w:w="0" w:type="dxa"/>
              <w:left w:w="70" w:type="dxa"/>
              <w:bottom w:w="0" w:type="dxa"/>
              <w:right w:w="70" w:type="dxa"/>
            </w:tcMar>
            <w:vAlign w:val="center"/>
            <w:hideMark/>
          </w:tcPr>
          <w:p w:rsidR="006E6A22" w:rsidP="006E6A22" w:rsidRDefault="006E6A22">
            <w:pPr>
              <w:spacing w:after="0" w:line="240" w:lineRule="auto"/>
              <w:rPr>
                <w:rFonts w:asciiTheme="minorHAnsi" w:hAnsiTheme="minorHAnsi" w:eastAsiaTheme="minorEastAsia" w:cstheme="minorBidi"/>
                <w:color w:val="auto"/>
                <w:sz w:val="22"/>
                <w:szCs w:val="22"/>
              </w:rPr>
            </w:pPr>
          </w:p>
        </w:tc>
        <w:tc>
          <w:tcPr>
            <w:tcW w:w="1327"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sz w:val="16"/>
                <w:szCs w:val="16"/>
              </w:rPr>
              <w:t>49,50%</w:t>
            </w:r>
          </w:p>
        </w:tc>
        <w:tc>
          <w:tcPr>
            <w:tcW w:w="1270"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€ 495</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€ 743</w:t>
            </w:r>
          </w:p>
        </w:tc>
        <w:tc>
          <w:tcPr>
            <w:tcW w:w="1231"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€ 990</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€ 1.238</w:t>
            </w:r>
          </w:p>
        </w:tc>
        <w:tc>
          <w:tcPr>
            <w:tcW w:w="1093" w:type="dxa"/>
            <w:tcBorders>
              <w:top w:val="nil"/>
              <w:left w:val="nil"/>
              <w:bottom w:val="single" w:color="auto" w:sz="8" w:space="0"/>
              <w:right w:val="nil"/>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€ 1.733</w:t>
            </w:r>
          </w:p>
        </w:tc>
        <w:tc>
          <w:tcPr>
            <w:tcW w:w="1231" w:type="dxa"/>
            <w:tcBorders>
              <w:top w:val="nil"/>
              <w:left w:val="nil"/>
              <w:bottom w:val="single" w:color="auto" w:sz="8" w:space="0"/>
              <w:right w:val="single" w:color="4F81BD" w:sz="8" w:space="0"/>
            </w:tcBorders>
            <w:noWrap/>
            <w:tcMar>
              <w:top w:w="0" w:type="dxa"/>
              <w:left w:w="70" w:type="dxa"/>
              <w:bottom w:w="0" w:type="dxa"/>
              <w:right w:w="70" w:type="dxa"/>
            </w:tcMar>
            <w:vAlign w:val="bottom"/>
            <w:hideMark/>
          </w:tcPr>
          <w:p w:rsidR="006E6A22" w:rsidP="006E6A22" w:rsidRDefault="006E6A22">
            <w:pPr>
              <w:spacing w:after="0"/>
              <w:jc w:val="center"/>
              <w:rPr>
                <w:rFonts w:eastAsiaTheme="minorHAnsi"/>
                <w:sz w:val="16"/>
                <w:szCs w:val="16"/>
              </w:rPr>
            </w:pPr>
            <w:r>
              <w:rPr>
                <w:b/>
                <w:bCs/>
                <w:sz w:val="16"/>
                <w:szCs w:val="16"/>
              </w:rPr>
              <w:t>€ 2.475</w:t>
            </w:r>
          </w:p>
        </w:tc>
      </w:tr>
    </w:tbl>
    <w:p w:rsidRPr="00967D2A" w:rsidR="006E6A22" w:rsidP="00967D2A" w:rsidRDefault="006E6A22">
      <w:pPr>
        <w:spacing w:after="0" w:line="23" w:lineRule="atLeast"/>
      </w:pPr>
    </w:p>
    <w:p w:rsidRPr="00967D2A" w:rsidR="00967D2A" w:rsidP="00967D2A" w:rsidRDefault="00967D2A">
      <w:pPr>
        <w:spacing w:after="0" w:line="23" w:lineRule="atLeast"/>
      </w:pPr>
    </w:p>
    <w:p w:rsidR="00967D2A" w:rsidP="00967D2A" w:rsidRDefault="00967D2A">
      <w:pPr>
        <w:spacing w:after="0" w:line="23" w:lineRule="atLeast"/>
        <w:rPr>
          <w:b/>
          <w:i/>
        </w:rPr>
      </w:pPr>
    </w:p>
    <w:p w:rsidR="006E6A22" w:rsidP="00967D2A" w:rsidRDefault="006E6A22">
      <w:pPr>
        <w:spacing w:after="0" w:line="23" w:lineRule="atLeast"/>
        <w:rPr>
          <w:b/>
          <w:i/>
        </w:rPr>
      </w:pPr>
    </w:p>
    <w:p w:rsidR="006E6A22" w:rsidP="00967D2A" w:rsidRDefault="006E6A22">
      <w:pPr>
        <w:spacing w:after="0" w:line="23" w:lineRule="atLeast"/>
        <w:rPr>
          <w:b/>
          <w:i/>
        </w:rPr>
      </w:pPr>
    </w:p>
    <w:sectPr w:rsidR="006E6A22" w:rsidSect="00BE408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628" w:rsidRDefault="00757628" w:rsidP="00BE4082">
      <w:pPr>
        <w:spacing w:after="0" w:line="240" w:lineRule="auto"/>
      </w:pPr>
      <w:r>
        <w:separator/>
      </w:r>
    </w:p>
  </w:endnote>
  <w:endnote w:type="continuationSeparator" w:id="0">
    <w:p w:rsidR="00757628" w:rsidRDefault="00757628" w:rsidP="00BE4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2" w:rsidRDefault="006E6A2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2" w:rsidRDefault="006E6A2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2" w:rsidRDefault="006E6A2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628" w:rsidRDefault="00757628">
      <w:r>
        <w:separator/>
      </w:r>
    </w:p>
  </w:footnote>
  <w:footnote w:type="continuationSeparator" w:id="0">
    <w:p w:rsidR="00757628" w:rsidRDefault="00757628">
      <w:r>
        <w:continuationSeparator/>
      </w:r>
    </w:p>
  </w:footnote>
  <w:footnote w:type="continuationNotice" w:id="1">
    <w:p w:rsidR="00757628" w:rsidRDefault="00757628"/>
  </w:footnote>
  <w:footnote w:id="2">
    <w:p w:rsidR="006E6A22" w:rsidRDefault="006E6A22" w:rsidP="00967D2A">
      <w:pPr>
        <w:pStyle w:val="Voetnoottekst"/>
        <w:spacing w:after="0"/>
      </w:pPr>
      <w:r>
        <w:rPr>
          <w:rStyle w:val="Voetnootmarkering"/>
        </w:rPr>
        <w:footnoteRef/>
      </w:r>
      <w:r>
        <w:t xml:space="preserve"> Daarnaast worden de uitgaven van de </w:t>
      </w:r>
      <w:proofErr w:type="spellStart"/>
      <w:r>
        <w:t>Zvw</w:t>
      </w:r>
      <w:proofErr w:type="spellEnd"/>
      <w:r>
        <w:t xml:space="preserve"> betaald uit de eigenbetalingen en een rijksbijdrage voor meeverzekerde kinderen </w:t>
      </w:r>
    </w:p>
  </w:footnote>
  <w:footnote w:id="3">
    <w:p w:rsidR="006E6A22" w:rsidRDefault="006E6A22" w:rsidP="00137358">
      <w:pPr>
        <w:pStyle w:val="Voetnoottekst"/>
        <w:spacing w:line="240" w:lineRule="auto"/>
      </w:pPr>
      <w:r>
        <w:rPr>
          <w:rStyle w:val="Voetnootmarkering"/>
        </w:rPr>
        <w:footnoteRef/>
      </w:r>
      <w:r>
        <w:t xml:space="preserve"> Dit betreft z</w:t>
      </w:r>
      <w:r w:rsidRPr="007C7BD9">
        <w:t>owel het hoge als het lage tarief met 1%-punt in 2019, met nog eens 1,5%-punt in 2020 en ten</w:t>
      </w:r>
      <w:r>
        <w:t xml:space="preserve"> </w:t>
      </w:r>
      <w:r w:rsidRPr="007C7BD9">
        <w:t xml:space="preserve">slotte </w:t>
      </w:r>
      <w:proofErr w:type="gramStart"/>
      <w:r w:rsidRPr="007C7BD9">
        <w:t>nogmaals</w:t>
      </w:r>
      <w:proofErr w:type="gramEnd"/>
      <w:r w:rsidRPr="007C7BD9">
        <w:t xml:space="preserve"> met 1,5%-punt in 2021, tot uiteindelijk 21%, respectievelijk 16%</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2" w:rsidRDefault="006E6A2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2" w:rsidRDefault="006E6A2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2" w:rsidRDefault="006E6A2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73EA6"/>
    <w:multiLevelType w:val="hybridMultilevel"/>
    <w:tmpl w:val="6D5A74EE"/>
    <w:styleLink w:val="Gemporteerdestijl1"/>
    <w:lvl w:ilvl="0" w:tplc="45E244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50D1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624B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BE0F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5605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AEBC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24727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A2A1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1CC0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CA21AA7"/>
    <w:multiLevelType w:val="hybridMultilevel"/>
    <w:tmpl w:val="6B7AAA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F813BDB"/>
    <w:multiLevelType w:val="hybridMultilevel"/>
    <w:tmpl w:val="180A936A"/>
    <w:lvl w:ilvl="0" w:tplc="E890A446">
      <w:start w:val="1"/>
      <w:numFmt w:val="decimal"/>
      <w:pStyle w:val="Kop1"/>
      <w:lvlText w:val="%1."/>
      <w:lvlJc w:val="left"/>
      <w:pPr>
        <w:tabs>
          <w:tab w:val="num" w:pos="907"/>
        </w:tabs>
        <w:ind w:left="1068" w:hanging="444"/>
      </w:pPr>
      <w:rPr>
        <w:rFonts w:ascii="Arial" w:hAnsi="Arial" w:cs="Arial" w:hint="default"/>
        <w:b/>
        <w:sz w:val="28"/>
        <w:szCs w:val="28"/>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decimal"/>
      <w:lvlText w:val="%4."/>
      <w:lvlJc w:val="left"/>
      <w:pPr>
        <w:tabs>
          <w:tab w:val="num" w:pos="3588"/>
        </w:tabs>
        <w:ind w:left="3588" w:hanging="360"/>
      </w:pPr>
    </w:lvl>
    <w:lvl w:ilvl="4" w:tplc="04130003">
      <w:start w:val="1"/>
      <w:numFmt w:val="decimal"/>
      <w:lvlText w:val="%5."/>
      <w:lvlJc w:val="left"/>
      <w:pPr>
        <w:tabs>
          <w:tab w:val="num" w:pos="4308"/>
        </w:tabs>
        <w:ind w:left="4308" w:hanging="360"/>
      </w:pPr>
    </w:lvl>
    <w:lvl w:ilvl="5" w:tplc="04130005">
      <w:start w:val="1"/>
      <w:numFmt w:val="decimal"/>
      <w:lvlText w:val="%6."/>
      <w:lvlJc w:val="left"/>
      <w:pPr>
        <w:tabs>
          <w:tab w:val="num" w:pos="5028"/>
        </w:tabs>
        <w:ind w:left="5028" w:hanging="360"/>
      </w:pPr>
    </w:lvl>
    <w:lvl w:ilvl="6" w:tplc="04130001">
      <w:start w:val="1"/>
      <w:numFmt w:val="decimal"/>
      <w:lvlText w:val="%7."/>
      <w:lvlJc w:val="left"/>
      <w:pPr>
        <w:tabs>
          <w:tab w:val="num" w:pos="5748"/>
        </w:tabs>
        <w:ind w:left="5748" w:hanging="360"/>
      </w:pPr>
    </w:lvl>
    <w:lvl w:ilvl="7" w:tplc="04130003">
      <w:start w:val="1"/>
      <w:numFmt w:val="decimal"/>
      <w:lvlText w:val="%8."/>
      <w:lvlJc w:val="left"/>
      <w:pPr>
        <w:tabs>
          <w:tab w:val="num" w:pos="6468"/>
        </w:tabs>
        <w:ind w:left="6468" w:hanging="360"/>
      </w:pPr>
    </w:lvl>
    <w:lvl w:ilvl="8" w:tplc="04130005">
      <w:start w:val="1"/>
      <w:numFmt w:val="decimal"/>
      <w:lvlText w:val="%9."/>
      <w:lvlJc w:val="left"/>
      <w:pPr>
        <w:tabs>
          <w:tab w:val="num" w:pos="7188"/>
        </w:tabs>
        <w:ind w:left="7188" w:hanging="360"/>
      </w:pPr>
    </w:lvl>
  </w:abstractNum>
  <w:abstractNum w:abstractNumId="3">
    <w:nsid w:val="58557E80"/>
    <w:multiLevelType w:val="hybridMultilevel"/>
    <w:tmpl w:val="6D5A74EE"/>
    <w:numStyleLink w:val="Gemporteerdestijl1"/>
  </w:abstractNum>
  <w:abstractNum w:abstractNumId="4">
    <w:nsid w:val="6E004A38"/>
    <w:multiLevelType w:val="hybridMultilevel"/>
    <w:tmpl w:val="F70C3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50E78D3"/>
    <w:multiLevelType w:val="hybridMultilevel"/>
    <w:tmpl w:val="2F3C9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
  <w:rsids>
    <w:rsidRoot w:val="00BE4082"/>
    <w:rsid w:val="0005064C"/>
    <w:rsid w:val="000A4E4A"/>
    <w:rsid w:val="00137358"/>
    <w:rsid w:val="001505A5"/>
    <w:rsid w:val="00153D0B"/>
    <w:rsid w:val="00195155"/>
    <w:rsid w:val="002C1A68"/>
    <w:rsid w:val="00341EC7"/>
    <w:rsid w:val="00395907"/>
    <w:rsid w:val="003E005B"/>
    <w:rsid w:val="006B0B0E"/>
    <w:rsid w:val="006D5EB6"/>
    <w:rsid w:val="006E2475"/>
    <w:rsid w:val="006E6A22"/>
    <w:rsid w:val="0074182F"/>
    <w:rsid w:val="00757628"/>
    <w:rsid w:val="00763838"/>
    <w:rsid w:val="008478C6"/>
    <w:rsid w:val="00967D2A"/>
    <w:rsid w:val="00973AE4"/>
    <w:rsid w:val="00B872DC"/>
    <w:rsid w:val="00BA1891"/>
    <w:rsid w:val="00BC2109"/>
    <w:rsid w:val="00BE4082"/>
    <w:rsid w:val="00C83F8F"/>
    <w:rsid w:val="00D1414F"/>
    <w:rsid w:val="00D322AF"/>
    <w:rsid w:val="00E154BD"/>
    <w:rsid w:val="00E93C19"/>
    <w:rsid w:val="00EB0B65"/>
    <w:rsid w:val="00F8303E"/>
    <w:rsid w:val="00FE18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E4082"/>
    <w:pPr>
      <w:spacing w:after="200" w:line="276" w:lineRule="auto"/>
    </w:pPr>
    <w:rPr>
      <w:rFonts w:ascii="Verdana" w:hAnsi="Verdana" w:cs="Arial Unicode MS"/>
      <w:color w:val="000000"/>
      <w:sz w:val="18"/>
      <w:szCs w:val="18"/>
      <w:u w:color="000000"/>
    </w:rPr>
  </w:style>
  <w:style w:type="paragraph" w:styleId="Kop1">
    <w:name w:val="heading 1"/>
    <w:basedOn w:val="Standaard"/>
    <w:next w:val="Standaard"/>
    <w:link w:val="Kop1Char"/>
    <w:uiPriority w:val="9"/>
    <w:qFormat/>
    <w:rsid w:val="00195155"/>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outlineLvl w:val="0"/>
    </w:pPr>
    <w:rPr>
      <w:rFonts w:ascii="Arial" w:eastAsia="Verdana" w:hAnsi="Arial" w:cs="Times New Roman"/>
      <w:b/>
      <w:color w:val="auto"/>
      <w:sz w:val="28"/>
      <w:szCs w:val="28"/>
      <w:bdr w:val="none" w:sz="0" w:space="0" w:color="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E4082"/>
    <w:rPr>
      <w:u w:val="single"/>
    </w:rPr>
  </w:style>
  <w:style w:type="table" w:customStyle="1" w:styleId="TableNormal">
    <w:name w:val="Table Normal"/>
    <w:rsid w:val="00BE4082"/>
    <w:tblPr>
      <w:tblInd w:w="0" w:type="dxa"/>
      <w:tblCellMar>
        <w:top w:w="0" w:type="dxa"/>
        <w:left w:w="0" w:type="dxa"/>
        <w:bottom w:w="0" w:type="dxa"/>
        <w:right w:w="0" w:type="dxa"/>
      </w:tblCellMar>
    </w:tblPr>
  </w:style>
  <w:style w:type="paragraph" w:customStyle="1" w:styleId="Kop-envoettekst">
    <w:name w:val="Kop- en voettekst"/>
    <w:rsid w:val="00BE4082"/>
    <w:pPr>
      <w:tabs>
        <w:tab w:val="right" w:pos="9020"/>
      </w:tabs>
    </w:pPr>
    <w:rPr>
      <w:rFonts w:ascii="Helvetica Neue" w:hAnsi="Helvetica Neue" w:cs="Arial Unicode MS"/>
      <w:color w:val="000000"/>
      <w:sz w:val="24"/>
      <w:szCs w:val="24"/>
    </w:rPr>
  </w:style>
  <w:style w:type="character" w:customStyle="1" w:styleId="Hyperlink0">
    <w:name w:val="Hyperlink.0"/>
    <w:basedOn w:val="Hyperlink"/>
    <w:rsid w:val="00BE4082"/>
    <w:rPr>
      <w:color w:val="0000FF"/>
      <w:u w:val="single" w:color="0000FF"/>
    </w:rPr>
  </w:style>
  <w:style w:type="paragraph" w:styleId="Voetnoottekst">
    <w:name w:val="footnote text"/>
    <w:rsid w:val="00BE4082"/>
    <w:pPr>
      <w:spacing w:after="200" w:line="180" w:lineRule="atLeast"/>
    </w:pPr>
    <w:rPr>
      <w:rFonts w:ascii="Verdana" w:eastAsia="Verdana" w:hAnsi="Verdana" w:cs="Verdana"/>
      <w:color w:val="000000"/>
      <w:sz w:val="13"/>
      <w:szCs w:val="13"/>
      <w:u w:color="000000"/>
    </w:rPr>
  </w:style>
  <w:style w:type="paragraph" w:styleId="Lijstalinea">
    <w:name w:val="List Paragraph"/>
    <w:rsid w:val="00BE4082"/>
    <w:pPr>
      <w:spacing w:after="200" w:line="276" w:lineRule="auto"/>
      <w:ind w:left="720"/>
    </w:pPr>
    <w:rPr>
      <w:rFonts w:ascii="Verdana" w:hAnsi="Verdana" w:cs="Arial Unicode MS"/>
      <w:color w:val="000000"/>
      <w:sz w:val="18"/>
      <w:szCs w:val="18"/>
      <w:u w:color="000000"/>
    </w:rPr>
  </w:style>
  <w:style w:type="numbering" w:customStyle="1" w:styleId="Gemporteerdestijl1">
    <w:name w:val="Geïmporteerde stijl 1"/>
    <w:rsid w:val="00BE4082"/>
    <w:pPr>
      <w:numPr>
        <w:numId w:val="1"/>
      </w:numPr>
    </w:pPr>
  </w:style>
  <w:style w:type="paragraph" w:styleId="Koptekst">
    <w:name w:val="header"/>
    <w:basedOn w:val="Standaard"/>
    <w:link w:val="KoptekstChar"/>
    <w:uiPriority w:val="99"/>
    <w:semiHidden/>
    <w:unhideWhenUsed/>
    <w:rsid w:val="00FE18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E18B0"/>
    <w:rPr>
      <w:rFonts w:ascii="Verdana" w:hAnsi="Verdana" w:cs="Arial Unicode MS"/>
      <w:color w:val="000000"/>
      <w:sz w:val="18"/>
      <w:szCs w:val="18"/>
      <w:u w:color="000000"/>
    </w:rPr>
  </w:style>
  <w:style w:type="paragraph" w:styleId="Voettekst">
    <w:name w:val="footer"/>
    <w:basedOn w:val="Standaard"/>
    <w:link w:val="VoettekstChar"/>
    <w:uiPriority w:val="99"/>
    <w:semiHidden/>
    <w:unhideWhenUsed/>
    <w:rsid w:val="00FE18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E18B0"/>
    <w:rPr>
      <w:rFonts w:ascii="Verdana" w:hAnsi="Verdana" w:cs="Arial Unicode MS"/>
      <w:color w:val="000000"/>
      <w:sz w:val="18"/>
      <w:szCs w:val="18"/>
      <w:u w:color="000000"/>
    </w:rPr>
  </w:style>
  <w:style w:type="character" w:styleId="Voetnootmarkering">
    <w:name w:val="footnote reference"/>
    <w:basedOn w:val="Standaardalinea-lettertype"/>
    <w:uiPriority w:val="99"/>
    <w:semiHidden/>
    <w:unhideWhenUsed/>
    <w:rsid w:val="00E154BD"/>
    <w:rPr>
      <w:vertAlign w:val="superscript"/>
    </w:rPr>
  </w:style>
  <w:style w:type="paragraph" w:styleId="Ballontekst">
    <w:name w:val="Balloon Text"/>
    <w:basedOn w:val="Standaard"/>
    <w:link w:val="BallontekstChar"/>
    <w:uiPriority w:val="99"/>
    <w:semiHidden/>
    <w:unhideWhenUsed/>
    <w:rsid w:val="00E154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54BD"/>
    <w:rPr>
      <w:rFonts w:ascii="Tahoma" w:hAnsi="Tahoma" w:cs="Tahoma"/>
      <w:color w:val="000000"/>
      <w:sz w:val="16"/>
      <w:szCs w:val="16"/>
      <w:u w:color="000000"/>
    </w:rPr>
  </w:style>
  <w:style w:type="character" w:customStyle="1" w:styleId="Kop1Char">
    <w:name w:val="Kop 1 Char"/>
    <w:basedOn w:val="Standaardalinea-lettertype"/>
    <w:link w:val="Kop1"/>
    <w:uiPriority w:val="9"/>
    <w:rsid w:val="00195155"/>
    <w:rPr>
      <w:rFonts w:ascii="Arial" w:eastAsia="Verdana" w:hAnsi="Arial"/>
      <w:b/>
      <w:sz w:val="28"/>
      <w:szCs w:val="28"/>
      <w:bdr w:val="none" w:sz="0" w:space="0" w:color="auto"/>
    </w:rPr>
  </w:style>
</w:styles>
</file>

<file path=word/webSettings.xml><?xml version="1.0" encoding="utf-8"?>
<w:webSettings xmlns:r="http://schemas.openxmlformats.org/officeDocument/2006/relationships" xmlns:w="http://schemas.openxmlformats.org/wordprocessingml/2006/main">
  <w:divs>
    <w:div w:id="414712046">
      <w:bodyDiv w:val="1"/>
      <w:marLeft w:val="0"/>
      <w:marRight w:val="0"/>
      <w:marTop w:val="0"/>
      <w:marBottom w:val="0"/>
      <w:divBdr>
        <w:top w:val="none" w:sz="0" w:space="0" w:color="auto"/>
        <w:left w:val="none" w:sz="0" w:space="0" w:color="auto"/>
        <w:bottom w:val="none" w:sz="0" w:space="0" w:color="auto"/>
        <w:right w:val="none" w:sz="0" w:space="0" w:color="auto"/>
      </w:divBdr>
    </w:div>
    <w:div w:id="1618875801">
      <w:bodyDiv w:val="1"/>
      <w:marLeft w:val="0"/>
      <w:marRight w:val="0"/>
      <w:marTop w:val="0"/>
      <w:marBottom w:val="0"/>
      <w:divBdr>
        <w:top w:val="none" w:sz="0" w:space="0" w:color="auto"/>
        <w:left w:val="none" w:sz="0" w:space="0" w:color="auto"/>
        <w:bottom w:val="none" w:sz="0" w:space="0" w:color="auto"/>
        <w:right w:val="none" w:sz="0" w:space="0" w:color="auto"/>
      </w:divBdr>
    </w:div>
    <w:div w:id="207284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4</ap:Pages>
  <ap:Words>1704</ap:Words>
  <ap:Characters>9374</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2017-11-09T09:14:00.0000000Z</lastPrinted>
  <dcterms:created xsi:type="dcterms:W3CDTF">2017-11-09T09:14:00.0000000Z</dcterms:created>
  <dcterms:modified xsi:type="dcterms:W3CDTF">2017-11-09T09:14:00.0000000Z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0x010100A5DAC853054DE04AA8F659B537B6F4DA</vt:lpwstr>
  </property>
</Properties>
</file>