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E2F1E" w:rsidR="00CB3578" w:rsidTr="00F13442">
        <w:trPr>
          <w:cantSplit/>
        </w:trPr>
        <w:tc>
          <w:tcPr>
            <w:tcW w:w="9142" w:type="dxa"/>
            <w:gridSpan w:val="2"/>
            <w:tcBorders>
              <w:top w:val="nil"/>
              <w:left w:val="nil"/>
              <w:bottom w:val="nil"/>
              <w:right w:val="nil"/>
            </w:tcBorders>
          </w:tcPr>
          <w:p w:rsidRPr="00CD49E5" w:rsidR="002C35A8" w:rsidP="000D0DF5" w:rsidRDefault="002C35A8">
            <w:pPr>
              <w:tabs>
                <w:tab w:val="left" w:pos="-1440"/>
                <w:tab w:val="left" w:pos="-720"/>
              </w:tabs>
              <w:suppressAutoHyphens/>
              <w:rPr>
                <w:rFonts w:ascii="Times New Roman" w:hAnsi="Times New Roman"/>
                <w:szCs w:val="20"/>
              </w:rPr>
            </w:pPr>
            <w:r w:rsidRPr="00CD49E5">
              <w:rPr>
                <w:rFonts w:ascii="Times New Roman" w:hAnsi="Times New Roman"/>
                <w:szCs w:val="20"/>
              </w:rPr>
              <w:t>De Tweede Kamer der Staten-</w:t>
            </w:r>
            <w:r w:rsidRPr="00CD49E5">
              <w:rPr>
                <w:rFonts w:ascii="Times New Roman" w:hAnsi="Times New Roman"/>
                <w:szCs w:val="20"/>
              </w:rPr>
              <w:fldChar w:fldCharType="begin"/>
            </w:r>
            <w:r w:rsidRPr="00CD49E5">
              <w:rPr>
                <w:rFonts w:ascii="Times New Roman" w:hAnsi="Times New Roman"/>
                <w:szCs w:val="20"/>
              </w:rPr>
              <w:instrText xml:space="preserve">PRIVATE </w:instrText>
            </w:r>
            <w:r w:rsidRPr="00CD49E5">
              <w:rPr>
                <w:rFonts w:ascii="Times New Roman" w:hAnsi="Times New Roman"/>
                <w:szCs w:val="20"/>
              </w:rPr>
              <w:fldChar w:fldCharType="end"/>
            </w:r>
          </w:p>
          <w:p w:rsidRPr="00CD49E5" w:rsidR="002C35A8" w:rsidP="000D0DF5" w:rsidRDefault="002C35A8">
            <w:pPr>
              <w:tabs>
                <w:tab w:val="left" w:pos="-1440"/>
                <w:tab w:val="left" w:pos="-720"/>
              </w:tabs>
              <w:suppressAutoHyphens/>
              <w:rPr>
                <w:rFonts w:ascii="Times New Roman" w:hAnsi="Times New Roman"/>
                <w:szCs w:val="20"/>
              </w:rPr>
            </w:pPr>
            <w:r w:rsidRPr="00CD49E5">
              <w:rPr>
                <w:rFonts w:ascii="Times New Roman" w:hAnsi="Times New Roman"/>
                <w:szCs w:val="20"/>
              </w:rPr>
              <w:t>Generaal zendt bijgaand door</w:t>
            </w:r>
          </w:p>
          <w:p w:rsidRPr="00CD49E5" w:rsidR="002C35A8" w:rsidP="000D0DF5" w:rsidRDefault="002C35A8">
            <w:pPr>
              <w:tabs>
                <w:tab w:val="left" w:pos="-1440"/>
                <w:tab w:val="left" w:pos="-720"/>
              </w:tabs>
              <w:suppressAutoHyphens/>
              <w:rPr>
                <w:rFonts w:ascii="Times New Roman" w:hAnsi="Times New Roman"/>
                <w:szCs w:val="20"/>
              </w:rPr>
            </w:pPr>
            <w:r w:rsidRPr="00CD49E5">
              <w:rPr>
                <w:rFonts w:ascii="Times New Roman" w:hAnsi="Times New Roman"/>
                <w:szCs w:val="20"/>
              </w:rPr>
              <w:t>haar aangenomen wetsvoorstel</w:t>
            </w:r>
          </w:p>
          <w:p w:rsidRPr="00CD49E5" w:rsidR="002C35A8" w:rsidP="000D0DF5" w:rsidRDefault="002C35A8">
            <w:pPr>
              <w:tabs>
                <w:tab w:val="left" w:pos="-1440"/>
                <w:tab w:val="left" w:pos="-720"/>
              </w:tabs>
              <w:suppressAutoHyphens/>
              <w:rPr>
                <w:rFonts w:ascii="Times New Roman" w:hAnsi="Times New Roman"/>
                <w:szCs w:val="20"/>
              </w:rPr>
            </w:pPr>
            <w:r w:rsidRPr="00CD49E5">
              <w:rPr>
                <w:rFonts w:ascii="Times New Roman" w:hAnsi="Times New Roman"/>
                <w:szCs w:val="20"/>
              </w:rPr>
              <w:t>aan de Eerste Kamer.</w:t>
            </w: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r w:rsidRPr="00CD49E5">
              <w:rPr>
                <w:rFonts w:ascii="Times New Roman" w:hAnsi="Times New Roman"/>
                <w:szCs w:val="20"/>
              </w:rPr>
              <w:t>De Voorzitter,</w:t>
            </w: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tabs>
                <w:tab w:val="left" w:pos="-1440"/>
                <w:tab w:val="left" w:pos="-720"/>
              </w:tabs>
              <w:suppressAutoHyphens/>
              <w:rPr>
                <w:rFonts w:ascii="Times New Roman" w:hAnsi="Times New Roman"/>
                <w:szCs w:val="20"/>
              </w:rPr>
            </w:pPr>
          </w:p>
          <w:p w:rsidRPr="00CD49E5" w:rsidR="002C35A8" w:rsidP="000D0DF5" w:rsidRDefault="002C35A8">
            <w:pPr>
              <w:rPr>
                <w:rFonts w:ascii="Times New Roman" w:hAnsi="Times New Roman"/>
                <w:szCs w:val="20"/>
              </w:rPr>
            </w:pPr>
          </w:p>
          <w:p w:rsidRPr="00276EDF" w:rsidR="00CB3578" w:rsidP="00641396" w:rsidRDefault="00641396">
            <w:pPr>
              <w:pStyle w:val="Amendement"/>
              <w:rPr>
                <w:rFonts w:ascii="Times New Roman" w:hAnsi="Times New Roman" w:cs="Times New Roman"/>
                <w:b w:val="0"/>
              </w:rPr>
            </w:pPr>
            <w:r w:rsidRPr="00CD49E5">
              <w:rPr>
                <w:rFonts w:ascii="Times New Roman" w:hAnsi="Times New Roman" w:cs="Times New Roman"/>
                <w:b w:val="0"/>
                <w:sz w:val="20"/>
                <w:szCs w:val="20"/>
              </w:rPr>
              <w:t>6 februari 2018</w:t>
            </w: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P="004E2F1E" w:rsidRDefault="00CB3578">
            <w:pPr>
              <w:rPr>
                <w:rFonts w:ascii="Times New Roman" w:hAnsi="Times New Roman"/>
                <w:b/>
                <w:bCs/>
                <w:sz w:val="24"/>
              </w:rPr>
            </w:pPr>
          </w:p>
        </w:tc>
      </w:tr>
      <w:tr w:rsidRPr="004E2F1E" w:rsidR="00B72693" w:rsidTr="0084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E2F1E" w:rsidR="00B72693" w:rsidP="000D5BC4" w:rsidRDefault="00B72693">
            <w:pPr>
              <w:rPr>
                <w:rFonts w:ascii="Times New Roman" w:hAnsi="Times New Roman"/>
                <w:b/>
                <w:sz w:val="24"/>
              </w:rPr>
            </w:pPr>
            <w:r w:rsidRPr="004E2F1E">
              <w:rPr>
                <w:rFonts w:ascii="Times New Roman" w:hAnsi="Times New Roman"/>
                <w:b/>
                <w:sz w:val="24"/>
              </w:rPr>
              <w:t>Wijziging van het Wetboek van Strafvordering tot vastlegging van het recht op bronbescherming bij vrije nieuwsgaring (bronbescherming in strafzaken)</w:t>
            </w: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p>
        </w:tc>
      </w:tr>
      <w:tr w:rsidRPr="004E2F1E" w:rsidR="00B72693" w:rsidTr="0014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E2F1E" w:rsidR="00B72693" w:rsidRDefault="00CB10E4">
            <w:pPr>
              <w:pStyle w:val="Amendement"/>
              <w:rPr>
                <w:rFonts w:ascii="Times New Roman" w:hAnsi="Times New Roman" w:cs="Times New Roman"/>
              </w:rPr>
            </w:pPr>
            <w:r>
              <w:rPr>
                <w:rFonts w:ascii="Times New Roman" w:hAnsi="Times New Roman" w:cs="Times New Roman"/>
              </w:rPr>
              <w:t xml:space="preserve">GEWIJZIGD </w:t>
            </w:r>
            <w:r w:rsidRPr="004E2F1E" w:rsidR="00B72693">
              <w:rPr>
                <w:rFonts w:ascii="Times New Roman" w:hAnsi="Times New Roman" w:cs="Times New Roman"/>
              </w:rPr>
              <w:t>VOORSTEL VAN WET</w:t>
            </w:r>
          </w:p>
        </w:tc>
      </w:tr>
      <w:tr w:rsidRPr="004E2F1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E2F1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E2F1E" w:rsidR="00CB3578" w:rsidRDefault="00CB3578">
            <w:pPr>
              <w:pStyle w:val="Amendement"/>
              <w:rPr>
                <w:rFonts w:ascii="Times New Roman" w:hAnsi="Times New Roman" w:cs="Times New Roman"/>
              </w:rPr>
            </w:pPr>
          </w:p>
        </w:tc>
      </w:tr>
    </w:tbl>
    <w:p w:rsidR="004E2F1E" w:rsidP="004E2F1E" w:rsidRDefault="004E2F1E">
      <w:pPr>
        <w:ind w:firstLine="284"/>
        <w:rPr>
          <w:rFonts w:ascii="Times New Roman" w:hAnsi="Times New Roman"/>
          <w:sz w:val="24"/>
        </w:rPr>
      </w:pPr>
      <w:r w:rsidRPr="004E2F1E">
        <w:rPr>
          <w:rFonts w:ascii="Times New Roman" w:hAnsi="Times New Roman"/>
          <w:sz w:val="24"/>
        </w:rPr>
        <w:t>Wij Willem-Alexander, bij de gratie Gods, Koning der Nederlanden, Prins van Oranje-Nassau, enz. enz. enz.</w:t>
      </w:r>
    </w:p>
    <w:p w:rsidRPr="004E2F1E" w:rsidR="004E2F1E" w:rsidP="004E2F1E" w:rsidRDefault="004E2F1E">
      <w:pPr>
        <w:rPr>
          <w:rFonts w:ascii="Times New Roman" w:hAnsi="Times New Roman"/>
          <w:sz w:val="24"/>
        </w:rPr>
      </w:pPr>
    </w:p>
    <w:p w:rsidR="004E2F1E" w:rsidP="004E2F1E" w:rsidRDefault="004E2F1E">
      <w:pPr>
        <w:ind w:firstLine="284"/>
        <w:rPr>
          <w:rFonts w:ascii="Times New Roman" w:hAnsi="Times New Roman"/>
          <w:sz w:val="24"/>
        </w:rPr>
      </w:pPr>
      <w:r w:rsidRPr="004E2F1E">
        <w:rPr>
          <w:rFonts w:ascii="Times New Roman" w:hAnsi="Times New Roman"/>
          <w:sz w:val="24"/>
        </w:rPr>
        <w:t xml:space="preserve">Allen, die deze zullen zien of horen lezen, saluut! </w:t>
      </w:r>
      <w:proofErr w:type="gramStart"/>
      <w:r w:rsidRPr="004E2F1E">
        <w:rPr>
          <w:rFonts w:ascii="Times New Roman" w:hAnsi="Times New Roman"/>
          <w:sz w:val="24"/>
        </w:rPr>
        <w:t>doen</w:t>
      </w:r>
      <w:proofErr w:type="gramEnd"/>
      <w:r w:rsidRPr="004E2F1E">
        <w:rPr>
          <w:rFonts w:ascii="Times New Roman" w:hAnsi="Times New Roman"/>
          <w:sz w:val="24"/>
        </w:rPr>
        <w:t xml:space="preserve"> te weten:</w:t>
      </w:r>
    </w:p>
    <w:p w:rsidR="004E2F1E" w:rsidP="004E2F1E" w:rsidRDefault="004E2F1E">
      <w:pPr>
        <w:ind w:firstLine="284"/>
        <w:rPr>
          <w:rFonts w:ascii="Times New Roman" w:hAnsi="Times New Roman"/>
          <w:sz w:val="24"/>
        </w:rPr>
      </w:pPr>
      <w:proofErr w:type="gramStart"/>
      <w:r w:rsidRPr="004E2F1E">
        <w:rPr>
          <w:rFonts w:ascii="Times New Roman" w:hAnsi="Times New Roman"/>
          <w:sz w:val="24"/>
        </w:rPr>
        <w:t>Alzo</w:t>
      </w:r>
      <w:proofErr w:type="gramEnd"/>
      <w:r w:rsidRPr="004E2F1E">
        <w:rPr>
          <w:rFonts w:ascii="Times New Roman" w:hAnsi="Times New Roman"/>
          <w:sz w:val="24"/>
        </w:rPr>
        <w:t xml:space="preserve"> Wij in overweging genomen hebben, dat het wenselijk is aanvullende bepalingen op te nemen in het Wetboek van Strafvordering ter vastlegging van het recht op bronbescherming bij vrije nieuwsgaring in een democratische samenleving en de toepassing van dwangmiddelen tegen verschoningsgerechtigden;</w:t>
      </w:r>
    </w:p>
    <w:p w:rsidR="004E2F1E" w:rsidP="004E2F1E" w:rsidRDefault="004E2F1E">
      <w:pPr>
        <w:ind w:firstLine="284"/>
        <w:rPr>
          <w:rFonts w:ascii="Times New Roman" w:hAnsi="Times New Roman"/>
          <w:sz w:val="24"/>
        </w:rPr>
      </w:pPr>
      <w:r w:rsidRPr="004E2F1E">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E2F1E">
        <w:rPr>
          <w:rFonts w:ascii="Times New Roman" w:hAnsi="Times New Roman"/>
          <w:sz w:val="24"/>
        </w:rPr>
        <w:t>gelijk</w:t>
      </w:r>
      <w:proofErr w:type="gramEnd"/>
      <w:r w:rsidRPr="004E2F1E">
        <w:rPr>
          <w:rFonts w:ascii="Times New Roman" w:hAnsi="Times New Roman"/>
          <w:sz w:val="24"/>
        </w:rPr>
        <w:t xml:space="preserve"> Wij goedvinden en verstaan bij deze:</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004E2F1E" w:rsidP="004E2F1E" w:rsidRDefault="004E2F1E">
      <w:pPr>
        <w:rPr>
          <w:rFonts w:ascii="Times New Roman" w:hAnsi="Times New Roman"/>
          <w:b/>
          <w:sz w:val="24"/>
        </w:rPr>
      </w:pPr>
      <w:r w:rsidRPr="004E2F1E">
        <w:rPr>
          <w:rFonts w:ascii="Times New Roman" w:hAnsi="Times New Roman"/>
          <w:b/>
          <w:sz w:val="24"/>
        </w:rPr>
        <w:t>ARTIKEL I</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Het Wetboek van Strafvorde</w:t>
      </w:r>
      <w:r>
        <w:rPr>
          <w:rFonts w:ascii="Times New Roman" w:hAnsi="Times New Roman"/>
          <w:sz w:val="24"/>
        </w:rPr>
        <w:t>ring wordt als volgt gewijzigd:</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A</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In de artikelen 96a, derde lid, onder b, 96c, eerste lid, 98, eerste lid, 125l, 126</w:t>
      </w:r>
      <w:proofErr w:type="gramStart"/>
      <w:r w:rsidRPr="004E2F1E">
        <w:rPr>
          <w:rFonts w:ascii="Times New Roman" w:hAnsi="Times New Roman"/>
          <w:sz w:val="24"/>
        </w:rPr>
        <w:t>aa</w:t>
      </w:r>
      <w:proofErr w:type="gramEnd"/>
      <w:r w:rsidRPr="004E2F1E">
        <w:rPr>
          <w:rFonts w:ascii="Times New Roman" w:hAnsi="Times New Roman"/>
          <w:sz w:val="24"/>
        </w:rPr>
        <w:t xml:space="preserve">, tweede lid, 126hh, eerste lid, 552ob, tweede lid, onder a, 552oc, vierde lid, onder a, 552qe, tweede lid, onder a, en 552yy, eerste lid, onder d, wordt “artikel 218” telkens vervangen door: de artikelen 218 en 218a. </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B</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97, eerste lid, komt te luiden:</w:t>
      </w:r>
    </w:p>
    <w:p w:rsidRPr="004E2F1E" w:rsidR="004E2F1E" w:rsidP="004E2F1E" w:rsidRDefault="004E2F1E">
      <w:pPr>
        <w:rPr>
          <w:rFonts w:ascii="Times New Roman" w:hAnsi="Times New Roman"/>
          <w:sz w:val="24"/>
        </w:rPr>
      </w:pPr>
    </w:p>
    <w:p w:rsidR="004E2F1E" w:rsidP="004E2F1E" w:rsidRDefault="004E2F1E">
      <w:pPr>
        <w:ind w:firstLine="284"/>
        <w:rPr>
          <w:rFonts w:ascii="Times New Roman" w:hAnsi="Times New Roman"/>
          <w:sz w:val="24"/>
        </w:rPr>
      </w:pPr>
      <w:r>
        <w:rPr>
          <w:rFonts w:ascii="Times New Roman" w:hAnsi="Times New Roman"/>
          <w:sz w:val="24"/>
        </w:rPr>
        <w:lastRenderedPageBreak/>
        <w:t xml:space="preserve">1. </w:t>
      </w:r>
      <w:r w:rsidRPr="004E2F1E">
        <w:rPr>
          <w:rFonts w:ascii="Times New Roman" w:hAnsi="Times New Roman"/>
          <w:sz w:val="24"/>
        </w:rPr>
        <w:t>In geval van ontdekking op heterdaad van een strafbaar feit of in geval van verdenking van een misdrijf als omschreven in artikel 67, eerste lid, kan de officier van justitie, bij dringende noodzakelijkheid en indien het optreden van de rechter-commissaris niet kan worden afgewacht, ter inbeslagneming een woning zonder toestemming van de bewoner doorzoeken.</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C</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Aan artikel 98 wordt een derde lid toegevoegd dat luidt:</w:t>
      </w:r>
    </w:p>
    <w:p w:rsidR="004E2F1E" w:rsidP="004E2F1E" w:rsidRDefault="004E2F1E">
      <w:pPr>
        <w:ind w:firstLine="284"/>
        <w:rPr>
          <w:rFonts w:ascii="Times New Roman" w:hAnsi="Times New Roman"/>
          <w:sz w:val="24"/>
        </w:rPr>
      </w:pPr>
      <w:r w:rsidRPr="004E2F1E">
        <w:rPr>
          <w:rFonts w:ascii="Times New Roman" w:hAnsi="Times New Roman"/>
          <w:sz w:val="24"/>
        </w:rPr>
        <w:t xml:space="preserve">3. De rechter-commissaris kan zich bij de beoordeling van de aannemelijkheid van het beroep van de verschoningsgerechtigde op zijn geheimhoudingsplicht laten voorlichten door een vertegenwoordiger van de beroepsgroep waartoe de verschoningsgerechtigde behoort. </w:t>
      </w:r>
    </w:p>
    <w:p w:rsidR="00D20EDA" w:rsidP="00F556F6" w:rsidRDefault="00D20EDA">
      <w:pPr>
        <w:rPr>
          <w:rFonts w:ascii="Times New Roman" w:hAnsi="Times New Roman"/>
          <w:sz w:val="24"/>
        </w:rPr>
      </w:pPr>
    </w:p>
    <w:p w:rsidRPr="00F556F6" w:rsidR="00F556F6" w:rsidP="00F556F6" w:rsidRDefault="00F556F6">
      <w:pPr>
        <w:rPr>
          <w:rFonts w:ascii="Times New Roman" w:hAnsi="Times New Roman"/>
          <w:sz w:val="24"/>
        </w:rPr>
      </w:pPr>
      <w:r w:rsidRPr="00F556F6">
        <w:rPr>
          <w:rFonts w:ascii="Times New Roman" w:hAnsi="Times New Roman"/>
          <w:sz w:val="24"/>
        </w:rPr>
        <w:t>Ca</w:t>
      </w:r>
    </w:p>
    <w:p w:rsidRPr="00F556F6" w:rsidR="00F556F6" w:rsidP="00F556F6" w:rsidRDefault="00F556F6">
      <w:pPr>
        <w:rPr>
          <w:rFonts w:ascii="Times New Roman" w:hAnsi="Times New Roman"/>
          <w:sz w:val="24"/>
        </w:rPr>
      </w:pPr>
    </w:p>
    <w:p w:rsidRPr="00F556F6" w:rsidR="00F556F6" w:rsidP="00F556F6" w:rsidRDefault="00F556F6">
      <w:pPr>
        <w:rPr>
          <w:rFonts w:ascii="Times New Roman" w:hAnsi="Times New Roman"/>
          <w:sz w:val="24"/>
        </w:rPr>
      </w:pPr>
      <w:r w:rsidRPr="00F556F6">
        <w:rPr>
          <w:rFonts w:ascii="Times New Roman" w:hAnsi="Times New Roman"/>
          <w:sz w:val="24"/>
        </w:rPr>
        <w:tab/>
        <w:t>In artikel 126c, eerste lid, vervalt de zinsnede: of een kantoor van een persoon met bevoegdheid tot verschoning als bedoeld in artikel 218</w:t>
      </w:r>
      <w:r w:rsidR="009E0FE0">
        <w:rPr>
          <w:rFonts w:ascii="Times New Roman" w:hAnsi="Times New Roman"/>
          <w:sz w:val="24"/>
        </w:rPr>
        <w:t>.</w:t>
      </w:r>
    </w:p>
    <w:p w:rsidRPr="00F556F6" w:rsidR="00F556F6" w:rsidP="00F556F6" w:rsidRDefault="00F556F6">
      <w:pPr>
        <w:rPr>
          <w:rFonts w:ascii="Times New Roman" w:hAnsi="Times New Roman"/>
          <w:sz w:val="24"/>
        </w:rPr>
      </w:pPr>
    </w:p>
    <w:p w:rsidRPr="00F556F6" w:rsidR="00F556F6" w:rsidP="00F556F6" w:rsidRDefault="00F556F6">
      <w:pPr>
        <w:rPr>
          <w:rFonts w:ascii="Times New Roman" w:hAnsi="Times New Roman"/>
          <w:sz w:val="24"/>
        </w:rPr>
      </w:pPr>
      <w:proofErr w:type="spellStart"/>
      <w:r w:rsidRPr="00F556F6">
        <w:rPr>
          <w:rFonts w:ascii="Times New Roman" w:hAnsi="Times New Roman"/>
          <w:sz w:val="24"/>
        </w:rPr>
        <w:t>Cb</w:t>
      </w:r>
      <w:proofErr w:type="spellEnd"/>
    </w:p>
    <w:p w:rsidRPr="00F556F6" w:rsidR="00F556F6" w:rsidP="00F556F6" w:rsidRDefault="00F556F6">
      <w:pPr>
        <w:rPr>
          <w:rFonts w:ascii="Times New Roman" w:hAnsi="Times New Roman"/>
          <w:sz w:val="24"/>
        </w:rPr>
      </w:pPr>
    </w:p>
    <w:p w:rsidRPr="00811BF7" w:rsidR="00F556F6" w:rsidP="00F556F6" w:rsidRDefault="00F556F6">
      <w:pPr>
        <w:rPr>
          <w:rFonts w:ascii="Times New Roman" w:hAnsi="Times New Roman"/>
          <w:sz w:val="24"/>
        </w:rPr>
      </w:pPr>
      <w:r w:rsidRPr="00811BF7">
        <w:rPr>
          <w:rFonts w:ascii="Times New Roman" w:hAnsi="Times New Roman"/>
          <w:sz w:val="24"/>
        </w:rPr>
        <w:tab/>
        <w:t xml:space="preserve">Aan de artikelen 126n, tweede lid, </w:t>
      </w:r>
      <w:r w:rsidRPr="00811BF7" w:rsidR="00811BF7">
        <w:rPr>
          <w:rFonts w:ascii="Times New Roman" w:hAnsi="Times New Roman"/>
          <w:sz w:val="24"/>
        </w:rPr>
        <w:t>126nd, tweede lid,</w:t>
      </w:r>
      <w:r w:rsidRPr="00811BF7">
        <w:rPr>
          <w:rFonts w:ascii="Times New Roman" w:hAnsi="Times New Roman"/>
          <w:sz w:val="24"/>
        </w:rPr>
        <w:t xml:space="preserve"> 126u, tweede lid, </w:t>
      </w:r>
      <w:r w:rsidRPr="00811BF7" w:rsidR="00811BF7">
        <w:rPr>
          <w:rFonts w:ascii="Times New Roman" w:hAnsi="Times New Roman"/>
          <w:sz w:val="24"/>
        </w:rPr>
        <w:t>en 126ud, tweede lid,</w:t>
      </w:r>
      <w:r w:rsidR="00811BF7">
        <w:rPr>
          <w:rFonts w:ascii="Times New Roman" w:hAnsi="Times New Roman"/>
          <w:sz w:val="24"/>
        </w:rPr>
        <w:t xml:space="preserve"> </w:t>
      </w:r>
      <w:r w:rsidRPr="00811BF7">
        <w:rPr>
          <w:rFonts w:ascii="Times New Roman" w:hAnsi="Times New Roman"/>
          <w:sz w:val="24"/>
        </w:rPr>
        <w:t>worden twee volzinnen toegevoegd die luiden:</w:t>
      </w:r>
      <w:r w:rsidRPr="00811BF7" w:rsidR="00651F03">
        <w:rPr>
          <w:rFonts w:ascii="Times New Roman" w:hAnsi="Times New Roman"/>
          <w:sz w:val="24"/>
        </w:rPr>
        <w:t xml:space="preserve"> </w:t>
      </w:r>
      <w:r w:rsidRPr="00811BF7">
        <w:rPr>
          <w:rFonts w:ascii="Times New Roman" w:hAnsi="Times New Roman"/>
          <w:sz w:val="24"/>
        </w:rPr>
        <w:t>Indien de vorde</w:t>
      </w:r>
      <w:r w:rsidRPr="00811BF7" w:rsidR="00D36090">
        <w:rPr>
          <w:rFonts w:ascii="Times New Roman" w:hAnsi="Times New Roman"/>
          <w:sz w:val="24"/>
        </w:rPr>
        <w:t>r</w:t>
      </w:r>
      <w:r w:rsidRPr="00811BF7">
        <w:rPr>
          <w:rFonts w:ascii="Times New Roman" w:hAnsi="Times New Roman"/>
          <w:sz w:val="24"/>
        </w:rPr>
        <w:t>ing, bedoeld in het eerste lid, betrekking heeft op een persoon die aanspraak kan maken op bronbescherming</w:t>
      </w:r>
      <w:r w:rsidRPr="00F556F6">
        <w:rPr>
          <w:rFonts w:ascii="Times New Roman" w:hAnsi="Times New Roman"/>
          <w:sz w:val="24"/>
        </w:rPr>
        <w:t xml:space="preserve">, kan deze slechts worden gedaan na schriftelijke machtiging, op vordering van de officier van </w:t>
      </w:r>
      <w:r w:rsidRPr="00811BF7">
        <w:rPr>
          <w:rFonts w:ascii="Times New Roman" w:hAnsi="Times New Roman"/>
          <w:sz w:val="24"/>
        </w:rPr>
        <w:t xml:space="preserve">justitie te verlenen door de rechter-commissaris. Artikel 218a, tweede lid, is van overeenkomstige toepassing. </w:t>
      </w:r>
    </w:p>
    <w:p w:rsidRPr="00811BF7" w:rsidR="00811BF7" w:rsidP="00F556F6" w:rsidRDefault="00811BF7">
      <w:pPr>
        <w:rPr>
          <w:rFonts w:ascii="Times New Roman" w:hAnsi="Times New Roman"/>
          <w:sz w:val="24"/>
        </w:rPr>
      </w:pPr>
    </w:p>
    <w:p w:rsidRPr="00811BF7" w:rsidR="00811BF7" w:rsidP="00811BF7" w:rsidRDefault="00811BF7">
      <w:pPr>
        <w:rPr>
          <w:rFonts w:ascii="Times New Roman" w:hAnsi="Times New Roman"/>
          <w:sz w:val="24"/>
        </w:rPr>
      </w:pPr>
      <w:r w:rsidRPr="00811BF7">
        <w:rPr>
          <w:rFonts w:ascii="Times New Roman" w:hAnsi="Times New Roman"/>
          <w:sz w:val="24"/>
        </w:rPr>
        <w:t>Cc</w:t>
      </w:r>
    </w:p>
    <w:p w:rsidRPr="00811BF7" w:rsidR="00811BF7" w:rsidP="00811BF7" w:rsidRDefault="00811BF7">
      <w:pPr>
        <w:rPr>
          <w:rFonts w:ascii="Times New Roman" w:hAnsi="Times New Roman"/>
          <w:sz w:val="24"/>
        </w:rPr>
      </w:pPr>
    </w:p>
    <w:p w:rsidRPr="00811BF7" w:rsidR="00811BF7" w:rsidP="00811BF7" w:rsidRDefault="00811BF7">
      <w:pPr>
        <w:rPr>
          <w:rFonts w:ascii="Times New Roman" w:hAnsi="Times New Roman"/>
          <w:sz w:val="24"/>
        </w:rPr>
      </w:pPr>
      <w:r w:rsidRPr="00811BF7">
        <w:rPr>
          <w:rFonts w:ascii="Times New Roman" w:hAnsi="Times New Roman"/>
          <w:sz w:val="24"/>
        </w:rPr>
        <w:tab/>
        <w:t xml:space="preserve">Aan artikel 126nda, tweede lid, worden twee volzinnen toegevoegd, luidende: Indien de vordering, bedoeld in het eerste lid, betrekking heeft op een persoon die aanspraak kan maken op bronbescherming, kan deze slechts worden gedaan na schriftelijke machtiging, op vordering van de officier van justitie te verlenen door de rechter-commissaris. Artikel 218a, tweede lid, is van overeenkomstige toepassing. </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D</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Na artikel 218 wordt ingevoegd artikel 218a dat luidt:</w:t>
      </w:r>
    </w:p>
    <w:p w:rsidRPr="004E2F1E" w:rsidR="004E2F1E" w:rsidP="004E2F1E" w:rsidRDefault="004E2F1E">
      <w:pPr>
        <w:rPr>
          <w:rFonts w:ascii="Times New Roman" w:hAnsi="Times New Roman"/>
          <w:sz w:val="24"/>
        </w:rPr>
      </w:pPr>
    </w:p>
    <w:p w:rsidRPr="006B345C" w:rsidR="004E2F1E" w:rsidP="004E2F1E" w:rsidRDefault="004E2F1E">
      <w:pPr>
        <w:rPr>
          <w:rFonts w:ascii="Times New Roman" w:hAnsi="Times New Roman"/>
          <w:b/>
          <w:sz w:val="24"/>
        </w:rPr>
      </w:pPr>
      <w:r w:rsidRPr="006B345C">
        <w:rPr>
          <w:rFonts w:ascii="Times New Roman" w:hAnsi="Times New Roman"/>
          <w:b/>
          <w:sz w:val="24"/>
        </w:rPr>
        <w:t xml:space="preserve">Artikel 218a </w:t>
      </w:r>
    </w:p>
    <w:p w:rsidRPr="004E2F1E" w:rsidR="004E2F1E" w:rsidP="004E2F1E" w:rsidRDefault="004E2F1E">
      <w:pPr>
        <w:rPr>
          <w:rFonts w:ascii="Times New Roman" w:hAnsi="Times New Roman"/>
          <w:sz w:val="24"/>
        </w:rPr>
      </w:pPr>
    </w:p>
    <w:p w:rsidRPr="00397392" w:rsidR="004E2F1E" w:rsidP="00397392" w:rsidRDefault="00397392">
      <w:pPr>
        <w:ind w:firstLine="284"/>
        <w:rPr>
          <w:rFonts w:ascii="Times New Roman" w:hAnsi="Times New Roman"/>
          <w:sz w:val="24"/>
        </w:rPr>
      </w:pPr>
      <w:r>
        <w:rPr>
          <w:rFonts w:ascii="Times New Roman" w:hAnsi="Times New Roman"/>
          <w:sz w:val="24"/>
        </w:rPr>
        <w:t xml:space="preserve">1. </w:t>
      </w:r>
      <w:r w:rsidRPr="00397392" w:rsidR="004E2F1E">
        <w:rPr>
          <w:rFonts w:ascii="Times New Roman" w:hAnsi="Times New Roman"/>
          <w:sz w:val="24"/>
        </w:rPr>
        <w:t xml:space="preserve">Getuigen die als journalist of publicist in het kader van nieuwsgaring, beschikken over gegevens van personen die deze gegevens ter openbaarmaking hebben verstrekt, kunnen zich verschonen van het beantwoorden van vragen over de herkomst van die gegevens. </w:t>
      </w:r>
    </w:p>
    <w:p w:rsidRPr="004E2F1E" w:rsidR="004E2F1E" w:rsidP="00397392" w:rsidRDefault="00397392">
      <w:pPr>
        <w:ind w:firstLine="284"/>
        <w:rPr>
          <w:rFonts w:ascii="Times New Roman" w:hAnsi="Times New Roman"/>
          <w:sz w:val="24"/>
        </w:rPr>
      </w:pPr>
      <w:r>
        <w:rPr>
          <w:rFonts w:ascii="Times New Roman" w:hAnsi="Times New Roman"/>
          <w:sz w:val="24"/>
        </w:rPr>
        <w:t xml:space="preserve">2. </w:t>
      </w:r>
      <w:r w:rsidRPr="004E2F1E" w:rsidR="004E2F1E">
        <w:rPr>
          <w:rFonts w:ascii="Times New Roman" w:hAnsi="Times New Roman"/>
          <w:sz w:val="24"/>
        </w:rPr>
        <w:t>De rechter-commissaris kan het beroep van de getuige, bedoeld in het eerste lid, afwijzen indien hij oordeelt dat bij het onbeantwoord blijven van vragen aan een zwaarder wegend maatschappelijk belang een onevenredig grote schade zou worden toegebracht.</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E</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222 komt te luiden:</w:t>
      </w:r>
    </w:p>
    <w:p w:rsidRPr="004E2F1E" w:rsidR="004E2F1E" w:rsidP="004E2F1E" w:rsidRDefault="004E2F1E">
      <w:pPr>
        <w:rPr>
          <w:rFonts w:ascii="Times New Roman" w:hAnsi="Times New Roman"/>
          <w:sz w:val="24"/>
        </w:rPr>
      </w:pPr>
    </w:p>
    <w:p w:rsidRPr="006B345C" w:rsidR="004E2F1E" w:rsidP="004E2F1E" w:rsidRDefault="004E2F1E">
      <w:pPr>
        <w:rPr>
          <w:rFonts w:ascii="Times New Roman" w:hAnsi="Times New Roman"/>
          <w:b/>
          <w:sz w:val="24"/>
        </w:rPr>
      </w:pPr>
      <w:r w:rsidRPr="006B345C">
        <w:rPr>
          <w:rFonts w:ascii="Times New Roman" w:hAnsi="Times New Roman"/>
          <w:b/>
          <w:sz w:val="24"/>
        </w:rPr>
        <w:t>Artikel 222</w:t>
      </w:r>
    </w:p>
    <w:p w:rsidRPr="004E2F1E" w:rsidR="004E2F1E" w:rsidP="004E2F1E" w:rsidRDefault="004E2F1E">
      <w:pPr>
        <w:rPr>
          <w:rFonts w:ascii="Times New Roman" w:hAnsi="Times New Roman"/>
          <w:sz w:val="24"/>
        </w:rPr>
      </w:pPr>
    </w:p>
    <w:p w:rsidRPr="004E2F1E" w:rsidR="004E2F1E" w:rsidP="004E2F1E" w:rsidRDefault="00397392">
      <w:pPr>
        <w:ind w:firstLine="284"/>
        <w:rPr>
          <w:rFonts w:ascii="Times New Roman" w:hAnsi="Times New Roman"/>
          <w:sz w:val="24"/>
        </w:rPr>
      </w:pPr>
      <w:r>
        <w:rPr>
          <w:rFonts w:ascii="Times New Roman" w:hAnsi="Times New Roman"/>
          <w:sz w:val="24"/>
        </w:rPr>
        <w:t xml:space="preserve">1. </w:t>
      </w:r>
      <w:r w:rsidRPr="004E2F1E" w:rsidR="004E2F1E">
        <w:rPr>
          <w:rFonts w:ascii="Times New Roman" w:hAnsi="Times New Roman"/>
          <w:sz w:val="24"/>
        </w:rPr>
        <w:t xml:space="preserve">De rechtbank beveelt de gijzeling van de getuige voor ten hoogste twaalf dagen indien dit in het belang van het onderzoek dringend noodzakelijk is. Zij bepaalt daarbij het tijdstip waarop de getuige wederom aan haar wordt voorgeleid </w:t>
      </w:r>
      <w:proofErr w:type="gramStart"/>
      <w:r w:rsidRPr="004E2F1E" w:rsidR="004E2F1E">
        <w:rPr>
          <w:rFonts w:ascii="Times New Roman" w:hAnsi="Times New Roman"/>
          <w:sz w:val="24"/>
        </w:rPr>
        <w:t>teneinde</w:t>
      </w:r>
      <w:proofErr w:type="gramEnd"/>
      <w:r w:rsidRPr="004E2F1E" w:rsidR="004E2F1E">
        <w:rPr>
          <w:rFonts w:ascii="Times New Roman" w:hAnsi="Times New Roman"/>
          <w:sz w:val="24"/>
        </w:rPr>
        <w:t xml:space="preserve"> te worden gehoord.</w:t>
      </w:r>
    </w:p>
    <w:p w:rsidRPr="004E2F1E" w:rsidR="004E2F1E" w:rsidP="00397392" w:rsidRDefault="00397392">
      <w:pPr>
        <w:ind w:firstLine="284"/>
        <w:rPr>
          <w:rFonts w:ascii="Times New Roman" w:hAnsi="Times New Roman"/>
          <w:sz w:val="24"/>
        </w:rPr>
      </w:pPr>
      <w:r>
        <w:rPr>
          <w:rFonts w:ascii="Times New Roman" w:hAnsi="Times New Roman"/>
          <w:sz w:val="24"/>
        </w:rPr>
        <w:t xml:space="preserve">2. </w:t>
      </w:r>
      <w:r w:rsidRPr="004E2F1E" w:rsidR="004E2F1E">
        <w:rPr>
          <w:rFonts w:ascii="Times New Roman" w:hAnsi="Times New Roman"/>
          <w:sz w:val="24"/>
        </w:rPr>
        <w:t>De rechtbank kan op verslag van de rechter-commissaris, op vordering van de officier van justitie, of op verzoek van de verdachte bevelen dat de gijzeling van de getuige die bij zijn verhoor te kennen heeft gegeven te blijven bij zijn weigering aan zijn verplichting tot antwoorden te voldoen en daarvoor geen wettige grond heeft, telkens met ten hoogste twaalf dagen wordt verlengd. Zij bepaalt daarbij telkens een tijdstip van voorgeleiding.</w:t>
      </w:r>
    </w:p>
    <w:p w:rsidRPr="004E2F1E" w:rsidR="004E2F1E" w:rsidP="00397392" w:rsidRDefault="00397392">
      <w:pPr>
        <w:ind w:firstLine="284"/>
        <w:rPr>
          <w:rFonts w:ascii="Times New Roman" w:hAnsi="Times New Roman"/>
          <w:sz w:val="24"/>
        </w:rPr>
      </w:pPr>
      <w:r>
        <w:rPr>
          <w:rFonts w:ascii="Times New Roman" w:hAnsi="Times New Roman"/>
          <w:sz w:val="24"/>
        </w:rPr>
        <w:t xml:space="preserve">3. </w:t>
      </w:r>
      <w:r w:rsidRPr="004E2F1E" w:rsidR="004E2F1E">
        <w:rPr>
          <w:rFonts w:ascii="Times New Roman" w:hAnsi="Times New Roman"/>
          <w:sz w:val="24"/>
        </w:rPr>
        <w:t xml:space="preserve">De rechtbank kan zich voorafgaand aan de beslissing tot het verlenen van het bevel tot gijzeling of de verlenging daarvan laten voorlichten door een vertegenwoordiger van de beroepsgroep, waartoe de getuige, bedoeld in artikelen 218 tot en met 219b, behoort. </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F</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294 komt te luiden:</w:t>
      </w:r>
    </w:p>
    <w:p w:rsidRPr="004E2F1E" w:rsidR="004E2F1E" w:rsidP="004E2F1E" w:rsidRDefault="004E2F1E">
      <w:pPr>
        <w:rPr>
          <w:rFonts w:ascii="Times New Roman" w:hAnsi="Times New Roman"/>
          <w:sz w:val="24"/>
        </w:rPr>
      </w:pPr>
    </w:p>
    <w:p w:rsidRPr="006B345C" w:rsidR="004E2F1E" w:rsidP="004E2F1E" w:rsidRDefault="004E2F1E">
      <w:pPr>
        <w:rPr>
          <w:rFonts w:ascii="Times New Roman" w:hAnsi="Times New Roman"/>
          <w:b/>
          <w:sz w:val="24"/>
        </w:rPr>
      </w:pPr>
      <w:r w:rsidRPr="006B345C">
        <w:rPr>
          <w:rFonts w:ascii="Times New Roman" w:hAnsi="Times New Roman"/>
          <w:b/>
          <w:sz w:val="24"/>
        </w:rPr>
        <w:t>Artikel 294</w:t>
      </w:r>
    </w:p>
    <w:p w:rsidRPr="004E2F1E" w:rsidR="004E2F1E" w:rsidP="004E2F1E" w:rsidRDefault="004E2F1E">
      <w:pPr>
        <w:rPr>
          <w:rFonts w:ascii="Times New Roman" w:hAnsi="Times New Roman"/>
          <w:sz w:val="24"/>
        </w:rPr>
      </w:pPr>
    </w:p>
    <w:p w:rsidRPr="004E2F1E" w:rsidR="004E2F1E" w:rsidP="004E2F1E" w:rsidRDefault="00397392">
      <w:pPr>
        <w:ind w:firstLine="284"/>
        <w:rPr>
          <w:rFonts w:ascii="Times New Roman" w:hAnsi="Times New Roman"/>
          <w:sz w:val="24"/>
        </w:rPr>
      </w:pPr>
      <w:r>
        <w:rPr>
          <w:rFonts w:ascii="Times New Roman" w:hAnsi="Times New Roman"/>
          <w:sz w:val="24"/>
        </w:rPr>
        <w:t xml:space="preserve">1. </w:t>
      </w:r>
      <w:r w:rsidRPr="004E2F1E" w:rsidR="004E2F1E">
        <w:rPr>
          <w:rFonts w:ascii="Times New Roman" w:hAnsi="Times New Roman"/>
          <w:sz w:val="24"/>
        </w:rPr>
        <w:t xml:space="preserve">Indien de getuige bij zijn verhoor zonder wettige grond weigert de gestelde vragen te beantwoorden, ofwel de gevorderde eed of belofte af te leggen, kan de rechtbank indien dit dringend noodzakelijk is voor het onderzoek, diens gijzeling bevelen voor ten hoogste dertig dagen. De rechtbank beveelt op welk tijdstip, maar in ieder geval uiterlijk binnen veertien dagen nadat het bevel tot gijzeling is gegeven, dat de getuige aan haar wordt voorgeleid. </w:t>
      </w:r>
    </w:p>
    <w:p w:rsidRPr="004E2F1E" w:rsidR="004E2F1E" w:rsidP="00397392" w:rsidRDefault="00397392">
      <w:pPr>
        <w:ind w:firstLine="284"/>
        <w:rPr>
          <w:rFonts w:ascii="Times New Roman" w:hAnsi="Times New Roman"/>
          <w:sz w:val="24"/>
        </w:rPr>
      </w:pPr>
      <w:r>
        <w:rPr>
          <w:rFonts w:ascii="Times New Roman" w:hAnsi="Times New Roman"/>
          <w:sz w:val="24"/>
        </w:rPr>
        <w:t xml:space="preserve">2. </w:t>
      </w:r>
      <w:r w:rsidRPr="004E2F1E" w:rsidR="004E2F1E">
        <w:rPr>
          <w:rFonts w:ascii="Times New Roman" w:hAnsi="Times New Roman"/>
          <w:sz w:val="24"/>
        </w:rPr>
        <w:t>Voordat het bevel tot gijzeling wordt gegeven worden de getuige en diens advocaat gehoord over de reden van diens weigering. Tegen dit bevel staat geen rechtsmiddel open.</w:t>
      </w:r>
    </w:p>
    <w:p w:rsidRPr="004E2F1E" w:rsidR="004E2F1E" w:rsidP="00397392" w:rsidRDefault="00397392">
      <w:pPr>
        <w:ind w:firstLine="284"/>
        <w:rPr>
          <w:rFonts w:ascii="Times New Roman" w:hAnsi="Times New Roman"/>
          <w:sz w:val="24"/>
        </w:rPr>
      </w:pPr>
      <w:r>
        <w:rPr>
          <w:rFonts w:ascii="Times New Roman" w:hAnsi="Times New Roman"/>
          <w:sz w:val="24"/>
        </w:rPr>
        <w:t xml:space="preserve">3. </w:t>
      </w:r>
      <w:r w:rsidRPr="004E2F1E" w:rsidR="004E2F1E">
        <w:rPr>
          <w:rFonts w:ascii="Times New Roman" w:hAnsi="Times New Roman"/>
          <w:sz w:val="24"/>
        </w:rPr>
        <w:t xml:space="preserve">De rechtbank gelast het ontslag van de getuige uit de gijzeling, zodra hij aan zijn verplichtingen heeft voldaan of het onderzoek op de terechtzitting is gesloten. Zij is echter bevoegd het ontslag van de getuige uit de gijzeling in elke stand van het onderzoek te bevelen, </w:t>
      </w:r>
      <w:r w:rsidR="00DF430B">
        <w:rPr>
          <w:rFonts w:ascii="Times New Roman" w:hAnsi="Times New Roman"/>
          <w:sz w:val="24"/>
        </w:rPr>
        <w:t>ook op verzoek van de getuige.</w:t>
      </w:r>
    </w:p>
    <w:p w:rsidRPr="004E2F1E" w:rsidR="004E2F1E" w:rsidP="00397392" w:rsidRDefault="00397392">
      <w:pPr>
        <w:ind w:firstLine="284"/>
        <w:rPr>
          <w:rFonts w:ascii="Times New Roman" w:hAnsi="Times New Roman"/>
          <w:sz w:val="24"/>
        </w:rPr>
      </w:pPr>
      <w:r>
        <w:rPr>
          <w:rFonts w:ascii="Times New Roman" w:hAnsi="Times New Roman"/>
          <w:sz w:val="24"/>
        </w:rPr>
        <w:t xml:space="preserve">4. </w:t>
      </w:r>
      <w:r w:rsidRPr="004E2F1E" w:rsidR="004E2F1E">
        <w:rPr>
          <w:rFonts w:ascii="Times New Roman" w:hAnsi="Times New Roman"/>
          <w:sz w:val="24"/>
        </w:rPr>
        <w:t xml:space="preserve">De artikelen 222, derde lid, 223, tweede en derde lid, 224 en 225 zijn van overeenkomstige toepassing. </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b/>
          <w:caps/>
          <w:sz w:val="24"/>
        </w:rPr>
      </w:pPr>
      <w:r w:rsidRPr="004E2F1E">
        <w:rPr>
          <w:rFonts w:ascii="Times New Roman" w:hAnsi="Times New Roman"/>
          <w:b/>
          <w:caps/>
          <w:sz w:val="24"/>
        </w:rPr>
        <w:t>Artikel II</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 xml:space="preserve">In artikel 22, derde lid, van de Wet administratiefrechtelijke handhaving verkeersvoorschriften wordt “artikelen 217 en 218” vervangen door: artikelen 217 tot en met 218a. </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b/>
          <w:caps/>
          <w:sz w:val="24"/>
        </w:rPr>
      </w:pPr>
      <w:r w:rsidRPr="004E2F1E">
        <w:rPr>
          <w:rFonts w:ascii="Times New Roman" w:hAnsi="Times New Roman"/>
          <w:b/>
          <w:caps/>
          <w:sz w:val="24"/>
        </w:rPr>
        <w:t>Artikel III</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 xml:space="preserve">Indien het bij </w:t>
      </w:r>
      <w:proofErr w:type="gramStart"/>
      <w:r w:rsidRPr="004E2F1E">
        <w:rPr>
          <w:rFonts w:ascii="Times New Roman" w:hAnsi="Times New Roman"/>
          <w:sz w:val="24"/>
        </w:rPr>
        <w:t>koninklijke</w:t>
      </w:r>
      <w:proofErr w:type="gramEnd"/>
      <w:r w:rsidRPr="004E2F1E">
        <w:rPr>
          <w:rFonts w:ascii="Times New Roman" w:hAnsi="Times New Roman"/>
          <w:sz w:val="24"/>
        </w:rPr>
        <w:t xml:space="preserve"> boodschap van 28 juni 2013 ingediende voorstel van wet tot wijziging van het Wetboek van Strafrecht, het Wetboek van Strafvordering en de Wet op de </w:t>
      </w:r>
      <w:r w:rsidRPr="004E2F1E">
        <w:rPr>
          <w:rFonts w:ascii="Times New Roman" w:hAnsi="Times New Roman"/>
          <w:sz w:val="24"/>
        </w:rPr>
        <w:lastRenderedPageBreak/>
        <w:t>economische delicten met het oog op het vergroten van de mogelijkheden tot opsporing, vervolging, alsmede het voorkomen van financieel-economische criminaliteit (verruiming mogelijkheden bestrijding financieel-economische criminaliteit) (Kamerstukken 33 685) tot wet is verheven en die wet in werking is getreden voor het tijdstip waarop deze wet in werking treedt, wordt deze wet als volgt gewijzigd:</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Artikel I, onderdeel C, komt te luiden:</w:t>
      </w: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r w:rsidRPr="004E2F1E">
        <w:rPr>
          <w:rFonts w:ascii="Times New Roman" w:hAnsi="Times New Roman"/>
          <w:sz w:val="24"/>
        </w:rPr>
        <w:t>C</w:t>
      </w:r>
    </w:p>
    <w:p w:rsidRPr="004E2F1E" w:rsidR="004E2F1E" w:rsidP="004E2F1E" w:rsidRDefault="004E2F1E">
      <w:pPr>
        <w:rPr>
          <w:rFonts w:ascii="Times New Roman" w:hAnsi="Times New Roman"/>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Aan artikel 98 wordt een lid toegevoegd dat luidt:</w:t>
      </w:r>
    </w:p>
    <w:p w:rsidRPr="004E2F1E" w:rsidR="004E2F1E" w:rsidP="004E2F1E" w:rsidRDefault="004E2F1E">
      <w:pPr>
        <w:ind w:firstLine="284"/>
        <w:rPr>
          <w:rFonts w:ascii="Times New Roman" w:hAnsi="Times New Roman"/>
          <w:sz w:val="24"/>
        </w:rPr>
      </w:pPr>
      <w:r w:rsidRPr="004E2F1E">
        <w:rPr>
          <w:rFonts w:ascii="Times New Roman" w:hAnsi="Times New Roman"/>
          <w:sz w:val="24"/>
        </w:rPr>
        <w:t xml:space="preserve">6. De rechter-commissaris kan zich bij de beoordeling van de aannemelijkheid van het beroep van de verschoningsgerechtigde op zijn geheimhoudingsplicht laten voorlichten door een vertegenwoordiger van de beroepsgroep waartoe de verschoningsgerechtigde behoort. </w:t>
      </w:r>
    </w:p>
    <w:p w:rsidR="004E2F1E" w:rsidP="004E2F1E" w:rsidRDefault="004E2F1E">
      <w:pPr>
        <w:rPr>
          <w:rFonts w:ascii="Times New Roman" w:hAnsi="Times New Roman"/>
          <w:sz w:val="24"/>
        </w:rPr>
      </w:pPr>
    </w:p>
    <w:p w:rsidRPr="004E2F1E" w:rsidR="004E2F1E" w:rsidP="004E2F1E" w:rsidRDefault="004E2F1E">
      <w:pPr>
        <w:rPr>
          <w:rFonts w:ascii="Times New Roman" w:hAnsi="Times New Roman"/>
          <w:sz w:val="24"/>
        </w:rPr>
      </w:pPr>
    </w:p>
    <w:p w:rsidRPr="004E2F1E" w:rsidR="004E2F1E" w:rsidP="004E2F1E" w:rsidRDefault="004E2F1E">
      <w:pPr>
        <w:rPr>
          <w:rFonts w:ascii="Times New Roman" w:hAnsi="Times New Roman"/>
          <w:b/>
          <w:caps/>
          <w:sz w:val="24"/>
        </w:rPr>
      </w:pPr>
      <w:r w:rsidRPr="004E2F1E">
        <w:rPr>
          <w:rFonts w:ascii="Times New Roman" w:hAnsi="Times New Roman"/>
          <w:b/>
          <w:caps/>
          <w:sz w:val="24"/>
        </w:rPr>
        <w:t>Artikel IV</w:t>
      </w:r>
    </w:p>
    <w:p w:rsidRPr="004E2F1E" w:rsidR="004E2F1E" w:rsidP="004E2F1E" w:rsidRDefault="004E2F1E">
      <w:pPr>
        <w:rPr>
          <w:rFonts w:ascii="Times New Roman" w:hAnsi="Times New Roman"/>
          <w:b/>
          <w:caps/>
          <w:sz w:val="24"/>
        </w:rPr>
      </w:pPr>
    </w:p>
    <w:p w:rsidRPr="004E2F1E" w:rsidR="004E2F1E" w:rsidP="004E2F1E" w:rsidRDefault="004E2F1E">
      <w:pPr>
        <w:ind w:firstLine="284"/>
        <w:rPr>
          <w:rFonts w:ascii="Times New Roman" w:hAnsi="Times New Roman"/>
          <w:sz w:val="24"/>
        </w:rPr>
      </w:pPr>
      <w:r w:rsidRPr="004E2F1E">
        <w:rPr>
          <w:rFonts w:ascii="Times New Roman" w:hAnsi="Times New Roman"/>
          <w:sz w:val="24"/>
        </w:rPr>
        <w:t>Deze wet treedt in werking op een bij koninklijk beslu</w:t>
      </w:r>
      <w:r w:rsidRPr="00811BF7">
        <w:rPr>
          <w:rFonts w:ascii="Times New Roman" w:hAnsi="Times New Roman"/>
          <w:sz w:val="24"/>
        </w:rPr>
        <w:t>it te bepalen tijdstip</w:t>
      </w:r>
      <w:r w:rsidRPr="00811BF7" w:rsidR="00811BF7">
        <w:rPr>
          <w:rFonts w:ascii="Times New Roman" w:hAnsi="Times New Roman"/>
          <w:sz w:val="24"/>
        </w:rPr>
        <w:t xml:space="preserve"> dat voor de verschillende artikelen of onderdelen daarvan verschillend kan worden vastgesteld</w:t>
      </w:r>
      <w:r w:rsidRPr="00811BF7">
        <w:rPr>
          <w:rFonts w:ascii="Times New Roman" w:hAnsi="Times New Roman"/>
          <w:sz w:val="24"/>
        </w:rPr>
        <w:t>.</w:t>
      </w:r>
    </w:p>
    <w:p w:rsidR="003172E9" w:rsidP="003172E9" w:rsidRDefault="003172E9">
      <w:pPr>
        <w:rPr>
          <w:rFonts w:ascii="Times New Roman" w:hAnsi="Times New Roman"/>
          <w:sz w:val="24"/>
        </w:rPr>
      </w:pPr>
    </w:p>
    <w:p w:rsidR="003172E9" w:rsidP="003172E9" w:rsidRDefault="003172E9">
      <w:pPr>
        <w:rPr>
          <w:rFonts w:ascii="Times New Roman" w:hAnsi="Times New Roman"/>
          <w:sz w:val="24"/>
        </w:rPr>
      </w:pPr>
    </w:p>
    <w:p w:rsidRPr="004E2F1E" w:rsidR="004E2F1E" w:rsidP="003172E9" w:rsidRDefault="00276EDF">
      <w:pPr>
        <w:rPr>
          <w:rFonts w:ascii="Times New Roman" w:hAnsi="Times New Roman"/>
          <w:sz w:val="24"/>
        </w:rPr>
      </w:pPr>
      <w:r>
        <w:rPr>
          <w:rFonts w:ascii="Times New Roman" w:hAnsi="Times New Roman"/>
          <w:sz w:val="24"/>
        </w:rPr>
        <w:tab/>
      </w:r>
      <w:r w:rsidRPr="004E2F1E" w:rsidR="004E2F1E">
        <w:rPr>
          <w:rFonts w:ascii="Times New Roman" w:hAnsi="Times New Roman"/>
          <w:sz w:val="24"/>
        </w:rPr>
        <w:t xml:space="preserve">Lasten en bevelen dat deze in het Staatsblad zal worden geplaatst en dat alle ministeries, autoriteiten, colleges en ambtenaren wie </w:t>
      </w:r>
      <w:proofErr w:type="gramStart"/>
      <w:r w:rsidRPr="004E2F1E" w:rsidR="004E2F1E">
        <w:rPr>
          <w:rFonts w:ascii="Times New Roman" w:hAnsi="Times New Roman"/>
          <w:sz w:val="24"/>
        </w:rPr>
        <w:t>zulks</w:t>
      </w:r>
      <w:proofErr w:type="gramEnd"/>
      <w:r w:rsidRPr="004E2F1E" w:rsidR="004E2F1E">
        <w:rPr>
          <w:rFonts w:ascii="Times New Roman" w:hAnsi="Times New Roman"/>
          <w:sz w:val="24"/>
        </w:rPr>
        <w:t xml:space="preserve"> aangaat, aan de nauwkeurige uitvoering de hand zullen houden.</w:t>
      </w:r>
    </w:p>
    <w:p w:rsidRPr="004E2F1E" w:rsidR="004E2F1E" w:rsidP="004E2F1E" w:rsidRDefault="004E2F1E">
      <w:pPr>
        <w:rPr>
          <w:rFonts w:ascii="Times New Roman" w:hAnsi="Times New Roman"/>
          <w:sz w:val="24"/>
        </w:rPr>
      </w:pPr>
    </w:p>
    <w:p w:rsidR="004E2F1E" w:rsidP="004E2F1E" w:rsidRDefault="004E2F1E">
      <w:pPr>
        <w:rPr>
          <w:rFonts w:ascii="Times New Roman" w:hAnsi="Times New Roman"/>
          <w:sz w:val="24"/>
        </w:rPr>
      </w:pPr>
      <w:r>
        <w:rPr>
          <w:rFonts w:ascii="Times New Roman" w:hAnsi="Times New Roman"/>
          <w:sz w:val="24"/>
        </w:rPr>
        <w:t>Gegeven</w:t>
      </w: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bookmarkStart w:name="_GoBack" w:id="0"/>
      <w:bookmarkEnd w:id="0"/>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4E2F1E" w:rsidP="004E2F1E" w:rsidRDefault="004E2F1E">
      <w:pPr>
        <w:rPr>
          <w:rFonts w:ascii="Times New Roman" w:hAnsi="Times New Roman"/>
          <w:sz w:val="24"/>
        </w:rPr>
      </w:pPr>
      <w:r w:rsidRPr="004E2F1E">
        <w:rPr>
          <w:rFonts w:ascii="Times New Roman" w:hAnsi="Times New Roman"/>
          <w:sz w:val="24"/>
        </w:rPr>
        <w:t xml:space="preserve">De Minister van </w:t>
      </w:r>
      <w:r w:rsidR="00FD65DF">
        <w:rPr>
          <w:rFonts w:ascii="Times New Roman" w:hAnsi="Times New Roman"/>
          <w:sz w:val="24"/>
        </w:rPr>
        <w:t xml:space="preserve">Justitie en </w:t>
      </w:r>
      <w:r w:rsidRPr="004E2F1E">
        <w:rPr>
          <w:rFonts w:ascii="Times New Roman" w:hAnsi="Times New Roman"/>
          <w:sz w:val="24"/>
        </w:rPr>
        <w:t>Veiligheid,</w:t>
      </w: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00FD65DF" w:rsidP="004E2F1E" w:rsidRDefault="00FD65DF">
      <w:pPr>
        <w:rPr>
          <w:rFonts w:ascii="Times New Roman" w:hAnsi="Times New Roman"/>
          <w:sz w:val="24"/>
        </w:rPr>
      </w:pPr>
    </w:p>
    <w:p w:rsidRPr="004E2F1E" w:rsidR="00FD65DF" w:rsidP="004E2F1E" w:rsidRDefault="00FD65DF">
      <w:pPr>
        <w:rPr>
          <w:rFonts w:ascii="Times New Roman" w:hAnsi="Times New Roman"/>
          <w:sz w:val="24"/>
        </w:rPr>
      </w:pPr>
      <w:r>
        <w:rPr>
          <w:rFonts w:ascii="Times New Roman" w:hAnsi="Times New Roman"/>
          <w:sz w:val="24"/>
        </w:rPr>
        <w:t>De Minister van Justitie en Veiligheid,</w:t>
      </w:r>
    </w:p>
    <w:sectPr w:rsidRPr="004E2F1E" w:rsidR="00FD65DF"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1E" w:rsidRDefault="004E2F1E">
      <w:pPr>
        <w:spacing w:line="20" w:lineRule="exact"/>
      </w:pPr>
    </w:p>
  </w:endnote>
  <w:endnote w:type="continuationSeparator" w:id="0">
    <w:p w:rsidR="004E2F1E" w:rsidRDefault="004E2F1E">
      <w:pPr>
        <w:pStyle w:val="Amendement"/>
      </w:pPr>
      <w:r>
        <w:rPr>
          <w:b w:val="0"/>
          <w:bCs w:val="0"/>
        </w:rPr>
        <w:t xml:space="preserve"> </w:t>
      </w:r>
    </w:p>
  </w:endnote>
  <w:endnote w:type="continuationNotice" w:id="1">
    <w:p w:rsidR="004E2F1E" w:rsidRDefault="004E2F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F430B">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1E" w:rsidRDefault="004E2F1E">
      <w:pPr>
        <w:pStyle w:val="Amendement"/>
      </w:pPr>
      <w:r>
        <w:rPr>
          <w:b w:val="0"/>
          <w:bCs w:val="0"/>
        </w:rPr>
        <w:separator/>
      </w:r>
    </w:p>
  </w:footnote>
  <w:footnote w:type="continuationSeparator" w:id="0">
    <w:p w:rsidR="004E2F1E" w:rsidRDefault="004E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26BB"/>
    <w:multiLevelType w:val="hybridMultilevel"/>
    <w:tmpl w:val="C51E8A1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C033C8F"/>
    <w:multiLevelType w:val="hybridMultilevel"/>
    <w:tmpl w:val="A0CC2C9A"/>
    <w:lvl w:ilvl="0" w:tplc="531010A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311D6863"/>
    <w:multiLevelType w:val="hybridMultilevel"/>
    <w:tmpl w:val="F6D04272"/>
    <w:lvl w:ilvl="0" w:tplc="93D6ED5C">
      <w:start w:val="1"/>
      <w:numFmt w:val="decimal"/>
      <w:lvlText w:val="%1."/>
      <w:lvlJc w:val="left"/>
      <w:pPr>
        <w:tabs>
          <w:tab w:val="num" w:pos="672"/>
        </w:tabs>
        <w:ind w:left="672" w:hanging="360"/>
      </w:pPr>
      <w:rPr>
        <w:rFonts w:ascii="Times New Roman" w:eastAsia="Times New Roman" w:hAnsi="Times New Roman" w:cs="Times New Roman"/>
        <w:b w:val="0"/>
      </w:rPr>
    </w:lvl>
    <w:lvl w:ilvl="1" w:tplc="04130019">
      <w:start w:val="1"/>
      <w:numFmt w:val="lowerLetter"/>
      <w:lvlText w:val="%2."/>
      <w:lvlJc w:val="left"/>
      <w:pPr>
        <w:tabs>
          <w:tab w:val="num" w:pos="1992"/>
        </w:tabs>
        <w:ind w:left="1992" w:hanging="360"/>
      </w:pPr>
    </w:lvl>
    <w:lvl w:ilvl="2" w:tplc="0413001B" w:tentative="1">
      <w:start w:val="1"/>
      <w:numFmt w:val="lowerRoman"/>
      <w:lvlText w:val="%3."/>
      <w:lvlJc w:val="right"/>
      <w:pPr>
        <w:tabs>
          <w:tab w:val="num" w:pos="2712"/>
        </w:tabs>
        <w:ind w:left="2712" w:hanging="180"/>
      </w:pPr>
    </w:lvl>
    <w:lvl w:ilvl="3" w:tplc="0413000F" w:tentative="1">
      <w:start w:val="1"/>
      <w:numFmt w:val="decimal"/>
      <w:lvlText w:val="%4."/>
      <w:lvlJc w:val="left"/>
      <w:pPr>
        <w:tabs>
          <w:tab w:val="num" w:pos="3432"/>
        </w:tabs>
        <w:ind w:left="3432" w:hanging="360"/>
      </w:pPr>
    </w:lvl>
    <w:lvl w:ilvl="4" w:tplc="04130019" w:tentative="1">
      <w:start w:val="1"/>
      <w:numFmt w:val="lowerLetter"/>
      <w:lvlText w:val="%5."/>
      <w:lvlJc w:val="left"/>
      <w:pPr>
        <w:tabs>
          <w:tab w:val="num" w:pos="4152"/>
        </w:tabs>
        <w:ind w:left="4152" w:hanging="360"/>
      </w:pPr>
    </w:lvl>
    <w:lvl w:ilvl="5" w:tplc="0413001B" w:tentative="1">
      <w:start w:val="1"/>
      <w:numFmt w:val="lowerRoman"/>
      <w:lvlText w:val="%6."/>
      <w:lvlJc w:val="right"/>
      <w:pPr>
        <w:tabs>
          <w:tab w:val="num" w:pos="4872"/>
        </w:tabs>
        <w:ind w:left="4872" w:hanging="180"/>
      </w:pPr>
    </w:lvl>
    <w:lvl w:ilvl="6" w:tplc="0413000F" w:tentative="1">
      <w:start w:val="1"/>
      <w:numFmt w:val="decimal"/>
      <w:lvlText w:val="%7."/>
      <w:lvlJc w:val="left"/>
      <w:pPr>
        <w:tabs>
          <w:tab w:val="num" w:pos="5592"/>
        </w:tabs>
        <w:ind w:left="5592" w:hanging="360"/>
      </w:pPr>
    </w:lvl>
    <w:lvl w:ilvl="7" w:tplc="04130019" w:tentative="1">
      <w:start w:val="1"/>
      <w:numFmt w:val="lowerLetter"/>
      <w:lvlText w:val="%8."/>
      <w:lvlJc w:val="left"/>
      <w:pPr>
        <w:tabs>
          <w:tab w:val="num" w:pos="6312"/>
        </w:tabs>
        <w:ind w:left="6312" w:hanging="360"/>
      </w:pPr>
    </w:lvl>
    <w:lvl w:ilvl="8" w:tplc="0413001B" w:tentative="1">
      <w:start w:val="1"/>
      <w:numFmt w:val="lowerRoman"/>
      <w:lvlText w:val="%9."/>
      <w:lvlJc w:val="right"/>
      <w:pPr>
        <w:tabs>
          <w:tab w:val="num" w:pos="7032"/>
        </w:tabs>
        <w:ind w:left="7032" w:hanging="180"/>
      </w:pPr>
    </w:lvl>
  </w:abstractNum>
  <w:abstractNum w:abstractNumId="3">
    <w:nsid w:val="51335AA0"/>
    <w:multiLevelType w:val="hybridMultilevel"/>
    <w:tmpl w:val="6772F2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7A014408"/>
    <w:multiLevelType w:val="hybridMultilevel"/>
    <w:tmpl w:val="A93009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1E"/>
    <w:rsid w:val="00012DBE"/>
    <w:rsid w:val="000A1D81"/>
    <w:rsid w:val="00111ED3"/>
    <w:rsid w:val="001131A0"/>
    <w:rsid w:val="00116784"/>
    <w:rsid w:val="001C190E"/>
    <w:rsid w:val="001F2CE9"/>
    <w:rsid w:val="002168F4"/>
    <w:rsid w:val="00276EDF"/>
    <w:rsid w:val="002A727C"/>
    <w:rsid w:val="002C35A8"/>
    <w:rsid w:val="003172E9"/>
    <w:rsid w:val="00334652"/>
    <w:rsid w:val="00397392"/>
    <w:rsid w:val="004E2F1E"/>
    <w:rsid w:val="004E7367"/>
    <w:rsid w:val="005D2707"/>
    <w:rsid w:val="00606255"/>
    <w:rsid w:val="00641396"/>
    <w:rsid w:val="00651F03"/>
    <w:rsid w:val="006B345C"/>
    <w:rsid w:val="006B607A"/>
    <w:rsid w:val="007D451C"/>
    <w:rsid w:val="00811BF7"/>
    <w:rsid w:val="00826224"/>
    <w:rsid w:val="00930A23"/>
    <w:rsid w:val="009C7354"/>
    <w:rsid w:val="009E0FE0"/>
    <w:rsid w:val="009E6D7F"/>
    <w:rsid w:val="00A11E73"/>
    <w:rsid w:val="00A2521E"/>
    <w:rsid w:val="00AB711C"/>
    <w:rsid w:val="00AE436A"/>
    <w:rsid w:val="00B72693"/>
    <w:rsid w:val="00C051F4"/>
    <w:rsid w:val="00C135B1"/>
    <w:rsid w:val="00C92DF8"/>
    <w:rsid w:val="00CB10E4"/>
    <w:rsid w:val="00CB3578"/>
    <w:rsid w:val="00CD49E5"/>
    <w:rsid w:val="00D20AFA"/>
    <w:rsid w:val="00D20EDA"/>
    <w:rsid w:val="00D36090"/>
    <w:rsid w:val="00D55648"/>
    <w:rsid w:val="00DB1BD7"/>
    <w:rsid w:val="00DF430B"/>
    <w:rsid w:val="00E14535"/>
    <w:rsid w:val="00E16443"/>
    <w:rsid w:val="00E36EE9"/>
    <w:rsid w:val="00F07F19"/>
    <w:rsid w:val="00F13442"/>
    <w:rsid w:val="00F556F6"/>
    <w:rsid w:val="00F956D4"/>
    <w:rsid w:val="00FD65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
    <w:name w:val="Body Text"/>
    <w:basedOn w:val="Standaard"/>
    <w:link w:val="PlattetekstChar"/>
    <w:rsid w:val="004E2F1E"/>
    <w:rPr>
      <w:rFonts w:ascii="Times New Roman" w:hAnsi="Times New Roman"/>
      <w:b/>
      <w:sz w:val="24"/>
      <w:szCs w:val="20"/>
    </w:rPr>
  </w:style>
  <w:style w:type="character" w:customStyle="1" w:styleId="PlattetekstChar">
    <w:name w:val="Platte tekst Char"/>
    <w:basedOn w:val="Standaardalinea-lettertype"/>
    <w:link w:val="Plattetekst"/>
    <w:rsid w:val="004E2F1E"/>
    <w:rPr>
      <w:b/>
      <w:sz w:val="24"/>
    </w:rPr>
  </w:style>
  <w:style w:type="paragraph" w:styleId="Lijstalinea">
    <w:name w:val="List Paragraph"/>
    <w:basedOn w:val="Standaard"/>
    <w:uiPriority w:val="34"/>
    <w:qFormat/>
    <w:rsid w:val="00397392"/>
    <w:pPr>
      <w:ind w:left="720"/>
      <w:contextualSpacing/>
    </w:pPr>
  </w:style>
  <w:style w:type="paragraph" w:customStyle="1" w:styleId="amwr">
    <w:name w:val="amwr"/>
    <w:rsid w:val="002C35A8"/>
  </w:style>
  <w:style w:type="paragraph" w:styleId="Ballontekst">
    <w:name w:val="Balloon Text"/>
    <w:basedOn w:val="Standaard"/>
    <w:link w:val="BallontekstChar"/>
    <w:rsid w:val="00811BF7"/>
    <w:rPr>
      <w:rFonts w:ascii="Tahoma" w:hAnsi="Tahoma" w:cs="Tahoma"/>
      <w:sz w:val="16"/>
      <w:szCs w:val="16"/>
    </w:rPr>
  </w:style>
  <w:style w:type="character" w:customStyle="1" w:styleId="BallontekstChar">
    <w:name w:val="Ballontekst Char"/>
    <w:basedOn w:val="Standaardalinea-lettertype"/>
    <w:link w:val="Ballontekst"/>
    <w:rsid w:val="00811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Plattetekst">
    <w:name w:val="Body Text"/>
    <w:basedOn w:val="Standaard"/>
    <w:link w:val="PlattetekstChar"/>
    <w:rsid w:val="004E2F1E"/>
    <w:rPr>
      <w:rFonts w:ascii="Times New Roman" w:hAnsi="Times New Roman"/>
      <w:b/>
      <w:sz w:val="24"/>
      <w:szCs w:val="20"/>
    </w:rPr>
  </w:style>
  <w:style w:type="character" w:customStyle="1" w:styleId="PlattetekstChar">
    <w:name w:val="Platte tekst Char"/>
    <w:basedOn w:val="Standaardalinea-lettertype"/>
    <w:link w:val="Plattetekst"/>
    <w:rsid w:val="004E2F1E"/>
    <w:rPr>
      <w:b/>
      <w:sz w:val="24"/>
    </w:rPr>
  </w:style>
  <w:style w:type="paragraph" w:styleId="Lijstalinea">
    <w:name w:val="List Paragraph"/>
    <w:basedOn w:val="Standaard"/>
    <w:uiPriority w:val="34"/>
    <w:qFormat/>
    <w:rsid w:val="00397392"/>
    <w:pPr>
      <w:ind w:left="720"/>
      <w:contextualSpacing/>
    </w:pPr>
  </w:style>
  <w:style w:type="paragraph" w:customStyle="1" w:styleId="amwr">
    <w:name w:val="amwr"/>
    <w:rsid w:val="002C35A8"/>
  </w:style>
  <w:style w:type="paragraph" w:styleId="Ballontekst">
    <w:name w:val="Balloon Text"/>
    <w:basedOn w:val="Standaard"/>
    <w:link w:val="BallontekstChar"/>
    <w:rsid w:val="00811BF7"/>
    <w:rPr>
      <w:rFonts w:ascii="Tahoma" w:hAnsi="Tahoma" w:cs="Tahoma"/>
      <w:sz w:val="16"/>
      <w:szCs w:val="16"/>
    </w:rPr>
  </w:style>
  <w:style w:type="character" w:customStyle="1" w:styleId="BallontekstChar">
    <w:name w:val="Ballontekst Char"/>
    <w:basedOn w:val="Standaardalinea-lettertype"/>
    <w:link w:val="Ballontekst"/>
    <w:rsid w:val="00811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1124</ap:Words>
  <ap:Characters>6371</ap:Characters>
  <ap:DocSecurity>0</ap:DocSecurity>
  <ap:Lines>53</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2018-02-06T14:31:00.0000000Z</dcterms:created>
  <dcterms:modified xsi:type="dcterms:W3CDTF">2018-02-06T15:20:00.0000000Z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0x0101008A6F53D4ED0513439878C97FDDC4A6D1</vt:lpwstr>
  </property>
</Properties>
</file>