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BA" w:rsidP="002D6A99" w:rsidRDefault="006057BA">
      <w:pPr>
        <w:spacing w:line="276" w:lineRule="auto"/>
        <w:sectPr w:rsidR="006057BA">
          <w:headerReference w:type="default" r:id="rId9"/>
          <w:type w:val="continuous"/>
          <w:pgSz w:w="11905" w:h="16837"/>
          <w:pgMar w:top="6390" w:right="1700" w:bottom="1417" w:left="2211" w:header="708" w:footer="708" w:gutter="0"/>
          <w:cols w:space="708"/>
        </w:sectPr>
      </w:pPr>
      <w:bookmarkStart w:name="_GoBack" w:id="0"/>
      <w:bookmarkEnd w:id="0"/>
    </w:p>
    <w:p w:rsidR="006057BA" w:rsidP="002D6A99" w:rsidRDefault="00797195">
      <w:pPr>
        <w:pStyle w:val="BOR-NotitieKopNummerloos"/>
        <w:spacing w:line="276" w:lineRule="auto"/>
      </w:pPr>
      <w:r>
        <w:lastRenderedPageBreak/>
        <w:t>Inleiding</w:t>
      </w:r>
    </w:p>
    <w:p w:rsidRPr="00F82720" w:rsidR="006057BA" w:rsidP="002D6A99" w:rsidRDefault="00B94902">
      <w:pPr>
        <w:spacing w:line="276" w:lineRule="auto"/>
      </w:pPr>
      <w:r w:rsidRPr="00F82720">
        <w:t xml:space="preserve">In de procedurevergadering van de vaste commissie voor Defensie van </w:t>
      </w:r>
      <w:r w:rsidRPr="00F82720" w:rsidR="00AF6AF1">
        <w:t xml:space="preserve">22 maart 2018 zijn wij </w:t>
      </w:r>
      <w:r w:rsidRPr="00F82720">
        <w:t xml:space="preserve">benoemd </w:t>
      </w:r>
      <w:r w:rsidR="009D2619">
        <w:t xml:space="preserve">tot </w:t>
      </w:r>
      <w:r w:rsidRPr="00F82720">
        <w:t>rapporteur</w:t>
      </w:r>
      <w:r w:rsidRPr="00F82720" w:rsidR="00AF6AF1">
        <w:t>s</w:t>
      </w:r>
      <w:r w:rsidRPr="00F82720">
        <w:t xml:space="preserve"> </w:t>
      </w:r>
      <w:r w:rsidR="009D2619">
        <w:t xml:space="preserve">over </w:t>
      </w:r>
      <w:r w:rsidRPr="00F82720">
        <w:t xml:space="preserve">het jaarverslag </w:t>
      </w:r>
      <w:r w:rsidR="0084571B">
        <w:t xml:space="preserve">2017 van het ministerie van </w:t>
      </w:r>
      <w:r w:rsidRPr="00F82720">
        <w:t>Defensie. Hierbij leg</w:t>
      </w:r>
      <w:r w:rsidRPr="00F82720" w:rsidR="00AF6AF1">
        <w:t>gen</w:t>
      </w:r>
      <w:r w:rsidRPr="00F82720">
        <w:t xml:space="preserve"> </w:t>
      </w:r>
      <w:r w:rsidRPr="00F82720" w:rsidR="00AF6AF1">
        <w:t xml:space="preserve">wij ons </w:t>
      </w:r>
      <w:r w:rsidRPr="00F82720">
        <w:t xml:space="preserve">voorstel voor de invulling van dit </w:t>
      </w:r>
      <w:proofErr w:type="spellStart"/>
      <w:r w:rsidRPr="00F82720">
        <w:t>rapporteurschap</w:t>
      </w:r>
      <w:proofErr w:type="spellEnd"/>
      <w:r w:rsidRPr="00F82720">
        <w:t xml:space="preserve"> aan de commissie voor. </w:t>
      </w:r>
    </w:p>
    <w:p w:rsidR="008E2A1A" w:rsidP="002D6A99" w:rsidRDefault="008E2A1A">
      <w:pPr>
        <w:spacing w:line="276" w:lineRule="auto"/>
      </w:pPr>
    </w:p>
    <w:tbl>
      <w:tblPr>
        <w:tblStyle w:val="Tabelraster"/>
        <w:tblW w:w="0" w:type="auto"/>
        <w:tblLook w:val="04A0" w:firstRow="1" w:lastRow="0" w:firstColumn="1" w:lastColumn="0" w:noHBand="0" w:noVBand="1"/>
      </w:tblPr>
      <w:tblGrid>
        <w:gridCol w:w="8134"/>
      </w:tblGrid>
      <w:tr w:rsidR="00AF6AF1" w:rsidTr="00AF6AF1">
        <w:tc>
          <w:tcPr>
            <w:tcW w:w="8134" w:type="dxa"/>
          </w:tcPr>
          <w:p w:rsidRPr="008E2A1A" w:rsidR="00AF6AF1" w:rsidP="002D6A99" w:rsidRDefault="00AF6AF1">
            <w:pPr>
              <w:spacing w:line="276" w:lineRule="auto"/>
              <w:rPr>
                <w:b/>
              </w:rPr>
            </w:pPr>
            <w:r w:rsidRPr="008E2A1A">
              <w:rPr>
                <w:b/>
              </w:rPr>
              <w:t>Beslispunten</w:t>
            </w:r>
          </w:p>
          <w:p w:rsidR="00AF6AF1" w:rsidP="002D6A99" w:rsidRDefault="00AF6AF1">
            <w:pPr>
              <w:pStyle w:val="Lijstalinea"/>
              <w:numPr>
                <w:ilvl w:val="0"/>
                <w:numId w:val="16"/>
              </w:numPr>
              <w:spacing w:line="276" w:lineRule="auto"/>
            </w:pPr>
            <w:r w:rsidRPr="008E2A1A">
              <w:t xml:space="preserve">Instemmen met </w:t>
            </w:r>
            <w:r>
              <w:t>de voorgestelde werkwijze</w:t>
            </w:r>
          </w:p>
          <w:p w:rsidRPr="00AF6AF1" w:rsidR="00AF6AF1" w:rsidP="002D6A99" w:rsidRDefault="00AF6AF1">
            <w:pPr>
              <w:pStyle w:val="Lijstalinea"/>
              <w:numPr>
                <w:ilvl w:val="0"/>
                <w:numId w:val="16"/>
              </w:numPr>
              <w:spacing w:line="276" w:lineRule="auto"/>
            </w:pPr>
            <w:r>
              <w:t>Instemmen met het plannen van een besloten commissiebriefing door de rapporteur</w:t>
            </w:r>
            <w:r w:rsidR="00F82720">
              <w:t>s</w:t>
            </w:r>
            <w:r>
              <w:t xml:space="preserve"> op </w:t>
            </w:r>
            <w:r w:rsidRPr="00D71B51">
              <w:t xml:space="preserve">13 juni 2018 van </w:t>
            </w:r>
            <w:r w:rsidRPr="00D71B51" w:rsidR="007B2BBB">
              <w:t>16</w:t>
            </w:r>
            <w:r w:rsidRPr="00D71B51">
              <w:t>:00-1</w:t>
            </w:r>
            <w:r w:rsidRPr="00D71B51" w:rsidR="007B2BBB">
              <w:t>7</w:t>
            </w:r>
            <w:r w:rsidRPr="00D71B51">
              <w:t>:00 uur</w:t>
            </w:r>
          </w:p>
        </w:tc>
      </w:tr>
    </w:tbl>
    <w:p w:rsidR="00AF6AF1" w:rsidP="002D6A99" w:rsidRDefault="00AF6AF1">
      <w:pPr>
        <w:spacing w:line="276" w:lineRule="auto"/>
        <w:rPr>
          <w:b/>
        </w:rPr>
      </w:pPr>
    </w:p>
    <w:p w:rsidR="002D6A99" w:rsidP="002D6A99" w:rsidRDefault="002D6A99">
      <w:pPr>
        <w:spacing w:line="276" w:lineRule="auto"/>
        <w:rPr>
          <w:b/>
        </w:rPr>
      </w:pPr>
      <w:r>
        <w:rPr>
          <w:b/>
        </w:rPr>
        <w:t>Hoofdlijnen van de voorgestelde werkwijze</w:t>
      </w:r>
    </w:p>
    <w:p w:rsidR="002D6A99" w:rsidP="002D6A99" w:rsidRDefault="002D6A99">
      <w:pPr>
        <w:spacing w:line="276" w:lineRule="auto"/>
        <w:rPr>
          <w:b/>
        </w:rPr>
      </w:pPr>
    </w:p>
    <w:p w:rsidR="002D6A99" w:rsidP="002D6A99" w:rsidRDefault="002D6A99">
      <w:pPr>
        <w:pStyle w:val="Lijstalinea"/>
        <w:numPr>
          <w:ilvl w:val="0"/>
          <w:numId w:val="29"/>
        </w:numPr>
        <w:spacing w:line="276" w:lineRule="auto"/>
      </w:pPr>
      <w:r w:rsidRPr="002D6A99">
        <w:t>De rapporteurs</w:t>
      </w:r>
      <w:r>
        <w:t xml:space="preserve"> leggen hun bevindingen voorafgaand aan het wetgevingsoverleg voor aan de commissie in een commissiebriefing.</w:t>
      </w:r>
    </w:p>
    <w:p w:rsidR="002D6A99" w:rsidP="002D6A99" w:rsidRDefault="002D6A99">
      <w:pPr>
        <w:pStyle w:val="Lijstalinea"/>
        <w:numPr>
          <w:ilvl w:val="0"/>
          <w:numId w:val="29"/>
        </w:numPr>
        <w:spacing w:line="276" w:lineRule="auto"/>
      </w:pPr>
      <w:r>
        <w:t>De rapporteurs verzorgen voorafgaand aan het wetgevingsoverleg (WGO) een persbriefing (onder embargo tot aan het WGO)</w:t>
      </w:r>
    </w:p>
    <w:p w:rsidR="002D6A99" w:rsidP="002D6A99" w:rsidRDefault="002D6A99">
      <w:pPr>
        <w:pStyle w:val="Lijstalinea"/>
        <w:numPr>
          <w:ilvl w:val="0"/>
          <w:numId w:val="29"/>
        </w:numPr>
        <w:spacing w:line="276" w:lineRule="auto"/>
      </w:pPr>
      <w:r>
        <w:t xml:space="preserve">De rapporteurs krijgen tijdens het WGO als eerste het woord. Vervolgens zullen de bewindspersonen daarop reageren. Daarna krijgen alle woordvoerders de gelegenheid hun eigen inbreng te leveren. </w:t>
      </w:r>
    </w:p>
    <w:p w:rsidR="002D6A99" w:rsidP="002D6A99" w:rsidRDefault="002D6A99">
      <w:pPr>
        <w:pStyle w:val="Lijstalinea"/>
        <w:numPr>
          <w:ilvl w:val="0"/>
          <w:numId w:val="29"/>
        </w:numPr>
        <w:spacing w:line="276" w:lineRule="auto"/>
      </w:pPr>
      <w:r>
        <w:t xml:space="preserve">De rapporteurs </w:t>
      </w:r>
      <w:r w:rsidR="007076FE">
        <w:t xml:space="preserve">bouwen voort op het </w:t>
      </w:r>
      <w:proofErr w:type="spellStart"/>
      <w:r w:rsidR="007076FE">
        <w:t>rapporteurschap</w:t>
      </w:r>
      <w:proofErr w:type="spellEnd"/>
      <w:r w:rsidR="007076FE">
        <w:t xml:space="preserve"> van vorig jaar en </w:t>
      </w:r>
      <w:r>
        <w:t>richten zich</w:t>
      </w:r>
      <w:r w:rsidR="007076FE">
        <w:t xml:space="preserve"> </w:t>
      </w:r>
      <w:r>
        <w:t>in hun onderzoek op de volgende onderwerpen:</w:t>
      </w:r>
    </w:p>
    <w:p w:rsidR="002D6A99" w:rsidP="002D6A99" w:rsidRDefault="002D6A99">
      <w:pPr>
        <w:pStyle w:val="Lijstalinea"/>
        <w:numPr>
          <w:ilvl w:val="1"/>
          <w:numId w:val="29"/>
        </w:numPr>
        <w:spacing w:line="276" w:lineRule="auto"/>
      </w:pPr>
      <w:r>
        <w:t xml:space="preserve">Kwaliteit </w:t>
      </w:r>
      <w:r w:rsidR="007076FE">
        <w:t xml:space="preserve">en inzichtelijkheid </w:t>
      </w:r>
      <w:r>
        <w:t>van de verantwoordingsinformatie</w:t>
      </w:r>
      <w:r w:rsidR="007076FE">
        <w:t>, mede in het licht van de informatie in de begroting</w:t>
      </w:r>
    </w:p>
    <w:p w:rsidR="002D6A99" w:rsidP="002D6A99" w:rsidRDefault="007076FE">
      <w:pPr>
        <w:pStyle w:val="Lijstalinea"/>
        <w:numPr>
          <w:ilvl w:val="1"/>
          <w:numId w:val="29"/>
        </w:numPr>
        <w:spacing w:line="276" w:lineRule="auto"/>
      </w:pPr>
      <w:r>
        <w:t xml:space="preserve">Informatievoorziening over versterking van </w:t>
      </w:r>
      <w:r w:rsidR="002D6A99">
        <w:t>de gereedheid van de krijgsmacht</w:t>
      </w:r>
    </w:p>
    <w:p w:rsidR="00E20627" w:rsidP="00E20627" w:rsidRDefault="00E20627">
      <w:pPr>
        <w:pStyle w:val="Lijstalinea"/>
        <w:numPr>
          <w:ilvl w:val="1"/>
          <w:numId w:val="29"/>
        </w:numPr>
        <w:spacing w:line="276" w:lineRule="auto"/>
      </w:pPr>
      <w:r>
        <w:t>Informatie in het jaarverslag over personeel (behoud en werving)</w:t>
      </w:r>
    </w:p>
    <w:p w:rsidR="002D6A99" w:rsidP="002D6A99" w:rsidRDefault="002D6A99">
      <w:pPr>
        <w:pStyle w:val="Lijstalinea"/>
        <w:numPr>
          <w:ilvl w:val="1"/>
          <w:numId w:val="29"/>
        </w:numPr>
        <w:spacing w:line="276" w:lineRule="auto"/>
      </w:pPr>
      <w:r>
        <w:t>Slotwetmutaties</w:t>
      </w:r>
    </w:p>
    <w:p w:rsidRPr="002D6A99" w:rsidR="002D6A99" w:rsidP="002D6A99" w:rsidRDefault="002D6A99">
      <w:pPr>
        <w:pStyle w:val="Lijstalinea"/>
        <w:numPr>
          <w:ilvl w:val="0"/>
          <w:numId w:val="29"/>
        </w:numPr>
        <w:spacing w:line="276" w:lineRule="auto"/>
      </w:pPr>
      <w:r>
        <w:t xml:space="preserve">De commissiestaf zal de rapporteurs ondersteunen. De commissiestaf zal een stafnotitie opstellen over het Jaarverslag. </w:t>
      </w:r>
      <w:r w:rsidRPr="00AF5946" w:rsidR="00E20627">
        <w:t>Alle</w:t>
      </w:r>
      <w:r w:rsidR="00E20627">
        <w:t xml:space="preserve"> leden van de com</w:t>
      </w:r>
      <w:r w:rsidR="00E20627">
        <w:softHyphen/>
        <w:t xml:space="preserve">missie zullen de stafnotitie </w:t>
      </w:r>
      <w:r w:rsidRPr="00AF5946" w:rsidR="00E20627">
        <w:t>ontvangen</w:t>
      </w:r>
      <w:r w:rsidR="00E20627">
        <w:t xml:space="preserve"> en kunnen daar indien gewenst gebruik van maken</w:t>
      </w:r>
      <w:r w:rsidRPr="00AF5946" w:rsidR="00E20627">
        <w:t>.</w:t>
      </w:r>
      <w:r w:rsidR="00E20627">
        <w:t xml:space="preserve"> </w:t>
      </w:r>
      <w:r>
        <w:t xml:space="preserve"> </w:t>
      </w:r>
    </w:p>
    <w:p w:rsidR="002D6A99" w:rsidRDefault="002D6A99">
      <w:pPr>
        <w:rPr>
          <w:b/>
        </w:rPr>
      </w:pPr>
      <w:r>
        <w:rPr>
          <w:b/>
        </w:rPr>
        <w:br w:type="page"/>
      </w:r>
    </w:p>
    <w:p w:rsidRPr="00AF5946" w:rsidR="00AF5946" w:rsidP="002D6A99" w:rsidRDefault="00AF5946">
      <w:pPr>
        <w:spacing w:line="276" w:lineRule="auto"/>
        <w:rPr>
          <w:b/>
        </w:rPr>
      </w:pPr>
      <w:r>
        <w:rPr>
          <w:b/>
        </w:rPr>
        <w:lastRenderedPageBreak/>
        <w:t xml:space="preserve">Achtergrond </w:t>
      </w:r>
      <w:r w:rsidR="004914BC">
        <w:rPr>
          <w:b/>
        </w:rPr>
        <w:t>van</w:t>
      </w:r>
      <w:r>
        <w:rPr>
          <w:b/>
        </w:rPr>
        <w:t xml:space="preserve"> </w:t>
      </w:r>
      <w:r w:rsidR="004914BC">
        <w:rPr>
          <w:b/>
        </w:rPr>
        <w:t>deze notitie</w:t>
      </w:r>
    </w:p>
    <w:p w:rsidR="00F82720" w:rsidP="002D6A99" w:rsidRDefault="00F82720">
      <w:pPr>
        <w:spacing w:line="276" w:lineRule="auto"/>
      </w:pPr>
    </w:p>
    <w:p w:rsidR="004E32C4" w:rsidP="002D6A99" w:rsidRDefault="00AF6AF1">
      <w:pPr>
        <w:spacing w:line="276" w:lineRule="auto"/>
      </w:pPr>
      <w:r>
        <w:t xml:space="preserve">In 2017 heeft </w:t>
      </w:r>
      <w:r w:rsidR="004E32C4">
        <w:t>de vaste commissie voor Defensie voor het eerst gebruik</w:t>
      </w:r>
      <w:r>
        <w:t xml:space="preserve"> gemaakt </w:t>
      </w:r>
      <w:r w:rsidR="004E32C4">
        <w:t>van een rapporteur</w:t>
      </w:r>
      <w:r>
        <w:t xml:space="preserve"> over het Jaarverslag</w:t>
      </w:r>
      <w:r w:rsidR="004E32C4">
        <w:t xml:space="preserve">. </w:t>
      </w:r>
      <w:r>
        <w:t>R</w:t>
      </w:r>
      <w:r w:rsidR="004E32C4">
        <w:t>apporteur</w:t>
      </w:r>
      <w:r>
        <w:t>s</w:t>
      </w:r>
      <w:r w:rsidR="004E32C4">
        <w:t xml:space="preserve"> </w:t>
      </w:r>
      <w:r>
        <w:t xml:space="preserve">treden </w:t>
      </w:r>
      <w:r w:rsidR="004E32C4">
        <w:t xml:space="preserve">op namens de commissie en </w:t>
      </w:r>
      <w:r>
        <w:t xml:space="preserve">spreken </w:t>
      </w:r>
      <w:r w:rsidR="004E32C4">
        <w:t xml:space="preserve">tijdens het </w:t>
      </w:r>
      <w:r w:rsidR="00F82720">
        <w:t>wetgevingsoverleg (WGO)</w:t>
      </w:r>
      <w:r w:rsidR="004E32C4">
        <w:t xml:space="preserve"> ook namens de commissie. </w:t>
      </w:r>
      <w:r>
        <w:t>R</w:t>
      </w:r>
      <w:r w:rsidR="00AF5946">
        <w:t>apporteur</w:t>
      </w:r>
      <w:r>
        <w:t>s</w:t>
      </w:r>
      <w:r w:rsidR="00AF5946">
        <w:t xml:space="preserve"> </w:t>
      </w:r>
      <w:r>
        <w:t xml:space="preserve">zijn </w:t>
      </w:r>
      <w:r w:rsidR="00AF5946">
        <w:t xml:space="preserve">verantwoordelijk voor </w:t>
      </w:r>
      <w:r>
        <w:t xml:space="preserve">hun </w:t>
      </w:r>
      <w:r w:rsidR="00AF5946">
        <w:t xml:space="preserve">inbreng in het debat. </w:t>
      </w:r>
      <w:r>
        <w:t>I</w:t>
      </w:r>
      <w:r w:rsidR="00AF5946">
        <w:t xml:space="preserve">n de voorbereiding </w:t>
      </w:r>
      <w:r>
        <w:t xml:space="preserve">kunnen zij gebruik </w:t>
      </w:r>
      <w:r w:rsidR="00AF5946">
        <w:t xml:space="preserve">maken van ondersteuning </w:t>
      </w:r>
      <w:r>
        <w:t>van de commissiestaf</w:t>
      </w:r>
      <w:r w:rsidR="00AF5946">
        <w:t>. Omdat de rapporteur</w:t>
      </w:r>
      <w:r>
        <w:t>s</w:t>
      </w:r>
      <w:r w:rsidR="00AF5946">
        <w:t xml:space="preserve"> namens de commissie </w:t>
      </w:r>
      <w:r>
        <w:t>optreden</w:t>
      </w:r>
      <w:r w:rsidR="00AF5946">
        <w:t>, stem</w:t>
      </w:r>
      <w:r w:rsidR="00F82720">
        <w:t>men</w:t>
      </w:r>
      <w:r w:rsidR="00AF5946">
        <w:t xml:space="preserve"> de rapporteur</w:t>
      </w:r>
      <w:r w:rsidR="00F82720">
        <w:t>s</w:t>
      </w:r>
      <w:r w:rsidR="00AF5946">
        <w:t xml:space="preserve"> van te voren de werkwijze</w:t>
      </w:r>
      <w:r>
        <w:t xml:space="preserve"> en</w:t>
      </w:r>
      <w:r w:rsidR="00AF5946">
        <w:t xml:space="preserve"> bevindingen af met de commissie. </w:t>
      </w:r>
    </w:p>
    <w:p w:rsidR="00F82720" w:rsidP="002D6A99" w:rsidRDefault="00F82720">
      <w:pPr>
        <w:spacing w:line="276" w:lineRule="auto"/>
      </w:pPr>
    </w:p>
    <w:p w:rsidR="004E32C4" w:rsidP="002D6A99" w:rsidRDefault="00AF6AF1">
      <w:pPr>
        <w:spacing w:line="276" w:lineRule="auto"/>
      </w:pPr>
      <w:r>
        <w:t xml:space="preserve">Tussen commissies bestaan in de praktijk verschillen in </w:t>
      </w:r>
      <w:r w:rsidR="00AF5946">
        <w:t xml:space="preserve">de werkwijze van </w:t>
      </w:r>
      <w:r w:rsidR="004E32C4">
        <w:t xml:space="preserve">rapporteurs. </w:t>
      </w:r>
      <w:r w:rsidR="00AF5946">
        <w:t xml:space="preserve">Deze notitie heeft tot doel de </w:t>
      </w:r>
      <w:r w:rsidR="00C20D2C">
        <w:t xml:space="preserve">in dit geval </w:t>
      </w:r>
      <w:r w:rsidR="00AF5946">
        <w:t xml:space="preserve">te volgen werkwijze voor te leggen aan de </w:t>
      </w:r>
      <w:r w:rsidR="00F82720">
        <w:t xml:space="preserve">vaste </w:t>
      </w:r>
      <w:r w:rsidR="00AF5946">
        <w:t xml:space="preserve">commissie voor Defensie. </w:t>
      </w:r>
    </w:p>
    <w:p w:rsidR="004E32C4" w:rsidP="002D6A99" w:rsidRDefault="004E32C4">
      <w:pPr>
        <w:spacing w:line="276" w:lineRule="auto"/>
      </w:pPr>
    </w:p>
    <w:p w:rsidRPr="00FB7D49" w:rsidR="004E32C4" w:rsidP="002D6A99" w:rsidRDefault="00AF5946">
      <w:pPr>
        <w:spacing w:line="276" w:lineRule="auto"/>
        <w:rPr>
          <w:b/>
        </w:rPr>
      </w:pPr>
      <w:r w:rsidRPr="00FB7D49">
        <w:rPr>
          <w:b/>
        </w:rPr>
        <w:t xml:space="preserve">Invulling </w:t>
      </w:r>
      <w:proofErr w:type="spellStart"/>
      <w:r w:rsidRPr="00FB7D49">
        <w:rPr>
          <w:b/>
        </w:rPr>
        <w:t>rapporteurschap</w:t>
      </w:r>
      <w:proofErr w:type="spellEnd"/>
      <w:r w:rsidRPr="00FB7D49">
        <w:rPr>
          <w:b/>
        </w:rPr>
        <w:t xml:space="preserve"> </w:t>
      </w:r>
      <w:r w:rsidR="00AF6AF1">
        <w:rPr>
          <w:b/>
        </w:rPr>
        <w:t>Jaarverslag 2017</w:t>
      </w:r>
    </w:p>
    <w:p w:rsidR="00B94902" w:rsidP="002D6A99" w:rsidRDefault="00B94902">
      <w:pPr>
        <w:spacing w:line="276" w:lineRule="auto"/>
        <w:rPr>
          <w:b/>
        </w:rPr>
      </w:pPr>
    </w:p>
    <w:p w:rsidRPr="00FB7D49" w:rsidR="00B94902" w:rsidP="002D6A99" w:rsidRDefault="00B94902">
      <w:pPr>
        <w:pStyle w:val="Lijstalinea"/>
        <w:numPr>
          <w:ilvl w:val="0"/>
          <w:numId w:val="15"/>
        </w:numPr>
        <w:spacing w:line="276" w:lineRule="auto"/>
        <w:rPr>
          <w:b/>
        </w:rPr>
      </w:pPr>
      <w:r w:rsidRPr="00FB7D49">
        <w:rPr>
          <w:b/>
        </w:rPr>
        <w:t>Proces</w:t>
      </w:r>
    </w:p>
    <w:p w:rsidRPr="00AF5946" w:rsidR="00AF5946" w:rsidP="002D6A99" w:rsidRDefault="00AF5946">
      <w:pPr>
        <w:spacing w:line="276" w:lineRule="auto"/>
      </w:pPr>
      <w:r w:rsidRPr="00AF5946">
        <w:t xml:space="preserve">Ten aanzien van het proces </w:t>
      </w:r>
      <w:r w:rsidR="007076FE">
        <w:t xml:space="preserve">stellen de rapporteurs </w:t>
      </w:r>
      <w:r w:rsidRPr="00AF5946">
        <w:t>de volgende werkwijze voor.</w:t>
      </w:r>
    </w:p>
    <w:p w:rsidRPr="00D71B51" w:rsidR="00B94902" w:rsidP="002D6A99" w:rsidRDefault="00B94902">
      <w:pPr>
        <w:pStyle w:val="Lijstalinea"/>
        <w:numPr>
          <w:ilvl w:val="0"/>
          <w:numId w:val="11"/>
        </w:numPr>
        <w:spacing w:line="276" w:lineRule="auto"/>
      </w:pPr>
      <w:r>
        <w:t>De rapporteur</w:t>
      </w:r>
      <w:r w:rsidR="00AF6AF1">
        <w:t>s</w:t>
      </w:r>
      <w:r w:rsidRPr="00B94902">
        <w:t xml:space="preserve"> </w:t>
      </w:r>
      <w:r w:rsidR="00AF6AF1">
        <w:t xml:space="preserve">presenteren </w:t>
      </w:r>
      <w:r>
        <w:t xml:space="preserve">de </w:t>
      </w:r>
      <w:r w:rsidRPr="00B94902">
        <w:t xml:space="preserve">bevindingen en </w:t>
      </w:r>
      <w:r>
        <w:t xml:space="preserve">de </w:t>
      </w:r>
      <w:r w:rsidR="00D51F51">
        <w:t xml:space="preserve">hoofdlijnen van de </w:t>
      </w:r>
      <w:r w:rsidRPr="00B94902">
        <w:t>inbreng een week voorafgaand aan het wetgevingsoverleg</w:t>
      </w:r>
      <w:r>
        <w:t xml:space="preserve"> aan de commissieleden </w:t>
      </w:r>
      <w:r w:rsidR="00D51F51">
        <w:t xml:space="preserve">tijdens </w:t>
      </w:r>
      <w:r>
        <w:t xml:space="preserve">een besloten </w:t>
      </w:r>
      <w:r w:rsidR="00D51F51">
        <w:t>commissie</w:t>
      </w:r>
      <w:r>
        <w:t>briefing</w:t>
      </w:r>
      <w:r w:rsidR="00AF6AF1">
        <w:t xml:space="preserve">. Voorstel is deze te plannen op </w:t>
      </w:r>
      <w:r w:rsidRPr="00D71B51" w:rsidR="00AF6AF1">
        <w:t>13 juni 2018 van 1</w:t>
      </w:r>
      <w:r w:rsidRPr="00D71B51" w:rsidR="007B2BBB">
        <w:t>6</w:t>
      </w:r>
      <w:r w:rsidRPr="00D71B51" w:rsidR="00AF6AF1">
        <w:t>:00-1</w:t>
      </w:r>
      <w:r w:rsidRPr="00D71B51" w:rsidR="007B2BBB">
        <w:t>7</w:t>
      </w:r>
      <w:r w:rsidRPr="00D71B51" w:rsidR="00AF6AF1">
        <w:t>:00 uur</w:t>
      </w:r>
      <w:r w:rsidRPr="00D71B51">
        <w:t>.</w:t>
      </w:r>
    </w:p>
    <w:p w:rsidR="00B94902" w:rsidP="002D6A99" w:rsidRDefault="00D51F51">
      <w:pPr>
        <w:pStyle w:val="Lijstalinea"/>
        <w:numPr>
          <w:ilvl w:val="0"/>
          <w:numId w:val="11"/>
        </w:numPr>
        <w:spacing w:line="276" w:lineRule="auto"/>
      </w:pPr>
      <w:r>
        <w:t>D</w:t>
      </w:r>
      <w:r w:rsidR="00B94902">
        <w:t>e rapporteur</w:t>
      </w:r>
      <w:r w:rsidR="00AF6AF1">
        <w:t>s</w:t>
      </w:r>
      <w:r w:rsidR="00B94902">
        <w:t xml:space="preserve"> </w:t>
      </w:r>
      <w:r w:rsidR="00AF6AF1">
        <w:t xml:space="preserve">houden </w:t>
      </w:r>
      <w:r>
        <w:t>d</w:t>
      </w:r>
      <w:r w:rsidR="00B94902">
        <w:t>irect voorafgaand aan het WGO een korte persbriefing</w:t>
      </w:r>
      <w:r>
        <w:t xml:space="preserve">, </w:t>
      </w:r>
      <w:r w:rsidRPr="00B94902" w:rsidR="00B94902">
        <w:t xml:space="preserve">waarin de kernboodschap </w:t>
      </w:r>
      <w:r>
        <w:t>van de rapporteur</w:t>
      </w:r>
      <w:r w:rsidR="00AF6AF1">
        <w:t>s</w:t>
      </w:r>
      <w:r>
        <w:t xml:space="preserve"> </w:t>
      </w:r>
      <w:r w:rsidRPr="00B94902" w:rsidR="00B94902">
        <w:t>wordt toegelicht</w:t>
      </w:r>
      <w:r>
        <w:t xml:space="preserve">. </w:t>
      </w:r>
      <w:r w:rsidRPr="00532B5D" w:rsidR="00532B5D">
        <w:t>De rapporteur</w:t>
      </w:r>
      <w:r w:rsidR="00AF6AF1">
        <w:t>s</w:t>
      </w:r>
      <w:r w:rsidRPr="00532B5D" w:rsidR="00532B5D">
        <w:t xml:space="preserve"> </w:t>
      </w:r>
      <w:r w:rsidR="00AF6AF1">
        <w:t xml:space="preserve">stellen </w:t>
      </w:r>
      <w:r w:rsidRPr="00532B5D" w:rsidR="00532B5D">
        <w:t xml:space="preserve">voor te zijner tijd de stafdienst Communicatie te laten nagaan of er </w:t>
      </w:r>
      <w:r w:rsidR="00532B5D">
        <w:t xml:space="preserve">voldoende </w:t>
      </w:r>
      <w:r w:rsidRPr="00532B5D" w:rsidR="00532B5D">
        <w:t xml:space="preserve">belangstelling bestaat bij journalisten voor een dergelijke briefing. </w:t>
      </w:r>
      <w:r>
        <w:t xml:space="preserve">Voor de journalisten geldt een </w:t>
      </w:r>
      <w:r w:rsidRPr="00B94902" w:rsidR="00B94902">
        <w:t xml:space="preserve">embargo tot </w:t>
      </w:r>
      <w:r w:rsidR="00AF6AF1">
        <w:t xml:space="preserve">aan </w:t>
      </w:r>
      <w:r w:rsidRPr="00B94902" w:rsidR="00B94902">
        <w:t>het aanvangstijdstip van het WGO.</w:t>
      </w:r>
      <w:r>
        <w:t xml:space="preserve"> </w:t>
      </w:r>
      <w:r w:rsidR="00AF6AF1">
        <w:t>Vorig jaar heeft de rapporteur Defensie eveneens een persbriefing gehouden.</w:t>
      </w:r>
      <w:r w:rsidR="00AF6AF1">
        <w:rPr>
          <w:rStyle w:val="Voetnootmarkering"/>
        </w:rPr>
        <w:footnoteReference w:id="1"/>
      </w:r>
      <w:r w:rsidR="00AF6AF1">
        <w:t xml:space="preserve"> Het geven van een </w:t>
      </w:r>
      <w:r w:rsidR="008E2A1A">
        <w:t xml:space="preserve">briefing </w:t>
      </w:r>
      <w:r w:rsidRPr="008E2A1A" w:rsidR="008E2A1A">
        <w:t xml:space="preserve">past in het beleid van de Kamer om transparant te zijn over werkzaamheden van de Kamer. Bovendien zou het kunnen leiden tot meer aandacht </w:t>
      </w:r>
      <w:r w:rsidR="007076FE">
        <w:t xml:space="preserve">en begrip </w:t>
      </w:r>
      <w:r w:rsidRPr="008E2A1A" w:rsidR="008E2A1A">
        <w:t xml:space="preserve">voor de behandeling van </w:t>
      </w:r>
      <w:r w:rsidR="00AF6AF1">
        <w:t>het Jaarverslag</w:t>
      </w:r>
      <w:r w:rsidRPr="008E2A1A" w:rsidR="008E2A1A">
        <w:t>.</w:t>
      </w:r>
    </w:p>
    <w:p w:rsidR="00D51F51" w:rsidP="002D6A99" w:rsidRDefault="00B94902">
      <w:pPr>
        <w:pStyle w:val="Lijstalinea"/>
        <w:numPr>
          <w:ilvl w:val="0"/>
          <w:numId w:val="11"/>
        </w:numPr>
        <w:spacing w:line="276" w:lineRule="auto"/>
      </w:pPr>
      <w:r>
        <w:t>A</w:t>
      </w:r>
      <w:r w:rsidRPr="00B94902">
        <w:t xml:space="preserve">an het begin van het WGO </w:t>
      </w:r>
      <w:r w:rsidR="00AF6AF1">
        <w:t>krijgen</w:t>
      </w:r>
      <w:r>
        <w:t xml:space="preserve"> de rapporteur</w:t>
      </w:r>
      <w:r w:rsidR="00AF6AF1">
        <w:t>s</w:t>
      </w:r>
      <w:r>
        <w:t xml:space="preserve"> als eerste het woord </w:t>
      </w:r>
      <w:r w:rsidRPr="00B94902">
        <w:t>(</w:t>
      </w:r>
      <w:r>
        <w:t xml:space="preserve">ca. 15 minuten </w:t>
      </w:r>
      <w:r w:rsidRPr="00B94902">
        <w:t>spreektijd).</w:t>
      </w:r>
      <w:r w:rsidR="00D51F51">
        <w:t xml:space="preserve"> </w:t>
      </w:r>
      <w:r>
        <w:t>De rapporteur</w:t>
      </w:r>
      <w:r w:rsidR="00AF6AF1">
        <w:t>s</w:t>
      </w:r>
      <w:r>
        <w:t xml:space="preserve"> </w:t>
      </w:r>
      <w:r w:rsidR="00AF6AF1">
        <w:t xml:space="preserve">doen </w:t>
      </w:r>
      <w:r w:rsidR="000A589C">
        <w:t xml:space="preserve">namens de commissie </w:t>
      </w:r>
      <w:r w:rsidRPr="00B94902">
        <w:t xml:space="preserve">mondeling verslag van </w:t>
      </w:r>
      <w:r>
        <w:t xml:space="preserve">de </w:t>
      </w:r>
      <w:r w:rsidRPr="00B94902">
        <w:t xml:space="preserve">bevindingen en </w:t>
      </w:r>
      <w:r w:rsidR="00AF6AF1">
        <w:t xml:space="preserve">kunnen </w:t>
      </w:r>
      <w:r w:rsidRPr="00B94902">
        <w:t>vragen stellen en verzoeken doen aan de bewindsperso</w:t>
      </w:r>
      <w:r w:rsidR="00AF6AF1">
        <w:t>nen</w:t>
      </w:r>
      <w:r w:rsidRPr="00B94902">
        <w:t xml:space="preserve">. </w:t>
      </w:r>
    </w:p>
    <w:p w:rsidR="00D51F51" w:rsidP="002D6A99" w:rsidRDefault="00B94902">
      <w:pPr>
        <w:pStyle w:val="Lijstalinea"/>
        <w:numPr>
          <w:ilvl w:val="0"/>
          <w:numId w:val="11"/>
        </w:numPr>
        <w:spacing w:line="276" w:lineRule="auto"/>
      </w:pPr>
      <w:r w:rsidRPr="00B94902">
        <w:t>Daarna volgen de antwoorden van de bewindsperso</w:t>
      </w:r>
      <w:r w:rsidR="00AF6AF1">
        <w:t>nen</w:t>
      </w:r>
      <w:r w:rsidRPr="00B94902">
        <w:t xml:space="preserve"> op de inbreng van de rapporteur</w:t>
      </w:r>
      <w:r w:rsidR="00AF6AF1">
        <w:t>s</w:t>
      </w:r>
      <w:r w:rsidRPr="00B94902">
        <w:t xml:space="preserve">. </w:t>
      </w:r>
    </w:p>
    <w:p w:rsidR="00B94902" w:rsidP="002D6A99" w:rsidRDefault="00B94902">
      <w:pPr>
        <w:pStyle w:val="Lijstalinea"/>
        <w:numPr>
          <w:ilvl w:val="0"/>
          <w:numId w:val="11"/>
        </w:numPr>
        <w:spacing w:line="276" w:lineRule="auto"/>
      </w:pPr>
      <w:r w:rsidRPr="00B94902">
        <w:t xml:space="preserve">Vervolgens wordt het WGO op de gebruikelijke wijze voortgezet met de inbreng van de verschillende woordvoerders </w:t>
      </w:r>
      <w:r w:rsidR="00D51F51">
        <w:t>(inclusief de rapporteur</w:t>
      </w:r>
      <w:r w:rsidR="00AF6AF1">
        <w:t>s</w:t>
      </w:r>
      <w:r w:rsidR="00341E9C">
        <w:t xml:space="preserve">, nu </w:t>
      </w:r>
      <w:r w:rsidR="007076FE">
        <w:t xml:space="preserve">voor </w:t>
      </w:r>
      <w:r w:rsidR="00341E9C">
        <w:t>de eigen fractie</w:t>
      </w:r>
      <w:r w:rsidR="00D51F51">
        <w:t>)</w:t>
      </w:r>
      <w:r w:rsidR="00C20D2C">
        <w:t>,</w:t>
      </w:r>
      <w:r w:rsidR="00D51F51">
        <w:t xml:space="preserve"> </w:t>
      </w:r>
      <w:r w:rsidRPr="00B94902">
        <w:t>gevolgd door de beantwoording van de bewindsperso</w:t>
      </w:r>
      <w:r w:rsidR="00AF6AF1">
        <w:t>nen</w:t>
      </w:r>
      <w:r w:rsidRPr="00B94902">
        <w:t xml:space="preserve">. </w:t>
      </w:r>
    </w:p>
    <w:p w:rsidR="00B94902" w:rsidP="002D6A99" w:rsidRDefault="00B94902">
      <w:pPr>
        <w:spacing w:line="276" w:lineRule="auto"/>
      </w:pPr>
    </w:p>
    <w:p w:rsidR="007076FE" w:rsidRDefault="007076FE">
      <w:pPr>
        <w:rPr>
          <w:b/>
        </w:rPr>
      </w:pPr>
      <w:r>
        <w:rPr>
          <w:b/>
        </w:rPr>
        <w:br w:type="page"/>
      </w:r>
    </w:p>
    <w:p w:rsidRPr="00FB7D49" w:rsidR="006057BA" w:rsidP="002D6A99" w:rsidRDefault="00D51F51">
      <w:pPr>
        <w:pStyle w:val="Lijstalinea"/>
        <w:numPr>
          <w:ilvl w:val="0"/>
          <w:numId w:val="15"/>
        </w:numPr>
        <w:spacing w:line="276" w:lineRule="auto"/>
        <w:rPr>
          <w:b/>
        </w:rPr>
      </w:pPr>
      <w:r w:rsidRPr="00FB7D49">
        <w:rPr>
          <w:b/>
        </w:rPr>
        <w:t>Inhoud inbreng rapporteur</w:t>
      </w:r>
    </w:p>
    <w:p w:rsidR="00557D95" w:rsidP="002D6A99" w:rsidRDefault="00557D95">
      <w:pPr>
        <w:spacing w:line="276" w:lineRule="auto"/>
      </w:pPr>
    </w:p>
    <w:p w:rsidRPr="00557D95" w:rsidR="00557D95" w:rsidP="002D6A99" w:rsidRDefault="00557D95">
      <w:pPr>
        <w:spacing w:line="276" w:lineRule="auto"/>
        <w:rPr>
          <w:i/>
        </w:rPr>
      </w:pPr>
      <w:r w:rsidRPr="00557D95">
        <w:rPr>
          <w:i/>
        </w:rPr>
        <w:t>Kwaliteit van de verantwoording</w:t>
      </w:r>
    </w:p>
    <w:p w:rsidR="000C03DE" w:rsidP="002D6A99" w:rsidRDefault="000C03DE">
      <w:pPr>
        <w:spacing w:line="276" w:lineRule="auto"/>
      </w:pPr>
      <w:r>
        <w:t xml:space="preserve">De commissie voor Financiën adviseerde in haar brief aan de commissievoorzitters over de behandeling van de </w:t>
      </w:r>
      <w:r w:rsidR="00AF6AF1">
        <w:t xml:space="preserve">departementale jaarverslagen </w:t>
      </w:r>
      <w:r w:rsidR="004E32C4">
        <w:t xml:space="preserve">aan </w:t>
      </w:r>
      <w:r>
        <w:t xml:space="preserve">rapporteurs </w:t>
      </w:r>
      <w:r w:rsidR="004E32C4">
        <w:t xml:space="preserve">om </w:t>
      </w:r>
      <w:r>
        <w:t xml:space="preserve">namens de commissie de kwaliteit van de verantwoordingsstukken </w:t>
      </w:r>
      <w:r w:rsidR="004E32C4">
        <w:t xml:space="preserve">te </w:t>
      </w:r>
      <w:r>
        <w:t xml:space="preserve">onderzoeken. Het gaat dan om aspecten als </w:t>
      </w:r>
      <w:r w:rsidRPr="00BE0AE6">
        <w:rPr>
          <w:szCs w:val="22"/>
        </w:rPr>
        <w:t xml:space="preserve">informatiegehalte, inzichtelijkheid, concreetheid, het gebruik van beleidsdoorlichtingen </w:t>
      </w:r>
      <w:r>
        <w:rPr>
          <w:szCs w:val="22"/>
        </w:rPr>
        <w:t xml:space="preserve">en </w:t>
      </w:r>
      <w:r w:rsidRPr="00BE0AE6">
        <w:rPr>
          <w:szCs w:val="22"/>
        </w:rPr>
        <w:t>afrekenbaarheid</w:t>
      </w:r>
      <w:r>
        <w:rPr>
          <w:szCs w:val="22"/>
        </w:rPr>
        <w:t>.</w:t>
      </w:r>
      <w:r w:rsidR="00F81B0F">
        <w:rPr>
          <w:szCs w:val="22"/>
        </w:rPr>
        <w:t xml:space="preserve"> De commissie</w:t>
      </w:r>
      <w:r w:rsidRPr="00F81B0F" w:rsidR="00F81B0F">
        <w:rPr>
          <w:szCs w:val="22"/>
        </w:rPr>
        <w:t xml:space="preserve"> </w:t>
      </w:r>
      <w:r w:rsidR="00F81B0F">
        <w:rPr>
          <w:szCs w:val="22"/>
        </w:rPr>
        <w:t xml:space="preserve">Financiën wijst er verder op dat commissies kunnen </w:t>
      </w:r>
      <w:r w:rsidRPr="00F81B0F" w:rsidR="00F81B0F">
        <w:rPr>
          <w:szCs w:val="22"/>
        </w:rPr>
        <w:t xml:space="preserve">besluiten een rapporteur in te zetten op een </w:t>
      </w:r>
      <w:r w:rsidR="007076FE">
        <w:rPr>
          <w:szCs w:val="22"/>
        </w:rPr>
        <w:t xml:space="preserve">of meer </w:t>
      </w:r>
      <w:r w:rsidRPr="00F81B0F" w:rsidR="00F81B0F">
        <w:rPr>
          <w:szCs w:val="22"/>
        </w:rPr>
        <w:t>specifiek</w:t>
      </w:r>
      <w:r w:rsidR="007076FE">
        <w:rPr>
          <w:szCs w:val="22"/>
        </w:rPr>
        <w:t>e</w:t>
      </w:r>
      <w:r w:rsidRPr="00F81B0F" w:rsidR="00F81B0F">
        <w:rPr>
          <w:szCs w:val="22"/>
        </w:rPr>
        <w:t xml:space="preserve"> thema</w:t>
      </w:r>
      <w:r w:rsidR="007076FE">
        <w:rPr>
          <w:szCs w:val="22"/>
        </w:rPr>
        <w:t>’s</w:t>
      </w:r>
      <w:r w:rsidRPr="00F81B0F" w:rsidR="00F81B0F">
        <w:rPr>
          <w:szCs w:val="22"/>
        </w:rPr>
        <w:t xml:space="preserve"> </w:t>
      </w:r>
      <w:r w:rsidR="007076FE">
        <w:rPr>
          <w:szCs w:val="22"/>
        </w:rPr>
        <w:t>die van belang worden</w:t>
      </w:r>
      <w:r w:rsidRPr="00F81B0F" w:rsidR="00F81B0F">
        <w:rPr>
          <w:szCs w:val="22"/>
        </w:rPr>
        <w:t xml:space="preserve"> geacht. Hiermee kan verdieping worden gezocht op een of meer onderdelen van het jaarverslag. De commissies wordt aanbevolen tijdig thema’s te benoemen die nader onderzocht worden.</w:t>
      </w:r>
      <w:r w:rsidR="00F81B0F">
        <w:rPr>
          <w:rStyle w:val="Voetnootmarkering"/>
        </w:rPr>
        <w:footnoteReference w:id="2"/>
      </w:r>
      <w:r w:rsidRPr="00F81B0F" w:rsidR="00F81B0F">
        <w:t xml:space="preserve"> </w:t>
      </w:r>
      <w:r w:rsidR="00F81B0F">
        <w:t>De rapporteurs stellen voor deze adviezen</w:t>
      </w:r>
      <w:r w:rsidR="007076FE">
        <w:t xml:space="preserve"> te volgen, en derhalve in ieder geval de kwaliteit en inzichtelijkheid van het jaarverslag te onderzoeken en te beoordelen. </w:t>
      </w:r>
    </w:p>
    <w:p w:rsidR="00160729" w:rsidP="002D6A99" w:rsidRDefault="00160729">
      <w:pPr>
        <w:spacing w:line="276" w:lineRule="auto"/>
      </w:pPr>
    </w:p>
    <w:p w:rsidR="00D51F51" w:rsidP="002D6A99" w:rsidRDefault="000C03DE">
      <w:pPr>
        <w:spacing w:line="276" w:lineRule="auto"/>
      </w:pPr>
      <w:r>
        <w:t xml:space="preserve">Om de kwaliteit van de jaarverslagen te beoordelen </w:t>
      </w:r>
      <w:r w:rsidR="002A3A6E">
        <w:t xml:space="preserve">maken </w:t>
      </w:r>
      <w:r>
        <w:t>de r</w:t>
      </w:r>
      <w:r w:rsidR="00D51F51">
        <w:t>apporteur</w:t>
      </w:r>
      <w:r w:rsidR="002A3A6E">
        <w:t>s</w:t>
      </w:r>
      <w:r w:rsidRPr="00D51F51" w:rsidR="00D51F51">
        <w:t xml:space="preserve"> </w:t>
      </w:r>
      <w:r w:rsidR="00D51F51">
        <w:t>gebruik van zes</w:t>
      </w:r>
      <w:r w:rsidRPr="00D51F51" w:rsidR="00D51F51">
        <w:t xml:space="preserve"> hoofdvragen, zoals geformuleerd in de </w:t>
      </w:r>
      <w:hyperlink w:history="1" r:id="rId10">
        <w:r w:rsidRPr="00D51F51" w:rsidR="00D51F51">
          <w:rPr>
            <w:rStyle w:val="Hyperlink"/>
          </w:rPr>
          <w:t>controlekaart begroting en verantwoording</w:t>
        </w:r>
      </w:hyperlink>
      <w:r>
        <w:t xml:space="preserve"> en uitgewerkt in de </w:t>
      </w:r>
      <w:hyperlink w:history="1" r:id="rId11">
        <w:r w:rsidRPr="000C03DE">
          <w:rPr>
            <w:rStyle w:val="Hyperlink"/>
          </w:rPr>
          <w:t>handreiking controle en verantwoording</w:t>
        </w:r>
      </w:hyperlink>
      <w:r>
        <w:t xml:space="preserve">. </w:t>
      </w:r>
    </w:p>
    <w:p w:rsidR="000C03DE" w:rsidP="002D6A99" w:rsidRDefault="000C03DE">
      <w:pPr>
        <w:spacing w:line="276" w:lineRule="auto"/>
      </w:pPr>
    </w:p>
    <w:tbl>
      <w:tblPr>
        <w:tblStyle w:val="Tabelraster"/>
        <w:tblW w:w="0" w:type="auto"/>
        <w:tblLook w:val="04A0" w:firstRow="1" w:lastRow="0" w:firstColumn="1" w:lastColumn="0" w:noHBand="0" w:noVBand="1"/>
      </w:tblPr>
      <w:tblGrid>
        <w:gridCol w:w="8134"/>
      </w:tblGrid>
      <w:tr w:rsidR="000C03DE" w:rsidTr="000C03DE">
        <w:tc>
          <w:tcPr>
            <w:tcW w:w="8134" w:type="dxa"/>
          </w:tcPr>
          <w:p w:rsidRPr="000C03DE" w:rsidR="000C03DE" w:rsidP="002D6A99" w:rsidRDefault="000C03DE">
            <w:pPr>
              <w:spacing w:line="276" w:lineRule="auto"/>
              <w:rPr>
                <w:b/>
              </w:rPr>
            </w:pPr>
            <w:r w:rsidRPr="000C03DE">
              <w:rPr>
                <w:b/>
              </w:rPr>
              <w:t>Handreiking en controlekaart</w:t>
            </w:r>
          </w:p>
          <w:p w:rsidR="000C03DE" w:rsidP="002D6A99" w:rsidRDefault="000C03DE">
            <w:pPr>
              <w:spacing w:line="276" w:lineRule="auto"/>
            </w:pPr>
            <w:r w:rsidRPr="000C03DE">
              <w:t>De Handreiking controle begroting en verantwoording biedt Kamerleden houvast voor het controleren van de overheidsfinanciën, de begroting in het najaar en de verantwoording in het voorjaar.</w:t>
            </w:r>
            <w:r>
              <w:t xml:space="preserve"> </w:t>
            </w:r>
            <w:r w:rsidRPr="000C03DE">
              <w:t>De handreiking is opgesteld door Pieter Duisenberg (VVD) en Paul van Meenen (D66), rapporteurs van de commissie voor Onderwijs, Cultuur en Wetenschap.</w:t>
            </w:r>
            <w:r w:rsidR="00160729">
              <w:t xml:space="preserve"> </w:t>
            </w:r>
            <w:r w:rsidRPr="000C03DE">
              <w:t xml:space="preserve">Op basis van de handreiking is de Controlekaart begroting en </w:t>
            </w:r>
            <w:r>
              <w:t>v</w:t>
            </w:r>
            <w:r w:rsidRPr="000C03DE">
              <w:t>erantwoording gemaakt. Daarop staan zes hoofdvragen die een Kamerlid kan stellen bij het controleren van de begroting en de verantwoording</w:t>
            </w:r>
            <w:r w:rsidR="00160729">
              <w:t>:</w:t>
            </w:r>
          </w:p>
          <w:p w:rsidR="000C03DE" w:rsidP="002D6A99" w:rsidRDefault="000C03DE">
            <w:pPr>
              <w:pStyle w:val="Lijstalinea"/>
              <w:numPr>
                <w:ilvl w:val="0"/>
                <w:numId w:val="12"/>
              </w:numPr>
              <w:spacing w:line="276" w:lineRule="auto"/>
            </w:pPr>
            <w:r w:rsidRPr="000C03DE">
              <w:t>Wat is het beeld van het beleidsterrein op hoofdlijnen?</w:t>
            </w:r>
          </w:p>
          <w:p w:rsidRPr="000C03DE" w:rsidR="000C03DE" w:rsidP="002D6A99" w:rsidRDefault="000C03DE">
            <w:pPr>
              <w:pStyle w:val="Lijstalinea"/>
              <w:numPr>
                <w:ilvl w:val="0"/>
                <w:numId w:val="12"/>
              </w:numPr>
              <w:spacing w:line="276" w:lineRule="auto"/>
            </w:pPr>
            <w:r w:rsidRPr="000C03DE">
              <w:rPr>
                <w:bCs/>
              </w:rPr>
              <w:t>Welke doelen zijn gepland/behaald?</w:t>
            </w:r>
          </w:p>
          <w:p w:rsidR="000C03DE" w:rsidP="002D6A99" w:rsidRDefault="000C03DE">
            <w:pPr>
              <w:pStyle w:val="Lijstalinea"/>
              <w:numPr>
                <w:ilvl w:val="0"/>
                <w:numId w:val="12"/>
              </w:numPr>
              <w:spacing w:line="276" w:lineRule="auto"/>
            </w:pPr>
            <w:r w:rsidRPr="000C03DE">
              <w:t>Welke prestaties zijn gepland/geleverd?</w:t>
            </w:r>
          </w:p>
          <w:p w:rsidR="000C03DE" w:rsidP="002D6A99" w:rsidRDefault="000C03DE">
            <w:pPr>
              <w:pStyle w:val="Lijstalinea"/>
              <w:numPr>
                <w:ilvl w:val="0"/>
                <w:numId w:val="12"/>
              </w:numPr>
              <w:spacing w:line="276" w:lineRule="auto"/>
            </w:pPr>
            <w:r w:rsidRPr="000C03DE">
              <w:t>Wat gaat het kosten/heeft het gekost?</w:t>
            </w:r>
          </w:p>
          <w:p w:rsidR="000C03DE" w:rsidP="002D6A99" w:rsidRDefault="000C03DE">
            <w:pPr>
              <w:pStyle w:val="Lijstalinea"/>
              <w:numPr>
                <w:ilvl w:val="0"/>
                <w:numId w:val="12"/>
              </w:numPr>
              <w:spacing w:line="276" w:lineRule="auto"/>
            </w:pPr>
            <w:r>
              <w:t>Wat is het oordeel over de rechtmatigheid, doeltreffendheid en doelmatigheid?</w:t>
            </w:r>
          </w:p>
          <w:p w:rsidRPr="000C03DE" w:rsidR="000C03DE" w:rsidP="002D6A99" w:rsidRDefault="000C03DE">
            <w:pPr>
              <w:pStyle w:val="Lijstalinea"/>
              <w:numPr>
                <w:ilvl w:val="0"/>
                <w:numId w:val="12"/>
              </w:numPr>
              <w:spacing w:line="276" w:lineRule="auto"/>
            </w:pPr>
            <w:r w:rsidRPr="000C03DE">
              <w:t xml:space="preserve">Welke conclusies en aanbevelingen </w:t>
            </w:r>
            <w:r w:rsidR="00160729">
              <w:t>volgen daaruit</w:t>
            </w:r>
            <w:r w:rsidRPr="000C03DE">
              <w:t>?</w:t>
            </w:r>
          </w:p>
        </w:tc>
      </w:tr>
    </w:tbl>
    <w:p w:rsidR="000C03DE" w:rsidP="002D6A99" w:rsidRDefault="000C03DE">
      <w:pPr>
        <w:spacing w:line="276" w:lineRule="auto"/>
      </w:pPr>
    </w:p>
    <w:p w:rsidRPr="00160729" w:rsidR="00160729" w:rsidP="002D6A99" w:rsidRDefault="00160729">
      <w:pPr>
        <w:spacing w:line="276" w:lineRule="auto"/>
        <w:rPr>
          <w:i/>
        </w:rPr>
      </w:pPr>
      <w:r w:rsidRPr="00160729">
        <w:rPr>
          <w:i/>
        </w:rPr>
        <w:t>Specifieke thema’s</w:t>
      </w:r>
    </w:p>
    <w:p w:rsidR="000E3EAD" w:rsidP="002D6A99" w:rsidRDefault="00160729">
      <w:pPr>
        <w:spacing w:line="276" w:lineRule="auto"/>
      </w:pPr>
      <w:r>
        <w:t xml:space="preserve">Vorig jaar heeft de rapporteur zich specifiek op </w:t>
      </w:r>
      <w:r w:rsidR="000E3EAD">
        <w:t xml:space="preserve">een aantal </w:t>
      </w:r>
      <w:r>
        <w:t xml:space="preserve">thema’s gericht die in 2016 een beleidsprioriteit van Defensie waren, </w:t>
      </w:r>
      <w:r w:rsidR="003D5E46">
        <w:t xml:space="preserve">en dan met name de </w:t>
      </w:r>
      <w:r w:rsidRPr="00160729">
        <w:t>versterking van de bas</w:t>
      </w:r>
      <w:r w:rsidR="003D5E46">
        <w:t xml:space="preserve">isgereedheid van de krijgsmacht. </w:t>
      </w:r>
      <w:r w:rsidR="000E3EAD">
        <w:t>Verder heeft de rapporteur aandacht besteed aan de bevindingen van de Algemene Rekenkamer, met name de geconstateerde onvolkomenheden in de bedrijfsvoering, en de informatievoorziening over Slotwetmutaties.</w:t>
      </w:r>
      <w:r w:rsidR="000E3EAD">
        <w:rPr>
          <w:rStyle w:val="Voetnootmarkering"/>
        </w:rPr>
        <w:footnoteReference w:id="3"/>
      </w:r>
      <w:r w:rsidR="000E3EAD">
        <w:t xml:space="preserve"> </w:t>
      </w:r>
    </w:p>
    <w:p w:rsidR="00557D95" w:rsidP="002D6A99" w:rsidRDefault="00557D95">
      <w:pPr>
        <w:spacing w:line="276" w:lineRule="auto"/>
      </w:pPr>
    </w:p>
    <w:p w:rsidR="00160729" w:rsidP="002D6A99" w:rsidRDefault="00F81B0F">
      <w:pPr>
        <w:spacing w:line="276" w:lineRule="auto"/>
      </w:pPr>
      <w:r>
        <w:t>D</w:t>
      </w:r>
      <w:r w:rsidR="00160729">
        <w:t xml:space="preserve">e rapporteurs stellen voor </w:t>
      </w:r>
      <w:r w:rsidR="007B2BBB">
        <w:t xml:space="preserve">dit jaar </w:t>
      </w:r>
      <w:r w:rsidR="00505559">
        <w:t xml:space="preserve">voort te bouwen op het </w:t>
      </w:r>
      <w:proofErr w:type="spellStart"/>
      <w:r w:rsidR="00505559">
        <w:t>rapporteurschap</w:t>
      </w:r>
      <w:proofErr w:type="spellEnd"/>
      <w:r w:rsidR="00505559">
        <w:t xml:space="preserve"> van vorig jaar. Daarom willen zij zich </w:t>
      </w:r>
      <w:r w:rsidR="00160729">
        <w:t xml:space="preserve">opnieuw specifiek richten op </w:t>
      </w:r>
      <w:r w:rsidR="00505559">
        <w:t xml:space="preserve">de informatievoorziening over de versterking </w:t>
      </w:r>
      <w:r w:rsidRPr="000E3EAD" w:rsidR="00160729">
        <w:t>van de gereedheid van de krijgsmacht</w:t>
      </w:r>
      <w:r w:rsidR="00160729">
        <w:t>. Daarvoor zien de rapporteurs verschillende redenen</w:t>
      </w:r>
      <w:r w:rsidR="00F82720">
        <w:t>.</w:t>
      </w:r>
      <w:r w:rsidR="00160729">
        <w:t xml:space="preserve"> </w:t>
      </w:r>
    </w:p>
    <w:p w:rsidR="00160729" w:rsidP="002D6A99" w:rsidRDefault="00160729">
      <w:pPr>
        <w:pStyle w:val="Lijstalinea"/>
        <w:numPr>
          <w:ilvl w:val="0"/>
          <w:numId w:val="27"/>
        </w:numPr>
        <w:spacing w:line="276" w:lineRule="auto"/>
      </w:pPr>
      <w:r>
        <w:t xml:space="preserve">Dit onderwerp was </w:t>
      </w:r>
      <w:r w:rsidR="000E3EAD">
        <w:t>ook in 2017 één van de vijf beleids</w:t>
      </w:r>
      <w:r>
        <w:t>prioriteit</w:t>
      </w:r>
      <w:r w:rsidR="000E3EAD">
        <w:t>en</w:t>
      </w:r>
      <w:r>
        <w:t xml:space="preserve"> </w:t>
      </w:r>
      <w:r w:rsidR="000E3EAD">
        <w:t xml:space="preserve">van </w:t>
      </w:r>
      <w:r>
        <w:t xml:space="preserve">Defensie. </w:t>
      </w:r>
    </w:p>
    <w:p w:rsidR="00160729" w:rsidP="002D6A99" w:rsidRDefault="00F82720">
      <w:pPr>
        <w:pStyle w:val="Lijstalinea"/>
        <w:numPr>
          <w:ilvl w:val="0"/>
          <w:numId w:val="27"/>
        </w:numPr>
        <w:spacing w:line="276" w:lineRule="auto"/>
      </w:pPr>
      <w:r>
        <w:t xml:space="preserve">Vanaf </w:t>
      </w:r>
      <w:r w:rsidR="00160729">
        <w:t xml:space="preserve">2017 is voor dit doel € 197 miljoen </w:t>
      </w:r>
      <w:r>
        <w:t xml:space="preserve">(structureel) </w:t>
      </w:r>
      <w:r w:rsidR="00160729">
        <w:t xml:space="preserve">aan de Defensiebegroting toegevoegd. </w:t>
      </w:r>
    </w:p>
    <w:p w:rsidR="00160729" w:rsidP="002D6A99" w:rsidRDefault="00160729">
      <w:pPr>
        <w:pStyle w:val="Lijstalinea"/>
        <w:numPr>
          <w:ilvl w:val="0"/>
          <w:numId w:val="27"/>
        </w:numPr>
        <w:spacing w:line="276" w:lineRule="auto"/>
      </w:pPr>
      <w:r>
        <w:t>De informatievoorziening over de gereedheid is in 2017 naar aanleiding van een onderzoek van de MIVD aangepast.</w:t>
      </w:r>
    </w:p>
    <w:p w:rsidR="00160729" w:rsidP="002D6A99" w:rsidRDefault="00160729">
      <w:pPr>
        <w:pStyle w:val="Lijstalinea"/>
        <w:numPr>
          <w:ilvl w:val="0"/>
          <w:numId w:val="27"/>
        </w:numPr>
        <w:spacing w:line="276" w:lineRule="auto"/>
      </w:pPr>
      <w:r>
        <w:t xml:space="preserve">Vorig jaar </w:t>
      </w:r>
      <w:r w:rsidR="000E3EAD">
        <w:t xml:space="preserve">heeft de minister </w:t>
      </w:r>
      <w:r w:rsidR="003D5E46">
        <w:t xml:space="preserve">een toezegging </w:t>
      </w:r>
      <w:r>
        <w:t xml:space="preserve">gedaan </w:t>
      </w:r>
      <w:r w:rsidR="000E3EAD">
        <w:t xml:space="preserve">die dit jaar invulling </w:t>
      </w:r>
      <w:r w:rsidR="003D5E46">
        <w:t xml:space="preserve">zou </w:t>
      </w:r>
      <w:r w:rsidR="000E3EAD">
        <w:t>moeten krijgen</w:t>
      </w:r>
      <w:r w:rsidR="003D5E46">
        <w:t>, namelijk: “</w:t>
      </w:r>
      <w:r w:rsidRPr="003D5E46" w:rsidR="003D5E46">
        <w:t>De Minister heeft toegezegd om in de jaarverslagen het verkeerslicht-model te implementeren voor maatregelen ter versterking van de basisgereedheid op de onderdelen personeel, materieel en operationeel.</w:t>
      </w:r>
      <w:r w:rsidR="003D5E46">
        <w:t>”</w:t>
      </w:r>
      <w:r w:rsidR="003D5E46">
        <w:rPr>
          <w:rStyle w:val="Voetnootmarkering"/>
        </w:rPr>
        <w:footnoteReference w:id="4"/>
      </w:r>
    </w:p>
    <w:p w:rsidRPr="00E20627" w:rsidR="000E3EAD" w:rsidP="002D6A99" w:rsidRDefault="000E3EAD">
      <w:pPr>
        <w:spacing w:line="276" w:lineRule="auto"/>
      </w:pPr>
      <w:r w:rsidRPr="00E20627">
        <w:t>De rapporteurs zullen zich specifiek richten op de vraag of de jaarverantwoording over 2017 voldoende inzicht biedt voor de Kamer over dit onderwerp en de besteding van de middelen</w:t>
      </w:r>
      <w:r w:rsidRPr="00E20627" w:rsidR="003D5E46">
        <w:t>, ook in relatie tot de begroting van 2017</w:t>
      </w:r>
      <w:r w:rsidRPr="00E20627">
        <w:t xml:space="preserve">. </w:t>
      </w:r>
    </w:p>
    <w:p w:rsidRPr="00E20627" w:rsidR="000E3EAD" w:rsidP="002D6A99" w:rsidRDefault="000E3EAD">
      <w:pPr>
        <w:spacing w:line="276" w:lineRule="auto"/>
      </w:pPr>
    </w:p>
    <w:p w:rsidRPr="00E20627" w:rsidR="003D5E46" w:rsidP="002D6A99" w:rsidRDefault="003D5E46">
      <w:pPr>
        <w:spacing w:line="276" w:lineRule="auto"/>
      </w:pPr>
      <w:r w:rsidRPr="00E20627">
        <w:t xml:space="preserve">Verder willen de rapporteurs zich richten op een tweede beleidsprioriteit van Defensie in 2017, namelijk ‘investeren in goed werkgeverschap’, en dan met </w:t>
      </w:r>
      <w:r w:rsidRPr="00E20627" w:rsidR="001A452A">
        <w:t xml:space="preserve">name (de informatievoorziening in het Jaarverslag over) het </w:t>
      </w:r>
      <w:r w:rsidRPr="00E20627">
        <w:t xml:space="preserve">behoud en </w:t>
      </w:r>
      <w:r w:rsidRPr="00E20627" w:rsidR="001A452A">
        <w:t xml:space="preserve">de </w:t>
      </w:r>
      <w:r w:rsidRPr="00E20627">
        <w:t xml:space="preserve">werving van personeel. </w:t>
      </w:r>
    </w:p>
    <w:p w:rsidRPr="00E20627" w:rsidR="003D5E46" w:rsidP="002D6A99" w:rsidRDefault="003D5E46">
      <w:pPr>
        <w:spacing w:line="276" w:lineRule="auto"/>
      </w:pPr>
    </w:p>
    <w:p w:rsidR="000E3EAD" w:rsidP="002D6A99" w:rsidRDefault="003D5E46">
      <w:pPr>
        <w:spacing w:line="276" w:lineRule="auto"/>
      </w:pPr>
      <w:r>
        <w:t xml:space="preserve">Ten slotte </w:t>
      </w:r>
      <w:r w:rsidR="000E3EAD">
        <w:t>zullen de rapporteurs opnieuw aandacht besteden aan Slotwetmutaties</w:t>
      </w:r>
      <w:r>
        <w:t xml:space="preserve"> en de informatievoorziening daarover</w:t>
      </w:r>
      <w:r w:rsidR="000E3EAD">
        <w:t xml:space="preserve">. </w:t>
      </w:r>
    </w:p>
    <w:p w:rsidR="00CC55E1" w:rsidP="002D6A99" w:rsidRDefault="00CC55E1">
      <w:pPr>
        <w:spacing w:line="276" w:lineRule="auto"/>
      </w:pPr>
    </w:p>
    <w:p w:rsidRPr="00FB7D49" w:rsidR="00FB7D49" w:rsidP="002D6A99" w:rsidRDefault="00FB7D49">
      <w:pPr>
        <w:pStyle w:val="Lijstalinea"/>
        <w:numPr>
          <w:ilvl w:val="0"/>
          <w:numId w:val="15"/>
        </w:numPr>
        <w:spacing w:line="276" w:lineRule="auto"/>
        <w:rPr>
          <w:b/>
        </w:rPr>
      </w:pPr>
      <w:r w:rsidRPr="00FB7D49">
        <w:rPr>
          <w:b/>
        </w:rPr>
        <w:t xml:space="preserve">Ondersteuning door </w:t>
      </w:r>
      <w:r w:rsidR="000E3EAD">
        <w:rPr>
          <w:b/>
        </w:rPr>
        <w:t>de commissiestaf</w:t>
      </w:r>
    </w:p>
    <w:p w:rsidR="00F82720" w:rsidP="002D6A99" w:rsidRDefault="00F82720">
      <w:pPr>
        <w:spacing w:line="276" w:lineRule="auto"/>
      </w:pPr>
    </w:p>
    <w:p w:rsidR="00AF5946" w:rsidP="002D6A99" w:rsidRDefault="0028418F">
      <w:pPr>
        <w:spacing w:line="276" w:lineRule="auto"/>
      </w:pPr>
      <w:r>
        <w:t xml:space="preserve">Op de procedurevergadering van </w:t>
      </w:r>
      <w:r w:rsidR="00557D95">
        <w:t xml:space="preserve">22 maart 2018 </w:t>
      </w:r>
      <w:r>
        <w:t xml:space="preserve">heeft de commissie </w:t>
      </w:r>
      <w:r w:rsidR="00557D95">
        <w:t xml:space="preserve">de staf </w:t>
      </w:r>
      <w:r>
        <w:t>verzocht een notitie op te stellen over de verantwoordingsstukken ten behoeve van het WGO en mede ten behoeve van de rapporteur</w:t>
      </w:r>
      <w:r w:rsidR="00F81B0F">
        <w:t>s</w:t>
      </w:r>
      <w:r>
        <w:t xml:space="preserve">. </w:t>
      </w:r>
      <w:r w:rsidR="00F81B0F">
        <w:t xml:space="preserve">De staf </w:t>
      </w:r>
      <w:r w:rsidR="00AF5946">
        <w:t>zal in de</w:t>
      </w:r>
      <w:r>
        <w:t>ze</w:t>
      </w:r>
      <w:r w:rsidR="00AF5946">
        <w:t xml:space="preserve"> notitie in ieder geval aandacht besteden aan bovengenoemde thema’s, zodat de rapporteur</w:t>
      </w:r>
      <w:r w:rsidR="00F81B0F">
        <w:t>s</w:t>
      </w:r>
      <w:r w:rsidR="00AF5946">
        <w:t xml:space="preserve"> gebruik </w:t>
      </w:r>
      <w:r w:rsidR="00F81B0F">
        <w:t xml:space="preserve">kunnen </w:t>
      </w:r>
      <w:r w:rsidR="00AF5946">
        <w:t>maken van de bevindingen ten behoeve van de inbreng tijdens het WGO</w:t>
      </w:r>
      <w:r w:rsidRPr="00AF5946" w:rsidR="00AF5946">
        <w:t>.</w:t>
      </w:r>
      <w:r w:rsidR="00AF5946">
        <w:t xml:space="preserve"> </w:t>
      </w:r>
      <w:r w:rsidRPr="00AF5946" w:rsidR="00AF5946">
        <w:t xml:space="preserve">De </w:t>
      </w:r>
      <w:r w:rsidR="00AF5946">
        <w:t xml:space="preserve">inhoud van de </w:t>
      </w:r>
      <w:r w:rsidR="00F81B0F">
        <w:t>staf</w:t>
      </w:r>
      <w:r w:rsidR="00AF5946">
        <w:t>notitie</w:t>
      </w:r>
      <w:r w:rsidRPr="00AF5946" w:rsidR="00AF5946">
        <w:t xml:space="preserve"> blijft de verantwoordelijkheid van </w:t>
      </w:r>
      <w:r w:rsidR="00F81B0F">
        <w:t>de staf</w:t>
      </w:r>
      <w:r w:rsidRPr="00AF5946" w:rsidR="00AF5946">
        <w:t>. Alle</w:t>
      </w:r>
      <w:r w:rsidR="00AF5946">
        <w:t xml:space="preserve"> leden van de com</w:t>
      </w:r>
      <w:r w:rsidR="00AF5946">
        <w:softHyphen/>
        <w:t>missie zullen</w:t>
      </w:r>
      <w:r w:rsidR="00F81B0F">
        <w:t xml:space="preserve"> d</w:t>
      </w:r>
      <w:r w:rsidR="00AF5946">
        <w:t xml:space="preserve">e </w:t>
      </w:r>
      <w:r w:rsidR="00F81B0F">
        <w:t>staf</w:t>
      </w:r>
      <w:r w:rsidR="00AF5946">
        <w:t xml:space="preserve">notitie </w:t>
      </w:r>
      <w:r w:rsidRPr="00AF5946" w:rsidR="00AF5946">
        <w:t>ontvangen</w:t>
      </w:r>
      <w:r w:rsidR="00F81B0F">
        <w:t xml:space="preserve"> en kunnen daar indien gewenst gebruik van maken</w:t>
      </w:r>
      <w:r w:rsidRPr="00AF5946" w:rsidR="00AF5946">
        <w:t>.</w:t>
      </w:r>
      <w:r w:rsidR="00AF5946">
        <w:t xml:space="preserve"> Uiteraard is de </w:t>
      </w:r>
      <w:r w:rsidR="00F81B0F">
        <w:t>staf</w:t>
      </w:r>
      <w:r w:rsidR="00AF5946">
        <w:t xml:space="preserve">notitie, zoals gebruikelijk, </w:t>
      </w:r>
      <w:r w:rsidR="00C20D2C">
        <w:t xml:space="preserve">alleen </w:t>
      </w:r>
      <w:r w:rsidR="00AF5946">
        <w:t xml:space="preserve">voor intern gebruik. </w:t>
      </w:r>
    </w:p>
    <w:p w:rsidR="00D51F51" w:rsidP="002D6A99" w:rsidRDefault="00D51F51">
      <w:pPr>
        <w:spacing w:line="276" w:lineRule="auto"/>
      </w:pPr>
    </w:p>
    <w:p w:rsidR="00D51F51" w:rsidP="002D6A99" w:rsidRDefault="00D51F51">
      <w:pPr>
        <w:pStyle w:val="Lijstalinea"/>
        <w:numPr>
          <w:ilvl w:val="0"/>
          <w:numId w:val="15"/>
        </w:numPr>
        <w:spacing w:line="276" w:lineRule="auto"/>
        <w:rPr>
          <w:b/>
        </w:rPr>
      </w:pPr>
      <w:r w:rsidRPr="00FB7D49">
        <w:rPr>
          <w:b/>
        </w:rPr>
        <w:t xml:space="preserve">Planning </w:t>
      </w:r>
    </w:p>
    <w:p w:rsidRPr="00F82720" w:rsidR="00F82720" w:rsidP="002D6A99" w:rsidRDefault="00F82720">
      <w:pPr>
        <w:spacing w:line="276" w:lineRule="auto"/>
        <w:rPr>
          <w:b/>
        </w:rPr>
      </w:pPr>
    </w:p>
    <w:p w:rsidR="00D51F51" w:rsidP="002D6A99" w:rsidRDefault="004E32C4">
      <w:pPr>
        <w:spacing w:line="276" w:lineRule="auto"/>
      </w:pPr>
      <w:r>
        <w:t>Hieronder is ter informatie een overzicht opgenomen van belangrijke data.</w:t>
      </w:r>
    </w:p>
    <w:p w:rsidR="00F82720" w:rsidP="002D6A99" w:rsidRDefault="00F82720">
      <w:pPr>
        <w:spacing w:line="276" w:lineRule="auto"/>
      </w:pPr>
    </w:p>
    <w:tbl>
      <w:tblPr>
        <w:tblW w:w="525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1E0" w:firstRow="1" w:lastRow="1" w:firstColumn="1" w:lastColumn="1" w:noHBand="0" w:noVBand="0"/>
      </w:tblPr>
      <w:tblGrid>
        <w:gridCol w:w="1910"/>
        <w:gridCol w:w="6724"/>
      </w:tblGrid>
      <w:tr w:rsidRPr="00F82720" w:rsidR="00F82720" w:rsidTr="00F82720">
        <w:tc>
          <w:tcPr>
            <w:tcW w:w="1106" w:type="pct"/>
            <w:shd w:val="clear" w:color="auto" w:fill="auto"/>
          </w:tcPr>
          <w:p w:rsidRPr="00F82720" w:rsidR="00F82720" w:rsidP="002D6A99" w:rsidRDefault="00F82720">
            <w:pPr>
              <w:spacing w:line="276" w:lineRule="auto"/>
              <w:rPr>
                <w:b/>
              </w:rPr>
            </w:pPr>
            <w:r w:rsidRPr="00F82720">
              <w:rPr>
                <w:b/>
              </w:rPr>
              <w:t>Datum &amp; tijd</w:t>
            </w:r>
          </w:p>
        </w:tc>
        <w:tc>
          <w:tcPr>
            <w:tcW w:w="3894" w:type="pct"/>
            <w:shd w:val="clear" w:color="auto" w:fill="auto"/>
          </w:tcPr>
          <w:p w:rsidRPr="00F82720" w:rsidR="00F82720" w:rsidP="002D6A99" w:rsidRDefault="00F82720">
            <w:pPr>
              <w:spacing w:line="276" w:lineRule="auto"/>
              <w:rPr>
                <w:b/>
              </w:rPr>
            </w:pPr>
            <w:r w:rsidRPr="00F82720">
              <w:rPr>
                <w:b/>
              </w:rPr>
              <w:t>Activiteit</w:t>
            </w:r>
          </w:p>
        </w:tc>
      </w:tr>
      <w:tr w:rsidR="00F81B0F" w:rsidTr="00F82720">
        <w:tc>
          <w:tcPr>
            <w:tcW w:w="1106" w:type="pct"/>
            <w:shd w:val="clear" w:color="auto" w:fill="auto"/>
          </w:tcPr>
          <w:p w:rsidR="00F81B0F" w:rsidP="002D6A99" w:rsidRDefault="00F81B0F">
            <w:pPr>
              <w:spacing w:line="276" w:lineRule="auto"/>
            </w:pPr>
            <w:r>
              <w:t>5 april, 10.30</w:t>
            </w:r>
          </w:p>
        </w:tc>
        <w:tc>
          <w:tcPr>
            <w:tcW w:w="3894" w:type="pct"/>
            <w:shd w:val="clear" w:color="auto" w:fill="auto"/>
          </w:tcPr>
          <w:p w:rsidR="00F81B0F" w:rsidP="002D6A99" w:rsidRDefault="00F81B0F">
            <w:pPr>
              <w:spacing w:line="276" w:lineRule="auto"/>
            </w:pPr>
            <w:r>
              <w:t>Procedurevergadering Defensie</w:t>
            </w:r>
          </w:p>
        </w:tc>
      </w:tr>
      <w:tr w:rsidR="00F81B0F" w:rsidTr="00F82720">
        <w:tc>
          <w:tcPr>
            <w:tcW w:w="1106" w:type="pct"/>
            <w:shd w:val="clear" w:color="auto" w:fill="auto"/>
          </w:tcPr>
          <w:p w:rsidR="00F81B0F" w:rsidP="002D6A99" w:rsidRDefault="00F81B0F">
            <w:pPr>
              <w:spacing w:line="276" w:lineRule="auto"/>
            </w:pPr>
            <w:r>
              <w:t>19 april, 10.30</w:t>
            </w:r>
          </w:p>
        </w:tc>
        <w:tc>
          <w:tcPr>
            <w:tcW w:w="3894" w:type="pct"/>
            <w:shd w:val="clear" w:color="auto" w:fill="auto"/>
          </w:tcPr>
          <w:p w:rsidR="00F81B0F" w:rsidP="002D6A99" w:rsidRDefault="00F81B0F">
            <w:pPr>
              <w:spacing w:line="276" w:lineRule="auto"/>
            </w:pPr>
            <w:r>
              <w:t>Procedurevergadering Defensie</w:t>
            </w:r>
          </w:p>
        </w:tc>
      </w:tr>
      <w:tr w:rsidR="004E32C4" w:rsidTr="00F82720">
        <w:tc>
          <w:tcPr>
            <w:tcW w:w="1106" w:type="pct"/>
            <w:shd w:val="clear" w:color="auto" w:fill="auto"/>
          </w:tcPr>
          <w:p w:rsidR="004E32C4" w:rsidP="002D6A99" w:rsidRDefault="004E32C4">
            <w:pPr>
              <w:spacing w:line="276" w:lineRule="auto"/>
            </w:pPr>
            <w:r>
              <w:t>1</w:t>
            </w:r>
            <w:r w:rsidR="00F81B0F">
              <w:t>6</w:t>
            </w:r>
            <w:r>
              <w:t xml:space="preserve"> mei</w:t>
            </w:r>
            <w:r w:rsidR="00F81B0F">
              <w:t xml:space="preserve"> </w:t>
            </w:r>
          </w:p>
        </w:tc>
        <w:tc>
          <w:tcPr>
            <w:tcW w:w="3894" w:type="pct"/>
            <w:shd w:val="clear" w:color="auto" w:fill="auto"/>
          </w:tcPr>
          <w:p w:rsidR="004E32C4" w:rsidP="002D6A99" w:rsidRDefault="004E32C4">
            <w:pPr>
              <w:spacing w:line="276" w:lineRule="auto"/>
            </w:pPr>
            <w:r>
              <w:t>Aanbieding jaarverslagen en slotwetten en verantwoordingsonderzoek Algemene Rekenkamer</w:t>
            </w:r>
            <w:r w:rsidR="00F81B0F">
              <w:t xml:space="preserve"> (voorafgegaan door ontbijt Algemene Rekenkamer en Tweede Kamerleden)</w:t>
            </w:r>
          </w:p>
        </w:tc>
      </w:tr>
      <w:tr w:rsidR="00F81B0F" w:rsidTr="00F82720">
        <w:tc>
          <w:tcPr>
            <w:tcW w:w="1106" w:type="pct"/>
            <w:shd w:val="clear" w:color="auto" w:fill="auto"/>
          </w:tcPr>
          <w:p w:rsidR="00F81B0F" w:rsidP="002D6A99" w:rsidRDefault="00F81B0F">
            <w:pPr>
              <w:spacing w:line="276" w:lineRule="auto"/>
            </w:pPr>
            <w:r>
              <w:t xml:space="preserve">17 mei, 10.30 </w:t>
            </w:r>
          </w:p>
        </w:tc>
        <w:tc>
          <w:tcPr>
            <w:tcW w:w="3894" w:type="pct"/>
            <w:shd w:val="clear" w:color="auto" w:fill="auto"/>
          </w:tcPr>
          <w:p w:rsidR="00F81B0F" w:rsidP="002D6A99" w:rsidRDefault="00F81B0F">
            <w:pPr>
              <w:spacing w:line="276" w:lineRule="auto"/>
            </w:pPr>
            <w:r>
              <w:t>Procedurevergadering Defensie</w:t>
            </w:r>
          </w:p>
        </w:tc>
      </w:tr>
      <w:tr w:rsidR="004E32C4" w:rsidTr="00F82720">
        <w:tc>
          <w:tcPr>
            <w:tcW w:w="1106" w:type="pct"/>
            <w:shd w:val="clear" w:color="auto" w:fill="auto"/>
          </w:tcPr>
          <w:p w:rsidRPr="001A452A" w:rsidR="004E32C4" w:rsidP="001A452A" w:rsidRDefault="001A452A">
            <w:pPr>
              <w:spacing w:line="276" w:lineRule="auto"/>
              <w:rPr>
                <w:i/>
              </w:rPr>
            </w:pPr>
            <w:r w:rsidRPr="001A452A">
              <w:rPr>
                <w:i/>
              </w:rPr>
              <w:t xml:space="preserve">Nog te plannen </w:t>
            </w:r>
          </w:p>
        </w:tc>
        <w:tc>
          <w:tcPr>
            <w:tcW w:w="3894" w:type="pct"/>
            <w:shd w:val="clear" w:color="auto" w:fill="auto"/>
          </w:tcPr>
          <w:p w:rsidR="004E32C4" w:rsidP="002D6A99" w:rsidRDefault="004E32C4">
            <w:pPr>
              <w:spacing w:line="276" w:lineRule="auto"/>
            </w:pPr>
            <w:r>
              <w:t>Technische briefing A</w:t>
            </w:r>
            <w:r w:rsidR="00F81B0F">
              <w:t xml:space="preserve">lgemene </w:t>
            </w:r>
            <w:r>
              <w:t>R</w:t>
            </w:r>
            <w:r w:rsidR="00F81B0F">
              <w:t>ekenkamer</w:t>
            </w:r>
            <w:r>
              <w:t xml:space="preserve"> over verantwoordingsonderzoek</w:t>
            </w:r>
          </w:p>
        </w:tc>
      </w:tr>
      <w:tr w:rsidR="00F81B0F" w:rsidTr="00F82720">
        <w:tc>
          <w:tcPr>
            <w:tcW w:w="1106" w:type="pct"/>
            <w:shd w:val="clear" w:color="auto" w:fill="auto"/>
          </w:tcPr>
          <w:p w:rsidR="00F81B0F" w:rsidP="002D6A99" w:rsidRDefault="00F81B0F">
            <w:pPr>
              <w:spacing w:line="276" w:lineRule="auto"/>
            </w:pPr>
            <w:r>
              <w:t>23 mei</w:t>
            </w:r>
          </w:p>
        </w:tc>
        <w:tc>
          <w:tcPr>
            <w:tcW w:w="3894" w:type="pct"/>
            <w:shd w:val="clear" w:color="auto" w:fill="auto"/>
          </w:tcPr>
          <w:p w:rsidR="00F81B0F" w:rsidP="002D6A99" w:rsidRDefault="00F81B0F">
            <w:pPr>
              <w:spacing w:line="276" w:lineRule="auto"/>
            </w:pPr>
            <w:r>
              <w:t>Verantwoordingsdebat met minister-president en minister van Financiën (plenair)</w:t>
            </w:r>
          </w:p>
        </w:tc>
      </w:tr>
      <w:tr w:rsidR="004E32C4" w:rsidTr="00F82720">
        <w:tc>
          <w:tcPr>
            <w:tcW w:w="1106" w:type="pct"/>
            <w:shd w:val="clear" w:color="auto" w:fill="auto"/>
          </w:tcPr>
          <w:p w:rsidR="004E32C4" w:rsidP="002D6A99" w:rsidRDefault="004E32C4">
            <w:pPr>
              <w:spacing w:line="276" w:lineRule="auto"/>
            </w:pPr>
            <w:r>
              <w:t>24 mei, 14.00</w:t>
            </w:r>
          </w:p>
        </w:tc>
        <w:tc>
          <w:tcPr>
            <w:tcW w:w="3894" w:type="pct"/>
            <w:shd w:val="clear" w:color="auto" w:fill="auto"/>
          </w:tcPr>
          <w:p w:rsidR="004E32C4" w:rsidP="002D6A99" w:rsidRDefault="004E32C4">
            <w:pPr>
              <w:spacing w:line="276" w:lineRule="auto"/>
            </w:pPr>
            <w:r>
              <w:t xml:space="preserve">Inbreng feitelijke vragen </w:t>
            </w:r>
          </w:p>
        </w:tc>
      </w:tr>
      <w:tr w:rsidR="004E32C4" w:rsidTr="00F82720">
        <w:tc>
          <w:tcPr>
            <w:tcW w:w="1106" w:type="pct"/>
            <w:shd w:val="clear" w:color="auto" w:fill="auto"/>
          </w:tcPr>
          <w:p w:rsidR="004E32C4" w:rsidP="002D6A99" w:rsidRDefault="00F81B0F">
            <w:pPr>
              <w:spacing w:line="276" w:lineRule="auto"/>
            </w:pPr>
            <w:r>
              <w:t>31 mei</w:t>
            </w:r>
            <w:r w:rsidR="007B2BBB">
              <w:t>, 10.30</w:t>
            </w:r>
          </w:p>
        </w:tc>
        <w:tc>
          <w:tcPr>
            <w:tcW w:w="3894" w:type="pct"/>
            <w:shd w:val="clear" w:color="auto" w:fill="auto"/>
          </w:tcPr>
          <w:p w:rsidR="004E32C4" w:rsidP="002D6A99" w:rsidRDefault="004E32C4">
            <w:pPr>
              <w:spacing w:line="276" w:lineRule="auto"/>
            </w:pPr>
            <w:r>
              <w:t>Procedurevergadering Defensie</w:t>
            </w:r>
          </w:p>
        </w:tc>
      </w:tr>
      <w:tr w:rsidR="004E32C4" w:rsidTr="00F82720">
        <w:tc>
          <w:tcPr>
            <w:tcW w:w="1106" w:type="pct"/>
            <w:shd w:val="clear" w:color="auto" w:fill="auto"/>
          </w:tcPr>
          <w:p w:rsidR="004E32C4" w:rsidP="002D6A99" w:rsidRDefault="00F81B0F">
            <w:pPr>
              <w:spacing w:line="276" w:lineRule="auto"/>
            </w:pPr>
            <w:r>
              <w:t>5</w:t>
            </w:r>
            <w:r w:rsidR="004E32C4">
              <w:t xml:space="preserve"> juni</w:t>
            </w:r>
          </w:p>
        </w:tc>
        <w:tc>
          <w:tcPr>
            <w:tcW w:w="3894" w:type="pct"/>
            <w:shd w:val="clear" w:color="auto" w:fill="auto"/>
          </w:tcPr>
          <w:p w:rsidR="004E32C4" w:rsidP="002D6A99" w:rsidRDefault="004E32C4">
            <w:pPr>
              <w:spacing w:line="276" w:lineRule="auto"/>
            </w:pPr>
            <w:r>
              <w:t>Deadline ontvangst antwoorden van het kabinet</w:t>
            </w:r>
            <w:r w:rsidR="00F81B0F">
              <w:t xml:space="preserve"> en Algemene Rekenkamer op feitelijke vragen</w:t>
            </w:r>
          </w:p>
        </w:tc>
      </w:tr>
      <w:tr w:rsidR="004E32C4" w:rsidTr="00F82720">
        <w:tc>
          <w:tcPr>
            <w:tcW w:w="1106" w:type="pct"/>
            <w:shd w:val="clear" w:color="auto" w:fill="auto"/>
          </w:tcPr>
          <w:p w:rsidRPr="00D71B51" w:rsidR="007B2BBB" w:rsidP="002D6A99" w:rsidRDefault="007B2BBB">
            <w:pPr>
              <w:spacing w:line="276" w:lineRule="auto"/>
            </w:pPr>
            <w:r w:rsidRPr="00D71B51">
              <w:t>13</w:t>
            </w:r>
            <w:r w:rsidRPr="00D71B51" w:rsidR="004E32C4">
              <w:t xml:space="preserve"> juni</w:t>
            </w:r>
            <w:r w:rsidRPr="00D71B51" w:rsidR="00AB1D44">
              <w:t xml:space="preserve">, </w:t>
            </w:r>
          </w:p>
          <w:p w:rsidR="004E32C4" w:rsidP="002D6A99" w:rsidRDefault="00C20D2C">
            <w:pPr>
              <w:spacing w:line="276" w:lineRule="auto"/>
            </w:pPr>
            <w:r w:rsidRPr="00D71B51">
              <w:t>16.00-17.00 uur</w:t>
            </w:r>
          </w:p>
        </w:tc>
        <w:tc>
          <w:tcPr>
            <w:tcW w:w="3894" w:type="pct"/>
            <w:shd w:val="clear" w:color="auto" w:fill="auto"/>
          </w:tcPr>
          <w:p w:rsidR="004E32C4" w:rsidP="00634ADB" w:rsidRDefault="004E32C4">
            <w:pPr>
              <w:spacing w:line="276" w:lineRule="auto"/>
            </w:pPr>
            <w:r>
              <w:t xml:space="preserve">Besloten commissiebriefing </w:t>
            </w:r>
            <w:r w:rsidR="00634ADB">
              <w:t>d</w:t>
            </w:r>
            <w:r>
              <w:t>oor rapporteur</w:t>
            </w:r>
            <w:r w:rsidR="00634ADB">
              <w:t>s</w:t>
            </w:r>
          </w:p>
        </w:tc>
      </w:tr>
      <w:tr w:rsidR="004E32C4" w:rsidTr="00F82720">
        <w:tc>
          <w:tcPr>
            <w:tcW w:w="1106" w:type="pct"/>
            <w:shd w:val="clear" w:color="auto" w:fill="auto"/>
          </w:tcPr>
          <w:p w:rsidR="004E32C4" w:rsidP="002D6A99" w:rsidRDefault="004E32C4">
            <w:pPr>
              <w:spacing w:line="276" w:lineRule="auto"/>
            </w:pPr>
            <w:r>
              <w:t xml:space="preserve">Uiterlijk </w:t>
            </w:r>
            <w:r w:rsidR="007B2BBB">
              <w:t>13</w:t>
            </w:r>
            <w:r>
              <w:t xml:space="preserve"> juni</w:t>
            </w:r>
          </w:p>
        </w:tc>
        <w:tc>
          <w:tcPr>
            <w:tcW w:w="3894" w:type="pct"/>
            <w:shd w:val="clear" w:color="auto" w:fill="auto"/>
          </w:tcPr>
          <w:p w:rsidR="004E32C4" w:rsidP="002D6A99" w:rsidRDefault="004E32C4">
            <w:pPr>
              <w:spacing w:line="276" w:lineRule="auto"/>
            </w:pPr>
            <w:r>
              <w:t xml:space="preserve">Publicatie </w:t>
            </w:r>
            <w:r w:rsidR="007B2BBB">
              <w:t>staf</w:t>
            </w:r>
            <w:r>
              <w:t xml:space="preserve">notitie </w:t>
            </w:r>
          </w:p>
        </w:tc>
      </w:tr>
      <w:tr w:rsidR="004E32C4" w:rsidTr="00F82720">
        <w:tc>
          <w:tcPr>
            <w:tcW w:w="1106" w:type="pct"/>
            <w:shd w:val="clear" w:color="auto" w:fill="auto"/>
          </w:tcPr>
          <w:p w:rsidR="004E32C4" w:rsidP="002D6A99" w:rsidRDefault="004E32C4">
            <w:pPr>
              <w:spacing w:line="276" w:lineRule="auto"/>
            </w:pPr>
            <w:r>
              <w:t>14 juni</w:t>
            </w:r>
            <w:r w:rsidR="00F81B0F">
              <w:t>, 10.30</w:t>
            </w:r>
          </w:p>
        </w:tc>
        <w:tc>
          <w:tcPr>
            <w:tcW w:w="3894" w:type="pct"/>
            <w:shd w:val="clear" w:color="auto" w:fill="auto"/>
          </w:tcPr>
          <w:p w:rsidR="004E32C4" w:rsidP="002D6A99" w:rsidRDefault="00F81B0F">
            <w:pPr>
              <w:spacing w:line="276" w:lineRule="auto"/>
            </w:pPr>
            <w:r>
              <w:t>Procedurevergadering Defensie</w:t>
            </w:r>
          </w:p>
        </w:tc>
      </w:tr>
      <w:tr w:rsidR="00F81B0F" w:rsidTr="00F82720">
        <w:tc>
          <w:tcPr>
            <w:tcW w:w="1106" w:type="pct"/>
            <w:shd w:val="clear" w:color="auto" w:fill="auto"/>
          </w:tcPr>
          <w:p w:rsidR="00F81B0F" w:rsidP="002D6A99" w:rsidRDefault="00F81B0F">
            <w:pPr>
              <w:spacing w:line="276" w:lineRule="auto"/>
            </w:pPr>
            <w:r>
              <w:t xml:space="preserve">20 juni </w:t>
            </w:r>
          </w:p>
          <w:p w:rsidR="00F81B0F" w:rsidP="002D6A99" w:rsidRDefault="00F81B0F">
            <w:pPr>
              <w:spacing w:line="276" w:lineRule="auto"/>
            </w:pPr>
            <w:r>
              <w:t>10.00-13.00</w:t>
            </w:r>
          </w:p>
        </w:tc>
        <w:tc>
          <w:tcPr>
            <w:tcW w:w="3894" w:type="pct"/>
            <w:shd w:val="clear" w:color="auto" w:fill="auto"/>
          </w:tcPr>
          <w:p w:rsidR="00F81B0F" w:rsidP="002D6A99" w:rsidRDefault="00F81B0F">
            <w:pPr>
              <w:spacing w:line="276" w:lineRule="auto"/>
            </w:pPr>
            <w:r w:rsidRPr="00F81B0F">
              <w:t>Wetgevingsoverleg Jaarverslag 2017</w:t>
            </w:r>
            <w:r w:rsidR="007B2BBB">
              <w:t xml:space="preserve"> </w:t>
            </w:r>
            <w:r w:rsidRPr="00F81B0F">
              <w:t>ministerie van Defensie</w:t>
            </w:r>
          </w:p>
        </w:tc>
      </w:tr>
    </w:tbl>
    <w:p w:rsidR="006057BA" w:rsidP="002D6A99" w:rsidRDefault="006057BA">
      <w:pPr>
        <w:spacing w:line="276" w:lineRule="auto"/>
      </w:pPr>
    </w:p>
    <w:sectPr w:rsidR="006057BA">
      <w:headerReference w:type="default" r:id="rId12"/>
      <w:footerReference w:type="default" r:id="rId13"/>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02" w:rsidRDefault="00B94902">
      <w:r>
        <w:separator/>
      </w:r>
    </w:p>
  </w:endnote>
  <w:endnote w:type="continuationSeparator" w:id="0">
    <w:p w:rsidR="00B94902" w:rsidRDefault="00B9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76" w:rsidRDefault="00797195">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02" w:rsidRDefault="00B94902">
      <w:r>
        <w:separator/>
      </w:r>
    </w:p>
  </w:footnote>
  <w:footnote w:type="continuationSeparator" w:id="0">
    <w:p w:rsidR="00B94902" w:rsidRDefault="00B94902">
      <w:r>
        <w:continuationSeparator/>
      </w:r>
    </w:p>
  </w:footnote>
  <w:footnote w:id="1">
    <w:p w:rsidR="00AF6AF1" w:rsidRDefault="00AF6AF1">
      <w:pPr>
        <w:pStyle w:val="Voetnoottekst"/>
      </w:pPr>
      <w:r>
        <w:rPr>
          <w:rStyle w:val="Voetnootmarkering"/>
        </w:rPr>
        <w:footnoteRef/>
      </w:r>
      <w:r>
        <w:t xml:space="preserve"> Ook rapporteurs van andere commissies hebben hiervan in het verleden gebruik gemaakt. </w:t>
      </w:r>
    </w:p>
  </w:footnote>
  <w:footnote w:id="2">
    <w:p w:rsidR="00F81B0F" w:rsidRDefault="00F81B0F" w:rsidP="00F81B0F">
      <w:pPr>
        <w:pStyle w:val="Voetnoottekst"/>
      </w:pPr>
      <w:r>
        <w:rPr>
          <w:rStyle w:val="Voetnootmarkering"/>
        </w:rPr>
        <w:footnoteRef/>
      </w:r>
      <w:r>
        <w:t xml:space="preserve"> </w:t>
      </w:r>
      <w:r w:rsidRPr="00505559">
        <w:t xml:space="preserve">Brief van </w:t>
      </w:r>
      <w:r w:rsidR="002A3A6E" w:rsidRPr="00505559">
        <w:t xml:space="preserve">de commissie Financiën van 27 maart 2018, </w:t>
      </w:r>
      <w:hyperlink r:id="rId1" w:history="1">
        <w:r w:rsidR="002A3A6E" w:rsidRPr="00505559">
          <w:rPr>
            <w:rStyle w:val="Hyperlink"/>
          </w:rPr>
          <w:t>2018Z04927</w:t>
        </w:r>
      </w:hyperlink>
      <w:r w:rsidR="002A3A6E" w:rsidRPr="00505559">
        <w:t>.</w:t>
      </w:r>
      <w:r w:rsidRPr="00505559">
        <w:rPr>
          <w:bCs/>
        </w:rPr>
        <w:t>.</w:t>
      </w:r>
      <w:r>
        <w:rPr>
          <w:bCs/>
        </w:rPr>
        <w:t xml:space="preserve"> </w:t>
      </w:r>
    </w:p>
  </w:footnote>
  <w:footnote w:id="3">
    <w:p w:rsidR="000E3EAD" w:rsidRDefault="000E3EAD">
      <w:pPr>
        <w:pStyle w:val="Voetnoottekst"/>
      </w:pPr>
      <w:r>
        <w:rPr>
          <w:rStyle w:val="Voetnootmarkering"/>
        </w:rPr>
        <w:footnoteRef/>
      </w:r>
      <w:r>
        <w:t xml:space="preserve"> Slotwetmutaties zijn bijstellingen van de begroting die pas bij de </w:t>
      </w:r>
      <w:proofErr w:type="spellStart"/>
      <w:r>
        <w:t>Slotwet</w:t>
      </w:r>
      <w:proofErr w:type="spellEnd"/>
      <w:r>
        <w:t xml:space="preserve">, een aantal maanden na afloop van het boekjaar, formeel ter autorisatie aan de Kamer worden voorgelegd. In feite kan er dan niets meer aan veranderd worden en wordt de Kamer dus voor een voldongen feit gesteld. </w:t>
      </w:r>
    </w:p>
  </w:footnote>
  <w:footnote w:id="4">
    <w:p w:rsidR="003D5E46" w:rsidRDefault="003D5E46">
      <w:pPr>
        <w:pStyle w:val="Voetnoottekst"/>
      </w:pPr>
      <w:r>
        <w:rPr>
          <w:rStyle w:val="Voetnootmarkering"/>
        </w:rPr>
        <w:footnoteRef/>
      </w:r>
      <w:r>
        <w:t xml:space="preserve"> </w:t>
      </w:r>
      <w:r w:rsidRPr="003D5E46">
        <w:t>Verslag van een wetgevingsoverleg, gehouden op 14 juni 2017, over Jaarverslag Ministerie van Defensie 2016</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BA" w:rsidRDefault="0098012B">
    <w:r>
      <w:pict>
        <v:shape id="Shape59087bff386fd" o:spid="_x0000_s2058" style="position:absolute;margin-left:36.85pt;margin-top:167.2pt;width:326.2pt;height:133.2pt;z-index:251654144;mso-position-horizontal:absolute;mso-position-horizontal-relative:page;mso-position-vertical:absolute;mso-position-vertical-relative:page" coordsize="21600,21600" o:spt="100" adj="0,,0" path="" filled="f" stroked="f">
          <v:stroke joinstyle="round"/>
          <v:formulas/>
          <v:path o:connecttype="segments"/>
          <v:textbox style="mso-next-textbox:#Shape59087bff386fd" inset="0,0,0,0">
            <w:txbxContent>
              <w:p w:rsidR="006057BA" w:rsidRDefault="00797195">
                <w:pPr>
                  <w:pStyle w:val="Documenttitel"/>
                </w:pPr>
                <w:r>
                  <w:tab/>
                </w:r>
                <w:r>
                  <w:tab/>
                </w:r>
                <w:r w:rsidR="007B2BBB">
                  <w:t>N</w:t>
                </w:r>
                <w:r>
                  <w:t>otitie</w:t>
                </w:r>
                <w:r w:rsidR="007B2BBB">
                  <w:t xml:space="preserve"> rapporteurs Jaarverslag Defensie</w:t>
                </w:r>
              </w:p>
              <w:p w:rsidR="006057BA" w:rsidRDefault="006057BA">
                <w:pPr>
                  <w:pStyle w:val="Witregel65ptdubbel"/>
                </w:pPr>
              </w:p>
              <w:p w:rsidR="006057BA" w:rsidRDefault="00797195">
                <w:pPr>
                  <w:pStyle w:val="Standaard65"/>
                </w:pPr>
                <w:r>
                  <w:tab/>
                  <w:t>aan</w:t>
                </w:r>
                <w:r>
                  <w:tab/>
                </w:r>
                <w:r w:rsidR="00B94902">
                  <w:t>V</w:t>
                </w:r>
                <w:r>
                  <w:t>aste commissie voor Defensie</w:t>
                </w:r>
              </w:p>
              <w:p w:rsidR="006057BA" w:rsidRDefault="00797195">
                <w:pPr>
                  <w:pStyle w:val="Standaard65"/>
                </w:pPr>
                <w:r>
                  <w:tab/>
                  <w:t>van</w:t>
                </w:r>
                <w:r>
                  <w:tab/>
                  <w:t>Rapporteur</w:t>
                </w:r>
                <w:r w:rsidR="00AF6AF1">
                  <w:t>s</w:t>
                </w:r>
                <w:r>
                  <w:t xml:space="preserve"> Belhaj</w:t>
                </w:r>
                <w:r w:rsidR="00AF6AF1">
                  <w:t xml:space="preserve"> &amp; Diks</w:t>
                </w:r>
              </w:p>
              <w:p w:rsidR="006057BA" w:rsidRDefault="006057BA">
                <w:pPr>
                  <w:pStyle w:val="Witregel65ptdubbel"/>
                </w:pPr>
              </w:p>
              <w:p w:rsidR="006057BA" w:rsidRDefault="00797195">
                <w:pPr>
                  <w:pStyle w:val="Standaard65"/>
                </w:pPr>
                <w:r>
                  <w:tab/>
                  <w:t>datum</w:t>
                </w:r>
                <w:r>
                  <w:tab/>
                </w:r>
                <w:sdt>
                  <w:sdtPr>
                    <w:id w:val="-541512847"/>
                    <w:date w:fullDate="2018-04-03T00:00:00Z">
                      <w:dateFormat w:val="d MMMM yyyy"/>
                      <w:lid w:val="nl-NL"/>
                      <w:storeMappedDataAs w:val="dateTime"/>
                      <w:calendar w:val="gregorian"/>
                    </w:date>
                  </w:sdtPr>
                  <w:sdtEndPr/>
                  <w:sdtContent>
                    <w:r w:rsidR="0098012B">
                      <w:t>3 april 2018</w:t>
                    </w:r>
                  </w:sdtContent>
                </w:sdt>
              </w:p>
              <w:p w:rsidR="006057BA" w:rsidRDefault="00797195" w:rsidP="00B94902">
                <w:pPr>
                  <w:pStyle w:val="Standaard65"/>
                  <w:ind w:left="1343" w:hanging="1343"/>
                </w:pPr>
                <w:r>
                  <w:tab/>
                  <w:t>betreft</w:t>
                </w:r>
                <w:r>
                  <w:tab/>
                </w:r>
                <w:r w:rsidR="009D2619">
                  <w:t>I</w:t>
                </w:r>
                <w:r>
                  <w:t xml:space="preserve">nvulling </w:t>
                </w:r>
                <w:proofErr w:type="spellStart"/>
                <w:r>
                  <w:t>rapporteursc</w:t>
                </w:r>
                <w:r w:rsidR="00B94902">
                  <w:t>hap</w:t>
                </w:r>
                <w:proofErr w:type="spellEnd"/>
                <w:r w:rsidR="00B94902">
                  <w:t xml:space="preserve"> jaarverslag 201</w:t>
                </w:r>
                <w:r w:rsidR="00AF6AF1">
                  <w:t>7</w:t>
                </w:r>
                <w:r w:rsidR="00B94902">
                  <w:t xml:space="preserve"> ministerie van Defensie</w:t>
                </w:r>
              </w:p>
              <w:p w:rsidR="006057BA" w:rsidRDefault="00797195">
                <w:pPr>
                  <w:pStyle w:val="Standaard65"/>
                </w:pPr>
                <w:r>
                  <w:tab/>
                  <w:t>Te betrekken bij</w:t>
                </w:r>
                <w:r>
                  <w:tab/>
                  <w:t xml:space="preserve">Procedurevergadering Defensie </w:t>
                </w:r>
                <w:r w:rsidR="004D598F">
                  <w:t>5</w:t>
                </w:r>
                <w:r w:rsidR="00AF6AF1">
                  <w:t xml:space="preserve"> april 2018</w:t>
                </w:r>
              </w:p>
              <w:p w:rsidR="006057BA" w:rsidRDefault="00797195">
                <w:pPr>
                  <w:pStyle w:val="Standaard65"/>
                </w:pPr>
                <w:r>
                  <w:tab/>
                </w:r>
              </w:p>
            </w:txbxContent>
          </v:textbox>
          <w10:wrap anchorx="page" anchory="page"/>
        </v:shape>
      </w:pict>
    </w:r>
  </w:p>
  <w:p w:rsidR="006057BA" w:rsidRDefault="0098012B">
    <w:r>
      <w:pict>
        <v:shape id="Shape59087bff3aa2a" o:spid="_x0000_s2057" style="position:absolute;margin-left:374.15pt;margin-top:170.05pt;width:161.25pt;height:133.2pt;z-index:251655168;mso-position-horizontal:absolute;mso-position-horizontal-relative:page;mso-position-vertical:absolute;mso-position-vertical-relative:page" coordsize="21600,21600" o:spt="100" adj="0,,0" path="" filled="f" stroked="f">
          <v:stroke joinstyle="round"/>
          <v:formulas/>
          <v:path o:connecttype="segments"/>
          <v:textbox style="mso-next-textbox:#Shape59087bff3aa2a" inset="0,0,0,0">
            <w:txbxContent>
              <w:p w:rsidR="006057BA" w:rsidRDefault="006057BA">
                <w:pPr>
                  <w:pStyle w:val="Standaard65rechtsuitgelijnd"/>
                </w:pPr>
              </w:p>
            </w:txbxContent>
          </v:textbox>
          <w10:wrap anchorx="page" anchory="page"/>
        </v:shape>
      </w:pict>
    </w:r>
  </w:p>
  <w:p w:rsidR="006057BA" w:rsidRDefault="0098012B">
    <w:r>
      <w:pict>
        <v:shape id="Shape59087bff3e610" o:spid="_x0000_s2056" style="position:absolute;margin-left:374.15pt;margin-top:133.2pt;width:161.55pt;height:17pt;z-index:251656192;mso-position-horizontal:absolute;mso-position-horizontal-relative:page;mso-position-vertical:absolute;mso-position-vertical-relative:page" coordsize="21600,21600" o:spt="100" adj="0,,0" path="" filled="f" stroked="f">
          <v:stroke joinstyle="round"/>
          <v:formulas/>
          <v:path o:connecttype="segments"/>
          <v:textbox style="mso-next-textbox:#Shape59087bff3e610" inset="0,0,0,0">
            <w:txbxContent>
              <w:p w:rsidR="006057BA" w:rsidRDefault="00797195">
                <w:pPr>
                  <w:pStyle w:val="Rubricering"/>
                </w:pPr>
                <w:r>
                  <w:t>VERTROUWELIJK</w:t>
                </w:r>
              </w:p>
            </w:txbxContent>
          </v:textbox>
          <w10:wrap anchorx="page" anchory="page"/>
        </v:shape>
      </w:pict>
    </w:r>
  </w:p>
  <w:p w:rsidR="006057BA" w:rsidRDefault="0098012B">
    <w:r>
      <w:pict>
        <v:shape id="Shape59087bff3e9a2" o:spid="_x0000_s2055" style="position:absolute;margin-left:49.3pt;margin-top:29.45pt;width:34pt;height:97.5pt;z-index:251657216;mso-position-horizontal:absolute;mso-position-horizontal-relative:page;mso-position-vertical:absolute;mso-position-vertical-relative:page" coordsize="21600,21600" o:spt="100" adj="0,,0" path="" filled="f" stroked="f">
          <v:stroke joinstyle="round"/>
          <v:formulas/>
          <v:path o:connecttype="segments"/>
          <v:textbox style="mso-next-textbox:#Shape59087bff3e9a2" inset="0,0,0,0">
            <w:txbxContent>
              <w:p w:rsidR="00A61E76" w:rsidRDefault="00A61E76"/>
            </w:txbxContent>
          </v:textbox>
          <w10:wrap anchorx="page" anchory="page"/>
        </v:shape>
      </w:pict>
    </w:r>
    <w:r w:rsidR="00797195">
      <w:rPr>
        <w:noProof/>
      </w:rPr>
      <w:drawing>
        <wp:anchor distT="0" distB="0" distL="0" distR="0" simplePos="0" relativeHeight="251652096" behindDoc="0" locked="1" layoutInCell="0" allowOverlap="1" wp14:anchorId="1D08CEE7" wp14:editId="75F63EC5">
          <wp:simplePos x="0" y="0"/>
          <wp:positionH relativeFrom="page">
            <wp:posOffset>626110</wp:posOffset>
          </wp:positionH>
          <wp:positionV relativeFrom="page">
            <wp:posOffset>374015</wp:posOffset>
          </wp:positionV>
          <wp:extent cx="431800" cy="860559"/>
          <wp:effectExtent l="0" t="0" r="0" b="0"/>
          <wp:wrapNone/>
          <wp:docPr id="1" name="Beeldmerk"/>
          <wp:cNvGraphicFramePr/>
          <a:graphic xmlns:a="http://schemas.openxmlformats.org/drawingml/2006/main">
            <a:graphicData uri="http://schemas.openxmlformats.org/drawingml/2006/picture">
              <pic:pic xmlns:pic="http://schemas.openxmlformats.org/drawingml/2006/picture">
                <pic:nvPicPr>
                  <pic:cNvPr id="1" name="Beeldmerk"/>
                  <pic:cNvPicPr/>
                </pic:nvPicPr>
                <pic:blipFill>
                  <a:blip r:embed="rId1"/>
                  <a:stretch>
                    <a:fillRect/>
                  </a:stretch>
                </pic:blipFill>
                <pic:spPr bwMode="auto">
                  <a:xfrm>
                    <a:off x="0" y="0"/>
                    <a:ext cx="431800" cy="860559"/>
                  </a:xfrm>
                  <a:prstGeom prst="rect">
                    <a:avLst/>
                  </a:prstGeom>
                </pic:spPr>
              </pic:pic>
            </a:graphicData>
          </a:graphic>
        </wp:anchor>
      </w:drawing>
    </w:r>
  </w:p>
  <w:p w:rsidR="006057BA" w:rsidRDefault="0098012B">
    <w:r>
      <w:pict>
        <v:shape id="Shape59087bff3f421" o:spid="_x0000_s2054" style="position:absolute;margin-left:85pt;margin-top:29.45pt;width:241.75pt;height:97.5pt;z-index:251658240;mso-position-horizontal:absolute;mso-position-horizontal-relative:page;mso-position-vertical:absolute;mso-position-vertical-relative:page" coordsize="21600,21600" o:spt="100" adj="0,,0" path="" filled="f" stroked="f">
          <v:stroke joinstyle="round"/>
          <v:formulas/>
          <v:path o:connecttype="segments"/>
          <v:textbox style="mso-next-textbox:#Shape59087bff3f421" inset="0,0,0,0">
            <w:txbxContent>
              <w:p w:rsidR="00A61E76" w:rsidRDefault="00A61E76"/>
            </w:txbxContent>
          </v:textbox>
          <w10:wrap anchorx="page" anchory="page"/>
        </v:shape>
      </w:pict>
    </w:r>
    <w:r w:rsidR="00797195">
      <w:rPr>
        <w:noProof/>
      </w:rPr>
      <w:drawing>
        <wp:anchor distT="0" distB="0" distL="0" distR="0" simplePos="0" relativeHeight="251653120" behindDoc="0" locked="1" layoutInCell="0" allowOverlap="1" wp14:anchorId="02D2F705" wp14:editId="725B1A0F">
          <wp:simplePos x="0" y="0"/>
          <wp:positionH relativeFrom="page">
            <wp:posOffset>1079500</wp:posOffset>
          </wp:positionH>
          <wp:positionV relativeFrom="page">
            <wp:posOffset>374015</wp:posOffset>
          </wp:positionV>
          <wp:extent cx="3070225" cy="1238284"/>
          <wp:effectExtent l="0" t="0" r="0" b="0"/>
          <wp:wrapNone/>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3070225" cy="1238284"/>
                  </a:xfrm>
                  <a:prstGeom prst="rect">
                    <a:avLst/>
                  </a:prstGeom>
                </pic:spPr>
              </pic:pic>
            </a:graphicData>
          </a:graphic>
        </wp:anchor>
      </w:drawing>
    </w:r>
  </w:p>
  <w:p w:rsidR="006057BA" w:rsidRDefault="0098012B">
    <w:r>
      <w:pict>
        <v:shape id="Shape59087bff3fafe" o:spid="_x0000_s2053" style="position:absolute;margin-left:110.55pt;margin-top:782.35pt;width:400.5pt;height:14.95pt;z-index:251659264;mso-position-horizontal:absolute;mso-position-horizontal-relative:page;mso-position-vertical:absolute;mso-position-vertical-relative:page" coordsize="21600,21600" o:spt="100" adj="0,,0" path="" filled="f" stroked="f">
          <v:stroke joinstyle="round"/>
          <v:formulas/>
          <v:path o:connecttype="segments"/>
          <v:textbox style="mso-next-textbox:#Shape59087bff3fafe" inset="0,0,0,0">
            <w:txbxContent>
              <w:p w:rsidR="006057BA" w:rsidRDefault="00797195">
                <w:pPr>
                  <w:pStyle w:val="Standaard65"/>
                </w:pPr>
                <w:r>
                  <w:t>Deze notitie is uitsluitend bestemd voor intern gebruik door de leden.</w:t>
                </w:r>
              </w:p>
            </w:txbxContent>
          </v:textbox>
          <w10:wrap anchorx="page" anchory="page"/>
        </v:shape>
      </w:pict>
    </w:r>
  </w:p>
  <w:p w:rsidR="006057BA" w:rsidRDefault="0098012B">
    <w:r>
      <w:pict>
        <v:shape id="Shape59087bff3ff7a" o:spid="_x0000_s2052" style="position:absolute;margin-left:110.55pt;margin-top:805pt;width:400.5pt;height:14.95pt;z-index:251660288;mso-position-horizontal:absolute;mso-position-horizontal-relative:page;mso-position-vertical:absolute;mso-position-vertical-relative:page" coordsize="21600,21600" o:spt="100" adj="0,,0" path="" filled="f" stroked="f">
          <v:stroke joinstyle="round"/>
          <v:formulas/>
          <v:path o:connecttype="segments"/>
          <v:textbox style="mso-next-textbox:#Shape59087bff3ff7a" inset="0,0,0,0">
            <w:txbxContent>
              <w:p w:rsidR="006057BA" w:rsidRDefault="00797195">
                <w:pPr>
                  <w:pStyle w:val="Standaard65rechtsuitgelijnd"/>
                </w:pPr>
                <w:r>
                  <w:t xml:space="preserve">pagina </w:t>
                </w:r>
                <w:r>
                  <w:fldChar w:fldCharType="begin"/>
                </w:r>
                <w:r>
                  <w:instrText>PAGE</w:instrText>
                </w:r>
                <w:r>
                  <w:fldChar w:fldCharType="separate"/>
                </w:r>
                <w:r w:rsidR="0098012B">
                  <w:rPr>
                    <w:noProof/>
                  </w:rPr>
                  <w:t>1</w:t>
                </w:r>
                <w:r>
                  <w:fldChar w:fldCharType="end"/>
                </w:r>
                <w:r>
                  <w:t>/</w:t>
                </w:r>
                <w:r>
                  <w:fldChar w:fldCharType="begin"/>
                </w:r>
                <w:r>
                  <w:instrText>NUMPAGES</w:instrText>
                </w:r>
                <w:r>
                  <w:fldChar w:fldCharType="separate"/>
                </w:r>
                <w:r w:rsidR="0098012B">
                  <w:rPr>
                    <w:noProof/>
                  </w:rPr>
                  <w:t>5</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7BA" w:rsidRDefault="0098012B">
    <w:r>
      <w:pict>
        <v:shape id="Shape59087bff406de" o:spid="_x0000_s2051" style="position:absolute;margin-left:25.5pt;margin-top:112.2pt;width:484.7pt;height:31.15pt;z-index:25166131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6057BA" w:rsidRDefault="00797195">
                <w:pPr>
                  <w:pStyle w:val="Standaard65"/>
                </w:pPr>
                <w:r>
                  <w:tab/>
                  <w:t>datum</w:t>
                </w:r>
                <w:r>
                  <w:tab/>
                </w:r>
                <w:sdt>
                  <w:sdtPr>
                    <w:id w:val="1148555054"/>
                    <w:date w:fullDate="2018-04-03T00:00:00Z">
                      <w:dateFormat w:val="d MMMM yyyy"/>
                      <w:lid w:val="nl-NL"/>
                      <w:storeMappedDataAs w:val="dateTime"/>
                      <w:calendar w:val="gregorian"/>
                    </w:date>
                  </w:sdtPr>
                  <w:sdtEndPr/>
                  <w:sdtContent>
                    <w:r w:rsidR="0098012B">
                      <w:t>3 april 2018</w:t>
                    </w:r>
                  </w:sdtContent>
                </w:sdt>
              </w:p>
              <w:p w:rsidR="006057BA" w:rsidRDefault="00797195">
                <w:pPr>
                  <w:pStyle w:val="Standaard65"/>
                </w:pPr>
                <w:r>
                  <w:tab/>
                  <w:t>betreft</w:t>
                </w:r>
                <w:r>
                  <w:tab/>
                </w:r>
                <w:r w:rsidR="009D2619">
                  <w:t>I</w:t>
                </w:r>
                <w:r>
                  <w:t xml:space="preserve">nvulling </w:t>
                </w:r>
                <w:proofErr w:type="spellStart"/>
                <w:r>
                  <w:t>rapporteurschap</w:t>
                </w:r>
                <w:proofErr w:type="spellEnd"/>
                <w:r>
                  <w:t xml:space="preserve"> </w:t>
                </w:r>
                <w:r w:rsidR="007B2BBB">
                  <w:t>jaarverslag 2017</w:t>
                </w:r>
                <w:r>
                  <w:t xml:space="preserve"> ministerie </w:t>
                </w:r>
                <w:r w:rsidR="007B2BBB">
                  <w:t>van Defensie</w:t>
                </w:r>
              </w:p>
            </w:txbxContent>
          </v:textbox>
          <w10:wrap anchorx="page" anchory="page"/>
        </v:shape>
      </w:pict>
    </w:r>
  </w:p>
  <w:p w:rsidR="006057BA" w:rsidRDefault="0098012B">
    <w:r>
      <w:pict>
        <v:shape id="Shape59087bff40c18" o:spid="_x0000_s2050" style="position:absolute;margin-left:110.55pt;margin-top:782.35pt;width:399.7pt;height:14.25pt;z-index:25166233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6057BA" w:rsidRDefault="00797195">
                <w:pPr>
                  <w:pStyle w:val="Standaard65"/>
                </w:pPr>
                <w:r>
                  <w:t>Deze notitie is uitsluitend bestemd voor intern gebruik door de leden.</w:t>
                </w:r>
              </w:p>
            </w:txbxContent>
          </v:textbox>
          <w10:wrap anchorx="page" anchory="page"/>
        </v:shape>
      </w:pict>
    </w:r>
  </w:p>
  <w:p w:rsidR="006057BA" w:rsidRDefault="0098012B">
    <w:r>
      <w:pict>
        <v:shape id="Shape59087bff40e2c" o:spid="_x0000_s2049" style="position:absolute;margin-left:110.55pt;margin-top:805pt;width:400.5pt;height:14.95pt;z-index:25166336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6057BA" w:rsidRDefault="00797195">
                <w:pPr>
                  <w:pStyle w:val="Standaard65rechtsuitgelijnd"/>
                </w:pPr>
                <w:r>
                  <w:t xml:space="preserve">pagina </w:t>
                </w:r>
                <w:r>
                  <w:fldChar w:fldCharType="begin"/>
                </w:r>
                <w:r>
                  <w:instrText>PAGE</w:instrText>
                </w:r>
                <w:r>
                  <w:fldChar w:fldCharType="separate"/>
                </w:r>
                <w:r w:rsidR="0098012B">
                  <w:rPr>
                    <w:noProof/>
                  </w:rPr>
                  <w:t>2</w:t>
                </w:r>
                <w:r>
                  <w:fldChar w:fldCharType="end"/>
                </w:r>
                <w:r>
                  <w:t>/</w:t>
                </w:r>
                <w:r>
                  <w:fldChar w:fldCharType="begin"/>
                </w:r>
                <w:r>
                  <w:instrText>NUMPAGES</w:instrText>
                </w:r>
                <w:r>
                  <w:fldChar w:fldCharType="separate"/>
                </w:r>
                <w:r w:rsidR="0098012B">
                  <w:rPr>
                    <w:noProof/>
                  </w:rPr>
                  <w:t>5</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D6B31"/>
    <w:multiLevelType w:val="multilevel"/>
    <w:tmpl w:val="4610D494"/>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CBCF4022"/>
    <w:multiLevelType w:val="multilevel"/>
    <w:tmpl w:val="0E855D7F"/>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DD84F1BF"/>
    <w:multiLevelType w:val="multilevel"/>
    <w:tmpl w:val="529FE33A"/>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FEB7AE71"/>
    <w:multiLevelType w:val="multilevel"/>
    <w:tmpl w:val="0E489C49"/>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FFFFF7C"/>
    <w:multiLevelType w:val="singleLevel"/>
    <w:tmpl w:val="CC12815C"/>
    <w:lvl w:ilvl="0">
      <w:start w:val="1"/>
      <w:numFmt w:val="decimal"/>
      <w:lvlText w:val="%1."/>
      <w:lvlJc w:val="left"/>
      <w:pPr>
        <w:tabs>
          <w:tab w:val="num" w:pos="1492"/>
        </w:tabs>
        <w:ind w:left="1492" w:hanging="360"/>
      </w:pPr>
    </w:lvl>
  </w:abstractNum>
  <w:abstractNum w:abstractNumId="5">
    <w:nsid w:val="FFFFFF7D"/>
    <w:multiLevelType w:val="singleLevel"/>
    <w:tmpl w:val="A9FCA002"/>
    <w:lvl w:ilvl="0">
      <w:start w:val="1"/>
      <w:numFmt w:val="decimal"/>
      <w:lvlText w:val="%1."/>
      <w:lvlJc w:val="left"/>
      <w:pPr>
        <w:tabs>
          <w:tab w:val="num" w:pos="1209"/>
        </w:tabs>
        <w:ind w:left="1209" w:hanging="360"/>
      </w:pPr>
    </w:lvl>
  </w:abstractNum>
  <w:abstractNum w:abstractNumId="6">
    <w:nsid w:val="FFFFFF7E"/>
    <w:multiLevelType w:val="singleLevel"/>
    <w:tmpl w:val="4FC6E584"/>
    <w:lvl w:ilvl="0">
      <w:start w:val="1"/>
      <w:numFmt w:val="decimal"/>
      <w:lvlText w:val="%1."/>
      <w:lvlJc w:val="left"/>
      <w:pPr>
        <w:tabs>
          <w:tab w:val="num" w:pos="926"/>
        </w:tabs>
        <w:ind w:left="926" w:hanging="360"/>
      </w:pPr>
    </w:lvl>
  </w:abstractNum>
  <w:abstractNum w:abstractNumId="7">
    <w:nsid w:val="FFFFFF7F"/>
    <w:multiLevelType w:val="singleLevel"/>
    <w:tmpl w:val="5E182C4C"/>
    <w:lvl w:ilvl="0">
      <w:start w:val="1"/>
      <w:numFmt w:val="decimal"/>
      <w:lvlText w:val="%1."/>
      <w:lvlJc w:val="left"/>
      <w:pPr>
        <w:tabs>
          <w:tab w:val="num" w:pos="643"/>
        </w:tabs>
        <w:ind w:left="643" w:hanging="360"/>
      </w:pPr>
    </w:lvl>
  </w:abstractNum>
  <w:abstractNum w:abstractNumId="8">
    <w:nsid w:val="FFFFFF80"/>
    <w:multiLevelType w:val="singleLevel"/>
    <w:tmpl w:val="B1B05146"/>
    <w:lvl w:ilvl="0">
      <w:start w:val="1"/>
      <w:numFmt w:val="bullet"/>
      <w:lvlText w:val=""/>
      <w:lvlJc w:val="left"/>
      <w:pPr>
        <w:tabs>
          <w:tab w:val="num" w:pos="1492"/>
        </w:tabs>
        <w:ind w:left="1492" w:hanging="360"/>
      </w:pPr>
      <w:rPr>
        <w:rFonts w:ascii="Symbol" w:hAnsi="Symbol" w:hint="default"/>
      </w:rPr>
    </w:lvl>
  </w:abstractNum>
  <w:abstractNum w:abstractNumId="9">
    <w:nsid w:val="FFFFFF81"/>
    <w:multiLevelType w:val="singleLevel"/>
    <w:tmpl w:val="9E5EEEE8"/>
    <w:lvl w:ilvl="0">
      <w:start w:val="1"/>
      <w:numFmt w:val="bullet"/>
      <w:lvlText w:val=""/>
      <w:lvlJc w:val="left"/>
      <w:pPr>
        <w:tabs>
          <w:tab w:val="num" w:pos="1209"/>
        </w:tabs>
        <w:ind w:left="1209" w:hanging="360"/>
      </w:pPr>
      <w:rPr>
        <w:rFonts w:ascii="Symbol" w:hAnsi="Symbol" w:hint="default"/>
      </w:rPr>
    </w:lvl>
  </w:abstractNum>
  <w:abstractNum w:abstractNumId="10">
    <w:nsid w:val="FFFFFF82"/>
    <w:multiLevelType w:val="singleLevel"/>
    <w:tmpl w:val="6CB6E6AC"/>
    <w:lvl w:ilvl="0">
      <w:start w:val="1"/>
      <w:numFmt w:val="bullet"/>
      <w:lvlText w:val=""/>
      <w:lvlJc w:val="left"/>
      <w:pPr>
        <w:tabs>
          <w:tab w:val="num" w:pos="926"/>
        </w:tabs>
        <w:ind w:left="926" w:hanging="360"/>
      </w:pPr>
      <w:rPr>
        <w:rFonts w:ascii="Symbol" w:hAnsi="Symbol" w:hint="default"/>
      </w:rPr>
    </w:lvl>
  </w:abstractNum>
  <w:abstractNum w:abstractNumId="11">
    <w:nsid w:val="FFFFFF83"/>
    <w:multiLevelType w:val="singleLevel"/>
    <w:tmpl w:val="D5FE097C"/>
    <w:lvl w:ilvl="0">
      <w:start w:val="1"/>
      <w:numFmt w:val="bullet"/>
      <w:lvlText w:val=""/>
      <w:lvlJc w:val="left"/>
      <w:pPr>
        <w:tabs>
          <w:tab w:val="num" w:pos="643"/>
        </w:tabs>
        <w:ind w:left="643" w:hanging="360"/>
      </w:pPr>
      <w:rPr>
        <w:rFonts w:ascii="Symbol" w:hAnsi="Symbol" w:hint="default"/>
      </w:rPr>
    </w:lvl>
  </w:abstractNum>
  <w:abstractNum w:abstractNumId="12">
    <w:nsid w:val="FFFFFF88"/>
    <w:multiLevelType w:val="singleLevel"/>
    <w:tmpl w:val="CD48D094"/>
    <w:lvl w:ilvl="0">
      <w:start w:val="1"/>
      <w:numFmt w:val="decimal"/>
      <w:lvlText w:val="%1."/>
      <w:lvlJc w:val="left"/>
      <w:pPr>
        <w:tabs>
          <w:tab w:val="num" w:pos="360"/>
        </w:tabs>
        <w:ind w:left="360" w:hanging="360"/>
      </w:pPr>
    </w:lvl>
  </w:abstractNum>
  <w:abstractNum w:abstractNumId="13">
    <w:nsid w:val="FFFFFF89"/>
    <w:multiLevelType w:val="singleLevel"/>
    <w:tmpl w:val="DC74CE38"/>
    <w:lvl w:ilvl="0">
      <w:start w:val="1"/>
      <w:numFmt w:val="bullet"/>
      <w:lvlText w:val=""/>
      <w:lvlJc w:val="left"/>
      <w:pPr>
        <w:tabs>
          <w:tab w:val="num" w:pos="360"/>
        </w:tabs>
        <w:ind w:left="360" w:hanging="360"/>
      </w:pPr>
      <w:rPr>
        <w:rFonts w:ascii="Symbol" w:hAnsi="Symbol" w:hint="default"/>
      </w:rPr>
    </w:lvl>
  </w:abstractNum>
  <w:abstractNum w:abstractNumId="14">
    <w:nsid w:val="01F53342"/>
    <w:multiLevelType w:val="hybridMultilevel"/>
    <w:tmpl w:val="75968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05EA6465"/>
    <w:multiLevelType w:val="multilevel"/>
    <w:tmpl w:val="5AFADBCD"/>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F33ADA"/>
    <w:multiLevelType w:val="hybridMultilevel"/>
    <w:tmpl w:val="0AD845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13820714"/>
    <w:multiLevelType w:val="hybridMultilevel"/>
    <w:tmpl w:val="51DE1BC0"/>
    <w:lvl w:ilvl="0" w:tplc="CBB44D50">
      <w:start w:val="29"/>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15243118"/>
    <w:multiLevelType w:val="hybridMultilevel"/>
    <w:tmpl w:val="4732BAF2"/>
    <w:lvl w:ilvl="0" w:tplc="4F0046DE">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nsid w:val="2909DBF1"/>
    <w:multiLevelType w:val="multilevel"/>
    <w:tmpl w:val="F20850D2"/>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A0F508"/>
    <w:multiLevelType w:val="multilevel"/>
    <w:tmpl w:val="42D7FBE1"/>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DE5105"/>
    <w:multiLevelType w:val="hybridMultilevel"/>
    <w:tmpl w:val="F91C4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67C6763"/>
    <w:multiLevelType w:val="hybridMultilevel"/>
    <w:tmpl w:val="D2E8C3EE"/>
    <w:lvl w:ilvl="0" w:tplc="CBB44D50">
      <w:start w:val="29"/>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07DB1C8"/>
    <w:multiLevelType w:val="multilevel"/>
    <w:tmpl w:val="2EADE759"/>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F775D7"/>
    <w:multiLevelType w:val="hybridMultilevel"/>
    <w:tmpl w:val="6C22B0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52793A1D"/>
    <w:multiLevelType w:val="multilevel"/>
    <w:tmpl w:val="7C9A384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911720"/>
    <w:multiLevelType w:val="hybridMultilevel"/>
    <w:tmpl w:val="4CD294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6A31B98"/>
    <w:multiLevelType w:val="hybridMultilevel"/>
    <w:tmpl w:val="BA82B4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EC537B3"/>
    <w:multiLevelType w:val="multilevel"/>
    <w:tmpl w:val="AC7E8D11"/>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0"/>
  </w:num>
  <w:num w:numId="4">
    <w:abstractNumId w:val="28"/>
  </w:num>
  <w:num w:numId="5">
    <w:abstractNumId w:val="2"/>
  </w:num>
  <w:num w:numId="6">
    <w:abstractNumId w:val="23"/>
  </w:num>
  <w:num w:numId="7">
    <w:abstractNumId w:val="15"/>
  </w:num>
  <w:num w:numId="8">
    <w:abstractNumId w:val="19"/>
  </w:num>
  <w:num w:numId="9">
    <w:abstractNumId w:val="25"/>
  </w:num>
  <w:num w:numId="10">
    <w:abstractNumId w:val="1"/>
  </w:num>
  <w:num w:numId="11">
    <w:abstractNumId w:val="22"/>
  </w:num>
  <w:num w:numId="12">
    <w:abstractNumId w:val="21"/>
  </w:num>
  <w:num w:numId="13">
    <w:abstractNumId w:val="18"/>
  </w:num>
  <w:num w:numId="14">
    <w:abstractNumId w:val="26"/>
  </w:num>
  <w:num w:numId="15">
    <w:abstractNumId w:val="24"/>
  </w:num>
  <w:num w:numId="16">
    <w:abstractNumId w:val="17"/>
  </w:num>
  <w:num w:numId="17">
    <w:abstractNumId w:val="13"/>
  </w:num>
  <w:num w:numId="18">
    <w:abstractNumId w:val="11"/>
  </w:num>
  <w:num w:numId="19">
    <w:abstractNumId w:val="10"/>
  </w:num>
  <w:num w:numId="20">
    <w:abstractNumId w:val="9"/>
  </w:num>
  <w:num w:numId="21">
    <w:abstractNumId w:val="8"/>
  </w:num>
  <w:num w:numId="22">
    <w:abstractNumId w:val="12"/>
  </w:num>
  <w:num w:numId="23">
    <w:abstractNumId w:val="7"/>
  </w:num>
  <w:num w:numId="24">
    <w:abstractNumId w:val="6"/>
  </w:num>
  <w:num w:numId="25">
    <w:abstractNumId w:val="5"/>
  </w:num>
  <w:num w:numId="26">
    <w:abstractNumId w:val="4"/>
  </w:num>
  <w:num w:numId="27">
    <w:abstractNumId w:val="14"/>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02"/>
    <w:rsid w:val="000A589C"/>
    <w:rsid w:val="000C03DE"/>
    <w:rsid w:val="000E3EAD"/>
    <w:rsid w:val="00160729"/>
    <w:rsid w:val="001A452A"/>
    <w:rsid w:val="001C7F57"/>
    <w:rsid w:val="00222B2F"/>
    <w:rsid w:val="002520C2"/>
    <w:rsid w:val="002761CA"/>
    <w:rsid w:val="0028418F"/>
    <w:rsid w:val="002A3A6E"/>
    <w:rsid w:val="002D6A99"/>
    <w:rsid w:val="00341E9C"/>
    <w:rsid w:val="003D41DD"/>
    <w:rsid w:val="003D5E46"/>
    <w:rsid w:val="00432E5D"/>
    <w:rsid w:val="00463FD7"/>
    <w:rsid w:val="004914BC"/>
    <w:rsid w:val="004D598F"/>
    <w:rsid w:val="004E32C4"/>
    <w:rsid w:val="004F6EF0"/>
    <w:rsid w:val="00505559"/>
    <w:rsid w:val="00532B5D"/>
    <w:rsid w:val="00557D95"/>
    <w:rsid w:val="005677D9"/>
    <w:rsid w:val="00576F09"/>
    <w:rsid w:val="006057BA"/>
    <w:rsid w:val="00634ADB"/>
    <w:rsid w:val="006461B0"/>
    <w:rsid w:val="00662CB1"/>
    <w:rsid w:val="006E5ECF"/>
    <w:rsid w:val="006E752D"/>
    <w:rsid w:val="007076FE"/>
    <w:rsid w:val="00797195"/>
    <w:rsid w:val="007B2BBB"/>
    <w:rsid w:val="008275A2"/>
    <w:rsid w:val="0084571B"/>
    <w:rsid w:val="008E2A1A"/>
    <w:rsid w:val="0098012B"/>
    <w:rsid w:val="009D2619"/>
    <w:rsid w:val="00A02566"/>
    <w:rsid w:val="00A61E76"/>
    <w:rsid w:val="00AB1D44"/>
    <w:rsid w:val="00AF3308"/>
    <w:rsid w:val="00AF5946"/>
    <w:rsid w:val="00AF6AF1"/>
    <w:rsid w:val="00B70AEB"/>
    <w:rsid w:val="00B94902"/>
    <w:rsid w:val="00C20D2C"/>
    <w:rsid w:val="00C41D80"/>
    <w:rsid w:val="00CC55E1"/>
    <w:rsid w:val="00D51F51"/>
    <w:rsid w:val="00D71B51"/>
    <w:rsid w:val="00E07369"/>
    <w:rsid w:val="00E0793F"/>
    <w:rsid w:val="00E20627"/>
    <w:rsid w:val="00E8543B"/>
    <w:rsid w:val="00EE67E6"/>
    <w:rsid w:val="00F81B0F"/>
    <w:rsid w:val="00F82720"/>
    <w:rsid w:val="00FB7D49"/>
    <w:rsid w:val="00FD56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AF6AF1"/>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B94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B94902"/>
    <w:rPr>
      <w:rFonts w:ascii="Tahoma" w:hAnsi="Tahoma" w:cs="Tahoma"/>
      <w:color w:val="000000"/>
      <w:sz w:val="16"/>
      <w:szCs w:val="16"/>
    </w:rPr>
  </w:style>
  <w:style w:type="paragraph" w:styleId="Koptekst">
    <w:name w:val="header"/>
    <w:basedOn w:val="Standaard"/>
    <w:link w:val="KoptekstChar"/>
    <w:uiPriority w:val="99"/>
    <w:unhideWhenUsed/>
    <w:rsid w:val="00B94902"/>
    <w:pPr>
      <w:tabs>
        <w:tab w:val="center" w:pos="4536"/>
        <w:tab w:val="right" w:pos="9072"/>
      </w:tabs>
    </w:pPr>
  </w:style>
  <w:style w:type="character" w:customStyle="1" w:styleId="KoptekstChar">
    <w:name w:val="Koptekst Char"/>
    <w:basedOn w:val="Standaardalinea-lettertype"/>
    <w:link w:val="Koptekst"/>
    <w:uiPriority w:val="99"/>
    <w:rsid w:val="00B94902"/>
    <w:rPr>
      <w:rFonts w:ascii="Verdana" w:hAnsi="Verdana"/>
      <w:color w:val="000000"/>
      <w:sz w:val="18"/>
      <w:szCs w:val="18"/>
    </w:rPr>
  </w:style>
  <w:style w:type="paragraph" w:styleId="Voettekst">
    <w:name w:val="footer"/>
    <w:basedOn w:val="Standaard"/>
    <w:link w:val="VoettekstChar"/>
    <w:uiPriority w:val="99"/>
    <w:unhideWhenUsed/>
    <w:rsid w:val="00B94902"/>
    <w:pPr>
      <w:tabs>
        <w:tab w:val="center" w:pos="4536"/>
        <w:tab w:val="right" w:pos="9072"/>
      </w:tabs>
    </w:pPr>
  </w:style>
  <w:style w:type="character" w:customStyle="1" w:styleId="VoettekstChar">
    <w:name w:val="Voettekst Char"/>
    <w:basedOn w:val="Standaardalinea-lettertype"/>
    <w:link w:val="Voettekst"/>
    <w:uiPriority w:val="99"/>
    <w:rsid w:val="00B94902"/>
    <w:rPr>
      <w:rFonts w:ascii="Verdana" w:hAnsi="Verdana"/>
      <w:color w:val="000000"/>
      <w:sz w:val="18"/>
      <w:szCs w:val="18"/>
    </w:rPr>
  </w:style>
  <w:style w:type="paragraph" w:styleId="Lijstalinea">
    <w:name w:val="List Paragraph"/>
    <w:basedOn w:val="Standaard"/>
    <w:uiPriority w:val="34"/>
    <w:qFormat/>
    <w:rsid w:val="00B94902"/>
    <w:pPr>
      <w:ind w:left="720"/>
      <w:contextualSpacing/>
    </w:pPr>
  </w:style>
  <w:style w:type="character" w:styleId="Verwijzingopmerking">
    <w:name w:val="annotation reference"/>
    <w:basedOn w:val="Standaardalinea-lettertype"/>
    <w:uiPriority w:val="99"/>
    <w:semiHidden/>
    <w:unhideWhenUsed/>
    <w:rsid w:val="00B94902"/>
    <w:rPr>
      <w:sz w:val="16"/>
      <w:szCs w:val="16"/>
    </w:rPr>
  </w:style>
  <w:style w:type="paragraph" w:styleId="Tekstopmerking">
    <w:name w:val="annotation text"/>
    <w:basedOn w:val="Standaard"/>
    <w:link w:val="TekstopmerkingChar"/>
    <w:uiPriority w:val="99"/>
    <w:semiHidden/>
    <w:unhideWhenUsed/>
    <w:rsid w:val="00B94902"/>
    <w:rPr>
      <w:sz w:val="20"/>
      <w:szCs w:val="20"/>
    </w:rPr>
  </w:style>
  <w:style w:type="character" w:customStyle="1" w:styleId="TekstopmerkingChar">
    <w:name w:val="Tekst opmerking Char"/>
    <w:basedOn w:val="Standaardalinea-lettertype"/>
    <w:link w:val="Tekstopmerking"/>
    <w:uiPriority w:val="99"/>
    <w:semiHidden/>
    <w:rsid w:val="00B9490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94902"/>
    <w:rPr>
      <w:b/>
      <w:bCs/>
    </w:rPr>
  </w:style>
  <w:style w:type="character" w:customStyle="1" w:styleId="OnderwerpvanopmerkingChar">
    <w:name w:val="Onderwerp van opmerking Char"/>
    <w:basedOn w:val="TekstopmerkingChar"/>
    <w:link w:val="Onderwerpvanopmerking"/>
    <w:uiPriority w:val="99"/>
    <w:semiHidden/>
    <w:rsid w:val="00B94902"/>
    <w:rPr>
      <w:rFonts w:ascii="Verdana" w:hAnsi="Verdana"/>
      <w:b/>
      <w:bCs/>
      <w:color w:val="000000"/>
    </w:rPr>
  </w:style>
  <w:style w:type="character" w:styleId="Hyperlink">
    <w:name w:val="Hyperlink"/>
    <w:basedOn w:val="Standaardalinea-lettertype"/>
    <w:uiPriority w:val="99"/>
    <w:unhideWhenUsed/>
    <w:rsid w:val="00D51F51"/>
    <w:rPr>
      <w:color w:val="0000FF" w:themeColor="hyperlink"/>
      <w:u w:val="single"/>
    </w:rPr>
  </w:style>
  <w:style w:type="paragraph" w:styleId="Voetnoottekst">
    <w:name w:val="footnote text"/>
    <w:basedOn w:val="Standaard"/>
    <w:link w:val="VoetnoottekstChar"/>
    <w:uiPriority w:val="99"/>
    <w:semiHidden/>
    <w:unhideWhenUsed/>
    <w:rsid w:val="00AF6AF1"/>
    <w:rPr>
      <w:sz w:val="16"/>
      <w:szCs w:val="20"/>
    </w:rPr>
  </w:style>
  <w:style w:type="character" w:customStyle="1" w:styleId="VoetnoottekstChar">
    <w:name w:val="Voetnoottekst Char"/>
    <w:basedOn w:val="Standaardalinea-lettertype"/>
    <w:link w:val="Voetnoottekst"/>
    <w:uiPriority w:val="99"/>
    <w:semiHidden/>
    <w:rsid w:val="00AF6AF1"/>
    <w:rPr>
      <w:rFonts w:ascii="Verdana" w:hAnsi="Verdana"/>
      <w:color w:val="000000"/>
      <w:sz w:val="16"/>
    </w:rPr>
  </w:style>
  <w:style w:type="character" w:styleId="Voetnootmarkering">
    <w:name w:val="footnote reference"/>
    <w:basedOn w:val="Standaardalinea-lettertype"/>
    <w:uiPriority w:val="99"/>
    <w:semiHidden/>
    <w:unhideWhenUsed/>
    <w:rsid w:val="000C03DE"/>
    <w:rPr>
      <w:vertAlign w:val="superscript"/>
    </w:rPr>
  </w:style>
  <w:style w:type="table" w:styleId="Tabelraster">
    <w:name w:val="Table Grid"/>
    <w:basedOn w:val="Standaardtabel"/>
    <w:uiPriority w:val="59"/>
    <w:rsid w:val="000C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Standaardtabel"/>
    <w:uiPriority w:val="99"/>
    <w:rsid w:val="00F82720"/>
    <w:pPr>
      <w:autoSpaceDN/>
      <w:textAlignment w:val="auto"/>
    </w:pPr>
    <w:tblPr>
      <w:tblStyleRowBandSize w:val="1"/>
    </w:tblPr>
    <w:tblStylePr w:type="band1Horz">
      <w:tblPr/>
      <w:tcPr>
        <w:tcBorders>
          <w:top w:val="nil"/>
          <w:left w:val="nil"/>
          <w:bottom w:val="nil"/>
          <w:right w:val="nil"/>
          <w:insideH w:val="nil"/>
          <w:insideV w:val="nil"/>
          <w:tl2br w:val="nil"/>
          <w:tr2bl w:val="nil"/>
        </w:tcBorders>
        <w:shd w:val="pct20" w:color="auto" w:fill="B8CCE4" w:themeFill="accent1" w:themeFillTint="66"/>
      </w:tcPr>
    </w:tblStylePr>
  </w:style>
  <w:style w:type="paragraph" w:styleId="Geenafstand">
    <w:name w:val="No Spacing"/>
    <w:uiPriority w:val="1"/>
    <w:qFormat/>
    <w:rsid w:val="002D6A99"/>
    <w:rPr>
      <w:rFonts w:ascii="Verdana" w:hAnsi="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AF6AF1"/>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B94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B94902"/>
    <w:rPr>
      <w:rFonts w:ascii="Tahoma" w:hAnsi="Tahoma" w:cs="Tahoma"/>
      <w:color w:val="000000"/>
      <w:sz w:val="16"/>
      <w:szCs w:val="16"/>
    </w:rPr>
  </w:style>
  <w:style w:type="paragraph" w:styleId="Koptekst">
    <w:name w:val="header"/>
    <w:basedOn w:val="Standaard"/>
    <w:link w:val="KoptekstChar"/>
    <w:uiPriority w:val="99"/>
    <w:unhideWhenUsed/>
    <w:rsid w:val="00B94902"/>
    <w:pPr>
      <w:tabs>
        <w:tab w:val="center" w:pos="4536"/>
        <w:tab w:val="right" w:pos="9072"/>
      </w:tabs>
    </w:pPr>
  </w:style>
  <w:style w:type="character" w:customStyle="1" w:styleId="KoptekstChar">
    <w:name w:val="Koptekst Char"/>
    <w:basedOn w:val="Standaardalinea-lettertype"/>
    <w:link w:val="Koptekst"/>
    <w:uiPriority w:val="99"/>
    <w:rsid w:val="00B94902"/>
    <w:rPr>
      <w:rFonts w:ascii="Verdana" w:hAnsi="Verdana"/>
      <w:color w:val="000000"/>
      <w:sz w:val="18"/>
      <w:szCs w:val="18"/>
    </w:rPr>
  </w:style>
  <w:style w:type="paragraph" w:styleId="Voettekst">
    <w:name w:val="footer"/>
    <w:basedOn w:val="Standaard"/>
    <w:link w:val="VoettekstChar"/>
    <w:uiPriority w:val="99"/>
    <w:unhideWhenUsed/>
    <w:rsid w:val="00B94902"/>
    <w:pPr>
      <w:tabs>
        <w:tab w:val="center" w:pos="4536"/>
        <w:tab w:val="right" w:pos="9072"/>
      </w:tabs>
    </w:pPr>
  </w:style>
  <w:style w:type="character" w:customStyle="1" w:styleId="VoettekstChar">
    <w:name w:val="Voettekst Char"/>
    <w:basedOn w:val="Standaardalinea-lettertype"/>
    <w:link w:val="Voettekst"/>
    <w:uiPriority w:val="99"/>
    <w:rsid w:val="00B94902"/>
    <w:rPr>
      <w:rFonts w:ascii="Verdana" w:hAnsi="Verdana"/>
      <w:color w:val="000000"/>
      <w:sz w:val="18"/>
      <w:szCs w:val="18"/>
    </w:rPr>
  </w:style>
  <w:style w:type="paragraph" w:styleId="Lijstalinea">
    <w:name w:val="List Paragraph"/>
    <w:basedOn w:val="Standaard"/>
    <w:uiPriority w:val="34"/>
    <w:qFormat/>
    <w:rsid w:val="00B94902"/>
    <w:pPr>
      <w:ind w:left="720"/>
      <w:contextualSpacing/>
    </w:pPr>
  </w:style>
  <w:style w:type="character" w:styleId="Verwijzingopmerking">
    <w:name w:val="annotation reference"/>
    <w:basedOn w:val="Standaardalinea-lettertype"/>
    <w:uiPriority w:val="99"/>
    <w:semiHidden/>
    <w:unhideWhenUsed/>
    <w:rsid w:val="00B94902"/>
    <w:rPr>
      <w:sz w:val="16"/>
      <w:szCs w:val="16"/>
    </w:rPr>
  </w:style>
  <w:style w:type="paragraph" w:styleId="Tekstopmerking">
    <w:name w:val="annotation text"/>
    <w:basedOn w:val="Standaard"/>
    <w:link w:val="TekstopmerkingChar"/>
    <w:uiPriority w:val="99"/>
    <w:semiHidden/>
    <w:unhideWhenUsed/>
    <w:rsid w:val="00B94902"/>
    <w:rPr>
      <w:sz w:val="20"/>
      <w:szCs w:val="20"/>
    </w:rPr>
  </w:style>
  <w:style w:type="character" w:customStyle="1" w:styleId="TekstopmerkingChar">
    <w:name w:val="Tekst opmerking Char"/>
    <w:basedOn w:val="Standaardalinea-lettertype"/>
    <w:link w:val="Tekstopmerking"/>
    <w:uiPriority w:val="99"/>
    <w:semiHidden/>
    <w:rsid w:val="00B9490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94902"/>
    <w:rPr>
      <w:b/>
      <w:bCs/>
    </w:rPr>
  </w:style>
  <w:style w:type="character" w:customStyle="1" w:styleId="OnderwerpvanopmerkingChar">
    <w:name w:val="Onderwerp van opmerking Char"/>
    <w:basedOn w:val="TekstopmerkingChar"/>
    <w:link w:val="Onderwerpvanopmerking"/>
    <w:uiPriority w:val="99"/>
    <w:semiHidden/>
    <w:rsid w:val="00B94902"/>
    <w:rPr>
      <w:rFonts w:ascii="Verdana" w:hAnsi="Verdana"/>
      <w:b/>
      <w:bCs/>
      <w:color w:val="000000"/>
    </w:rPr>
  </w:style>
  <w:style w:type="character" w:styleId="Hyperlink">
    <w:name w:val="Hyperlink"/>
    <w:basedOn w:val="Standaardalinea-lettertype"/>
    <w:uiPriority w:val="99"/>
    <w:unhideWhenUsed/>
    <w:rsid w:val="00D51F51"/>
    <w:rPr>
      <w:color w:val="0000FF" w:themeColor="hyperlink"/>
      <w:u w:val="single"/>
    </w:rPr>
  </w:style>
  <w:style w:type="paragraph" w:styleId="Voetnoottekst">
    <w:name w:val="footnote text"/>
    <w:basedOn w:val="Standaard"/>
    <w:link w:val="VoetnoottekstChar"/>
    <w:uiPriority w:val="99"/>
    <w:semiHidden/>
    <w:unhideWhenUsed/>
    <w:rsid w:val="00AF6AF1"/>
    <w:rPr>
      <w:sz w:val="16"/>
      <w:szCs w:val="20"/>
    </w:rPr>
  </w:style>
  <w:style w:type="character" w:customStyle="1" w:styleId="VoetnoottekstChar">
    <w:name w:val="Voetnoottekst Char"/>
    <w:basedOn w:val="Standaardalinea-lettertype"/>
    <w:link w:val="Voetnoottekst"/>
    <w:uiPriority w:val="99"/>
    <w:semiHidden/>
    <w:rsid w:val="00AF6AF1"/>
    <w:rPr>
      <w:rFonts w:ascii="Verdana" w:hAnsi="Verdana"/>
      <w:color w:val="000000"/>
      <w:sz w:val="16"/>
    </w:rPr>
  </w:style>
  <w:style w:type="character" w:styleId="Voetnootmarkering">
    <w:name w:val="footnote reference"/>
    <w:basedOn w:val="Standaardalinea-lettertype"/>
    <w:uiPriority w:val="99"/>
    <w:semiHidden/>
    <w:unhideWhenUsed/>
    <w:rsid w:val="000C03DE"/>
    <w:rPr>
      <w:vertAlign w:val="superscript"/>
    </w:rPr>
  </w:style>
  <w:style w:type="table" w:styleId="Tabelraster">
    <w:name w:val="Table Grid"/>
    <w:basedOn w:val="Standaardtabel"/>
    <w:uiPriority w:val="59"/>
    <w:rsid w:val="000C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Standaardtabel"/>
    <w:uiPriority w:val="99"/>
    <w:rsid w:val="00F82720"/>
    <w:pPr>
      <w:autoSpaceDN/>
      <w:textAlignment w:val="auto"/>
    </w:pPr>
    <w:tblPr>
      <w:tblStyleRowBandSize w:val="1"/>
    </w:tblPr>
    <w:tblStylePr w:type="band1Horz">
      <w:tblPr/>
      <w:tcPr>
        <w:tcBorders>
          <w:top w:val="nil"/>
          <w:left w:val="nil"/>
          <w:bottom w:val="nil"/>
          <w:right w:val="nil"/>
          <w:insideH w:val="nil"/>
          <w:insideV w:val="nil"/>
          <w:tl2br w:val="nil"/>
          <w:tr2bl w:val="nil"/>
        </w:tcBorders>
        <w:shd w:val="pct20" w:color="auto" w:fill="B8CCE4" w:themeFill="accent1" w:themeFillTint="66"/>
      </w:tcPr>
    </w:tblStylePr>
  </w:style>
  <w:style w:type="paragraph" w:styleId="Geenafstand">
    <w:name w:val="No Spacing"/>
    <w:uiPriority w:val="1"/>
    <w:qFormat/>
    <w:rsid w:val="002D6A9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74776">
      <w:bodyDiv w:val="1"/>
      <w:marLeft w:val="0"/>
      <w:marRight w:val="0"/>
      <w:marTop w:val="0"/>
      <w:marBottom w:val="0"/>
      <w:divBdr>
        <w:top w:val="none" w:sz="0" w:space="0" w:color="auto"/>
        <w:left w:val="none" w:sz="0" w:space="0" w:color="auto"/>
        <w:bottom w:val="none" w:sz="0" w:space="0" w:color="auto"/>
        <w:right w:val="none" w:sz="0" w:space="0" w:color="auto"/>
      </w:divBdr>
      <w:divsChild>
        <w:div w:id="524056819">
          <w:marLeft w:val="0"/>
          <w:marRight w:val="0"/>
          <w:marTop w:val="0"/>
          <w:marBottom w:val="0"/>
          <w:divBdr>
            <w:top w:val="none" w:sz="0" w:space="0" w:color="auto"/>
            <w:left w:val="none" w:sz="0" w:space="0" w:color="auto"/>
            <w:bottom w:val="none" w:sz="0" w:space="0" w:color="auto"/>
            <w:right w:val="none" w:sz="0" w:space="0" w:color="auto"/>
          </w:divBdr>
          <w:divsChild>
            <w:div w:id="17466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0247">
      <w:bodyDiv w:val="1"/>
      <w:marLeft w:val="0"/>
      <w:marRight w:val="0"/>
      <w:marTop w:val="0"/>
      <w:marBottom w:val="0"/>
      <w:divBdr>
        <w:top w:val="none" w:sz="0" w:space="0" w:color="auto"/>
        <w:left w:val="none" w:sz="0" w:space="0" w:color="auto"/>
        <w:bottom w:val="none" w:sz="0" w:space="0" w:color="auto"/>
        <w:right w:val="none" w:sz="0" w:space="0" w:color="auto"/>
      </w:divBdr>
      <w:divsChild>
        <w:div w:id="1496339151">
          <w:marLeft w:val="0"/>
          <w:marRight w:val="0"/>
          <w:marTop w:val="0"/>
          <w:marBottom w:val="0"/>
          <w:divBdr>
            <w:top w:val="none" w:sz="0" w:space="0" w:color="auto"/>
            <w:left w:val="none" w:sz="0" w:space="0" w:color="auto"/>
            <w:bottom w:val="none" w:sz="0" w:space="0" w:color="auto"/>
            <w:right w:val="none" w:sz="0" w:space="0" w:color="auto"/>
          </w:divBdr>
          <w:divsChild>
            <w:div w:id="13668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plein2/sites/plein2/files/inline_files/Handreiking_controle_begroting_en_verantwoording_def_15_mei_2014.pdf"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plein2/sites/plein2/files/inline_files/Controlekaart.pdf" TargetMode="Externa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zaak.aspx?id=42c34495-6e97-4c44-938b-ce2c30d945f0&amp;NavigateUrl=http%3a%2f%2fparlisweb%2fparlis%2fdocument.aspx%3fid%3d0f5fd80a-0f1e-4653-a276-c08843419655%26zaak%3d16e9da16-d36e-4f66-8315-9e30920bbc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m0811\AppData\Local\Microsoft\Windows\Temporary%20Internet%20Files\Content.IE5\66HYRTX3\Staf-_BOR-Noti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1509</ap:Words>
  <ap:Characters>8300</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2017-05-03T07:39:00.0000000Z</lastPrinted>
  <dcterms:created xsi:type="dcterms:W3CDTF">2018-03-23T13:11:00.0000000Z</dcterms:created>
  <dcterms:modified xsi:type="dcterms:W3CDTF">2018-04-03T07:13:00.0000000Z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0x010100F5F788EE2F99A843946408ECDA6F1B90</vt:lpwstr>
  </property>
</Properties>
</file>