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60CFB" w:rsidR="00916A6B" w:rsidP="003202E7" w:rsidRDefault="00916A6B">
      <w:pPr>
        <w:pStyle w:val="default"/>
        <w:spacing w:before="0" w:beforeAutospacing="0" w:after="0" w:afterAutospacing="0" w:line="360" w:lineRule="auto"/>
        <w:rPr>
          <w:rFonts w:asciiTheme="majorHAnsi" w:hAnsiTheme="majorHAnsi"/>
          <w:sz w:val="18"/>
          <w:szCs w:val="18"/>
        </w:rPr>
      </w:pPr>
      <w:bookmarkStart w:name="_GoBack" w:id="0"/>
      <w:bookmarkEnd w:id="0"/>
      <w:r w:rsidRPr="00460CFB">
        <w:rPr>
          <w:rFonts w:asciiTheme="majorHAnsi" w:hAnsiTheme="majorHAnsi"/>
          <w:b/>
          <w:bCs/>
          <w:sz w:val="18"/>
          <w:szCs w:val="18"/>
        </w:rPr>
        <w:t xml:space="preserve">Verslag </w:t>
      </w:r>
      <w:r w:rsidRPr="00460CFB" w:rsidR="00A332A0">
        <w:rPr>
          <w:rFonts w:asciiTheme="majorHAnsi" w:hAnsiTheme="majorHAnsi"/>
          <w:b/>
          <w:bCs/>
          <w:sz w:val="18"/>
          <w:szCs w:val="18"/>
        </w:rPr>
        <w:t xml:space="preserve">Eurogroep en </w:t>
      </w:r>
      <w:proofErr w:type="spellStart"/>
      <w:r w:rsidRPr="00460CFB" w:rsidR="00A332A0">
        <w:rPr>
          <w:rFonts w:asciiTheme="majorHAnsi" w:hAnsiTheme="majorHAnsi"/>
          <w:b/>
          <w:bCs/>
          <w:sz w:val="18"/>
          <w:szCs w:val="18"/>
        </w:rPr>
        <w:t>Ecofinraad</w:t>
      </w:r>
      <w:proofErr w:type="spellEnd"/>
      <w:r w:rsidRPr="00460CFB" w:rsidR="00A332A0">
        <w:rPr>
          <w:rFonts w:asciiTheme="majorHAnsi" w:hAnsiTheme="majorHAnsi"/>
          <w:b/>
          <w:bCs/>
          <w:sz w:val="18"/>
          <w:szCs w:val="18"/>
        </w:rPr>
        <w:t xml:space="preserve"> van </w:t>
      </w:r>
      <w:r w:rsidRPr="00460CFB" w:rsidR="00E81DB9">
        <w:rPr>
          <w:rFonts w:asciiTheme="majorHAnsi" w:hAnsiTheme="majorHAnsi"/>
          <w:b/>
          <w:bCs/>
          <w:sz w:val="18"/>
          <w:szCs w:val="18"/>
        </w:rPr>
        <w:t>12 en 13 juli te Brussel</w:t>
      </w:r>
    </w:p>
    <w:p w:rsidRPr="00460CFB" w:rsidR="00916A6B" w:rsidP="003202E7" w:rsidRDefault="00916A6B">
      <w:pPr>
        <w:pStyle w:val="default"/>
        <w:spacing w:before="0" w:beforeAutospacing="0" w:after="0" w:afterAutospacing="0" w:line="360" w:lineRule="auto"/>
        <w:rPr>
          <w:rFonts w:asciiTheme="majorHAnsi" w:hAnsiTheme="majorHAnsi"/>
          <w:b/>
          <w:bCs/>
          <w:sz w:val="18"/>
          <w:szCs w:val="18"/>
        </w:rPr>
      </w:pPr>
    </w:p>
    <w:p w:rsidRPr="00460CFB" w:rsidR="00A944F5" w:rsidP="003202E7" w:rsidRDefault="00916A6B">
      <w:pPr>
        <w:pStyle w:val="default"/>
        <w:spacing w:before="0" w:beforeAutospacing="0" w:after="0" w:afterAutospacing="0" w:line="360" w:lineRule="auto"/>
        <w:rPr>
          <w:rFonts w:asciiTheme="majorHAnsi" w:hAnsiTheme="majorHAnsi"/>
          <w:b/>
          <w:bCs/>
          <w:sz w:val="18"/>
          <w:szCs w:val="18"/>
          <w:u w:val="single"/>
        </w:rPr>
      </w:pPr>
      <w:r w:rsidRPr="00460CFB">
        <w:rPr>
          <w:rFonts w:asciiTheme="majorHAnsi" w:hAnsiTheme="majorHAnsi"/>
          <w:b/>
          <w:bCs/>
          <w:sz w:val="18"/>
          <w:szCs w:val="18"/>
          <w:u w:val="single"/>
        </w:rPr>
        <w:t xml:space="preserve">Eurogroep </w:t>
      </w:r>
    </w:p>
    <w:p w:rsidRPr="00460CFB" w:rsidR="00455F77" w:rsidP="003202E7" w:rsidRDefault="00455F77">
      <w:pPr>
        <w:spacing w:line="360" w:lineRule="auto"/>
        <w:contextualSpacing/>
        <w:rPr>
          <w:rFonts w:cs="Arial" w:asciiTheme="majorHAnsi" w:hAnsiTheme="majorHAnsi"/>
          <w:b/>
          <w:sz w:val="18"/>
          <w:szCs w:val="18"/>
        </w:rPr>
      </w:pPr>
    </w:p>
    <w:p w:rsidRPr="00460CFB" w:rsidR="00455F77" w:rsidP="003202E7" w:rsidRDefault="00455F77">
      <w:pPr>
        <w:spacing w:line="360" w:lineRule="auto"/>
        <w:contextualSpacing/>
        <w:rPr>
          <w:rFonts w:asciiTheme="majorHAnsi" w:hAnsiTheme="majorHAnsi"/>
          <w:b/>
          <w:bCs/>
          <w:sz w:val="18"/>
          <w:szCs w:val="18"/>
        </w:rPr>
      </w:pPr>
      <w:r w:rsidRPr="00460CFB">
        <w:rPr>
          <w:rFonts w:asciiTheme="majorHAnsi" w:hAnsiTheme="majorHAnsi"/>
          <w:b/>
          <w:bCs/>
          <w:sz w:val="18"/>
          <w:szCs w:val="18"/>
        </w:rPr>
        <w:t>Verdieping EMU</w:t>
      </w:r>
    </w:p>
    <w:p w:rsidRPr="00460CFB" w:rsidR="007B0B7D" w:rsidP="003202E7" w:rsidRDefault="00F43130">
      <w:pPr>
        <w:spacing w:line="360" w:lineRule="auto"/>
        <w:contextualSpacing/>
        <w:rPr>
          <w:rFonts w:cs="Arial" w:asciiTheme="majorHAnsi" w:hAnsiTheme="majorHAnsi"/>
          <w:sz w:val="18"/>
          <w:szCs w:val="18"/>
        </w:rPr>
      </w:pPr>
      <w:r w:rsidRPr="00460CFB">
        <w:rPr>
          <w:rFonts w:cs="Arial" w:asciiTheme="majorHAnsi" w:hAnsiTheme="majorHAnsi"/>
          <w:sz w:val="18"/>
          <w:szCs w:val="18"/>
        </w:rPr>
        <w:t xml:space="preserve">In de Eurogroep heeft de voorzitter, Mario </w:t>
      </w:r>
      <w:proofErr w:type="spellStart"/>
      <w:r w:rsidRPr="00460CFB">
        <w:rPr>
          <w:rFonts w:cs="Arial" w:asciiTheme="majorHAnsi" w:hAnsiTheme="majorHAnsi"/>
          <w:sz w:val="18"/>
          <w:szCs w:val="18"/>
        </w:rPr>
        <w:t>Centeno</w:t>
      </w:r>
      <w:proofErr w:type="spellEnd"/>
      <w:r w:rsidRPr="00460CFB">
        <w:rPr>
          <w:rFonts w:cs="Arial" w:asciiTheme="majorHAnsi" w:hAnsiTheme="majorHAnsi"/>
          <w:sz w:val="18"/>
          <w:szCs w:val="18"/>
        </w:rPr>
        <w:t xml:space="preserve">, een terugkoppeling gegeven van de Europese </w:t>
      </w:r>
      <w:r w:rsidR="0013164B">
        <w:rPr>
          <w:rFonts w:cs="Arial" w:asciiTheme="majorHAnsi" w:hAnsiTheme="majorHAnsi"/>
          <w:sz w:val="18"/>
          <w:szCs w:val="18"/>
        </w:rPr>
        <w:t>Raad</w:t>
      </w:r>
      <w:r w:rsidRPr="00460CFB">
        <w:rPr>
          <w:rFonts w:cs="Arial" w:asciiTheme="majorHAnsi" w:hAnsiTheme="majorHAnsi"/>
          <w:sz w:val="18"/>
          <w:szCs w:val="18"/>
        </w:rPr>
        <w:t xml:space="preserve"> van </w:t>
      </w:r>
      <w:r w:rsidR="0013164B">
        <w:rPr>
          <w:rFonts w:cs="Arial" w:asciiTheme="majorHAnsi" w:hAnsiTheme="majorHAnsi"/>
          <w:sz w:val="18"/>
          <w:szCs w:val="18"/>
        </w:rPr>
        <w:t xml:space="preserve">28 en </w:t>
      </w:r>
      <w:r w:rsidR="00460CFB">
        <w:rPr>
          <w:rFonts w:cs="Arial" w:asciiTheme="majorHAnsi" w:hAnsiTheme="majorHAnsi"/>
          <w:sz w:val="18"/>
          <w:szCs w:val="18"/>
        </w:rPr>
        <w:t xml:space="preserve">29 </w:t>
      </w:r>
      <w:r w:rsidRPr="00460CFB">
        <w:rPr>
          <w:rFonts w:cs="Arial" w:asciiTheme="majorHAnsi" w:hAnsiTheme="majorHAnsi"/>
          <w:sz w:val="18"/>
          <w:szCs w:val="18"/>
        </w:rPr>
        <w:t xml:space="preserve">juni </w:t>
      </w:r>
      <w:r w:rsidR="00460CFB">
        <w:rPr>
          <w:rFonts w:cs="Arial" w:asciiTheme="majorHAnsi" w:hAnsiTheme="majorHAnsi"/>
          <w:sz w:val="18"/>
          <w:szCs w:val="18"/>
        </w:rPr>
        <w:t xml:space="preserve">jl. </w:t>
      </w:r>
      <w:r w:rsidRPr="00460CFB">
        <w:rPr>
          <w:rFonts w:cs="Arial" w:asciiTheme="majorHAnsi" w:hAnsiTheme="majorHAnsi"/>
          <w:sz w:val="18"/>
          <w:szCs w:val="18"/>
        </w:rPr>
        <w:t>ten aanzien van de toekomst van de Economische en Monetaire Unie (EMU</w:t>
      </w:r>
      <w:r w:rsidRPr="00460CFB" w:rsidR="00FA6E24">
        <w:rPr>
          <w:rFonts w:cs="Arial" w:asciiTheme="majorHAnsi" w:hAnsiTheme="majorHAnsi"/>
          <w:sz w:val="18"/>
          <w:szCs w:val="18"/>
        </w:rPr>
        <w:t>). Tijdens de</w:t>
      </w:r>
      <w:r w:rsidRPr="00460CFB">
        <w:rPr>
          <w:rFonts w:cs="Arial" w:asciiTheme="majorHAnsi" w:hAnsiTheme="majorHAnsi"/>
          <w:sz w:val="18"/>
          <w:szCs w:val="18"/>
        </w:rPr>
        <w:t xml:space="preserve"> Eurotop </w:t>
      </w:r>
      <w:r w:rsidRPr="00460CFB" w:rsidR="00FA6E24">
        <w:rPr>
          <w:rFonts w:cs="Arial" w:asciiTheme="majorHAnsi" w:hAnsiTheme="majorHAnsi"/>
          <w:sz w:val="18"/>
          <w:szCs w:val="18"/>
        </w:rPr>
        <w:t xml:space="preserve">van </w:t>
      </w:r>
      <w:r w:rsidR="0013164B">
        <w:rPr>
          <w:rFonts w:cs="Arial" w:asciiTheme="majorHAnsi" w:hAnsiTheme="majorHAnsi"/>
          <w:sz w:val="18"/>
          <w:szCs w:val="18"/>
        </w:rPr>
        <w:t xml:space="preserve">29 </w:t>
      </w:r>
      <w:r w:rsidRPr="00460CFB" w:rsidR="00FA6E24">
        <w:rPr>
          <w:rFonts w:cs="Arial" w:asciiTheme="majorHAnsi" w:hAnsiTheme="majorHAnsi"/>
          <w:sz w:val="18"/>
          <w:szCs w:val="18"/>
        </w:rPr>
        <w:t>ju</w:t>
      </w:r>
      <w:r w:rsidR="00FA0AF9">
        <w:rPr>
          <w:rFonts w:cs="Arial" w:asciiTheme="majorHAnsi" w:hAnsiTheme="majorHAnsi"/>
          <w:sz w:val="18"/>
          <w:szCs w:val="18"/>
        </w:rPr>
        <w:t>ni jl. is een verklaring</w:t>
      </w:r>
      <w:r w:rsidRPr="00460CFB" w:rsidR="00FA6E24">
        <w:rPr>
          <w:rFonts w:cs="Arial" w:asciiTheme="majorHAnsi" w:hAnsiTheme="majorHAnsi"/>
          <w:sz w:val="18"/>
          <w:szCs w:val="18"/>
        </w:rPr>
        <w:t xml:space="preserve"> opgesteld over de EMU.</w:t>
      </w:r>
      <w:r w:rsidRPr="00460CFB" w:rsidR="00FA6E24">
        <w:rPr>
          <w:rStyle w:val="Voetnootmarkering"/>
          <w:rFonts w:cs="Arial" w:asciiTheme="majorHAnsi" w:hAnsiTheme="majorHAnsi"/>
          <w:sz w:val="18"/>
          <w:szCs w:val="18"/>
        </w:rPr>
        <w:footnoteReference w:id="2"/>
      </w:r>
      <w:r w:rsidRPr="00460CFB" w:rsidR="00FA6E24">
        <w:rPr>
          <w:rFonts w:cs="Arial" w:asciiTheme="majorHAnsi" w:hAnsiTheme="majorHAnsi"/>
          <w:sz w:val="18"/>
          <w:szCs w:val="18"/>
        </w:rPr>
        <w:t xml:space="preserve"> Daarin staat onder andere dat gegeven het bankenpakket van mei er nu gewerkt zal gaan worden aan een routekaart om politieke onderhandelingen over EDIS te starten, waarbij vastgehouden wordt aan alle elementen van de routekaart van 2016, waaronder de voor Nederland belangrijke discussies over de </w:t>
      </w:r>
      <w:proofErr w:type="spellStart"/>
      <w:r w:rsidRPr="00460CFB" w:rsidR="00FA6E24">
        <w:rPr>
          <w:rFonts w:cs="Arial" w:asciiTheme="majorHAnsi" w:hAnsiTheme="majorHAnsi"/>
          <w:sz w:val="18"/>
          <w:szCs w:val="18"/>
        </w:rPr>
        <w:t>prudentiële</w:t>
      </w:r>
      <w:proofErr w:type="spellEnd"/>
      <w:r w:rsidRPr="00460CFB" w:rsidR="00FA6E24">
        <w:rPr>
          <w:rFonts w:cs="Arial" w:asciiTheme="majorHAnsi" w:hAnsiTheme="majorHAnsi"/>
          <w:sz w:val="18"/>
          <w:szCs w:val="18"/>
        </w:rPr>
        <w:t xml:space="preserve"> behandeling van staatsobligaties. </w:t>
      </w:r>
      <w:r w:rsidRPr="00460CFB" w:rsidR="009A0413">
        <w:rPr>
          <w:rFonts w:cs="Arial" w:asciiTheme="majorHAnsi" w:hAnsiTheme="majorHAnsi"/>
          <w:sz w:val="18"/>
          <w:szCs w:val="18"/>
        </w:rPr>
        <w:t>Ook</w:t>
      </w:r>
      <w:r w:rsidR="00FA0AF9">
        <w:rPr>
          <w:rFonts w:cs="Arial" w:asciiTheme="majorHAnsi" w:hAnsiTheme="majorHAnsi"/>
          <w:sz w:val="18"/>
          <w:szCs w:val="18"/>
        </w:rPr>
        <w:t xml:space="preserve"> is in de verklaring</w:t>
      </w:r>
      <w:r w:rsidRPr="00460CFB" w:rsidR="00FA6E24">
        <w:rPr>
          <w:rFonts w:cs="Arial" w:asciiTheme="majorHAnsi" w:hAnsiTheme="majorHAnsi"/>
          <w:sz w:val="18"/>
          <w:szCs w:val="18"/>
        </w:rPr>
        <w:t xml:space="preserve"> opgenomen dat er consensus was onder de lidstaten om het ESM de gemeenschappelijke achtervang van het SRF te maken en tegeli</w:t>
      </w:r>
      <w:r w:rsidR="00FA0AF9">
        <w:rPr>
          <w:rFonts w:cs="Arial" w:asciiTheme="majorHAnsi" w:hAnsiTheme="majorHAnsi"/>
          <w:sz w:val="18"/>
          <w:szCs w:val="18"/>
        </w:rPr>
        <w:t>jkertijd het ESM te versterken. D</w:t>
      </w:r>
      <w:r w:rsidRPr="00460CFB" w:rsidR="00FA6E24">
        <w:rPr>
          <w:rFonts w:cs="Arial" w:asciiTheme="majorHAnsi" w:hAnsiTheme="majorHAnsi"/>
          <w:sz w:val="18"/>
          <w:szCs w:val="18"/>
        </w:rPr>
        <w:t xml:space="preserve">aarbij </w:t>
      </w:r>
      <w:r w:rsidR="00FA0AF9">
        <w:rPr>
          <w:rFonts w:cs="Arial" w:asciiTheme="majorHAnsi" w:hAnsiTheme="majorHAnsi"/>
          <w:sz w:val="18"/>
          <w:szCs w:val="18"/>
        </w:rPr>
        <w:t xml:space="preserve">zal </w:t>
      </w:r>
      <w:r w:rsidRPr="00460CFB" w:rsidR="00FA6E24">
        <w:rPr>
          <w:rFonts w:cs="Arial" w:asciiTheme="majorHAnsi" w:hAnsiTheme="majorHAnsi"/>
          <w:sz w:val="18"/>
          <w:szCs w:val="18"/>
        </w:rPr>
        <w:t>gewerkt worden op basis van alle elementen van een ESM</w:t>
      </w:r>
      <w:r w:rsidR="00A0533E">
        <w:rPr>
          <w:rFonts w:cs="Arial" w:asciiTheme="majorHAnsi" w:hAnsiTheme="majorHAnsi"/>
          <w:sz w:val="18"/>
          <w:szCs w:val="18"/>
        </w:rPr>
        <w:t>-</w:t>
      </w:r>
      <w:r w:rsidRPr="00460CFB" w:rsidR="00FA6E24">
        <w:rPr>
          <w:rFonts w:cs="Arial" w:asciiTheme="majorHAnsi" w:hAnsiTheme="majorHAnsi"/>
          <w:sz w:val="18"/>
          <w:szCs w:val="18"/>
        </w:rPr>
        <w:t xml:space="preserve">hervorming uit de brief van </w:t>
      </w:r>
      <w:r w:rsidRPr="00460CFB" w:rsidR="009A0413">
        <w:rPr>
          <w:rFonts w:cs="Arial" w:asciiTheme="majorHAnsi" w:hAnsiTheme="majorHAnsi"/>
          <w:sz w:val="18"/>
          <w:szCs w:val="18"/>
        </w:rPr>
        <w:t xml:space="preserve">de voorzitter van de Eurogroep aan president </w:t>
      </w:r>
      <w:proofErr w:type="spellStart"/>
      <w:r w:rsidRPr="00460CFB" w:rsidR="009A0413">
        <w:rPr>
          <w:rFonts w:cs="Arial" w:asciiTheme="majorHAnsi" w:hAnsiTheme="majorHAnsi"/>
          <w:sz w:val="18"/>
          <w:szCs w:val="18"/>
        </w:rPr>
        <w:t>Tusk</w:t>
      </w:r>
      <w:proofErr w:type="spellEnd"/>
      <w:r w:rsidRPr="00460CFB" w:rsidR="009A0413">
        <w:rPr>
          <w:rFonts w:cs="Arial" w:asciiTheme="majorHAnsi" w:hAnsiTheme="majorHAnsi"/>
          <w:sz w:val="18"/>
          <w:szCs w:val="18"/>
        </w:rPr>
        <w:t>.</w:t>
      </w:r>
      <w:r w:rsidRPr="00460CFB" w:rsidR="009A0413">
        <w:rPr>
          <w:rStyle w:val="Voetnootmarkering"/>
          <w:rFonts w:cs="Arial" w:asciiTheme="majorHAnsi" w:hAnsiTheme="majorHAnsi"/>
          <w:sz w:val="18"/>
          <w:szCs w:val="18"/>
        </w:rPr>
        <w:footnoteReference w:id="3"/>
      </w:r>
      <w:r w:rsidRPr="00460CFB" w:rsidR="009A0413">
        <w:rPr>
          <w:rFonts w:cs="Arial" w:asciiTheme="majorHAnsi" w:hAnsiTheme="majorHAnsi"/>
          <w:sz w:val="18"/>
          <w:szCs w:val="18"/>
        </w:rPr>
        <w:t xml:space="preserve"> Daarnaast</w:t>
      </w:r>
      <w:r w:rsidRPr="00460CFB" w:rsidR="00FA6E24">
        <w:rPr>
          <w:rFonts w:cs="Arial" w:asciiTheme="majorHAnsi" w:hAnsiTheme="majorHAnsi"/>
          <w:sz w:val="18"/>
          <w:szCs w:val="18"/>
        </w:rPr>
        <w:t xml:space="preserve"> zal de Euro</w:t>
      </w:r>
      <w:r w:rsidRPr="00460CFB" w:rsidR="007B0B7D">
        <w:rPr>
          <w:rFonts w:cs="Arial" w:asciiTheme="majorHAnsi" w:hAnsiTheme="majorHAnsi"/>
          <w:sz w:val="18"/>
          <w:szCs w:val="18"/>
        </w:rPr>
        <w:t xml:space="preserve">groep </w:t>
      </w:r>
      <w:r w:rsidRPr="00460CFB" w:rsidR="009A0413">
        <w:rPr>
          <w:rFonts w:cs="Arial" w:asciiTheme="majorHAnsi" w:hAnsiTheme="majorHAnsi"/>
          <w:sz w:val="18"/>
          <w:szCs w:val="18"/>
        </w:rPr>
        <w:t xml:space="preserve">verder </w:t>
      </w:r>
      <w:r w:rsidRPr="00460CFB" w:rsidR="007B0B7D">
        <w:rPr>
          <w:rFonts w:cs="Arial" w:asciiTheme="majorHAnsi" w:hAnsiTheme="majorHAnsi"/>
          <w:sz w:val="18"/>
          <w:szCs w:val="18"/>
        </w:rPr>
        <w:t xml:space="preserve">spreken over alle elementen in de brief van </w:t>
      </w:r>
      <w:r w:rsidRPr="00460CFB" w:rsidR="009A0413">
        <w:rPr>
          <w:rFonts w:cs="Arial" w:asciiTheme="majorHAnsi" w:hAnsiTheme="majorHAnsi"/>
          <w:sz w:val="18"/>
          <w:szCs w:val="18"/>
        </w:rPr>
        <w:t xml:space="preserve">de voorzitter van de Eurogroep. </w:t>
      </w:r>
      <w:r w:rsidRPr="00460CFB" w:rsidR="007B0B7D">
        <w:rPr>
          <w:rFonts w:cs="Arial" w:asciiTheme="majorHAnsi" w:hAnsiTheme="majorHAnsi"/>
          <w:sz w:val="18"/>
          <w:szCs w:val="18"/>
        </w:rPr>
        <w:t xml:space="preserve">In de Eurotop van december 2018 zal </w:t>
      </w:r>
      <w:r w:rsidRPr="00460CFB" w:rsidR="009A0413">
        <w:rPr>
          <w:rFonts w:cs="Arial" w:asciiTheme="majorHAnsi" w:hAnsiTheme="majorHAnsi"/>
          <w:sz w:val="18"/>
          <w:szCs w:val="18"/>
        </w:rPr>
        <w:t xml:space="preserve">weer </w:t>
      </w:r>
      <w:r w:rsidRPr="00460CFB" w:rsidR="007B0B7D">
        <w:rPr>
          <w:rFonts w:cs="Arial" w:asciiTheme="majorHAnsi" w:hAnsiTheme="majorHAnsi"/>
          <w:sz w:val="18"/>
          <w:szCs w:val="18"/>
        </w:rPr>
        <w:t xml:space="preserve">gesproken worden over de toekomst van de EMU. Over de uitkomst van de Europese Raad van 28 en 29 juni bent u via een Kamerbrief </w:t>
      </w:r>
      <w:r w:rsidR="00C0332C">
        <w:rPr>
          <w:rFonts w:cs="Arial" w:asciiTheme="majorHAnsi" w:hAnsiTheme="majorHAnsi"/>
          <w:sz w:val="18"/>
          <w:szCs w:val="18"/>
        </w:rPr>
        <w:t xml:space="preserve">eerder uitgebreid </w:t>
      </w:r>
      <w:r w:rsidRPr="00460CFB" w:rsidR="007B0B7D">
        <w:rPr>
          <w:rFonts w:cs="Arial" w:asciiTheme="majorHAnsi" w:hAnsiTheme="majorHAnsi"/>
          <w:sz w:val="18"/>
          <w:szCs w:val="18"/>
        </w:rPr>
        <w:t>geïnformeerd.</w:t>
      </w:r>
      <w:r w:rsidRPr="00460CFB" w:rsidR="007B0B7D">
        <w:rPr>
          <w:rStyle w:val="Voetnootmarkering"/>
          <w:rFonts w:cs="Arial" w:asciiTheme="majorHAnsi" w:hAnsiTheme="majorHAnsi"/>
          <w:sz w:val="18"/>
          <w:szCs w:val="18"/>
        </w:rPr>
        <w:footnoteReference w:id="4"/>
      </w:r>
    </w:p>
    <w:p w:rsidRPr="00460CFB" w:rsidR="007B0B7D" w:rsidP="003202E7" w:rsidRDefault="007B0B7D">
      <w:pPr>
        <w:spacing w:line="360" w:lineRule="auto"/>
        <w:contextualSpacing/>
        <w:rPr>
          <w:rFonts w:cs="Arial" w:asciiTheme="majorHAnsi" w:hAnsiTheme="majorHAnsi"/>
          <w:sz w:val="18"/>
          <w:szCs w:val="18"/>
        </w:rPr>
      </w:pPr>
    </w:p>
    <w:p w:rsidRPr="00460CFB" w:rsidR="00FA6E24" w:rsidP="003202E7" w:rsidRDefault="007B0B7D">
      <w:pPr>
        <w:spacing w:line="360" w:lineRule="auto"/>
        <w:contextualSpacing/>
        <w:rPr>
          <w:rFonts w:cs="Arial" w:asciiTheme="majorHAnsi" w:hAnsiTheme="majorHAnsi"/>
          <w:sz w:val="18"/>
          <w:szCs w:val="18"/>
        </w:rPr>
      </w:pPr>
      <w:r w:rsidRPr="00460CFB">
        <w:rPr>
          <w:rFonts w:cs="Arial" w:asciiTheme="majorHAnsi" w:hAnsiTheme="majorHAnsi"/>
          <w:sz w:val="18"/>
          <w:szCs w:val="18"/>
        </w:rPr>
        <w:t>Aangezien het een terugkoppeling betrof</w:t>
      </w:r>
      <w:r w:rsidR="00FA0AF9">
        <w:rPr>
          <w:rFonts w:cs="Arial" w:asciiTheme="majorHAnsi" w:hAnsiTheme="majorHAnsi"/>
          <w:sz w:val="18"/>
          <w:szCs w:val="18"/>
        </w:rPr>
        <w:t>,</w:t>
      </w:r>
      <w:r w:rsidRPr="00460CFB">
        <w:rPr>
          <w:rFonts w:cs="Arial" w:asciiTheme="majorHAnsi" w:hAnsiTheme="majorHAnsi"/>
          <w:sz w:val="18"/>
          <w:szCs w:val="18"/>
        </w:rPr>
        <w:t xml:space="preserve"> was er weinig discussie in de Eurogroep. Sommige lidstaten gaven aan dat het komende half jaar veel werk te doen is </w:t>
      </w:r>
      <w:r w:rsidRPr="00460CFB" w:rsidR="009A0413">
        <w:rPr>
          <w:rFonts w:cs="Arial" w:asciiTheme="majorHAnsi" w:hAnsiTheme="majorHAnsi"/>
          <w:sz w:val="18"/>
          <w:szCs w:val="18"/>
        </w:rPr>
        <w:t xml:space="preserve">en dat een ambitieus </w:t>
      </w:r>
      <w:r w:rsidR="00A0533E">
        <w:rPr>
          <w:rFonts w:cs="Arial" w:asciiTheme="majorHAnsi" w:hAnsiTheme="majorHAnsi"/>
          <w:sz w:val="18"/>
          <w:szCs w:val="18"/>
        </w:rPr>
        <w:t>werk</w:t>
      </w:r>
      <w:r w:rsidRPr="00460CFB" w:rsidR="009A0413">
        <w:rPr>
          <w:rFonts w:cs="Arial" w:asciiTheme="majorHAnsi" w:hAnsiTheme="majorHAnsi"/>
          <w:sz w:val="18"/>
          <w:szCs w:val="18"/>
        </w:rPr>
        <w:t xml:space="preserve">programma ten aanzien van de versterking van het ESM en de voltooiing van de Bankenunie wenselijk is. </w:t>
      </w:r>
      <w:r w:rsidR="003E6D2B">
        <w:rPr>
          <w:rFonts w:cs="Arial" w:asciiTheme="majorHAnsi" w:hAnsiTheme="majorHAnsi"/>
          <w:sz w:val="18"/>
          <w:szCs w:val="18"/>
        </w:rPr>
        <w:t>De voorzitter kondigde aan dat de Eurogroep in de komende maanden alle werkstromen m.b.t. de toekomst van de EMU zal bespreken.</w:t>
      </w:r>
    </w:p>
    <w:p w:rsidRPr="00460CFB" w:rsidR="002E3B61" w:rsidP="003202E7" w:rsidRDefault="002E3B61">
      <w:pPr>
        <w:spacing w:line="360" w:lineRule="auto"/>
        <w:contextualSpacing/>
        <w:rPr>
          <w:rFonts w:asciiTheme="majorHAnsi" w:hAnsiTheme="majorHAnsi"/>
          <w:b/>
          <w:bCs/>
          <w:sz w:val="18"/>
          <w:szCs w:val="18"/>
        </w:rPr>
      </w:pPr>
    </w:p>
    <w:p w:rsidRPr="00460CFB" w:rsidR="007232DD" w:rsidP="003202E7" w:rsidRDefault="007232DD">
      <w:pPr>
        <w:spacing w:line="360" w:lineRule="auto"/>
        <w:contextualSpacing/>
        <w:rPr>
          <w:rFonts w:asciiTheme="majorHAnsi" w:hAnsiTheme="majorHAnsi"/>
          <w:b/>
          <w:bCs/>
          <w:sz w:val="18"/>
          <w:szCs w:val="18"/>
        </w:rPr>
      </w:pPr>
      <w:r w:rsidRPr="00460CFB">
        <w:rPr>
          <w:rFonts w:asciiTheme="majorHAnsi" w:hAnsiTheme="majorHAnsi"/>
          <w:b/>
          <w:bCs/>
          <w:sz w:val="18"/>
          <w:szCs w:val="18"/>
        </w:rPr>
        <w:t>Zomerraming Commissie</w:t>
      </w:r>
    </w:p>
    <w:p w:rsidRPr="00460CFB" w:rsidR="007232DD" w:rsidP="003202E7" w:rsidRDefault="007232DD">
      <w:pPr>
        <w:pStyle w:val="Lijstalinea"/>
        <w:spacing w:line="360" w:lineRule="auto"/>
        <w:ind w:left="0"/>
        <w:rPr>
          <w:rFonts w:cs="Arial" w:asciiTheme="majorHAnsi" w:hAnsiTheme="majorHAnsi"/>
          <w:sz w:val="18"/>
          <w:szCs w:val="18"/>
        </w:rPr>
      </w:pPr>
      <w:r w:rsidRPr="00460CFB">
        <w:rPr>
          <w:rFonts w:cs="Arial" w:asciiTheme="majorHAnsi" w:hAnsiTheme="majorHAnsi"/>
          <w:sz w:val="18"/>
          <w:szCs w:val="18"/>
        </w:rPr>
        <w:t xml:space="preserve">De Europese Commissie heeft </w:t>
      </w:r>
      <w:r w:rsidRPr="00460CFB" w:rsidR="002E3B61">
        <w:rPr>
          <w:rFonts w:cs="Arial" w:asciiTheme="majorHAnsi" w:hAnsiTheme="majorHAnsi"/>
          <w:sz w:val="18"/>
          <w:szCs w:val="18"/>
        </w:rPr>
        <w:t xml:space="preserve">in de Eurogroep </w:t>
      </w:r>
      <w:r w:rsidRPr="00460CFB">
        <w:rPr>
          <w:rFonts w:cs="Arial" w:asciiTheme="majorHAnsi" w:hAnsiTheme="majorHAnsi"/>
          <w:sz w:val="18"/>
          <w:szCs w:val="18"/>
        </w:rPr>
        <w:t>haar zomerraming ge</w:t>
      </w:r>
      <w:r w:rsidR="00FA0AF9">
        <w:rPr>
          <w:rFonts w:cs="Arial" w:asciiTheme="majorHAnsi" w:hAnsiTheme="majorHAnsi"/>
          <w:sz w:val="18"/>
          <w:szCs w:val="18"/>
        </w:rPr>
        <w:t xml:space="preserve">presenteerd die op dezelfde </w:t>
      </w:r>
      <w:r w:rsidR="00CD79F4">
        <w:rPr>
          <w:rFonts w:cs="Arial" w:asciiTheme="majorHAnsi" w:hAnsiTheme="majorHAnsi"/>
          <w:sz w:val="18"/>
          <w:szCs w:val="18"/>
        </w:rPr>
        <w:t>dag</w:t>
      </w:r>
      <w:r w:rsidRPr="00B43BF1" w:rsidR="00FA0AF9">
        <w:rPr>
          <w:rFonts w:asciiTheme="majorHAnsi" w:hAnsiTheme="majorHAnsi"/>
          <w:b/>
          <w:sz w:val="18"/>
        </w:rPr>
        <w:t xml:space="preserve"> </w:t>
      </w:r>
      <w:r w:rsidRPr="00460CFB">
        <w:rPr>
          <w:rFonts w:cs="Arial" w:asciiTheme="majorHAnsi" w:hAnsiTheme="majorHAnsi"/>
          <w:sz w:val="18"/>
          <w:szCs w:val="18"/>
        </w:rPr>
        <w:t xml:space="preserve">uitkwam. </w:t>
      </w:r>
      <w:r w:rsidRPr="00460CFB">
        <w:rPr>
          <w:rFonts w:asciiTheme="majorHAnsi" w:hAnsiTheme="majorHAnsi"/>
          <w:color w:val="222222"/>
          <w:sz w:val="18"/>
          <w:szCs w:val="18"/>
        </w:rPr>
        <w:t xml:space="preserve">Deze zomerraming gaat over </w:t>
      </w:r>
      <w:r w:rsidRPr="00460CFB" w:rsidR="002E3B61">
        <w:rPr>
          <w:rFonts w:asciiTheme="majorHAnsi" w:hAnsiTheme="majorHAnsi"/>
          <w:color w:val="222222"/>
          <w:sz w:val="18"/>
          <w:szCs w:val="18"/>
        </w:rPr>
        <w:t xml:space="preserve">de </w:t>
      </w:r>
      <w:r w:rsidRPr="00460CFB">
        <w:rPr>
          <w:rFonts w:asciiTheme="majorHAnsi" w:hAnsiTheme="majorHAnsi"/>
          <w:color w:val="222222"/>
          <w:sz w:val="18"/>
          <w:szCs w:val="18"/>
        </w:rPr>
        <w:t xml:space="preserve">ontwikkelingen van het bruto binnenlands product (bbp) en de inflatie voor alle lidstaten en de eurozone, alsook </w:t>
      </w:r>
      <w:r w:rsidR="00C0332C">
        <w:rPr>
          <w:rFonts w:asciiTheme="majorHAnsi" w:hAnsiTheme="majorHAnsi"/>
          <w:color w:val="222222"/>
          <w:sz w:val="18"/>
          <w:szCs w:val="18"/>
        </w:rPr>
        <w:t>de</w:t>
      </w:r>
      <w:r w:rsidRPr="00460CFB">
        <w:rPr>
          <w:rFonts w:asciiTheme="majorHAnsi" w:hAnsiTheme="majorHAnsi"/>
          <w:color w:val="222222"/>
          <w:sz w:val="18"/>
          <w:szCs w:val="18"/>
        </w:rPr>
        <w:t xml:space="preserve"> EU-gemiddelden.</w:t>
      </w:r>
    </w:p>
    <w:p w:rsidRPr="00460CFB" w:rsidR="007232DD" w:rsidP="003202E7" w:rsidRDefault="007232DD">
      <w:pPr>
        <w:pStyle w:val="Lijstalinea"/>
        <w:spacing w:line="360" w:lineRule="auto"/>
        <w:ind w:left="0"/>
        <w:rPr>
          <w:rFonts w:cs="Arial" w:asciiTheme="majorHAnsi" w:hAnsiTheme="majorHAnsi"/>
          <w:sz w:val="18"/>
          <w:szCs w:val="18"/>
        </w:rPr>
      </w:pPr>
    </w:p>
    <w:p w:rsidRPr="00460CFB" w:rsidR="007232DD" w:rsidP="003202E7" w:rsidRDefault="002E3B61">
      <w:pPr>
        <w:pStyle w:val="Lijstalinea"/>
        <w:spacing w:line="360" w:lineRule="auto"/>
        <w:ind w:left="0"/>
        <w:rPr>
          <w:rFonts w:cs="Arial" w:asciiTheme="majorHAnsi" w:hAnsiTheme="majorHAnsi"/>
          <w:sz w:val="18"/>
          <w:szCs w:val="18"/>
        </w:rPr>
      </w:pPr>
      <w:r w:rsidRPr="00460CFB">
        <w:rPr>
          <w:rFonts w:asciiTheme="majorHAnsi" w:hAnsiTheme="majorHAnsi"/>
          <w:sz w:val="18"/>
          <w:szCs w:val="18"/>
        </w:rPr>
        <w:t>De zomerraming l</w:t>
      </w:r>
      <w:r w:rsidR="005B13FF">
        <w:rPr>
          <w:rFonts w:asciiTheme="majorHAnsi" w:hAnsiTheme="majorHAnsi"/>
          <w:sz w:val="18"/>
          <w:szCs w:val="18"/>
        </w:rPr>
        <w:t>aat</w:t>
      </w:r>
      <w:r w:rsidRPr="00460CFB">
        <w:rPr>
          <w:rFonts w:asciiTheme="majorHAnsi" w:hAnsiTheme="majorHAnsi"/>
          <w:sz w:val="18"/>
          <w:szCs w:val="18"/>
        </w:rPr>
        <w:t xml:space="preserve"> zien dat de</w:t>
      </w:r>
      <w:r w:rsidRPr="00460CFB" w:rsidR="007232DD">
        <w:rPr>
          <w:rFonts w:asciiTheme="majorHAnsi" w:hAnsiTheme="majorHAnsi"/>
          <w:sz w:val="18"/>
          <w:szCs w:val="18"/>
        </w:rPr>
        <w:t xml:space="preserve"> economische groei in de EU aan het begin van 2018 enigszins </w:t>
      </w:r>
      <w:r w:rsidRPr="00460CFB">
        <w:rPr>
          <w:rFonts w:asciiTheme="majorHAnsi" w:hAnsiTheme="majorHAnsi"/>
          <w:sz w:val="18"/>
          <w:szCs w:val="18"/>
        </w:rPr>
        <w:t xml:space="preserve">is </w:t>
      </w:r>
      <w:r w:rsidRPr="00460CFB" w:rsidR="007232DD">
        <w:rPr>
          <w:rFonts w:asciiTheme="majorHAnsi" w:hAnsiTheme="majorHAnsi"/>
          <w:sz w:val="18"/>
          <w:szCs w:val="18"/>
        </w:rPr>
        <w:t>vertraagd. Volgen</w:t>
      </w:r>
      <w:r w:rsidR="00FA0AF9">
        <w:rPr>
          <w:rFonts w:asciiTheme="majorHAnsi" w:hAnsiTheme="majorHAnsi"/>
          <w:sz w:val="18"/>
          <w:szCs w:val="18"/>
        </w:rPr>
        <w:t>s de Commissie was dit in de eerste plaats</w:t>
      </w:r>
      <w:r w:rsidRPr="00460CFB" w:rsidR="007232DD">
        <w:rPr>
          <w:rFonts w:asciiTheme="majorHAnsi" w:hAnsiTheme="majorHAnsi"/>
          <w:sz w:val="18"/>
          <w:szCs w:val="18"/>
        </w:rPr>
        <w:t xml:space="preserve"> een aanpassing na een lange periode van bov</w:t>
      </w:r>
      <w:r w:rsidR="00FA0AF9">
        <w:rPr>
          <w:rFonts w:asciiTheme="majorHAnsi" w:hAnsiTheme="majorHAnsi"/>
          <w:sz w:val="18"/>
          <w:szCs w:val="18"/>
        </w:rPr>
        <w:t>engemiddelde groei maar ook</w:t>
      </w:r>
      <w:r w:rsidRPr="00460CFB" w:rsidR="007232DD">
        <w:rPr>
          <w:rFonts w:asciiTheme="majorHAnsi" w:hAnsiTheme="majorHAnsi"/>
          <w:sz w:val="18"/>
          <w:szCs w:val="18"/>
        </w:rPr>
        <w:t xml:space="preserve"> het gevolg van diverse eenmalige factoren zoals </w:t>
      </w:r>
      <w:r w:rsidR="00C0332C">
        <w:rPr>
          <w:rFonts w:asciiTheme="majorHAnsi" w:hAnsiTheme="majorHAnsi"/>
          <w:sz w:val="18"/>
          <w:szCs w:val="18"/>
        </w:rPr>
        <w:t>de</w:t>
      </w:r>
      <w:r w:rsidRPr="00460CFB" w:rsidR="007232DD">
        <w:rPr>
          <w:rFonts w:asciiTheme="majorHAnsi" w:hAnsiTheme="majorHAnsi"/>
          <w:sz w:val="18"/>
          <w:szCs w:val="18"/>
        </w:rPr>
        <w:t xml:space="preserve"> weer</w:t>
      </w:r>
      <w:r w:rsidR="00C0332C">
        <w:rPr>
          <w:rFonts w:asciiTheme="majorHAnsi" w:hAnsiTheme="majorHAnsi"/>
          <w:sz w:val="18"/>
          <w:szCs w:val="18"/>
        </w:rPr>
        <w:t>somstandigheden</w:t>
      </w:r>
      <w:r w:rsidRPr="00460CFB" w:rsidR="007232DD">
        <w:rPr>
          <w:rFonts w:asciiTheme="majorHAnsi" w:hAnsiTheme="majorHAnsi"/>
          <w:sz w:val="18"/>
          <w:szCs w:val="18"/>
        </w:rPr>
        <w:t>. In het tweede kwartaal is de groei echter nog niet aangetrokken, waarbij handelsspanningen, politieke onzekerheid en stijgende energieprijzen een rol speelden. Aangezien het een presentatie betrof</w:t>
      </w:r>
      <w:r w:rsidR="00FA0AF9">
        <w:rPr>
          <w:rFonts w:asciiTheme="majorHAnsi" w:hAnsiTheme="majorHAnsi"/>
          <w:sz w:val="18"/>
          <w:szCs w:val="18"/>
        </w:rPr>
        <w:t>,</w:t>
      </w:r>
      <w:r w:rsidRPr="00460CFB" w:rsidR="007232DD">
        <w:rPr>
          <w:rFonts w:asciiTheme="majorHAnsi" w:hAnsiTheme="majorHAnsi"/>
          <w:sz w:val="18"/>
          <w:szCs w:val="18"/>
        </w:rPr>
        <w:t xml:space="preserve"> was er weinig discussie</w:t>
      </w:r>
      <w:r w:rsidRPr="00460CFB">
        <w:rPr>
          <w:rFonts w:asciiTheme="majorHAnsi" w:hAnsiTheme="majorHAnsi"/>
          <w:sz w:val="18"/>
          <w:szCs w:val="18"/>
        </w:rPr>
        <w:t xml:space="preserve"> in de Eurogroep.</w:t>
      </w:r>
    </w:p>
    <w:p w:rsidRPr="00460CFB" w:rsidR="007232DD" w:rsidP="003202E7" w:rsidRDefault="007232DD">
      <w:pPr>
        <w:pStyle w:val="Lijstalinea"/>
        <w:spacing w:line="360" w:lineRule="auto"/>
        <w:ind w:left="0"/>
        <w:rPr>
          <w:rFonts w:cs="Arial" w:asciiTheme="majorHAnsi" w:hAnsiTheme="majorHAnsi"/>
          <w:sz w:val="18"/>
          <w:szCs w:val="18"/>
        </w:rPr>
      </w:pPr>
    </w:p>
    <w:p w:rsidRPr="00460CFB" w:rsidR="002E3B61" w:rsidP="003202E7" w:rsidRDefault="002E3B61">
      <w:pPr>
        <w:spacing w:line="360" w:lineRule="auto"/>
        <w:contextualSpacing/>
        <w:rPr>
          <w:rFonts w:asciiTheme="majorHAnsi" w:hAnsiTheme="majorHAnsi"/>
          <w:b/>
          <w:bCs/>
          <w:i/>
          <w:sz w:val="18"/>
          <w:szCs w:val="18"/>
        </w:rPr>
      </w:pPr>
    </w:p>
    <w:p w:rsidRPr="00460CFB" w:rsidR="00455F77" w:rsidP="003202E7" w:rsidRDefault="00455F77">
      <w:pPr>
        <w:spacing w:line="360" w:lineRule="auto"/>
        <w:contextualSpacing/>
        <w:rPr>
          <w:rFonts w:asciiTheme="majorHAnsi" w:hAnsiTheme="majorHAnsi"/>
          <w:b/>
          <w:bCs/>
          <w:sz w:val="18"/>
          <w:szCs w:val="18"/>
        </w:rPr>
      </w:pPr>
      <w:proofErr w:type="spellStart"/>
      <w:r w:rsidRPr="00460CFB">
        <w:rPr>
          <w:rFonts w:asciiTheme="majorHAnsi" w:hAnsiTheme="majorHAnsi"/>
          <w:b/>
          <w:bCs/>
          <w:i/>
          <w:sz w:val="18"/>
          <w:szCs w:val="18"/>
        </w:rPr>
        <w:t>Fiscal</w:t>
      </w:r>
      <w:proofErr w:type="spellEnd"/>
      <w:r w:rsidRPr="00460CFB">
        <w:rPr>
          <w:rFonts w:asciiTheme="majorHAnsi" w:hAnsiTheme="majorHAnsi"/>
          <w:b/>
          <w:bCs/>
          <w:i/>
          <w:sz w:val="18"/>
          <w:szCs w:val="18"/>
        </w:rPr>
        <w:t xml:space="preserve"> stance</w:t>
      </w:r>
      <w:r w:rsidR="006B66FF">
        <w:rPr>
          <w:rFonts w:asciiTheme="majorHAnsi" w:hAnsiTheme="majorHAnsi"/>
          <w:b/>
          <w:bCs/>
          <w:sz w:val="18"/>
          <w:szCs w:val="18"/>
        </w:rPr>
        <w:t xml:space="preserve"> e</w:t>
      </w:r>
      <w:r w:rsidRPr="00460CFB">
        <w:rPr>
          <w:rFonts w:asciiTheme="majorHAnsi" w:hAnsiTheme="majorHAnsi"/>
          <w:b/>
          <w:bCs/>
          <w:sz w:val="18"/>
          <w:szCs w:val="18"/>
        </w:rPr>
        <w:t>urozone</w:t>
      </w:r>
    </w:p>
    <w:p w:rsidR="005B13FF" w:rsidRDefault="00453FBC">
      <w:pPr>
        <w:spacing w:line="360" w:lineRule="auto"/>
        <w:contextualSpacing/>
        <w:rPr>
          <w:rFonts w:asciiTheme="majorHAnsi" w:hAnsiTheme="majorHAnsi"/>
          <w:sz w:val="18"/>
          <w:szCs w:val="18"/>
        </w:rPr>
      </w:pPr>
      <w:r w:rsidRPr="00460CFB">
        <w:rPr>
          <w:rFonts w:asciiTheme="majorHAnsi" w:hAnsiTheme="majorHAnsi"/>
          <w:sz w:val="18"/>
          <w:szCs w:val="18"/>
        </w:rPr>
        <w:t xml:space="preserve">In de Eurogroep is gesproken over de </w:t>
      </w:r>
      <w:proofErr w:type="spellStart"/>
      <w:r w:rsidRPr="00460CFB">
        <w:rPr>
          <w:rFonts w:asciiTheme="majorHAnsi" w:hAnsiTheme="majorHAnsi"/>
          <w:i/>
          <w:sz w:val="18"/>
          <w:szCs w:val="18"/>
        </w:rPr>
        <w:t>fiscal</w:t>
      </w:r>
      <w:proofErr w:type="spellEnd"/>
      <w:r w:rsidRPr="00460CFB">
        <w:rPr>
          <w:rFonts w:asciiTheme="majorHAnsi" w:hAnsiTheme="majorHAnsi"/>
          <w:i/>
          <w:sz w:val="18"/>
          <w:szCs w:val="18"/>
        </w:rPr>
        <w:t xml:space="preserve"> stance</w:t>
      </w:r>
      <w:r w:rsidRPr="00460CFB">
        <w:rPr>
          <w:rFonts w:asciiTheme="majorHAnsi" w:hAnsiTheme="majorHAnsi"/>
          <w:sz w:val="18"/>
          <w:szCs w:val="18"/>
        </w:rPr>
        <w:t xml:space="preserve"> van de eurozone. </w:t>
      </w:r>
      <w:r w:rsidRPr="00460CFB" w:rsidR="00455F77">
        <w:rPr>
          <w:rFonts w:asciiTheme="majorHAnsi" w:hAnsiTheme="majorHAnsi"/>
          <w:sz w:val="18"/>
          <w:szCs w:val="18"/>
        </w:rPr>
        <w:t xml:space="preserve">Om de </w:t>
      </w:r>
      <w:proofErr w:type="spellStart"/>
      <w:r w:rsidRPr="00460CFB" w:rsidR="00455F77">
        <w:rPr>
          <w:rFonts w:asciiTheme="majorHAnsi" w:hAnsiTheme="majorHAnsi"/>
          <w:i/>
          <w:sz w:val="18"/>
          <w:szCs w:val="18"/>
        </w:rPr>
        <w:t>fiscal</w:t>
      </w:r>
      <w:proofErr w:type="spellEnd"/>
      <w:r w:rsidRPr="00460CFB" w:rsidR="00455F77">
        <w:rPr>
          <w:rFonts w:asciiTheme="majorHAnsi" w:hAnsiTheme="majorHAnsi"/>
          <w:i/>
          <w:sz w:val="18"/>
          <w:szCs w:val="18"/>
        </w:rPr>
        <w:t xml:space="preserve"> stance</w:t>
      </w:r>
      <w:r w:rsidRPr="00460CFB" w:rsidR="00455F77">
        <w:rPr>
          <w:rFonts w:asciiTheme="majorHAnsi" w:hAnsiTheme="majorHAnsi"/>
          <w:sz w:val="18"/>
          <w:szCs w:val="18"/>
        </w:rPr>
        <w:t xml:space="preserve"> vast te stellen, kijkt de Commissie naar de ontwikkeling van het structureel </w:t>
      </w:r>
      <w:r w:rsidR="005B13FF">
        <w:rPr>
          <w:rFonts w:asciiTheme="majorHAnsi" w:hAnsiTheme="majorHAnsi"/>
          <w:sz w:val="18"/>
          <w:szCs w:val="18"/>
        </w:rPr>
        <w:t>begrotings</w:t>
      </w:r>
      <w:r w:rsidRPr="00460CFB" w:rsidR="00455F77">
        <w:rPr>
          <w:rFonts w:asciiTheme="majorHAnsi" w:hAnsiTheme="majorHAnsi"/>
          <w:sz w:val="18"/>
          <w:szCs w:val="18"/>
        </w:rPr>
        <w:t xml:space="preserve">saldo voor de eurozone als geheel. Als deze verslechtert, dan is de </w:t>
      </w:r>
      <w:proofErr w:type="spellStart"/>
      <w:r w:rsidRPr="00460CFB" w:rsidR="00455F77">
        <w:rPr>
          <w:rFonts w:asciiTheme="majorHAnsi" w:hAnsiTheme="majorHAnsi"/>
          <w:i/>
          <w:sz w:val="18"/>
          <w:szCs w:val="18"/>
        </w:rPr>
        <w:t>fiscal</w:t>
      </w:r>
      <w:proofErr w:type="spellEnd"/>
      <w:r w:rsidRPr="00460CFB" w:rsidR="00455F77">
        <w:rPr>
          <w:rFonts w:asciiTheme="majorHAnsi" w:hAnsiTheme="majorHAnsi"/>
          <w:i/>
          <w:sz w:val="18"/>
          <w:szCs w:val="18"/>
        </w:rPr>
        <w:t xml:space="preserve"> stance </w:t>
      </w:r>
      <w:r w:rsidRPr="00460CFB" w:rsidR="00455F77">
        <w:rPr>
          <w:rFonts w:asciiTheme="majorHAnsi" w:hAnsiTheme="majorHAnsi"/>
          <w:sz w:val="18"/>
          <w:szCs w:val="18"/>
        </w:rPr>
        <w:t xml:space="preserve">expansief. Als het structureel saldo verbetert, is de </w:t>
      </w:r>
      <w:proofErr w:type="spellStart"/>
      <w:r w:rsidRPr="00460CFB" w:rsidR="00455F77">
        <w:rPr>
          <w:rFonts w:asciiTheme="majorHAnsi" w:hAnsiTheme="majorHAnsi"/>
          <w:i/>
          <w:sz w:val="18"/>
          <w:szCs w:val="18"/>
        </w:rPr>
        <w:t>fiscal</w:t>
      </w:r>
      <w:proofErr w:type="spellEnd"/>
      <w:r w:rsidRPr="00460CFB" w:rsidR="00455F77">
        <w:rPr>
          <w:rFonts w:asciiTheme="majorHAnsi" w:hAnsiTheme="majorHAnsi"/>
          <w:i/>
          <w:sz w:val="18"/>
          <w:szCs w:val="18"/>
        </w:rPr>
        <w:t xml:space="preserve"> stance </w:t>
      </w:r>
      <w:r w:rsidRPr="00460CFB" w:rsidR="00455F77">
        <w:rPr>
          <w:rFonts w:asciiTheme="majorHAnsi" w:hAnsiTheme="majorHAnsi"/>
          <w:sz w:val="18"/>
          <w:szCs w:val="18"/>
        </w:rPr>
        <w:t xml:space="preserve">juist restrictief. De Commissie voorspelt dat de </w:t>
      </w:r>
      <w:proofErr w:type="spellStart"/>
      <w:r w:rsidRPr="00460CFB" w:rsidR="00455F77">
        <w:rPr>
          <w:rFonts w:asciiTheme="majorHAnsi" w:hAnsiTheme="majorHAnsi"/>
          <w:i/>
          <w:sz w:val="18"/>
          <w:szCs w:val="18"/>
        </w:rPr>
        <w:t>fiscal</w:t>
      </w:r>
      <w:proofErr w:type="spellEnd"/>
      <w:r w:rsidRPr="00460CFB" w:rsidR="00455F77">
        <w:rPr>
          <w:rFonts w:asciiTheme="majorHAnsi" w:hAnsiTheme="majorHAnsi"/>
          <w:i/>
          <w:sz w:val="18"/>
          <w:szCs w:val="18"/>
        </w:rPr>
        <w:t xml:space="preserve"> stance</w:t>
      </w:r>
      <w:r w:rsidRPr="00460CFB" w:rsidR="00455F77">
        <w:rPr>
          <w:rFonts w:asciiTheme="majorHAnsi" w:hAnsiTheme="majorHAnsi"/>
          <w:sz w:val="18"/>
          <w:szCs w:val="18"/>
        </w:rPr>
        <w:t xml:space="preserve"> in 2019 </w:t>
      </w:r>
      <w:proofErr w:type="spellStart"/>
      <w:r w:rsidRPr="00460CFB" w:rsidR="00455F77">
        <w:rPr>
          <w:rFonts w:asciiTheme="majorHAnsi" w:hAnsiTheme="majorHAnsi"/>
          <w:i/>
          <w:sz w:val="18"/>
          <w:szCs w:val="18"/>
        </w:rPr>
        <w:t>slightly</w:t>
      </w:r>
      <w:proofErr w:type="spellEnd"/>
      <w:r w:rsidRPr="00460CFB" w:rsidR="00455F77">
        <w:rPr>
          <w:rFonts w:asciiTheme="majorHAnsi" w:hAnsiTheme="majorHAnsi"/>
          <w:i/>
          <w:sz w:val="18"/>
          <w:szCs w:val="18"/>
        </w:rPr>
        <w:t xml:space="preserve"> </w:t>
      </w:r>
      <w:proofErr w:type="spellStart"/>
      <w:r w:rsidRPr="00460CFB" w:rsidR="00455F77">
        <w:rPr>
          <w:rFonts w:asciiTheme="majorHAnsi" w:hAnsiTheme="majorHAnsi"/>
          <w:i/>
          <w:sz w:val="18"/>
          <w:szCs w:val="18"/>
        </w:rPr>
        <w:t>expansionary</w:t>
      </w:r>
      <w:proofErr w:type="spellEnd"/>
      <w:r w:rsidRPr="00460CFB" w:rsidR="00455F77">
        <w:rPr>
          <w:rFonts w:asciiTheme="majorHAnsi" w:hAnsiTheme="majorHAnsi"/>
          <w:sz w:val="18"/>
          <w:szCs w:val="18"/>
        </w:rPr>
        <w:t xml:space="preserve"> zal zijn op basis van haar lenteraming en de plannen van de lidstaten. </w:t>
      </w:r>
      <w:r w:rsidR="005B13FF">
        <w:rPr>
          <w:rFonts w:asciiTheme="majorHAnsi" w:hAnsiTheme="majorHAnsi"/>
          <w:sz w:val="18"/>
          <w:szCs w:val="18"/>
        </w:rPr>
        <w:t xml:space="preserve">Zouden lidstaten zich houden aan de eisen in het SGP, dan zou er sprake zijn van een restrictieve </w:t>
      </w:r>
      <w:proofErr w:type="spellStart"/>
      <w:r w:rsidR="005B13FF">
        <w:rPr>
          <w:rFonts w:asciiTheme="majorHAnsi" w:hAnsiTheme="majorHAnsi"/>
          <w:i/>
          <w:sz w:val="18"/>
          <w:szCs w:val="18"/>
        </w:rPr>
        <w:t>fiscal</w:t>
      </w:r>
      <w:proofErr w:type="spellEnd"/>
      <w:r w:rsidR="005B13FF">
        <w:rPr>
          <w:rFonts w:asciiTheme="majorHAnsi" w:hAnsiTheme="majorHAnsi"/>
          <w:i/>
          <w:sz w:val="18"/>
          <w:szCs w:val="18"/>
        </w:rPr>
        <w:t xml:space="preserve"> </w:t>
      </w:r>
      <w:r w:rsidRPr="005B13FF" w:rsidR="005B13FF">
        <w:rPr>
          <w:rFonts w:asciiTheme="majorHAnsi" w:hAnsiTheme="majorHAnsi"/>
          <w:i/>
          <w:sz w:val="18"/>
          <w:szCs w:val="18"/>
        </w:rPr>
        <w:t>stance</w:t>
      </w:r>
      <w:r w:rsidR="005B13FF">
        <w:rPr>
          <w:rFonts w:asciiTheme="majorHAnsi" w:hAnsiTheme="majorHAnsi"/>
          <w:i/>
          <w:sz w:val="18"/>
          <w:szCs w:val="18"/>
        </w:rPr>
        <w:t xml:space="preserve"> </w:t>
      </w:r>
      <w:r w:rsidR="005B13FF">
        <w:rPr>
          <w:rFonts w:asciiTheme="majorHAnsi" w:hAnsiTheme="majorHAnsi"/>
          <w:sz w:val="18"/>
          <w:szCs w:val="18"/>
        </w:rPr>
        <w:t xml:space="preserve">in 2019. </w:t>
      </w:r>
      <w:r w:rsidRPr="00B43BF1" w:rsidR="00455F77">
        <w:rPr>
          <w:rFonts w:asciiTheme="majorHAnsi" w:hAnsiTheme="majorHAnsi"/>
          <w:i/>
          <w:sz w:val="18"/>
          <w:szCs w:val="18"/>
        </w:rPr>
        <w:t>De</w:t>
      </w:r>
      <w:r w:rsidRPr="00460CFB" w:rsidR="00455F77">
        <w:rPr>
          <w:rFonts w:asciiTheme="majorHAnsi" w:hAnsiTheme="majorHAnsi"/>
          <w:sz w:val="18"/>
          <w:szCs w:val="18"/>
        </w:rPr>
        <w:t xml:space="preserve"> Commissie oordeelt dat een </w:t>
      </w:r>
      <w:proofErr w:type="spellStart"/>
      <w:r w:rsidRPr="00460CFB" w:rsidR="00455F77">
        <w:rPr>
          <w:rFonts w:asciiTheme="majorHAnsi" w:hAnsiTheme="majorHAnsi"/>
          <w:i/>
          <w:sz w:val="18"/>
          <w:szCs w:val="18"/>
        </w:rPr>
        <w:t>broadly</w:t>
      </w:r>
      <w:proofErr w:type="spellEnd"/>
      <w:r w:rsidRPr="00460CFB" w:rsidR="00455F77">
        <w:rPr>
          <w:rFonts w:asciiTheme="majorHAnsi" w:hAnsiTheme="majorHAnsi"/>
          <w:i/>
          <w:sz w:val="18"/>
          <w:szCs w:val="18"/>
        </w:rPr>
        <w:t xml:space="preserve"> </w:t>
      </w:r>
      <w:proofErr w:type="spellStart"/>
      <w:r w:rsidRPr="00460CFB" w:rsidR="00455F77">
        <w:rPr>
          <w:rFonts w:asciiTheme="majorHAnsi" w:hAnsiTheme="majorHAnsi"/>
          <w:i/>
          <w:sz w:val="18"/>
          <w:szCs w:val="18"/>
        </w:rPr>
        <w:t>neutral</w:t>
      </w:r>
      <w:proofErr w:type="spellEnd"/>
      <w:r w:rsidRPr="00460CFB" w:rsidR="00455F77">
        <w:rPr>
          <w:rFonts w:asciiTheme="majorHAnsi" w:hAnsiTheme="majorHAnsi"/>
          <w:sz w:val="18"/>
          <w:szCs w:val="18"/>
        </w:rPr>
        <w:t xml:space="preserve"> </w:t>
      </w:r>
      <w:proofErr w:type="spellStart"/>
      <w:r w:rsidRPr="00460CFB" w:rsidR="00455F77">
        <w:rPr>
          <w:rFonts w:asciiTheme="majorHAnsi" w:hAnsiTheme="majorHAnsi"/>
          <w:i/>
          <w:sz w:val="18"/>
          <w:szCs w:val="18"/>
        </w:rPr>
        <w:t>fiscal</w:t>
      </w:r>
      <w:proofErr w:type="spellEnd"/>
      <w:r w:rsidRPr="00460CFB" w:rsidR="00455F77">
        <w:rPr>
          <w:rFonts w:asciiTheme="majorHAnsi" w:hAnsiTheme="majorHAnsi"/>
          <w:i/>
          <w:sz w:val="18"/>
          <w:szCs w:val="18"/>
        </w:rPr>
        <w:t xml:space="preserve"> stance</w:t>
      </w:r>
      <w:r w:rsidRPr="00460CFB" w:rsidR="00455F77">
        <w:rPr>
          <w:rFonts w:asciiTheme="majorHAnsi" w:hAnsiTheme="majorHAnsi"/>
          <w:sz w:val="18"/>
          <w:szCs w:val="18"/>
        </w:rPr>
        <w:t xml:space="preserve"> passend zou zijn voor 2019. Dit kan volgens de Commissie worden bereikt door een gedifferentieerd begrotingsbeleid, waarbij lidstaten met relatief hoge schuldenniveaus hun economische buffers verhogen en schuld verlagen, terwijl lidstaten met begrotingsruimte deze ruimte benutten door extra te investeren. </w:t>
      </w:r>
    </w:p>
    <w:p w:rsidR="005B13FF" w:rsidRDefault="005B13FF">
      <w:pPr>
        <w:spacing w:line="360" w:lineRule="auto"/>
        <w:contextualSpacing/>
        <w:rPr>
          <w:rFonts w:asciiTheme="majorHAnsi" w:hAnsiTheme="majorHAnsi"/>
          <w:sz w:val="18"/>
          <w:szCs w:val="18"/>
        </w:rPr>
      </w:pPr>
    </w:p>
    <w:p w:rsidRPr="00460CFB" w:rsidR="00455F77" w:rsidRDefault="005B13FF">
      <w:pPr>
        <w:spacing w:line="360" w:lineRule="auto"/>
        <w:contextualSpacing/>
        <w:rPr>
          <w:rFonts w:asciiTheme="majorHAnsi" w:hAnsiTheme="majorHAnsi"/>
          <w:sz w:val="18"/>
          <w:szCs w:val="18"/>
        </w:rPr>
      </w:pPr>
      <w:r>
        <w:rPr>
          <w:rFonts w:asciiTheme="majorHAnsi" w:hAnsiTheme="majorHAnsi"/>
          <w:sz w:val="18"/>
          <w:szCs w:val="18"/>
        </w:rPr>
        <w:t xml:space="preserve">In de </w:t>
      </w:r>
      <w:r w:rsidR="006B66FF">
        <w:rPr>
          <w:rFonts w:asciiTheme="majorHAnsi" w:hAnsiTheme="majorHAnsi"/>
          <w:sz w:val="18"/>
          <w:szCs w:val="18"/>
        </w:rPr>
        <w:t>E</w:t>
      </w:r>
      <w:r>
        <w:rPr>
          <w:rFonts w:asciiTheme="majorHAnsi" w:hAnsiTheme="majorHAnsi"/>
          <w:sz w:val="18"/>
          <w:szCs w:val="18"/>
        </w:rPr>
        <w:t xml:space="preserve">urogroep werd ook </w:t>
      </w:r>
      <w:r w:rsidRPr="00460CFB" w:rsidR="00455F77">
        <w:rPr>
          <w:rFonts w:asciiTheme="majorHAnsi" w:hAnsiTheme="majorHAnsi"/>
          <w:sz w:val="18"/>
          <w:szCs w:val="18"/>
        </w:rPr>
        <w:t xml:space="preserve">een paper van de European </w:t>
      </w:r>
      <w:proofErr w:type="spellStart"/>
      <w:r w:rsidRPr="00460CFB" w:rsidR="00455F77">
        <w:rPr>
          <w:rFonts w:asciiTheme="majorHAnsi" w:hAnsiTheme="majorHAnsi"/>
          <w:sz w:val="18"/>
          <w:szCs w:val="18"/>
        </w:rPr>
        <w:t>Fiscal</w:t>
      </w:r>
      <w:proofErr w:type="spellEnd"/>
      <w:r w:rsidRPr="00460CFB" w:rsidR="00455F77">
        <w:rPr>
          <w:rFonts w:asciiTheme="majorHAnsi" w:hAnsiTheme="majorHAnsi"/>
          <w:sz w:val="18"/>
          <w:szCs w:val="18"/>
        </w:rPr>
        <w:t xml:space="preserve"> Board (EFB) over de </w:t>
      </w:r>
      <w:proofErr w:type="spellStart"/>
      <w:r w:rsidRPr="00460CFB" w:rsidR="00455F77">
        <w:rPr>
          <w:rFonts w:asciiTheme="majorHAnsi" w:hAnsiTheme="majorHAnsi"/>
          <w:i/>
          <w:sz w:val="18"/>
          <w:szCs w:val="18"/>
        </w:rPr>
        <w:t>fiscal</w:t>
      </w:r>
      <w:proofErr w:type="spellEnd"/>
      <w:r w:rsidRPr="00460CFB" w:rsidR="00455F77">
        <w:rPr>
          <w:rFonts w:asciiTheme="majorHAnsi" w:hAnsiTheme="majorHAnsi"/>
          <w:i/>
          <w:sz w:val="18"/>
          <w:szCs w:val="18"/>
        </w:rPr>
        <w:t xml:space="preserve"> stance</w:t>
      </w:r>
      <w:r w:rsidRPr="00460CFB" w:rsidR="00455F77">
        <w:rPr>
          <w:rFonts w:asciiTheme="majorHAnsi" w:hAnsiTheme="majorHAnsi"/>
          <w:sz w:val="18"/>
          <w:szCs w:val="18"/>
        </w:rPr>
        <w:t xml:space="preserve"> van de eurozone</w:t>
      </w:r>
      <w:r>
        <w:rPr>
          <w:rFonts w:asciiTheme="majorHAnsi" w:hAnsiTheme="majorHAnsi"/>
          <w:sz w:val="18"/>
          <w:szCs w:val="18"/>
        </w:rPr>
        <w:t xml:space="preserve"> toegelicht</w:t>
      </w:r>
      <w:r w:rsidRPr="00460CFB" w:rsidR="00455F77">
        <w:rPr>
          <w:rFonts w:asciiTheme="majorHAnsi" w:hAnsiTheme="majorHAnsi"/>
          <w:sz w:val="18"/>
          <w:szCs w:val="18"/>
        </w:rPr>
        <w:t>.</w:t>
      </w:r>
      <w:r w:rsidRPr="00460CFB" w:rsidR="00BE74BF">
        <w:rPr>
          <w:rStyle w:val="Voetnootmarkering"/>
          <w:rFonts w:asciiTheme="majorHAnsi" w:hAnsiTheme="majorHAnsi"/>
          <w:sz w:val="18"/>
          <w:szCs w:val="18"/>
        </w:rPr>
        <w:footnoteReference w:id="5"/>
      </w:r>
      <w:r w:rsidRPr="00460CFB" w:rsidR="00455F77">
        <w:rPr>
          <w:rFonts w:asciiTheme="majorHAnsi" w:hAnsiTheme="majorHAnsi"/>
          <w:sz w:val="18"/>
          <w:szCs w:val="18"/>
        </w:rPr>
        <w:t xml:space="preserve"> Het is de tweede keer dat de EFB een dergelijk paper heeft gepubliceerd. De EFB komt </w:t>
      </w:r>
      <w:r>
        <w:rPr>
          <w:rFonts w:asciiTheme="majorHAnsi" w:hAnsiTheme="majorHAnsi"/>
          <w:sz w:val="18"/>
          <w:szCs w:val="18"/>
        </w:rPr>
        <w:t xml:space="preserve">daarin </w:t>
      </w:r>
      <w:r w:rsidRPr="00460CFB" w:rsidR="00455F77">
        <w:rPr>
          <w:rFonts w:asciiTheme="majorHAnsi" w:hAnsiTheme="majorHAnsi"/>
          <w:sz w:val="18"/>
          <w:szCs w:val="18"/>
        </w:rPr>
        <w:t xml:space="preserve">tot de conclusie dat een </w:t>
      </w:r>
      <w:proofErr w:type="spellStart"/>
      <w:r w:rsidRPr="00460CFB" w:rsidR="00455F77">
        <w:rPr>
          <w:rFonts w:asciiTheme="majorHAnsi" w:hAnsiTheme="majorHAnsi"/>
          <w:i/>
          <w:sz w:val="18"/>
          <w:szCs w:val="18"/>
        </w:rPr>
        <w:t>somewhat</w:t>
      </w:r>
      <w:proofErr w:type="spellEnd"/>
      <w:r w:rsidRPr="00460CFB" w:rsidR="00455F77">
        <w:rPr>
          <w:rFonts w:asciiTheme="majorHAnsi" w:hAnsiTheme="majorHAnsi"/>
          <w:i/>
          <w:sz w:val="18"/>
          <w:szCs w:val="18"/>
        </w:rPr>
        <w:t xml:space="preserve"> </w:t>
      </w:r>
      <w:proofErr w:type="spellStart"/>
      <w:r w:rsidRPr="00460CFB" w:rsidR="00455F77">
        <w:rPr>
          <w:rFonts w:asciiTheme="majorHAnsi" w:hAnsiTheme="majorHAnsi"/>
          <w:i/>
          <w:sz w:val="18"/>
          <w:szCs w:val="18"/>
        </w:rPr>
        <w:t>restrictive</w:t>
      </w:r>
      <w:proofErr w:type="spellEnd"/>
      <w:r w:rsidRPr="00460CFB" w:rsidR="00455F77">
        <w:rPr>
          <w:rFonts w:asciiTheme="majorHAnsi" w:hAnsiTheme="majorHAnsi"/>
          <w:sz w:val="18"/>
          <w:szCs w:val="18"/>
        </w:rPr>
        <w:t xml:space="preserve"> </w:t>
      </w:r>
      <w:proofErr w:type="spellStart"/>
      <w:r w:rsidRPr="00460CFB" w:rsidR="00455F77">
        <w:rPr>
          <w:rFonts w:asciiTheme="majorHAnsi" w:hAnsiTheme="majorHAnsi"/>
          <w:i/>
          <w:sz w:val="18"/>
          <w:szCs w:val="18"/>
        </w:rPr>
        <w:t>fiscal</w:t>
      </w:r>
      <w:proofErr w:type="spellEnd"/>
      <w:r w:rsidRPr="00460CFB" w:rsidR="00455F77">
        <w:rPr>
          <w:rFonts w:asciiTheme="majorHAnsi" w:hAnsiTheme="majorHAnsi"/>
          <w:i/>
          <w:sz w:val="18"/>
          <w:szCs w:val="18"/>
        </w:rPr>
        <w:t xml:space="preserve"> stance</w:t>
      </w:r>
      <w:r w:rsidRPr="00460CFB" w:rsidR="00455F77">
        <w:rPr>
          <w:rFonts w:asciiTheme="majorHAnsi" w:hAnsiTheme="majorHAnsi"/>
          <w:sz w:val="18"/>
          <w:szCs w:val="18"/>
        </w:rPr>
        <w:t xml:space="preserve"> passend zou zijn voor 2019. De EFB pleit daarom ook voor de nodige budgettaire bijsturing van lidstaten om een lichte restrictieve </w:t>
      </w:r>
      <w:proofErr w:type="spellStart"/>
      <w:r w:rsidRPr="00460CFB" w:rsidR="00455F77">
        <w:rPr>
          <w:rFonts w:asciiTheme="majorHAnsi" w:hAnsiTheme="majorHAnsi"/>
          <w:i/>
          <w:sz w:val="18"/>
          <w:szCs w:val="18"/>
        </w:rPr>
        <w:t>fiscal</w:t>
      </w:r>
      <w:proofErr w:type="spellEnd"/>
      <w:r w:rsidRPr="00460CFB" w:rsidR="00455F77">
        <w:rPr>
          <w:rFonts w:asciiTheme="majorHAnsi" w:hAnsiTheme="majorHAnsi"/>
          <w:i/>
          <w:sz w:val="18"/>
          <w:szCs w:val="18"/>
        </w:rPr>
        <w:t xml:space="preserve"> stance </w:t>
      </w:r>
      <w:r w:rsidRPr="00460CFB" w:rsidR="00455F77">
        <w:rPr>
          <w:rFonts w:asciiTheme="majorHAnsi" w:hAnsiTheme="majorHAnsi"/>
          <w:sz w:val="18"/>
          <w:szCs w:val="18"/>
        </w:rPr>
        <w:t>te bereiken op basis van de voorspelling dat de eco</w:t>
      </w:r>
      <w:r w:rsidR="00C0332C">
        <w:rPr>
          <w:rFonts w:asciiTheme="majorHAnsi" w:hAnsiTheme="majorHAnsi"/>
          <w:sz w:val="18"/>
          <w:szCs w:val="18"/>
        </w:rPr>
        <w:t>nomische groei boven de potentië</w:t>
      </w:r>
      <w:r w:rsidRPr="00460CFB" w:rsidR="00455F77">
        <w:rPr>
          <w:rFonts w:asciiTheme="majorHAnsi" w:hAnsiTheme="majorHAnsi"/>
          <w:sz w:val="18"/>
          <w:szCs w:val="18"/>
        </w:rPr>
        <w:t xml:space="preserve">le groei zal uitkomen in 2019. </w:t>
      </w:r>
    </w:p>
    <w:p w:rsidRPr="00460CFB" w:rsidR="00455F77" w:rsidP="003202E7" w:rsidRDefault="00455F77">
      <w:pPr>
        <w:spacing w:line="360" w:lineRule="auto"/>
        <w:contextualSpacing/>
        <w:rPr>
          <w:rFonts w:asciiTheme="majorHAnsi" w:hAnsiTheme="majorHAnsi"/>
          <w:sz w:val="18"/>
          <w:szCs w:val="18"/>
        </w:rPr>
      </w:pPr>
    </w:p>
    <w:p w:rsidR="007232DD" w:rsidP="003202E7" w:rsidRDefault="002E3B61">
      <w:pPr>
        <w:spacing w:line="360" w:lineRule="auto"/>
        <w:contextualSpacing/>
        <w:rPr>
          <w:rFonts w:asciiTheme="majorHAnsi" w:hAnsiTheme="majorHAnsi"/>
          <w:sz w:val="18"/>
          <w:szCs w:val="18"/>
        </w:rPr>
      </w:pPr>
      <w:r w:rsidRPr="00460CFB">
        <w:rPr>
          <w:rFonts w:asciiTheme="majorHAnsi" w:hAnsiTheme="majorHAnsi"/>
          <w:sz w:val="18"/>
          <w:szCs w:val="18"/>
        </w:rPr>
        <w:t>Sommige</w:t>
      </w:r>
      <w:r w:rsidR="00FA0AF9">
        <w:rPr>
          <w:rFonts w:asciiTheme="majorHAnsi" w:hAnsiTheme="majorHAnsi"/>
          <w:sz w:val="18"/>
          <w:szCs w:val="18"/>
        </w:rPr>
        <w:t xml:space="preserve"> lidstaten gaven aan dat zij</w:t>
      </w:r>
      <w:r w:rsidRPr="00460CFB">
        <w:rPr>
          <w:rFonts w:asciiTheme="majorHAnsi" w:hAnsiTheme="majorHAnsi"/>
          <w:sz w:val="18"/>
          <w:szCs w:val="18"/>
        </w:rPr>
        <w:t xml:space="preserve"> voor wat betreft de </w:t>
      </w:r>
      <w:proofErr w:type="spellStart"/>
      <w:r w:rsidRPr="00460CFB" w:rsidR="007232DD">
        <w:rPr>
          <w:rFonts w:asciiTheme="majorHAnsi" w:hAnsiTheme="majorHAnsi"/>
          <w:i/>
          <w:sz w:val="18"/>
          <w:szCs w:val="18"/>
        </w:rPr>
        <w:t>fiscal</w:t>
      </w:r>
      <w:proofErr w:type="spellEnd"/>
      <w:r w:rsidRPr="00460CFB" w:rsidR="007232DD">
        <w:rPr>
          <w:rFonts w:asciiTheme="majorHAnsi" w:hAnsiTheme="majorHAnsi"/>
          <w:i/>
          <w:sz w:val="18"/>
          <w:szCs w:val="18"/>
        </w:rPr>
        <w:t xml:space="preserve"> stance</w:t>
      </w:r>
      <w:r w:rsidRPr="00460CFB">
        <w:rPr>
          <w:rFonts w:asciiTheme="majorHAnsi" w:hAnsiTheme="majorHAnsi"/>
          <w:sz w:val="18"/>
          <w:szCs w:val="18"/>
        </w:rPr>
        <w:t xml:space="preserve"> voor 2019 </w:t>
      </w:r>
      <w:r w:rsidRPr="00460CFB" w:rsidR="007232DD">
        <w:rPr>
          <w:rFonts w:asciiTheme="majorHAnsi" w:hAnsiTheme="majorHAnsi"/>
          <w:sz w:val="18"/>
          <w:szCs w:val="18"/>
        </w:rPr>
        <w:t>het oordeel van de Commissie</w:t>
      </w:r>
      <w:r w:rsidRPr="00460CFB">
        <w:rPr>
          <w:rFonts w:asciiTheme="majorHAnsi" w:hAnsiTheme="majorHAnsi"/>
          <w:sz w:val="18"/>
          <w:szCs w:val="18"/>
        </w:rPr>
        <w:t xml:space="preserve"> passend vinden</w:t>
      </w:r>
      <w:r w:rsidRPr="00460CFB" w:rsidR="007232DD">
        <w:rPr>
          <w:rFonts w:asciiTheme="majorHAnsi" w:hAnsiTheme="majorHAnsi"/>
          <w:sz w:val="18"/>
          <w:szCs w:val="18"/>
        </w:rPr>
        <w:t xml:space="preserve">, anderen </w:t>
      </w:r>
      <w:r w:rsidRPr="00460CFB">
        <w:rPr>
          <w:rFonts w:asciiTheme="majorHAnsi" w:hAnsiTheme="majorHAnsi"/>
          <w:sz w:val="18"/>
          <w:szCs w:val="18"/>
        </w:rPr>
        <w:t xml:space="preserve">steunden de analyse </w:t>
      </w:r>
      <w:r w:rsidRPr="00460CFB" w:rsidR="007232DD">
        <w:rPr>
          <w:rFonts w:asciiTheme="majorHAnsi" w:hAnsiTheme="majorHAnsi"/>
          <w:sz w:val="18"/>
          <w:szCs w:val="18"/>
        </w:rPr>
        <w:t xml:space="preserve">van de EFB. Nederland benadrukte dat voor lidstaten begrotingsregels </w:t>
      </w:r>
      <w:r w:rsidRPr="00460CFB">
        <w:rPr>
          <w:rFonts w:asciiTheme="majorHAnsi" w:hAnsiTheme="majorHAnsi"/>
          <w:sz w:val="18"/>
          <w:szCs w:val="18"/>
        </w:rPr>
        <w:t>van het Stabiliteits- en Groeipact (SGP)</w:t>
      </w:r>
      <w:r w:rsidRPr="00460CFB" w:rsidR="007232DD">
        <w:rPr>
          <w:rFonts w:asciiTheme="majorHAnsi" w:hAnsiTheme="majorHAnsi"/>
          <w:sz w:val="18"/>
          <w:szCs w:val="18"/>
        </w:rPr>
        <w:t xml:space="preserve"> leidend moeten zijn. </w:t>
      </w:r>
      <w:r w:rsidR="005B13FF">
        <w:rPr>
          <w:rFonts w:asciiTheme="majorHAnsi" w:hAnsiTheme="majorHAnsi"/>
          <w:sz w:val="18"/>
          <w:szCs w:val="18"/>
        </w:rPr>
        <w:t xml:space="preserve">Hieruit volgt een restrictieve </w:t>
      </w:r>
      <w:proofErr w:type="spellStart"/>
      <w:r w:rsidR="005B13FF">
        <w:rPr>
          <w:rFonts w:asciiTheme="majorHAnsi" w:hAnsiTheme="majorHAnsi"/>
          <w:i/>
          <w:sz w:val="18"/>
          <w:szCs w:val="18"/>
        </w:rPr>
        <w:t>fiscal</w:t>
      </w:r>
      <w:proofErr w:type="spellEnd"/>
      <w:r w:rsidR="005B13FF">
        <w:rPr>
          <w:rFonts w:asciiTheme="majorHAnsi" w:hAnsiTheme="majorHAnsi"/>
          <w:i/>
          <w:sz w:val="18"/>
          <w:szCs w:val="18"/>
        </w:rPr>
        <w:t xml:space="preserve"> </w:t>
      </w:r>
      <w:r w:rsidRPr="005B13FF" w:rsidR="005B13FF">
        <w:rPr>
          <w:rFonts w:asciiTheme="majorHAnsi" w:hAnsiTheme="majorHAnsi"/>
          <w:i/>
          <w:sz w:val="18"/>
          <w:szCs w:val="18"/>
        </w:rPr>
        <w:t>stance</w:t>
      </w:r>
      <w:r w:rsidRPr="00C0332C" w:rsidR="005B13FF">
        <w:rPr>
          <w:rFonts w:asciiTheme="majorHAnsi" w:hAnsiTheme="majorHAnsi"/>
          <w:sz w:val="18"/>
          <w:szCs w:val="18"/>
        </w:rPr>
        <w:t>.</w:t>
      </w:r>
      <w:r w:rsidR="005B13FF">
        <w:rPr>
          <w:rFonts w:asciiTheme="majorHAnsi" w:hAnsiTheme="majorHAnsi"/>
          <w:i/>
          <w:sz w:val="18"/>
          <w:szCs w:val="18"/>
        </w:rPr>
        <w:t xml:space="preserve"> </w:t>
      </w:r>
      <w:r w:rsidRPr="005B13FF" w:rsidR="007232DD">
        <w:rPr>
          <w:rFonts w:asciiTheme="majorHAnsi" w:hAnsiTheme="majorHAnsi"/>
          <w:sz w:val="18"/>
          <w:szCs w:val="18"/>
        </w:rPr>
        <w:t xml:space="preserve">Juist </w:t>
      </w:r>
      <w:r w:rsidRPr="00460CFB" w:rsidR="007232DD">
        <w:rPr>
          <w:rFonts w:asciiTheme="majorHAnsi" w:hAnsiTheme="majorHAnsi"/>
          <w:sz w:val="18"/>
          <w:szCs w:val="18"/>
        </w:rPr>
        <w:t>in goede economische tijden zou de focus op het afbouwen van schulden en het opbouwen van buffers moeten liggen.</w:t>
      </w:r>
    </w:p>
    <w:p w:rsidR="00AE6E3D" w:rsidP="003202E7" w:rsidRDefault="00AE6E3D">
      <w:pPr>
        <w:spacing w:line="360" w:lineRule="auto"/>
        <w:contextualSpacing/>
        <w:rPr>
          <w:rFonts w:asciiTheme="majorHAnsi" w:hAnsiTheme="majorHAnsi"/>
          <w:sz w:val="18"/>
          <w:szCs w:val="18"/>
        </w:rPr>
      </w:pPr>
    </w:p>
    <w:p w:rsidRPr="00460CFB" w:rsidR="00AE6E3D" w:rsidP="003202E7" w:rsidRDefault="00AE6E3D">
      <w:pPr>
        <w:spacing w:line="360" w:lineRule="auto"/>
        <w:contextualSpacing/>
        <w:rPr>
          <w:rFonts w:asciiTheme="majorHAnsi" w:hAnsiTheme="majorHAnsi"/>
          <w:sz w:val="18"/>
          <w:szCs w:val="18"/>
        </w:rPr>
      </w:pPr>
      <w:r>
        <w:rPr>
          <w:rFonts w:asciiTheme="majorHAnsi" w:hAnsiTheme="majorHAnsi"/>
          <w:sz w:val="18"/>
          <w:szCs w:val="18"/>
        </w:rPr>
        <w:t xml:space="preserve">In het algemeen is Nederland </w:t>
      </w:r>
      <w:r w:rsidRPr="00AE6E3D">
        <w:rPr>
          <w:rFonts w:asciiTheme="majorHAnsi" w:hAnsiTheme="majorHAnsi"/>
          <w:sz w:val="18"/>
          <w:szCs w:val="18"/>
        </w:rPr>
        <w:t xml:space="preserve">geen voorstander van het concept </w:t>
      </w:r>
      <w:proofErr w:type="spellStart"/>
      <w:r w:rsidRPr="003C26E6">
        <w:rPr>
          <w:rFonts w:asciiTheme="majorHAnsi" w:hAnsiTheme="majorHAnsi"/>
          <w:i/>
          <w:sz w:val="18"/>
          <w:szCs w:val="18"/>
        </w:rPr>
        <w:t>fiscal</w:t>
      </w:r>
      <w:proofErr w:type="spellEnd"/>
      <w:r w:rsidRPr="003C26E6">
        <w:rPr>
          <w:rFonts w:asciiTheme="majorHAnsi" w:hAnsiTheme="majorHAnsi"/>
          <w:i/>
          <w:sz w:val="18"/>
          <w:szCs w:val="18"/>
        </w:rPr>
        <w:t xml:space="preserve"> stance</w:t>
      </w:r>
      <w:r w:rsidR="006B66FF">
        <w:rPr>
          <w:rFonts w:asciiTheme="majorHAnsi" w:hAnsiTheme="majorHAnsi"/>
          <w:sz w:val="18"/>
          <w:szCs w:val="18"/>
        </w:rPr>
        <w:t xml:space="preserve"> voor de gehele e</w:t>
      </w:r>
      <w:r w:rsidRPr="00AE6E3D">
        <w:rPr>
          <w:rFonts w:asciiTheme="majorHAnsi" w:hAnsiTheme="majorHAnsi"/>
          <w:sz w:val="18"/>
          <w:szCs w:val="18"/>
        </w:rPr>
        <w:t>urozone en vindt</w:t>
      </w:r>
      <w:r w:rsidR="003C26E6">
        <w:rPr>
          <w:rFonts w:asciiTheme="majorHAnsi" w:hAnsiTheme="majorHAnsi"/>
          <w:sz w:val="18"/>
          <w:szCs w:val="18"/>
        </w:rPr>
        <w:t xml:space="preserve"> Nederland</w:t>
      </w:r>
      <w:r w:rsidRPr="00AE6E3D">
        <w:rPr>
          <w:rFonts w:asciiTheme="majorHAnsi" w:hAnsiTheme="majorHAnsi"/>
          <w:sz w:val="18"/>
          <w:szCs w:val="18"/>
        </w:rPr>
        <w:t xml:space="preserve"> dat de eisen uit het SGP </w:t>
      </w:r>
      <w:r>
        <w:rPr>
          <w:rFonts w:asciiTheme="majorHAnsi" w:hAnsiTheme="majorHAnsi"/>
          <w:sz w:val="18"/>
          <w:szCs w:val="18"/>
        </w:rPr>
        <w:t>bepalend moeten zijn voor individuele lidstaten</w:t>
      </w:r>
      <w:r w:rsidRPr="00AE6E3D">
        <w:rPr>
          <w:rFonts w:asciiTheme="majorHAnsi" w:hAnsiTheme="majorHAnsi"/>
          <w:sz w:val="18"/>
          <w:szCs w:val="18"/>
        </w:rPr>
        <w:t xml:space="preserve">. Door te sturen op de wenselijke </w:t>
      </w:r>
      <w:proofErr w:type="spellStart"/>
      <w:r w:rsidRPr="003C26E6">
        <w:rPr>
          <w:rFonts w:asciiTheme="majorHAnsi" w:hAnsiTheme="majorHAnsi"/>
          <w:i/>
          <w:sz w:val="18"/>
          <w:szCs w:val="18"/>
        </w:rPr>
        <w:t>fiscal</w:t>
      </w:r>
      <w:proofErr w:type="spellEnd"/>
      <w:r w:rsidRPr="003C26E6">
        <w:rPr>
          <w:rFonts w:asciiTheme="majorHAnsi" w:hAnsiTheme="majorHAnsi"/>
          <w:i/>
          <w:sz w:val="18"/>
          <w:szCs w:val="18"/>
        </w:rPr>
        <w:t xml:space="preserve"> stance</w:t>
      </w:r>
      <w:r w:rsidRPr="00AE6E3D">
        <w:rPr>
          <w:rFonts w:asciiTheme="majorHAnsi" w:hAnsiTheme="majorHAnsi"/>
          <w:sz w:val="18"/>
          <w:szCs w:val="18"/>
        </w:rPr>
        <w:t xml:space="preserve"> voor de eurozone en de bijdrage die lidstaten daaraan kunnen leveren, introduceert de Commissie in feite een extra sturend instrument bovenop de eisen uit de preventieve arm van het SGP.</w:t>
      </w:r>
      <w:r>
        <w:rPr>
          <w:rFonts w:asciiTheme="majorHAnsi" w:hAnsiTheme="majorHAnsi"/>
          <w:sz w:val="18"/>
          <w:szCs w:val="18"/>
        </w:rPr>
        <w:t xml:space="preserve"> </w:t>
      </w:r>
      <w:r w:rsidRPr="00AE6E3D">
        <w:rPr>
          <w:rFonts w:asciiTheme="majorHAnsi" w:hAnsiTheme="majorHAnsi"/>
          <w:sz w:val="18"/>
          <w:szCs w:val="18"/>
        </w:rPr>
        <w:t xml:space="preserve"> </w:t>
      </w:r>
      <w:r>
        <w:rPr>
          <w:rFonts w:asciiTheme="majorHAnsi" w:hAnsiTheme="majorHAnsi"/>
          <w:sz w:val="18"/>
          <w:szCs w:val="18"/>
        </w:rPr>
        <w:t xml:space="preserve"> </w:t>
      </w:r>
    </w:p>
    <w:p w:rsidRPr="00460CFB" w:rsidR="00455F77" w:rsidP="003202E7" w:rsidRDefault="00455F77">
      <w:pPr>
        <w:spacing w:line="360" w:lineRule="auto"/>
        <w:contextualSpacing/>
        <w:rPr>
          <w:rFonts w:asciiTheme="majorHAnsi" w:hAnsiTheme="majorHAnsi"/>
          <w:b/>
          <w:bCs/>
          <w:sz w:val="18"/>
          <w:szCs w:val="18"/>
        </w:rPr>
      </w:pPr>
    </w:p>
    <w:p w:rsidRPr="001C4DC2" w:rsidR="00455F77" w:rsidP="003202E7" w:rsidRDefault="00455F77">
      <w:pPr>
        <w:spacing w:line="360" w:lineRule="auto"/>
        <w:contextualSpacing/>
        <w:rPr>
          <w:rFonts w:cs="Arial" w:asciiTheme="majorHAnsi" w:hAnsiTheme="majorHAnsi"/>
          <w:b/>
          <w:sz w:val="18"/>
          <w:szCs w:val="18"/>
          <w:lang w:val="fr-FR"/>
        </w:rPr>
      </w:pPr>
      <w:proofErr w:type="spellStart"/>
      <w:r w:rsidRPr="003C26E6">
        <w:rPr>
          <w:rFonts w:cs="Arial" w:asciiTheme="majorHAnsi" w:hAnsiTheme="majorHAnsi"/>
          <w:b/>
          <w:sz w:val="18"/>
          <w:szCs w:val="18"/>
          <w:lang w:val="fr-FR"/>
        </w:rPr>
        <w:t>Ierland</w:t>
      </w:r>
      <w:proofErr w:type="spellEnd"/>
      <w:r w:rsidRPr="003C26E6" w:rsidR="005C24EB">
        <w:rPr>
          <w:rFonts w:cs="Arial" w:asciiTheme="majorHAnsi" w:hAnsiTheme="majorHAnsi"/>
          <w:b/>
          <w:sz w:val="18"/>
          <w:szCs w:val="18"/>
          <w:lang w:val="fr-FR"/>
        </w:rPr>
        <w:t xml:space="preserve"> </w:t>
      </w:r>
      <w:r w:rsidRPr="00A34D20">
        <w:rPr>
          <w:rFonts w:cs="Arial" w:asciiTheme="majorHAnsi" w:hAnsiTheme="majorHAnsi"/>
          <w:b/>
          <w:sz w:val="18"/>
          <w:szCs w:val="18"/>
          <w:lang w:val="fr-FR"/>
        </w:rPr>
        <w:t>–</w:t>
      </w:r>
      <w:r w:rsidRPr="00A34D20" w:rsidR="005C24EB">
        <w:rPr>
          <w:rFonts w:cs="Arial" w:asciiTheme="majorHAnsi" w:hAnsiTheme="majorHAnsi"/>
          <w:b/>
          <w:sz w:val="18"/>
          <w:szCs w:val="18"/>
          <w:lang w:val="fr-FR"/>
        </w:rPr>
        <w:t xml:space="preserve"> 9</w:t>
      </w:r>
      <w:r w:rsidRPr="00A34D20" w:rsidR="005C24EB">
        <w:rPr>
          <w:rFonts w:cs="Arial" w:asciiTheme="majorHAnsi" w:hAnsiTheme="majorHAnsi"/>
          <w:b/>
          <w:sz w:val="18"/>
          <w:szCs w:val="18"/>
          <w:vertAlign w:val="superscript"/>
          <w:lang w:val="fr-FR"/>
        </w:rPr>
        <w:t>de</w:t>
      </w:r>
      <w:r w:rsidRPr="00A34D20" w:rsidR="005C24EB">
        <w:rPr>
          <w:rFonts w:cs="Arial" w:asciiTheme="majorHAnsi" w:hAnsiTheme="majorHAnsi"/>
          <w:b/>
          <w:sz w:val="18"/>
          <w:szCs w:val="18"/>
          <w:lang w:val="fr-FR"/>
        </w:rPr>
        <w:t xml:space="preserve"> </w:t>
      </w:r>
      <w:r w:rsidRPr="00A34D20">
        <w:rPr>
          <w:rFonts w:cs="Arial" w:asciiTheme="majorHAnsi" w:hAnsiTheme="majorHAnsi"/>
          <w:b/>
          <w:sz w:val="18"/>
          <w:szCs w:val="18"/>
          <w:lang w:val="fr-FR"/>
        </w:rPr>
        <w:t>Post Programme Surveillance</w:t>
      </w:r>
      <w:r w:rsidRPr="002B2EA2" w:rsidR="005C24EB">
        <w:rPr>
          <w:rFonts w:cs="Arial" w:asciiTheme="majorHAnsi" w:hAnsiTheme="majorHAnsi"/>
          <w:b/>
          <w:sz w:val="18"/>
          <w:szCs w:val="18"/>
          <w:lang w:val="fr-FR"/>
        </w:rPr>
        <w:t xml:space="preserve"> </w:t>
      </w:r>
      <w:proofErr w:type="spellStart"/>
      <w:r w:rsidRPr="002B2EA2" w:rsidR="005C24EB">
        <w:rPr>
          <w:rFonts w:cs="Arial" w:asciiTheme="majorHAnsi" w:hAnsiTheme="majorHAnsi"/>
          <w:b/>
          <w:sz w:val="18"/>
          <w:szCs w:val="18"/>
          <w:lang w:val="fr-FR"/>
        </w:rPr>
        <w:t>missie</w:t>
      </w:r>
      <w:proofErr w:type="spellEnd"/>
    </w:p>
    <w:p w:rsidR="00B73BAF" w:rsidP="003202E7" w:rsidRDefault="00460800">
      <w:pPr>
        <w:spacing w:line="360" w:lineRule="auto"/>
        <w:contextualSpacing/>
        <w:rPr>
          <w:rFonts w:asciiTheme="majorHAnsi" w:hAnsiTheme="majorHAnsi"/>
          <w:sz w:val="18"/>
          <w:szCs w:val="18"/>
        </w:rPr>
      </w:pPr>
      <w:r w:rsidRPr="00460CFB">
        <w:rPr>
          <w:rFonts w:cs="Arial" w:asciiTheme="majorHAnsi" w:hAnsiTheme="majorHAnsi"/>
          <w:sz w:val="18"/>
          <w:szCs w:val="18"/>
        </w:rPr>
        <w:t xml:space="preserve">De </w:t>
      </w:r>
      <w:r w:rsidRPr="00460CFB" w:rsidR="00BE74BF">
        <w:rPr>
          <w:rFonts w:cs="Arial" w:asciiTheme="majorHAnsi" w:hAnsiTheme="majorHAnsi"/>
          <w:sz w:val="18"/>
          <w:szCs w:val="18"/>
        </w:rPr>
        <w:t>E</w:t>
      </w:r>
      <w:r w:rsidRPr="00460CFB">
        <w:rPr>
          <w:rFonts w:cs="Arial" w:asciiTheme="majorHAnsi" w:hAnsiTheme="majorHAnsi"/>
          <w:sz w:val="18"/>
          <w:szCs w:val="18"/>
        </w:rPr>
        <w:t>urogroep heeft een terugkoppeling gekregen van de Europese Commissie en de ECB en over de negende missie naar Ierland in het kader van post-programma surveillance (PPS), die plaatsvond van 14 tot 18 mei jl.</w:t>
      </w:r>
      <w:r w:rsidRPr="00460CFB" w:rsidR="005C24EB">
        <w:rPr>
          <w:rStyle w:val="Voetnootmarkering"/>
          <w:rFonts w:cs="Arial" w:asciiTheme="majorHAnsi" w:hAnsiTheme="majorHAnsi"/>
          <w:sz w:val="18"/>
          <w:szCs w:val="18"/>
        </w:rPr>
        <w:footnoteReference w:id="6"/>
      </w:r>
      <w:r w:rsidRPr="00460CFB">
        <w:rPr>
          <w:rFonts w:cs="Arial" w:asciiTheme="majorHAnsi" w:hAnsiTheme="majorHAnsi"/>
          <w:sz w:val="18"/>
          <w:szCs w:val="18"/>
        </w:rPr>
        <w:t xml:space="preserve"> </w:t>
      </w:r>
      <w:r w:rsidRPr="00460CFB" w:rsidR="00BE74BF">
        <w:rPr>
          <w:rFonts w:cs="Arial" w:asciiTheme="majorHAnsi" w:hAnsiTheme="majorHAnsi"/>
          <w:sz w:val="18"/>
          <w:szCs w:val="18"/>
        </w:rPr>
        <w:t>De b</w:t>
      </w:r>
      <w:r w:rsidRPr="00460CFB" w:rsidR="00455F77">
        <w:rPr>
          <w:rFonts w:asciiTheme="majorHAnsi" w:hAnsiTheme="majorHAnsi"/>
          <w:sz w:val="18"/>
          <w:szCs w:val="18"/>
        </w:rPr>
        <w:t xml:space="preserve">innenlandse economische activiteit blijft </w:t>
      </w:r>
      <w:r w:rsidRPr="00460CFB" w:rsidR="00BE74BF">
        <w:rPr>
          <w:rFonts w:asciiTheme="majorHAnsi" w:hAnsiTheme="majorHAnsi"/>
          <w:sz w:val="18"/>
          <w:szCs w:val="18"/>
        </w:rPr>
        <w:t xml:space="preserve">in Ierland </w:t>
      </w:r>
      <w:r w:rsidRPr="00460CFB" w:rsidR="00455F77">
        <w:rPr>
          <w:rFonts w:asciiTheme="majorHAnsi" w:hAnsiTheme="majorHAnsi"/>
          <w:sz w:val="18"/>
          <w:szCs w:val="18"/>
        </w:rPr>
        <w:t xml:space="preserve">naar verwachting robuust op de korte termijn, maar risico’s blijven bestaan. Deze risico’s beslaan onder meer de impact van </w:t>
      </w:r>
      <w:proofErr w:type="spellStart"/>
      <w:r w:rsidRPr="00460CFB" w:rsidR="00455F77">
        <w:rPr>
          <w:rFonts w:asciiTheme="majorHAnsi" w:hAnsiTheme="majorHAnsi"/>
          <w:sz w:val="18"/>
          <w:szCs w:val="18"/>
        </w:rPr>
        <w:t>Brexit</w:t>
      </w:r>
      <w:proofErr w:type="spellEnd"/>
      <w:r w:rsidRPr="00460CFB" w:rsidR="00455F77">
        <w:rPr>
          <w:rFonts w:asciiTheme="majorHAnsi" w:hAnsiTheme="majorHAnsi"/>
          <w:sz w:val="18"/>
          <w:szCs w:val="18"/>
        </w:rPr>
        <w:t xml:space="preserve"> en tekorten op de woningmarkt.</w:t>
      </w:r>
      <w:r w:rsidRPr="00460CFB">
        <w:rPr>
          <w:rFonts w:asciiTheme="majorHAnsi" w:hAnsiTheme="majorHAnsi"/>
          <w:sz w:val="18"/>
          <w:szCs w:val="18"/>
        </w:rPr>
        <w:t xml:space="preserve"> Ook d</w:t>
      </w:r>
      <w:r w:rsidRPr="00460CFB" w:rsidR="00455F77">
        <w:rPr>
          <w:rFonts w:asciiTheme="majorHAnsi" w:hAnsiTheme="majorHAnsi"/>
          <w:sz w:val="18"/>
          <w:szCs w:val="18"/>
        </w:rPr>
        <w:t xml:space="preserve">e overheidsfinanciën verbeteren. Naar verwachting zullen tekorten in de nabije toekomst verder afnemen. Enige risico’s wat betreft </w:t>
      </w:r>
      <w:r w:rsidRPr="00460CFB" w:rsidR="00455F77">
        <w:rPr>
          <w:rFonts w:asciiTheme="majorHAnsi" w:hAnsiTheme="majorHAnsi"/>
          <w:sz w:val="18"/>
          <w:szCs w:val="18"/>
        </w:rPr>
        <w:lastRenderedPageBreak/>
        <w:t>de volatiliteit van belastinginkomsten blijven wel bestaan.</w:t>
      </w:r>
      <w:r w:rsidRPr="00460CFB">
        <w:rPr>
          <w:rFonts w:asciiTheme="majorHAnsi" w:hAnsiTheme="majorHAnsi"/>
          <w:sz w:val="18"/>
          <w:szCs w:val="18"/>
        </w:rPr>
        <w:t xml:space="preserve"> </w:t>
      </w:r>
      <w:r w:rsidRPr="00460CFB" w:rsidR="00455F77">
        <w:rPr>
          <w:rFonts w:asciiTheme="majorHAnsi" w:hAnsiTheme="majorHAnsi"/>
          <w:sz w:val="18"/>
          <w:szCs w:val="18"/>
        </w:rPr>
        <w:t>Non-</w:t>
      </w:r>
      <w:proofErr w:type="spellStart"/>
      <w:r w:rsidRPr="00460CFB" w:rsidR="00455F77">
        <w:rPr>
          <w:rFonts w:asciiTheme="majorHAnsi" w:hAnsiTheme="majorHAnsi"/>
          <w:sz w:val="18"/>
          <w:szCs w:val="18"/>
        </w:rPr>
        <w:t>performing</w:t>
      </w:r>
      <w:proofErr w:type="spellEnd"/>
      <w:r w:rsidRPr="00460CFB" w:rsidR="00455F77">
        <w:rPr>
          <w:rFonts w:asciiTheme="majorHAnsi" w:hAnsiTheme="majorHAnsi"/>
          <w:sz w:val="18"/>
          <w:szCs w:val="18"/>
        </w:rPr>
        <w:t xml:space="preserve"> </w:t>
      </w:r>
      <w:proofErr w:type="spellStart"/>
      <w:r w:rsidRPr="00460CFB" w:rsidR="00455F77">
        <w:rPr>
          <w:rFonts w:asciiTheme="majorHAnsi" w:hAnsiTheme="majorHAnsi"/>
          <w:sz w:val="18"/>
          <w:szCs w:val="18"/>
        </w:rPr>
        <w:t>loans</w:t>
      </w:r>
      <w:proofErr w:type="spellEnd"/>
      <w:r w:rsidRPr="00460CFB" w:rsidR="00455F77">
        <w:rPr>
          <w:rFonts w:asciiTheme="majorHAnsi" w:hAnsiTheme="majorHAnsi"/>
          <w:sz w:val="18"/>
          <w:szCs w:val="18"/>
        </w:rPr>
        <w:t xml:space="preserve"> (</w:t>
      </w:r>
      <w:proofErr w:type="spellStart"/>
      <w:r w:rsidRPr="00460CFB" w:rsidR="00455F77">
        <w:rPr>
          <w:rFonts w:asciiTheme="majorHAnsi" w:hAnsiTheme="majorHAnsi"/>
          <w:sz w:val="18"/>
          <w:szCs w:val="18"/>
        </w:rPr>
        <w:t>NPL’s</w:t>
      </w:r>
      <w:proofErr w:type="spellEnd"/>
      <w:r w:rsidRPr="00460CFB" w:rsidR="00455F77">
        <w:rPr>
          <w:rFonts w:asciiTheme="majorHAnsi" w:hAnsiTheme="majorHAnsi"/>
          <w:sz w:val="18"/>
          <w:szCs w:val="18"/>
        </w:rPr>
        <w:t xml:space="preserve">) blijven </w:t>
      </w:r>
      <w:r w:rsidRPr="00460CFB">
        <w:rPr>
          <w:rFonts w:asciiTheme="majorHAnsi" w:hAnsiTheme="majorHAnsi"/>
          <w:sz w:val="18"/>
          <w:szCs w:val="18"/>
        </w:rPr>
        <w:t xml:space="preserve">daarnaast </w:t>
      </w:r>
      <w:r w:rsidRPr="00460CFB" w:rsidR="00455F77">
        <w:rPr>
          <w:rFonts w:asciiTheme="majorHAnsi" w:hAnsiTheme="majorHAnsi"/>
          <w:sz w:val="18"/>
          <w:szCs w:val="18"/>
        </w:rPr>
        <w:t>een aandachtspunt voor banken en toezichthouders.</w:t>
      </w:r>
      <w:r w:rsidRPr="00460CFB">
        <w:rPr>
          <w:rFonts w:asciiTheme="majorHAnsi" w:hAnsiTheme="majorHAnsi"/>
          <w:sz w:val="18"/>
          <w:szCs w:val="18"/>
        </w:rPr>
        <w:t xml:space="preserve"> Verder blijven de p</w:t>
      </w:r>
      <w:r w:rsidRPr="00460CFB" w:rsidR="00455F77">
        <w:rPr>
          <w:rFonts w:asciiTheme="majorHAnsi" w:hAnsiTheme="majorHAnsi"/>
          <w:sz w:val="18"/>
          <w:szCs w:val="18"/>
        </w:rPr>
        <w:t xml:space="preserve">rijzen op de woningmarkt </w:t>
      </w:r>
      <w:r w:rsidRPr="00460CFB">
        <w:rPr>
          <w:rFonts w:asciiTheme="majorHAnsi" w:hAnsiTheme="majorHAnsi"/>
          <w:sz w:val="18"/>
          <w:szCs w:val="18"/>
        </w:rPr>
        <w:t>stijgen</w:t>
      </w:r>
      <w:r w:rsidRPr="00460CFB" w:rsidR="00455F77">
        <w:rPr>
          <w:rFonts w:asciiTheme="majorHAnsi" w:hAnsiTheme="majorHAnsi"/>
          <w:sz w:val="18"/>
          <w:szCs w:val="18"/>
        </w:rPr>
        <w:t xml:space="preserve"> als gevolg van een gebrek aan aanbod. </w:t>
      </w:r>
      <w:r w:rsidRPr="00460CFB" w:rsidR="00BE74BF">
        <w:rPr>
          <w:rFonts w:asciiTheme="majorHAnsi" w:hAnsiTheme="majorHAnsi"/>
          <w:sz w:val="18"/>
          <w:szCs w:val="18"/>
        </w:rPr>
        <w:t xml:space="preserve">Het agendapunt leverde geen discussie op. </w:t>
      </w:r>
      <w:r w:rsidRPr="00460CFB">
        <w:rPr>
          <w:rFonts w:asciiTheme="majorHAnsi" w:hAnsiTheme="majorHAnsi"/>
          <w:sz w:val="18"/>
          <w:szCs w:val="18"/>
        </w:rPr>
        <w:t>De volgende PPS missie naar Ierland is voorzien in de herfst van 2018.</w:t>
      </w:r>
    </w:p>
    <w:p w:rsidRPr="00557EC4" w:rsidR="00557EC4" w:rsidP="003202E7" w:rsidRDefault="00557EC4">
      <w:pPr>
        <w:spacing w:line="360" w:lineRule="auto"/>
        <w:contextualSpacing/>
        <w:rPr>
          <w:rFonts w:asciiTheme="majorHAnsi" w:hAnsiTheme="majorHAnsi"/>
          <w:sz w:val="18"/>
          <w:szCs w:val="18"/>
        </w:rPr>
      </w:pPr>
    </w:p>
    <w:p w:rsidRPr="00B73BAF" w:rsidR="005C24EB" w:rsidP="003202E7" w:rsidRDefault="00455F77">
      <w:pPr>
        <w:spacing w:line="360" w:lineRule="auto"/>
        <w:contextualSpacing/>
        <w:rPr>
          <w:rFonts w:cs="Arial" w:asciiTheme="majorHAnsi" w:hAnsiTheme="majorHAnsi"/>
          <w:b/>
          <w:sz w:val="18"/>
          <w:szCs w:val="18"/>
          <w:lang w:val="fr-FR"/>
        </w:rPr>
      </w:pPr>
      <w:proofErr w:type="spellStart"/>
      <w:r w:rsidRPr="00460CFB">
        <w:rPr>
          <w:rFonts w:cs="Arial" w:asciiTheme="majorHAnsi" w:hAnsiTheme="majorHAnsi"/>
          <w:b/>
          <w:sz w:val="18"/>
          <w:szCs w:val="18"/>
          <w:lang w:val="fr-FR"/>
        </w:rPr>
        <w:t>Spanje</w:t>
      </w:r>
      <w:proofErr w:type="spellEnd"/>
      <w:r w:rsidRPr="00460CFB" w:rsidR="005C24EB">
        <w:rPr>
          <w:rFonts w:cs="Arial" w:asciiTheme="majorHAnsi" w:hAnsiTheme="majorHAnsi"/>
          <w:b/>
          <w:sz w:val="18"/>
          <w:szCs w:val="18"/>
          <w:lang w:val="fr-FR"/>
        </w:rPr>
        <w:t xml:space="preserve"> </w:t>
      </w:r>
      <w:r w:rsidRPr="00460CFB">
        <w:rPr>
          <w:rFonts w:cs="Arial" w:asciiTheme="majorHAnsi" w:hAnsiTheme="majorHAnsi"/>
          <w:b/>
          <w:sz w:val="18"/>
          <w:szCs w:val="18"/>
          <w:lang w:val="fr-FR"/>
        </w:rPr>
        <w:t>–</w:t>
      </w:r>
      <w:r w:rsidRPr="00460CFB" w:rsidR="005C24EB">
        <w:rPr>
          <w:rFonts w:cs="Arial" w:asciiTheme="majorHAnsi" w:hAnsiTheme="majorHAnsi"/>
          <w:b/>
          <w:sz w:val="18"/>
          <w:szCs w:val="18"/>
          <w:lang w:val="fr-FR"/>
        </w:rPr>
        <w:t xml:space="preserve"> 9</w:t>
      </w:r>
      <w:r w:rsidRPr="00460CFB" w:rsidR="005C24EB">
        <w:rPr>
          <w:rFonts w:cs="Arial" w:asciiTheme="majorHAnsi" w:hAnsiTheme="majorHAnsi"/>
          <w:b/>
          <w:sz w:val="18"/>
          <w:szCs w:val="18"/>
          <w:vertAlign w:val="superscript"/>
          <w:lang w:val="fr-FR"/>
        </w:rPr>
        <w:t>de</w:t>
      </w:r>
      <w:r w:rsidRPr="00460CFB" w:rsidR="005C24EB">
        <w:rPr>
          <w:rFonts w:cs="Arial" w:asciiTheme="majorHAnsi" w:hAnsiTheme="majorHAnsi"/>
          <w:b/>
          <w:sz w:val="18"/>
          <w:szCs w:val="18"/>
          <w:lang w:val="fr-FR"/>
        </w:rPr>
        <w:t xml:space="preserve"> </w:t>
      </w:r>
      <w:r w:rsidRPr="00460CFB">
        <w:rPr>
          <w:rFonts w:cs="Arial" w:asciiTheme="majorHAnsi" w:hAnsiTheme="majorHAnsi"/>
          <w:b/>
          <w:sz w:val="18"/>
          <w:szCs w:val="18"/>
          <w:lang w:val="fr-FR"/>
        </w:rPr>
        <w:t>Post Programme Surveillance</w:t>
      </w:r>
      <w:r w:rsidRPr="00460CFB" w:rsidR="007232DD">
        <w:rPr>
          <w:rFonts w:cs="Arial" w:asciiTheme="majorHAnsi" w:hAnsiTheme="majorHAnsi"/>
          <w:b/>
          <w:sz w:val="18"/>
          <w:szCs w:val="18"/>
          <w:lang w:val="fr-FR"/>
        </w:rPr>
        <w:t xml:space="preserve"> </w:t>
      </w:r>
      <w:proofErr w:type="spellStart"/>
      <w:r w:rsidRPr="00460CFB" w:rsidR="007232DD">
        <w:rPr>
          <w:rFonts w:cs="Arial" w:asciiTheme="majorHAnsi" w:hAnsiTheme="majorHAnsi"/>
          <w:b/>
          <w:sz w:val="18"/>
          <w:szCs w:val="18"/>
          <w:lang w:val="fr-FR"/>
        </w:rPr>
        <w:t>mis</w:t>
      </w:r>
      <w:r w:rsidRPr="00460CFB" w:rsidR="005C24EB">
        <w:rPr>
          <w:rFonts w:cs="Arial" w:asciiTheme="majorHAnsi" w:hAnsiTheme="majorHAnsi"/>
          <w:b/>
          <w:sz w:val="18"/>
          <w:szCs w:val="18"/>
          <w:lang w:val="fr-FR"/>
        </w:rPr>
        <w:t>sie</w:t>
      </w:r>
      <w:proofErr w:type="spellEnd"/>
    </w:p>
    <w:p w:rsidRPr="00460CFB" w:rsidR="00455F77" w:rsidP="003202E7" w:rsidRDefault="00BE74BF">
      <w:pPr>
        <w:spacing w:line="360" w:lineRule="auto"/>
        <w:contextualSpacing/>
        <w:rPr>
          <w:rFonts w:cs="Arial" w:asciiTheme="majorHAnsi" w:hAnsiTheme="majorHAnsi"/>
          <w:b/>
          <w:sz w:val="18"/>
          <w:szCs w:val="18"/>
        </w:rPr>
      </w:pPr>
      <w:r w:rsidRPr="00460CFB">
        <w:rPr>
          <w:rFonts w:cs="Arial" w:asciiTheme="majorHAnsi" w:hAnsiTheme="majorHAnsi"/>
          <w:sz w:val="18"/>
          <w:szCs w:val="18"/>
        </w:rPr>
        <w:t>De E</w:t>
      </w:r>
      <w:r w:rsidRPr="00460CFB" w:rsidR="00455F77">
        <w:rPr>
          <w:rFonts w:cs="Arial" w:asciiTheme="majorHAnsi" w:hAnsiTheme="majorHAnsi"/>
          <w:sz w:val="18"/>
          <w:szCs w:val="18"/>
        </w:rPr>
        <w:t xml:space="preserve">urogroep </w:t>
      </w:r>
      <w:r w:rsidRPr="00460CFB" w:rsidR="00460800">
        <w:rPr>
          <w:rFonts w:cs="Arial" w:asciiTheme="majorHAnsi" w:hAnsiTheme="majorHAnsi"/>
          <w:sz w:val="18"/>
          <w:szCs w:val="18"/>
        </w:rPr>
        <w:t>heeft</w:t>
      </w:r>
      <w:r w:rsidRPr="00460CFB" w:rsidR="00455F77">
        <w:rPr>
          <w:rFonts w:cs="Arial" w:asciiTheme="majorHAnsi" w:hAnsiTheme="majorHAnsi"/>
          <w:sz w:val="18"/>
          <w:szCs w:val="18"/>
        </w:rPr>
        <w:t xml:space="preserve"> een terugkoppeling </w:t>
      </w:r>
      <w:r w:rsidRPr="00460CFB" w:rsidR="00460800">
        <w:rPr>
          <w:rFonts w:cs="Arial" w:asciiTheme="majorHAnsi" w:hAnsiTheme="majorHAnsi"/>
          <w:sz w:val="18"/>
          <w:szCs w:val="18"/>
        </w:rPr>
        <w:t xml:space="preserve">gekregen van de Europese Commissie en de ECB over </w:t>
      </w:r>
      <w:r w:rsidRPr="00460CFB" w:rsidR="00455F77">
        <w:rPr>
          <w:rFonts w:cs="Arial" w:asciiTheme="majorHAnsi" w:hAnsiTheme="majorHAnsi"/>
          <w:sz w:val="18"/>
          <w:szCs w:val="18"/>
        </w:rPr>
        <w:t xml:space="preserve">de </w:t>
      </w:r>
      <w:r w:rsidRPr="00460CFB" w:rsidR="005C24EB">
        <w:rPr>
          <w:rFonts w:cs="Arial" w:asciiTheme="majorHAnsi" w:hAnsiTheme="majorHAnsi"/>
          <w:sz w:val="18"/>
          <w:szCs w:val="18"/>
        </w:rPr>
        <w:t>negende</w:t>
      </w:r>
      <w:r w:rsidRPr="00460CFB" w:rsidR="00455F77">
        <w:rPr>
          <w:rFonts w:cs="Arial" w:asciiTheme="majorHAnsi" w:hAnsiTheme="majorHAnsi"/>
          <w:sz w:val="18"/>
          <w:szCs w:val="18"/>
        </w:rPr>
        <w:t xml:space="preserve"> missie naar Spanje in het kader van post-programma surveillance (PPS), die plaatsvond van 9-10 april </w:t>
      </w:r>
      <w:r w:rsidRPr="00460CFB" w:rsidR="00460800">
        <w:rPr>
          <w:rFonts w:cs="Arial" w:asciiTheme="majorHAnsi" w:hAnsiTheme="majorHAnsi"/>
          <w:sz w:val="18"/>
          <w:szCs w:val="18"/>
        </w:rPr>
        <w:t>jl</w:t>
      </w:r>
      <w:r w:rsidRPr="00460CFB" w:rsidR="00455F77">
        <w:rPr>
          <w:rFonts w:cs="Arial" w:asciiTheme="majorHAnsi" w:hAnsiTheme="majorHAnsi"/>
          <w:sz w:val="18"/>
          <w:szCs w:val="18"/>
        </w:rPr>
        <w:t>.</w:t>
      </w:r>
      <w:r w:rsidRPr="00460CFB">
        <w:rPr>
          <w:rStyle w:val="Voetnootmarkering"/>
          <w:rFonts w:cs="Arial" w:asciiTheme="majorHAnsi" w:hAnsiTheme="majorHAnsi"/>
          <w:sz w:val="18"/>
          <w:szCs w:val="18"/>
        </w:rPr>
        <w:footnoteReference w:id="7"/>
      </w:r>
      <w:r w:rsidRPr="00460CFB" w:rsidR="00455F77">
        <w:rPr>
          <w:rFonts w:cs="Arial" w:asciiTheme="majorHAnsi" w:hAnsiTheme="majorHAnsi"/>
          <w:sz w:val="18"/>
          <w:szCs w:val="18"/>
        </w:rPr>
        <w:t xml:space="preserve"> D</w:t>
      </w:r>
      <w:r w:rsidRPr="00460CFB" w:rsidR="00455F77">
        <w:rPr>
          <w:rFonts w:asciiTheme="majorHAnsi" w:hAnsiTheme="majorHAnsi"/>
          <w:sz w:val="18"/>
          <w:szCs w:val="18"/>
        </w:rPr>
        <w:t xml:space="preserve">e voornaamste bevindingen van de missie waren positief. De </w:t>
      </w:r>
      <w:r w:rsidRPr="00460CFB">
        <w:rPr>
          <w:rFonts w:asciiTheme="majorHAnsi" w:hAnsiTheme="majorHAnsi"/>
          <w:sz w:val="18"/>
          <w:szCs w:val="18"/>
        </w:rPr>
        <w:t xml:space="preserve">Spaanse </w:t>
      </w:r>
      <w:r w:rsidRPr="00460CFB" w:rsidR="00455F77">
        <w:rPr>
          <w:rFonts w:asciiTheme="majorHAnsi" w:hAnsiTheme="majorHAnsi"/>
          <w:sz w:val="18"/>
          <w:szCs w:val="18"/>
        </w:rPr>
        <w:t>economie laat een robuuste groei zien. Banken verbeterden hun winstgevendheid en verhoogden hun kapitaalbuffers, en het aandeel non-</w:t>
      </w:r>
      <w:proofErr w:type="spellStart"/>
      <w:r w:rsidRPr="00460CFB" w:rsidR="00455F77">
        <w:rPr>
          <w:rFonts w:asciiTheme="majorHAnsi" w:hAnsiTheme="majorHAnsi"/>
          <w:sz w:val="18"/>
          <w:szCs w:val="18"/>
        </w:rPr>
        <w:t>performing</w:t>
      </w:r>
      <w:proofErr w:type="spellEnd"/>
      <w:r w:rsidRPr="00460CFB" w:rsidR="00455F77">
        <w:rPr>
          <w:rFonts w:asciiTheme="majorHAnsi" w:hAnsiTheme="majorHAnsi"/>
          <w:sz w:val="18"/>
          <w:szCs w:val="18"/>
        </w:rPr>
        <w:t xml:space="preserve"> </w:t>
      </w:r>
      <w:proofErr w:type="spellStart"/>
      <w:r w:rsidRPr="00460CFB" w:rsidR="00455F77">
        <w:rPr>
          <w:rFonts w:asciiTheme="majorHAnsi" w:hAnsiTheme="majorHAnsi"/>
          <w:sz w:val="18"/>
          <w:szCs w:val="18"/>
        </w:rPr>
        <w:t>loans</w:t>
      </w:r>
      <w:proofErr w:type="spellEnd"/>
      <w:r w:rsidRPr="00460CFB" w:rsidR="00455F77">
        <w:rPr>
          <w:rFonts w:asciiTheme="majorHAnsi" w:hAnsiTheme="majorHAnsi"/>
          <w:i/>
          <w:sz w:val="18"/>
          <w:szCs w:val="18"/>
        </w:rPr>
        <w:t xml:space="preserve"> </w:t>
      </w:r>
      <w:r w:rsidRPr="00460CFB" w:rsidR="00455F77">
        <w:rPr>
          <w:rFonts w:asciiTheme="majorHAnsi" w:hAnsiTheme="majorHAnsi"/>
          <w:sz w:val="18"/>
          <w:szCs w:val="18"/>
        </w:rPr>
        <w:t>(</w:t>
      </w:r>
      <w:proofErr w:type="spellStart"/>
      <w:r w:rsidRPr="00460CFB" w:rsidR="00455F77">
        <w:rPr>
          <w:rFonts w:asciiTheme="majorHAnsi" w:hAnsiTheme="majorHAnsi"/>
          <w:sz w:val="18"/>
          <w:szCs w:val="18"/>
        </w:rPr>
        <w:t>NPL’s</w:t>
      </w:r>
      <w:proofErr w:type="spellEnd"/>
      <w:r w:rsidRPr="00460CFB" w:rsidR="00455F77">
        <w:rPr>
          <w:rFonts w:asciiTheme="majorHAnsi" w:hAnsiTheme="majorHAnsi"/>
          <w:sz w:val="18"/>
          <w:szCs w:val="18"/>
        </w:rPr>
        <w:t xml:space="preserve">) daalde tot dichtbij het EU-gemiddelde. De hoge private en publieke schuldlast en de hoge werkloosheid blijven wel kwetsbaarheden. De instellingen wijzen erop dat Spanje zijn groeipotentieel </w:t>
      </w:r>
      <w:r w:rsidRPr="00460CFB" w:rsidR="002E3B61">
        <w:rPr>
          <w:rFonts w:asciiTheme="majorHAnsi" w:hAnsiTheme="majorHAnsi"/>
          <w:sz w:val="18"/>
          <w:szCs w:val="18"/>
        </w:rPr>
        <w:t>kan</w:t>
      </w:r>
      <w:r w:rsidRPr="00460CFB" w:rsidR="00455F77">
        <w:rPr>
          <w:rFonts w:asciiTheme="majorHAnsi" w:hAnsiTheme="majorHAnsi"/>
          <w:sz w:val="18"/>
          <w:szCs w:val="18"/>
        </w:rPr>
        <w:t xml:space="preserve"> vergroten en de productiviteitgroei </w:t>
      </w:r>
      <w:r w:rsidRPr="00460CFB">
        <w:rPr>
          <w:rFonts w:asciiTheme="majorHAnsi" w:hAnsiTheme="majorHAnsi"/>
          <w:sz w:val="18"/>
          <w:szCs w:val="18"/>
        </w:rPr>
        <w:t>kan</w:t>
      </w:r>
      <w:r w:rsidRPr="00460CFB" w:rsidR="00455F77">
        <w:rPr>
          <w:rFonts w:asciiTheme="majorHAnsi" w:hAnsiTheme="majorHAnsi"/>
          <w:sz w:val="18"/>
          <w:szCs w:val="18"/>
        </w:rPr>
        <w:t xml:space="preserve"> verhogen. Spanje </w:t>
      </w:r>
      <w:r w:rsidRPr="00460CFB" w:rsidR="002E3B61">
        <w:rPr>
          <w:rFonts w:asciiTheme="majorHAnsi" w:hAnsiTheme="majorHAnsi"/>
          <w:sz w:val="18"/>
          <w:szCs w:val="18"/>
        </w:rPr>
        <w:t>zou</w:t>
      </w:r>
      <w:r w:rsidRPr="00460CFB" w:rsidR="00455F77">
        <w:rPr>
          <w:rFonts w:asciiTheme="majorHAnsi" w:hAnsiTheme="majorHAnsi"/>
          <w:sz w:val="18"/>
          <w:szCs w:val="18"/>
        </w:rPr>
        <w:t xml:space="preserve"> daarnaast</w:t>
      </w:r>
      <w:r w:rsidRPr="00460CFB">
        <w:rPr>
          <w:rFonts w:asciiTheme="majorHAnsi" w:hAnsiTheme="majorHAnsi"/>
          <w:sz w:val="18"/>
          <w:szCs w:val="18"/>
        </w:rPr>
        <w:t xml:space="preserve"> </w:t>
      </w:r>
      <w:r w:rsidRPr="00460CFB" w:rsidR="00455F77">
        <w:rPr>
          <w:rFonts w:asciiTheme="majorHAnsi" w:hAnsiTheme="majorHAnsi"/>
          <w:sz w:val="18"/>
          <w:szCs w:val="18"/>
        </w:rPr>
        <w:t>de gunstige economische omstandigheden aan</w:t>
      </w:r>
      <w:r w:rsidRPr="00460CFB">
        <w:rPr>
          <w:rFonts w:asciiTheme="majorHAnsi" w:hAnsiTheme="majorHAnsi"/>
          <w:sz w:val="18"/>
          <w:szCs w:val="18"/>
        </w:rPr>
        <w:t xml:space="preserve"> </w:t>
      </w:r>
      <w:r w:rsidRPr="00460CFB" w:rsidR="002E3B61">
        <w:rPr>
          <w:rFonts w:asciiTheme="majorHAnsi" w:hAnsiTheme="majorHAnsi"/>
          <w:sz w:val="18"/>
          <w:szCs w:val="18"/>
        </w:rPr>
        <w:t>moeten</w:t>
      </w:r>
      <w:r w:rsidRPr="00460CFB">
        <w:rPr>
          <w:rFonts w:asciiTheme="majorHAnsi" w:hAnsiTheme="majorHAnsi"/>
          <w:sz w:val="18"/>
          <w:szCs w:val="18"/>
        </w:rPr>
        <w:t xml:space="preserve"> </w:t>
      </w:r>
      <w:r w:rsidRPr="00460CFB" w:rsidR="00455F77">
        <w:rPr>
          <w:rFonts w:asciiTheme="majorHAnsi" w:hAnsiTheme="majorHAnsi"/>
          <w:sz w:val="18"/>
          <w:szCs w:val="18"/>
        </w:rPr>
        <w:t xml:space="preserve">grijpen om budgettair te consolideren met </w:t>
      </w:r>
      <w:r w:rsidRPr="00460CFB">
        <w:rPr>
          <w:rFonts w:asciiTheme="majorHAnsi" w:hAnsiTheme="majorHAnsi"/>
          <w:sz w:val="18"/>
          <w:szCs w:val="18"/>
        </w:rPr>
        <w:t xml:space="preserve">het </w:t>
      </w:r>
      <w:r w:rsidRPr="00460CFB" w:rsidR="00455F77">
        <w:rPr>
          <w:rFonts w:asciiTheme="majorHAnsi" w:hAnsiTheme="majorHAnsi"/>
          <w:sz w:val="18"/>
          <w:szCs w:val="18"/>
        </w:rPr>
        <w:t xml:space="preserve">oog op het verlagen van de overheidsschuld en het opbouwen van buffers. </w:t>
      </w:r>
      <w:r w:rsidRPr="00460CFB">
        <w:rPr>
          <w:rFonts w:asciiTheme="majorHAnsi" w:hAnsiTheme="majorHAnsi"/>
          <w:sz w:val="18"/>
          <w:szCs w:val="18"/>
        </w:rPr>
        <w:t xml:space="preserve">Er volgde geen discussie in de Eurogroep. </w:t>
      </w:r>
      <w:r w:rsidRPr="00460CFB" w:rsidR="005C24EB">
        <w:rPr>
          <w:rFonts w:asciiTheme="majorHAnsi" w:hAnsiTheme="majorHAnsi"/>
          <w:sz w:val="18"/>
          <w:szCs w:val="18"/>
        </w:rPr>
        <w:t>De volgende PPS missie naar Spanje is voorzien in de herfst van 2018.</w:t>
      </w:r>
    </w:p>
    <w:p w:rsidRPr="00460CFB" w:rsidR="007232DD" w:rsidP="003202E7" w:rsidRDefault="007232DD">
      <w:pPr>
        <w:spacing w:line="360" w:lineRule="auto"/>
        <w:contextualSpacing/>
        <w:rPr>
          <w:rFonts w:asciiTheme="majorHAnsi" w:hAnsiTheme="majorHAnsi"/>
          <w:b/>
          <w:bCs/>
          <w:sz w:val="18"/>
          <w:szCs w:val="18"/>
        </w:rPr>
      </w:pPr>
    </w:p>
    <w:p w:rsidRPr="00460CFB" w:rsidR="007232DD" w:rsidP="003202E7" w:rsidRDefault="003202E7">
      <w:pPr>
        <w:spacing w:line="360" w:lineRule="auto"/>
        <w:contextualSpacing/>
        <w:rPr>
          <w:rFonts w:asciiTheme="majorHAnsi" w:hAnsiTheme="majorHAnsi"/>
          <w:b/>
          <w:bCs/>
          <w:sz w:val="18"/>
          <w:szCs w:val="18"/>
        </w:rPr>
      </w:pPr>
      <w:r w:rsidRPr="00460CFB">
        <w:rPr>
          <w:rFonts w:asciiTheme="majorHAnsi" w:hAnsiTheme="majorHAnsi"/>
          <w:b/>
          <w:bCs/>
          <w:sz w:val="18"/>
          <w:szCs w:val="18"/>
        </w:rPr>
        <w:t>Bulgarije</w:t>
      </w:r>
    </w:p>
    <w:p w:rsidRPr="00460CFB" w:rsidR="003202E7" w:rsidP="003202E7" w:rsidRDefault="003E6D2B">
      <w:pPr>
        <w:spacing w:line="360" w:lineRule="auto"/>
        <w:rPr>
          <w:rFonts w:asciiTheme="majorHAnsi" w:hAnsiTheme="majorHAnsi"/>
          <w:sz w:val="18"/>
          <w:szCs w:val="18"/>
        </w:rPr>
      </w:pPr>
      <w:r>
        <w:rPr>
          <w:rFonts w:asciiTheme="majorHAnsi" w:hAnsiTheme="majorHAnsi"/>
          <w:sz w:val="18"/>
          <w:szCs w:val="18"/>
        </w:rPr>
        <w:t xml:space="preserve">Na afloop </w:t>
      </w:r>
      <w:r w:rsidRPr="00460CFB" w:rsidR="003202E7">
        <w:rPr>
          <w:rFonts w:asciiTheme="majorHAnsi" w:hAnsiTheme="majorHAnsi"/>
          <w:sz w:val="18"/>
          <w:szCs w:val="18"/>
        </w:rPr>
        <w:t>van de Eurogroep he</w:t>
      </w:r>
      <w:r w:rsidR="00FA0AF9">
        <w:rPr>
          <w:rFonts w:asciiTheme="majorHAnsi" w:hAnsiTheme="majorHAnsi"/>
          <w:sz w:val="18"/>
          <w:szCs w:val="18"/>
        </w:rPr>
        <w:t>bben de eurozonelidstaten, Dene</w:t>
      </w:r>
      <w:r w:rsidRPr="00460CFB" w:rsidR="003202E7">
        <w:rPr>
          <w:rFonts w:asciiTheme="majorHAnsi" w:hAnsiTheme="majorHAnsi"/>
          <w:sz w:val="18"/>
          <w:szCs w:val="18"/>
        </w:rPr>
        <w:t>marken en de ECB in bijzijn van de Europese Commissie en Bulgarije gesproken over het vooruitzicht van deelname aan ERM II door Bulgarije. Hierbij is een verklaring aangenomen</w:t>
      </w:r>
      <w:r w:rsidRPr="00460CFB" w:rsidR="003202E7">
        <w:rPr>
          <w:rStyle w:val="Voetnootmarkering"/>
          <w:rFonts w:asciiTheme="majorHAnsi" w:hAnsiTheme="majorHAnsi"/>
          <w:sz w:val="18"/>
          <w:szCs w:val="18"/>
        </w:rPr>
        <w:footnoteReference w:id="8"/>
      </w:r>
      <w:r w:rsidRPr="00460CFB" w:rsidR="003202E7">
        <w:rPr>
          <w:rFonts w:asciiTheme="majorHAnsi" w:hAnsiTheme="majorHAnsi"/>
          <w:sz w:val="18"/>
          <w:szCs w:val="18"/>
        </w:rPr>
        <w:t>. In de verklaring is opgenomen dat Bulgarije eerst een aantal beleidstoezeggingen zal implementeren voor deelname aan ERM II en de bankenunie</w:t>
      </w:r>
      <w:r>
        <w:rPr>
          <w:rFonts w:asciiTheme="majorHAnsi" w:hAnsiTheme="majorHAnsi"/>
          <w:sz w:val="18"/>
          <w:szCs w:val="18"/>
        </w:rPr>
        <w:t xml:space="preserve"> aan de orde is</w:t>
      </w:r>
      <w:r w:rsidRPr="00460CFB" w:rsidR="003202E7">
        <w:rPr>
          <w:rFonts w:asciiTheme="majorHAnsi" w:hAnsiTheme="majorHAnsi"/>
          <w:sz w:val="18"/>
          <w:szCs w:val="18"/>
        </w:rPr>
        <w:t>. De beleidstoezeggingen zijn opgenomen in een brief van Bulgarije</w:t>
      </w:r>
      <w:r w:rsidRPr="00460CFB" w:rsidR="003202E7">
        <w:rPr>
          <w:rStyle w:val="Voetnootmarkering"/>
          <w:rFonts w:asciiTheme="majorHAnsi" w:hAnsiTheme="majorHAnsi"/>
          <w:sz w:val="18"/>
          <w:szCs w:val="18"/>
        </w:rPr>
        <w:footnoteReference w:id="9"/>
      </w:r>
      <w:r w:rsidR="00FA0AF9">
        <w:rPr>
          <w:rFonts w:asciiTheme="majorHAnsi" w:hAnsiTheme="majorHAnsi"/>
          <w:sz w:val="18"/>
          <w:szCs w:val="18"/>
        </w:rPr>
        <w:t>. Dit laat een duidelijk</w:t>
      </w:r>
      <w:r w:rsidRPr="00460CFB" w:rsidR="003202E7">
        <w:rPr>
          <w:rFonts w:asciiTheme="majorHAnsi" w:hAnsiTheme="majorHAnsi"/>
          <w:sz w:val="18"/>
          <w:szCs w:val="18"/>
        </w:rPr>
        <w:t xml:space="preserve"> eigenaarschap zien van de toezeggingen. </w:t>
      </w:r>
    </w:p>
    <w:p w:rsidRPr="00460CFB" w:rsidR="003202E7" w:rsidP="003202E7" w:rsidRDefault="003202E7">
      <w:pPr>
        <w:spacing w:line="360" w:lineRule="auto"/>
        <w:rPr>
          <w:rFonts w:asciiTheme="majorHAnsi" w:hAnsiTheme="majorHAnsi"/>
          <w:sz w:val="18"/>
          <w:szCs w:val="18"/>
        </w:rPr>
      </w:pPr>
    </w:p>
    <w:p w:rsidRPr="00460CFB" w:rsidR="003202E7" w:rsidP="003202E7" w:rsidRDefault="003202E7">
      <w:pPr>
        <w:spacing w:line="360" w:lineRule="auto"/>
        <w:rPr>
          <w:rFonts w:asciiTheme="majorHAnsi" w:hAnsiTheme="majorHAnsi"/>
          <w:sz w:val="18"/>
          <w:szCs w:val="18"/>
        </w:rPr>
      </w:pPr>
      <w:r w:rsidRPr="00460CFB">
        <w:rPr>
          <w:rFonts w:asciiTheme="majorHAnsi" w:hAnsiTheme="majorHAnsi"/>
          <w:sz w:val="18"/>
          <w:szCs w:val="18"/>
        </w:rPr>
        <w:t xml:space="preserve">De toezeggingen zien onder andere op bankentoezicht en het verbeteren van institutionele kwaliteit en </w:t>
      </w:r>
      <w:proofErr w:type="spellStart"/>
      <w:r w:rsidRPr="00460CFB">
        <w:rPr>
          <w:rFonts w:asciiTheme="majorHAnsi" w:hAnsiTheme="majorHAnsi"/>
          <w:sz w:val="18"/>
          <w:szCs w:val="18"/>
        </w:rPr>
        <w:t>governance</w:t>
      </w:r>
      <w:proofErr w:type="spellEnd"/>
      <w:r w:rsidRPr="00460CFB">
        <w:rPr>
          <w:rFonts w:asciiTheme="majorHAnsi" w:hAnsiTheme="majorHAnsi"/>
          <w:sz w:val="18"/>
          <w:szCs w:val="18"/>
        </w:rPr>
        <w:t xml:space="preserve">. Bulgarije zal </w:t>
      </w:r>
      <w:r w:rsidR="00FA0AF9">
        <w:rPr>
          <w:rFonts w:asciiTheme="majorHAnsi" w:hAnsiTheme="majorHAnsi"/>
          <w:sz w:val="18"/>
          <w:szCs w:val="18"/>
        </w:rPr>
        <w:t>het bankentoezicht versterken</w:t>
      </w:r>
      <w:r w:rsidRPr="00460CFB">
        <w:rPr>
          <w:rFonts w:asciiTheme="majorHAnsi" w:hAnsiTheme="majorHAnsi"/>
          <w:sz w:val="18"/>
          <w:szCs w:val="18"/>
        </w:rPr>
        <w:t xml:space="preserve"> door in samenwerking met de ECB de voorbe</w:t>
      </w:r>
      <w:r w:rsidR="00FA0AF9">
        <w:rPr>
          <w:rFonts w:asciiTheme="majorHAnsi" w:hAnsiTheme="majorHAnsi"/>
          <w:sz w:val="18"/>
          <w:szCs w:val="18"/>
        </w:rPr>
        <w:t>reidingen te treffen met het oog</w:t>
      </w:r>
      <w:r w:rsidRPr="00460CFB">
        <w:rPr>
          <w:rFonts w:asciiTheme="majorHAnsi" w:hAnsiTheme="majorHAnsi"/>
          <w:sz w:val="18"/>
          <w:szCs w:val="18"/>
        </w:rPr>
        <w:t xml:space="preserve"> op deelname aan het SSM tegelijk met het moment van deelname aan ERM II. Bulgarije zal het </w:t>
      </w:r>
      <w:proofErr w:type="spellStart"/>
      <w:r w:rsidRPr="00460CFB">
        <w:rPr>
          <w:rFonts w:asciiTheme="majorHAnsi" w:hAnsiTheme="majorHAnsi"/>
          <w:sz w:val="18"/>
          <w:szCs w:val="18"/>
        </w:rPr>
        <w:t>macroprudentieel</w:t>
      </w:r>
      <w:proofErr w:type="spellEnd"/>
      <w:r w:rsidR="003E6D2B">
        <w:rPr>
          <w:rFonts w:asciiTheme="majorHAnsi" w:hAnsiTheme="majorHAnsi"/>
          <w:sz w:val="18"/>
          <w:szCs w:val="18"/>
        </w:rPr>
        <w:t xml:space="preserve"> </w:t>
      </w:r>
      <w:r w:rsidRPr="00460CFB">
        <w:rPr>
          <w:rFonts w:asciiTheme="majorHAnsi" w:hAnsiTheme="majorHAnsi"/>
          <w:sz w:val="18"/>
          <w:szCs w:val="18"/>
        </w:rPr>
        <w:t>beleidsraamwerk versterken, door het ontwikkelen van een juridische basis voor zogenoemde ‘</w:t>
      </w:r>
      <w:proofErr w:type="spellStart"/>
      <w:r w:rsidRPr="00460CFB">
        <w:rPr>
          <w:rFonts w:asciiTheme="majorHAnsi" w:hAnsiTheme="majorHAnsi"/>
          <w:sz w:val="18"/>
          <w:szCs w:val="18"/>
        </w:rPr>
        <w:t>borrower-based</w:t>
      </w:r>
      <w:proofErr w:type="spellEnd"/>
      <w:r w:rsidRPr="00460CFB">
        <w:rPr>
          <w:rFonts w:asciiTheme="majorHAnsi" w:hAnsiTheme="majorHAnsi"/>
          <w:sz w:val="18"/>
          <w:szCs w:val="18"/>
        </w:rPr>
        <w:t xml:space="preserve"> </w:t>
      </w:r>
      <w:proofErr w:type="spellStart"/>
      <w:r w:rsidRPr="00460CFB">
        <w:rPr>
          <w:rFonts w:asciiTheme="majorHAnsi" w:hAnsiTheme="majorHAnsi"/>
          <w:sz w:val="18"/>
          <w:szCs w:val="18"/>
        </w:rPr>
        <w:t>measures</w:t>
      </w:r>
      <w:proofErr w:type="spellEnd"/>
      <w:r w:rsidRPr="00460CFB">
        <w:rPr>
          <w:rFonts w:asciiTheme="majorHAnsi" w:hAnsiTheme="majorHAnsi"/>
          <w:sz w:val="18"/>
          <w:szCs w:val="18"/>
        </w:rPr>
        <w:t xml:space="preserve">’. Verder zegt Bulgarije toe het insolventieraamwerk te versterken en het toezicht op de niet-bancaire sector (pensioenfondsen en verzekeraars) te verbeteren. Daarnaast zal Bulgarije de manier waarop staatsbedrijven worden bestuurd verbeteren. Als laatste toezegging zal er een expliciete nadruk liggen op goede implementatie van anti-witwasrichtlijnen. De verklaring roept de Bulgaarse autoriteiten op de </w:t>
      </w:r>
      <w:r w:rsidR="003E6D2B">
        <w:rPr>
          <w:rFonts w:asciiTheme="majorHAnsi" w:hAnsiTheme="majorHAnsi"/>
          <w:sz w:val="18"/>
          <w:szCs w:val="18"/>
        </w:rPr>
        <w:t>maatregelen</w:t>
      </w:r>
      <w:r w:rsidRPr="00460CFB">
        <w:rPr>
          <w:rFonts w:asciiTheme="majorHAnsi" w:hAnsiTheme="majorHAnsi"/>
          <w:sz w:val="18"/>
          <w:szCs w:val="18"/>
        </w:rPr>
        <w:t xml:space="preserve"> die in het kader van justitiële hervormingen, de strijd tegen corruptie en georganiseerde misdaad door de Commissie in het kader van het </w:t>
      </w:r>
      <w:r w:rsidRPr="006B66FF">
        <w:rPr>
          <w:rFonts w:asciiTheme="majorHAnsi" w:hAnsiTheme="majorHAnsi"/>
          <w:i/>
          <w:sz w:val="18"/>
          <w:szCs w:val="18"/>
        </w:rPr>
        <w:t xml:space="preserve">Cooperation </w:t>
      </w:r>
      <w:proofErr w:type="spellStart"/>
      <w:r w:rsidRPr="006B66FF">
        <w:rPr>
          <w:rFonts w:asciiTheme="majorHAnsi" w:hAnsiTheme="majorHAnsi"/>
          <w:i/>
          <w:sz w:val="18"/>
          <w:szCs w:val="18"/>
        </w:rPr>
        <w:t>and</w:t>
      </w:r>
      <w:proofErr w:type="spellEnd"/>
      <w:r w:rsidRPr="006B66FF">
        <w:rPr>
          <w:rFonts w:asciiTheme="majorHAnsi" w:hAnsiTheme="majorHAnsi"/>
          <w:i/>
          <w:sz w:val="18"/>
          <w:szCs w:val="18"/>
        </w:rPr>
        <w:t xml:space="preserve"> </w:t>
      </w:r>
      <w:proofErr w:type="spellStart"/>
      <w:r w:rsidRPr="006B66FF">
        <w:rPr>
          <w:rFonts w:asciiTheme="majorHAnsi" w:hAnsiTheme="majorHAnsi"/>
          <w:i/>
          <w:sz w:val="18"/>
          <w:szCs w:val="18"/>
        </w:rPr>
        <w:lastRenderedPageBreak/>
        <w:t>Verification</w:t>
      </w:r>
      <w:proofErr w:type="spellEnd"/>
      <w:r w:rsidRPr="006B66FF">
        <w:rPr>
          <w:rFonts w:asciiTheme="majorHAnsi" w:hAnsiTheme="majorHAnsi"/>
          <w:i/>
          <w:sz w:val="18"/>
          <w:szCs w:val="18"/>
        </w:rPr>
        <w:t xml:space="preserve"> </w:t>
      </w:r>
      <w:proofErr w:type="spellStart"/>
      <w:r w:rsidRPr="006B66FF">
        <w:rPr>
          <w:rFonts w:asciiTheme="majorHAnsi" w:hAnsiTheme="majorHAnsi"/>
          <w:i/>
          <w:sz w:val="18"/>
          <w:szCs w:val="18"/>
        </w:rPr>
        <w:t>Mechanism</w:t>
      </w:r>
      <w:proofErr w:type="spellEnd"/>
      <w:r w:rsidRPr="006B66FF">
        <w:rPr>
          <w:rFonts w:asciiTheme="majorHAnsi" w:hAnsiTheme="majorHAnsi"/>
          <w:i/>
          <w:sz w:val="18"/>
          <w:szCs w:val="18"/>
        </w:rPr>
        <w:t xml:space="preserve"> </w:t>
      </w:r>
      <w:r w:rsidRPr="00460CFB">
        <w:rPr>
          <w:rFonts w:asciiTheme="majorHAnsi" w:hAnsiTheme="majorHAnsi"/>
          <w:sz w:val="18"/>
          <w:szCs w:val="18"/>
        </w:rPr>
        <w:t>(CVM) wordt gemonitord grondig te implementeren, in het licht van het belang hiervan voor de stabiliteit en integriteit van het financiële systeem.</w:t>
      </w:r>
    </w:p>
    <w:p w:rsidRPr="00460CFB" w:rsidR="003202E7" w:rsidP="003202E7" w:rsidRDefault="003202E7">
      <w:pPr>
        <w:spacing w:line="360" w:lineRule="auto"/>
        <w:rPr>
          <w:rFonts w:asciiTheme="majorHAnsi" w:hAnsiTheme="majorHAnsi"/>
          <w:sz w:val="18"/>
          <w:szCs w:val="18"/>
        </w:rPr>
      </w:pPr>
    </w:p>
    <w:p w:rsidR="003E6D2B" w:rsidP="00A34D20" w:rsidRDefault="003202E7">
      <w:pPr>
        <w:spacing w:line="360" w:lineRule="auto"/>
        <w:rPr>
          <w:rFonts w:asciiTheme="majorHAnsi" w:hAnsiTheme="majorHAnsi"/>
          <w:sz w:val="18"/>
          <w:szCs w:val="18"/>
        </w:rPr>
      </w:pPr>
      <w:r w:rsidRPr="00460CFB">
        <w:rPr>
          <w:rFonts w:asciiTheme="majorHAnsi" w:hAnsiTheme="majorHAnsi"/>
          <w:sz w:val="18"/>
          <w:szCs w:val="18"/>
        </w:rPr>
        <w:t xml:space="preserve">In de verklaring is verder opgenomen dat volgende lidstaten die tot ERM II en de bankenunie willen toetreden volgens dezelfde benadering zal worden gehandeld. </w:t>
      </w:r>
    </w:p>
    <w:p w:rsidR="003E6D2B" w:rsidP="00A34D20" w:rsidRDefault="003E6D2B">
      <w:pPr>
        <w:spacing w:line="360" w:lineRule="auto"/>
        <w:rPr>
          <w:rFonts w:asciiTheme="majorHAnsi" w:hAnsiTheme="majorHAnsi"/>
          <w:sz w:val="18"/>
          <w:szCs w:val="18"/>
        </w:rPr>
      </w:pPr>
    </w:p>
    <w:p w:rsidRPr="00B43BF1" w:rsidR="003202E7" w:rsidP="00A34D20" w:rsidRDefault="003E6D2B">
      <w:pPr>
        <w:spacing w:line="360" w:lineRule="auto"/>
        <w:rPr>
          <w:rFonts w:asciiTheme="majorHAnsi" w:hAnsiTheme="majorHAnsi"/>
          <w:sz w:val="18"/>
          <w:szCs w:val="18"/>
        </w:rPr>
      </w:pPr>
      <w:r>
        <w:rPr>
          <w:rFonts w:asciiTheme="majorHAnsi" w:hAnsiTheme="majorHAnsi"/>
          <w:sz w:val="18"/>
          <w:szCs w:val="18"/>
        </w:rPr>
        <w:t>D</w:t>
      </w:r>
      <w:r w:rsidRPr="00460CFB" w:rsidR="003202E7">
        <w:rPr>
          <w:rFonts w:asciiTheme="majorHAnsi" w:hAnsiTheme="majorHAnsi"/>
          <w:sz w:val="18"/>
          <w:szCs w:val="18"/>
        </w:rPr>
        <w:t xml:space="preserve">e Kamer </w:t>
      </w:r>
      <w:r>
        <w:rPr>
          <w:rFonts w:asciiTheme="majorHAnsi" w:hAnsiTheme="majorHAnsi"/>
          <w:sz w:val="18"/>
          <w:szCs w:val="18"/>
        </w:rPr>
        <w:t xml:space="preserve">is </w:t>
      </w:r>
      <w:r w:rsidRPr="00460CFB" w:rsidR="003202E7">
        <w:rPr>
          <w:rFonts w:asciiTheme="majorHAnsi" w:hAnsiTheme="majorHAnsi"/>
          <w:sz w:val="18"/>
          <w:szCs w:val="18"/>
        </w:rPr>
        <w:t>vooraf</w:t>
      </w:r>
      <w:r>
        <w:rPr>
          <w:rFonts w:asciiTheme="majorHAnsi" w:hAnsiTheme="majorHAnsi"/>
          <w:sz w:val="18"/>
          <w:szCs w:val="18"/>
        </w:rPr>
        <w:t>gaand</w:t>
      </w:r>
      <w:r w:rsidRPr="00460CFB" w:rsidR="003202E7">
        <w:rPr>
          <w:rFonts w:asciiTheme="majorHAnsi" w:hAnsiTheme="majorHAnsi"/>
          <w:sz w:val="18"/>
          <w:szCs w:val="18"/>
        </w:rPr>
        <w:t xml:space="preserve"> aan de Eurogroep reeds vertrouwelijk geïnformeerd</w:t>
      </w:r>
      <w:r>
        <w:rPr>
          <w:rFonts w:asciiTheme="majorHAnsi" w:hAnsiTheme="majorHAnsi"/>
          <w:sz w:val="18"/>
          <w:szCs w:val="18"/>
        </w:rPr>
        <w:t xml:space="preserve"> over Bulgarije</w:t>
      </w:r>
      <w:r w:rsidR="00C0332C">
        <w:rPr>
          <w:rFonts w:asciiTheme="majorHAnsi" w:hAnsiTheme="majorHAnsi"/>
          <w:sz w:val="18"/>
          <w:szCs w:val="18"/>
        </w:rPr>
        <w:t xml:space="preserve"> via o.a. een brief</w:t>
      </w:r>
      <w:r w:rsidRPr="00460CFB" w:rsidR="003202E7">
        <w:rPr>
          <w:rFonts w:asciiTheme="majorHAnsi" w:hAnsiTheme="majorHAnsi"/>
          <w:sz w:val="18"/>
          <w:szCs w:val="18"/>
        </w:rPr>
        <w:t xml:space="preserve">. De </w:t>
      </w:r>
      <w:r w:rsidRPr="001C4DC2" w:rsidR="003202E7">
        <w:rPr>
          <w:rFonts w:asciiTheme="majorHAnsi" w:hAnsiTheme="majorHAnsi"/>
          <w:sz w:val="18"/>
          <w:szCs w:val="18"/>
        </w:rPr>
        <w:t xml:space="preserve">vertrouwelijkheid </w:t>
      </w:r>
      <w:r w:rsidRPr="00B43BF1" w:rsidR="003202E7">
        <w:rPr>
          <w:rFonts w:asciiTheme="majorHAnsi" w:hAnsiTheme="majorHAnsi"/>
          <w:sz w:val="18"/>
          <w:szCs w:val="18"/>
        </w:rPr>
        <w:t>van de</w:t>
      </w:r>
      <w:r w:rsidR="00C0332C">
        <w:rPr>
          <w:rFonts w:asciiTheme="majorHAnsi" w:hAnsiTheme="majorHAnsi"/>
          <w:sz w:val="18"/>
          <w:szCs w:val="18"/>
        </w:rPr>
        <w:t>ze</w:t>
      </w:r>
      <w:r w:rsidRPr="00B43BF1" w:rsidR="003202E7">
        <w:rPr>
          <w:rFonts w:asciiTheme="majorHAnsi" w:hAnsiTheme="majorHAnsi"/>
          <w:sz w:val="18"/>
          <w:szCs w:val="18"/>
        </w:rPr>
        <w:t xml:space="preserve"> brief </w:t>
      </w:r>
      <w:r>
        <w:rPr>
          <w:rFonts w:asciiTheme="majorHAnsi" w:hAnsiTheme="majorHAnsi"/>
          <w:sz w:val="18"/>
          <w:szCs w:val="18"/>
        </w:rPr>
        <w:t xml:space="preserve">kan nu </w:t>
      </w:r>
      <w:r w:rsidR="006B66FF">
        <w:rPr>
          <w:rFonts w:asciiTheme="majorHAnsi" w:hAnsiTheme="majorHAnsi"/>
          <w:sz w:val="18"/>
          <w:szCs w:val="18"/>
        </w:rPr>
        <w:t xml:space="preserve">worden </w:t>
      </w:r>
      <w:r w:rsidRPr="00B43BF1" w:rsidR="003202E7">
        <w:rPr>
          <w:rFonts w:asciiTheme="majorHAnsi" w:hAnsiTheme="majorHAnsi"/>
          <w:sz w:val="18"/>
          <w:szCs w:val="18"/>
        </w:rPr>
        <w:t>opgeheven</w:t>
      </w:r>
      <w:r>
        <w:rPr>
          <w:rFonts w:asciiTheme="majorHAnsi" w:hAnsiTheme="majorHAnsi"/>
          <w:sz w:val="18"/>
          <w:szCs w:val="18"/>
        </w:rPr>
        <w:t>. D</w:t>
      </w:r>
      <w:r w:rsidRPr="00B43BF1" w:rsidR="002B2EA2">
        <w:rPr>
          <w:rFonts w:asciiTheme="majorHAnsi" w:hAnsiTheme="majorHAnsi"/>
          <w:sz w:val="18"/>
          <w:szCs w:val="18"/>
        </w:rPr>
        <w:t xml:space="preserve">e </w:t>
      </w:r>
      <w:r>
        <w:rPr>
          <w:rFonts w:asciiTheme="majorHAnsi" w:hAnsiTheme="majorHAnsi"/>
          <w:sz w:val="18"/>
          <w:szCs w:val="18"/>
        </w:rPr>
        <w:t xml:space="preserve">betreffende </w:t>
      </w:r>
      <w:r w:rsidRPr="00B43BF1" w:rsidR="002B2EA2">
        <w:rPr>
          <w:rFonts w:asciiTheme="majorHAnsi" w:hAnsiTheme="majorHAnsi"/>
          <w:sz w:val="18"/>
          <w:szCs w:val="18"/>
        </w:rPr>
        <w:t>brief is als bijlage bij dit verslag gevoegd</w:t>
      </w:r>
      <w:r w:rsidRPr="00B43BF1" w:rsidR="003202E7">
        <w:rPr>
          <w:rFonts w:asciiTheme="majorHAnsi" w:hAnsiTheme="majorHAnsi"/>
          <w:sz w:val="18"/>
          <w:szCs w:val="18"/>
        </w:rPr>
        <w:t>.</w:t>
      </w:r>
      <w:r w:rsidR="00C0332C">
        <w:rPr>
          <w:rFonts w:asciiTheme="majorHAnsi" w:hAnsiTheme="majorHAnsi"/>
          <w:sz w:val="18"/>
          <w:szCs w:val="18"/>
        </w:rPr>
        <w:t xml:space="preserve"> De uitkomst van de bespreking over Bulgarije en de verklaring is in lijn met de Nederlandse inzet als in deze brief verwoord.</w:t>
      </w:r>
    </w:p>
    <w:p w:rsidR="00A34D20" w:rsidP="001C4DC2" w:rsidRDefault="00A34D20">
      <w:pPr>
        <w:spacing w:line="360" w:lineRule="auto"/>
        <w:contextualSpacing/>
        <w:rPr>
          <w:rFonts w:cs="Arial" w:asciiTheme="majorHAnsi" w:hAnsiTheme="majorHAnsi"/>
          <w:b/>
          <w:sz w:val="18"/>
          <w:szCs w:val="18"/>
          <w:u w:val="single"/>
        </w:rPr>
      </w:pPr>
    </w:p>
    <w:p w:rsidR="00A34D20" w:rsidP="00B43BF1" w:rsidRDefault="00A34D20">
      <w:pPr>
        <w:spacing w:line="360" w:lineRule="auto"/>
        <w:rPr>
          <w:rFonts w:ascii="Verdana" w:hAnsi="Verdana"/>
          <w:b/>
          <w:bCs/>
          <w:sz w:val="18"/>
          <w:szCs w:val="18"/>
          <w:u w:val="single"/>
        </w:rPr>
      </w:pPr>
      <w:r>
        <w:rPr>
          <w:rFonts w:ascii="Verdana" w:hAnsi="Verdana"/>
          <w:b/>
          <w:bCs/>
          <w:sz w:val="18"/>
          <w:szCs w:val="18"/>
          <w:u w:val="single"/>
        </w:rPr>
        <w:t xml:space="preserve">Board of </w:t>
      </w:r>
      <w:proofErr w:type="spellStart"/>
      <w:r>
        <w:rPr>
          <w:rFonts w:ascii="Verdana" w:hAnsi="Verdana"/>
          <w:b/>
          <w:bCs/>
          <w:sz w:val="18"/>
          <w:szCs w:val="18"/>
          <w:u w:val="single"/>
        </w:rPr>
        <w:t>Governors</w:t>
      </w:r>
      <w:proofErr w:type="spellEnd"/>
      <w:r>
        <w:rPr>
          <w:rFonts w:ascii="Verdana" w:hAnsi="Verdana"/>
          <w:b/>
          <w:bCs/>
          <w:sz w:val="18"/>
          <w:szCs w:val="18"/>
          <w:u w:val="single"/>
        </w:rPr>
        <w:t xml:space="preserve"> ESM</w:t>
      </w:r>
    </w:p>
    <w:p w:rsidR="00A34D20" w:rsidP="00B43BF1" w:rsidRDefault="00A34D20">
      <w:pPr>
        <w:spacing w:line="360" w:lineRule="auto"/>
        <w:rPr>
          <w:rFonts w:eastAsia="Times New Roman"/>
        </w:rPr>
      </w:pPr>
      <w:r>
        <w:rPr>
          <w:rFonts w:ascii="Verdana" w:hAnsi="Verdana"/>
          <w:sz w:val="18"/>
          <w:szCs w:val="18"/>
        </w:rPr>
        <w:t xml:space="preserve">Aansluitend aan de Eurogroep vond een vergadering plaats van de </w:t>
      </w:r>
      <w:r w:rsidRPr="006B66FF">
        <w:rPr>
          <w:rFonts w:ascii="Verdana" w:hAnsi="Verdana"/>
          <w:i/>
          <w:sz w:val="18"/>
          <w:szCs w:val="18"/>
        </w:rPr>
        <w:t xml:space="preserve">Board of </w:t>
      </w:r>
      <w:proofErr w:type="spellStart"/>
      <w:r w:rsidRPr="006B66FF">
        <w:rPr>
          <w:rFonts w:ascii="Verdana" w:hAnsi="Verdana"/>
          <w:i/>
          <w:sz w:val="18"/>
          <w:szCs w:val="18"/>
        </w:rPr>
        <w:t>Governors</w:t>
      </w:r>
      <w:proofErr w:type="spellEnd"/>
      <w:r>
        <w:rPr>
          <w:rFonts w:ascii="Verdana" w:hAnsi="Verdana"/>
          <w:sz w:val="18"/>
          <w:szCs w:val="18"/>
        </w:rPr>
        <w:t xml:space="preserve"> van het </w:t>
      </w:r>
      <w:r w:rsidRPr="006B66FF">
        <w:rPr>
          <w:rFonts w:ascii="Verdana" w:hAnsi="Verdana"/>
          <w:i/>
          <w:sz w:val="18"/>
          <w:szCs w:val="18"/>
        </w:rPr>
        <w:t xml:space="preserve">European </w:t>
      </w:r>
      <w:proofErr w:type="spellStart"/>
      <w:r w:rsidRPr="006B66FF">
        <w:rPr>
          <w:rFonts w:ascii="Verdana" w:hAnsi="Verdana"/>
          <w:i/>
          <w:sz w:val="18"/>
          <w:szCs w:val="18"/>
        </w:rPr>
        <w:t>Stability</w:t>
      </w:r>
      <w:proofErr w:type="spellEnd"/>
      <w:r w:rsidRPr="006B66FF">
        <w:rPr>
          <w:rFonts w:ascii="Verdana" w:hAnsi="Verdana"/>
          <w:i/>
          <w:sz w:val="18"/>
          <w:szCs w:val="18"/>
        </w:rPr>
        <w:t xml:space="preserve"> </w:t>
      </w:r>
      <w:proofErr w:type="spellStart"/>
      <w:r w:rsidRPr="006B66FF">
        <w:rPr>
          <w:rFonts w:ascii="Verdana" w:hAnsi="Verdana"/>
          <w:i/>
          <w:sz w:val="18"/>
          <w:szCs w:val="18"/>
        </w:rPr>
        <w:t>Mechanism</w:t>
      </w:r>
      <w:proofErr w:type="spellEnd"/>
      <w:r>
        <w:rPr>
          <w:rFonts w:ascii="Verdana" w:hAnsi="Verdana"/>
          <w:sz w:val="18"/>
          <w:szCs w:val="18"/>
        </w:rPr>
        <w:t xml:space="preserve"> (ESM). Op de agenda stond het goedkeuren van de </w:t>
      </w:r>
      <w:proofErr w:type="spellStart"/>
      <w:r w:rsidRPr="006B66FF">
        <w:rPr>
          <w:rFonts w:ascii="Verdana" w:hAnsi="Verdana"/>
          <w:i/>
          <w:sz w:val="18"/>
          <w:szCs w:val="18"/>
        </w:rPr>
        <w:t>supplemental</w:t>
      </w:r>
      <w:proofErr w:type="spellEnd"/>
      <w:r w:rsidRPr="006B66FF">
        <w:rPr>
          <w:rFonts w:ascii="Verdana" w:hAnsi="Verdana"/>
          <w:i/>
          <w:sz w:val="18"/>
          <w:szCs w:val="18"/>
        </w:rPr>
        <w:t xml:space="preserve"> Memorandum of Understanding</w:t>
      </w:r>
      <w:r>
        <w:rPr>
          <w:rFonts w:ascii="Verdana" w:hAnsi="Verdana"/>
          <w:sz w:val="18"/>
          <w:szCs w:val="18"/>
        </w:rPr>
        <w:t xml:space="preserve"> (</w:t>
      </w:r>
      <w:proofErr w:type="spellStart"/>
      <w:r>
        <w:rPr>
          <w:rFonts w:ascii="Verdana" w:hAnsi="Verdana"/>
          <w:sz w:val="18"/>
          <w:szCs w:val="18"/>
        </w:rPr>
        <w:t>sMoU</w:t>
      </w:r>
      <w:proofErr w:type="spellEnd"/>
      <w:r>
        <w:rPr>
          <w:rFonts w:ascii="Verdana" w:hAnsi="Verdana"/>
          <w:sz w:val="18"/>
          <w:szCs w:val="18"/>
        </w:rPr>
        <w:t xml:space="preserve">). In de </w:t>
      </w:r>
      <w:proofErr w:type="spellStart"/>
      <w:r>
        <w:rPr>
          <w:rFonts w:ascii="Verdana" w:hAnsi="Verdana"/>
          <w:sz w:val="18"/>
          <w:szCs w:val="18"/>
        </w:rPr>
        <w:t>sMoU</w:t>
      </w:r>
      <w:proofErr w:type="spellEnd"/>
      <w:r>
        <w:rPr>
          <w:rFonts w:ascii="Verdana" w:hAnsi="Verdana"/>
          <w:sz w:val="18"/>
          <w:szCs w:val="18"/>
        </w:rPr>
        <w:t xml:space="preserve"> zijn de hervormingen (</w:t>
      </w:r>
      <w:r>
        <w:rPr>
          <w:rFonts w:ascii="Verdana" w:hAnsi="Verdana"/>
          <w:i/>
          <w:iCs/>
          <w:sz w:val="18"/>
          <w:szCs w:val="18"/>
        </w:rPr>
        <w:t xml:space="preserve">prior </w:t>
      </w:r>
      <w:r w:rsidRPr="006B66FF">
        <w:rPr>
          <w:rFonts w:ascii="Verdana" w:hAnsi="Verdana"/>
          <w:i/>
          <w:sz w:val="18"/>
          <w:szCs w:val="18"/>
        </w:rPr>
        <w:t>actions</w:t>
      </w:r>
      <w:r>
        <w:rPr>
          <w:rFonts w:ascii="Verdana" w:hAnsi="Verdana"/>
          <w:sz w:val="18"/>
          <w:szCs w:val="18"/>
        </w:rPr>
        <w:t>) opgenomen die Griekenland moest doorvoeren voordat de vierde voortgangsmissie kon worden afgerond en voordat tot uitkering van het laatste leningdeel kon worden overgegaan. Hierover bent u op 29 juni jl. geïnformeerd.</w:t>
      </w:r>
      <w:r w:rsidR="00C0332C">
        <w:rPr>
          <w:rStyle w:val="Voetnootmarkering"/>
          <w:rFonts w:ascii="Verdana" w:hAnsi="Verdana"/>
          <w:sz w:val="18"/>
          <w:szCs w:val="18"/>
        </w:rPr>
        <w:footnoteReference w:id="10"/>
      </w:r>
      <w:r>
        <w:rPr>
          <w:rFonts w:ascii="Verdana" w:hAnsi="Verdana"/>
          <w:sz w:val="18"/>
          <w:szCs w:val="18"/>
        </w:rPr>
        <w:t xml:space="preserve"> Van de 19 landen konden 18 landen direct instemmen met de </w:t>
      </w:r>
      <w:proofErr w:type="spellStart"/>
      <w:r>
        <w:rPr>
          <w:rFonts w:ascii="Verdana" w:hAnsi="Verdana"/>
          <w:sz w:val="18"/>
          <w:szCs w:val="18"/>
        </w:rPr>
        <w:t>sMoU</w:t>
      </w:r>
      <w:proofErr w:type="spellEnd"/>
      <w:r>
        <w:rPr>
          <w:rFonts w:ascii="Verdana" w:hAnsi="Verdana"/>
          <w:sz w:val="18"/>
          <w:szCs w:val="18"/>
        </w:rPr>
        <w:t>. Het 19</w:t>
      </w:r>
      <w:r>
        <w:rPr>
          <w:rFonts w:ascii="Verdana" w:hAnsi="Verdana"/>
          <w:sz w:val="18"/>
          <w:szCs w:val="18"/>
          <w:vertAlign w:val="superscript"/>
        </w:rPr>
        <w:t>e</w:t>
      </w:r>
      <w:r>
        <w:rPr>
          <w:rFonts w:ascii="Verdana" w:hAnsi="Verdana"/>
          <w:sz w:val="18"/>
          <w:szCs w:val="18"/>
        </w:rPr>
        <w:t xml:space="preserve"> land, Duitsland, maakte een parlementair voorbehoud. Goedkeuring met de </w:t>
      </w:r>
      <w:proofErr w:type="spellStart"/>
      <w:r>
        <w:rPr>
          <w:rFonts w:ascii="Verdana" w:hAnsi="Verdana"/>
          <w:sz w:val="18"/>
          <w:szCs w:val="18"/>
        </w:rPr>
        <w:t>sMoU</w:t>
      </w:r>
      <w:proofErr w:type="spellEnd"/>
      <w:r>
        <w:rPr>
          <w:rFonts w:ascii="Verdana" w:hAnsi="Verdana"/>
          <w:sz w:val="18"/>
          <w:szCs w:val="18"/>
        </w:rPr>
        <w:t xml:space="preserve"> en uitkering van het laatste leningdeel zal plaatsvinden nadat het Duitse parlement ingestemd heeft met de </w:t>
      </w:r>
      <w:proofErr w:type="spellStart"/>
      <w:r>
        <w:rPr>
          <w:rFonts w:ascii="Verdana" w:hAnsi="Verdana"/>
          <w:sz w:val="18"/>
          <w:szCs w:val="18"/>
        </w:rPr>
        <w:t>sMoU</w:t>
      </w:r>
      <w:proofErr w:type="spellEnd"/>
      <w:r>
        <w:rPr>
          <w:rFonts w:ascii="Verdana" w:hAnsi="Verdana"/>
          <w:sz w:val="18"/>
          <w:szCs w:val="18"/>
        </w:rPr>
        <w:t xml:space="preserve">. De reden voor het parlementair voorbehoud van Duitsland is dat Griekenland één van de vereiste hervormingen niet direct maar per 2019 zal doorvoeren. Dit betreft de verhoging van het </w:t>
      </w:r>
      <w:proofErr w:type="spellStart"/>
      <w:r>
        <w:rPr>
          <w:rFonts w:ascii="Verdana" w:hAnsi="Verdana"/>
          <w:sz w:val="18"/>
          <w:szCs w:val="18"/>
        </w:rPr>
        <w:t>BTW-tarief</w:t>
      </w:r>
      <w:proofErr w:type="spellEnd"/>
      <w:r>
        <w:rPr>
          <w:rFonts w:ascii="Verdana" w:hAnsi="Verdana"/>
          <w:sz w:val="18"/>
          <w:szCs w:val="18"/>
        </w:rPr>
        <w:t xml:space="preserve"> op enkele van de eilanden.</w:t>
      </w:r>
      <w:r w:rsidR="00135B0A">
        <w:rPr>
          <w:rStyle w:val="Voetnootmarkering"/>
          <w:rFonts w:ascii="Verdana" w:hAnsi="Verdana"/>
          <w:sz w:val="18"/>
          <w:szCs w:val="18"/>
        </w:rPr>
        <w:footnoteReference w:id="11"/>
      </w:r>
      <w:r>
        <w:rPr>
          <w:rFonts w:ascii="Verdana" w:hAnsi="Verdana"/>
          <w:sz w:val="18"/>
          <w:szCs w:val="18"/>
        </w:rPr>
        <w:t xml:space="preserve"> Ter compensatie voor dit uitstel – waarvan de impact op 28 miljoen euro wordt geschat </w:t>
      </w:r>
      <w:r w:rsidR="00C0332C">
        <w:rPr>
          <w:rFonts w:ascii="Verdana" w:hAnsi="Verdana"/>
          <w:sz w:val="18"/>
          <w:szCs w:val="18"/>
        </w:rPr>
        <w:t>–</w:t>
      </w:r>
      <w:r>
        <w:rPr>
          <w:rFonts w:ascii="Verdana" w:hAnsi="Verdana"/>
          <w:sz w:val="18"/>
          <w:szCs w:val="18"/>
        </w:rPr>
        <w:t xml:space="preserve"> zal</w:t>
      </w:r>
      <w:r w:rsidR="00C0332C">
        <w:rPr>
          <w:rFonts w:ascii="Verdana" w:hAnsi="Verdana"/>
          <w:sz w:val="18"/>
          <w:szCs w:val="18"/>
        </w:rPr>
        <w:t xml:space="preserve"> </w:t>
      </w:r>
      <w:r>
        <w:rPr>
          <w:rFonts w:ascii="Verdana" w:hAnsi="Verdana"/>
          <w:sz w:val="18"/>
          <w:szCs w:val="18"/>
        </w:rPr>
        <w:t>Griekenland</w:t>
      </w:r>
      <w:r w:rsidR="00C0332C">
        <w:rPr>
          <w:rFonts w:ascii="Verdana" w:hAnsi="Verdana"/>
          <w:sz w:val="18"/>
          <w:szCs w:val="18"/>
        </w:rPr>
        <w:t xml:space="preserve"> </w:t>
      </w:r>
      <w:r>
        <w:rPr>
          <w:rFonts w:ascii="Verdana" w:hAnsi="Verdana"/>
          <w:sz w:val="18"/>
          <w:szCs w:val="18"/>
        </w:rPr>
        <w:t>bezuinigingen van dezelfde omvang doorvoeren op het terrein van defensie, waardoor dit uitstel budgettair neutraal is.</w:t>
      </w:r>
      <w:r>
        <w:rPr>
          <w:rFonts w:eastAsia="Times New Roman"/>
        </w:rPr>
        <w:t xml:space="preserve"> </w:t>
      </w:r>
    </w:p>
    <w:p w:rsidR="00A34D20" w:rsidP="003202E7" w:rsidRDefault="00A34D20">
      <w:pPr>
        <w:spacing w:line="360" w:lineRule="auto"/>
        <w:contextualSpacing/>
        <w:rPr>
          <w:rFonts w:cs="Arial" w:asciiTheme="majorHAnsi" w:hAnsiTheme="majorHAnsi"/>
          <w:b/>
          <w:sz w:val="18"/>
          <w:szCs w:val="18"/>
          <w:u w:val="single"/>
        </w:rPr>
      </w:pPr>
    </w:p>
    <w:p w:rsidRPr="00460CFB" w:rsidR="00455F77" w:rsidP="003202E7" w:rsidRDefault="00455F77">
      <w:pPr>
        <w:spacing w:line="360" w:lineRule="auto"/>
        <w:contextualSpacing/>
        <w:rPr>
          <w:rFonts w:cs="Arial" w:asciiTheme="majorHAnsi" w:hAnsiTheme="majorHAnsi"/>
          <w:b/>
          <w:sz w:val="18"/>
          <w:szCs w:val="18"/>
          <w:u w:val="single"/>
        </w:rPr>
      </w:pPr>
      <w:proofErr w:type="spellStart"/>
      <w:r w:rsidRPr="00460CFB">
        <w:rPr>
          <w:rFonts w:cs="Arial" w:asciiTheme="majorHAnsi" w:hAnsiTheme="majorHAnsi"/>
          <w:b/>
          <w:sz w:val="18"/>
          <w:szCs w:val="18"/>
          <w:u w:val="single"/>
        </w:rPr>
        <w:t>Ecofinraad</w:t>
      </w:r>
      <w:proofErr w:type="spellEnd"/>
    </w:p>
    <w:p w:rsidRPr="00460CFB" w:rsidR="00455F77" w:rsidP="003202E7" w:rsidRDefault="00455F77">
      <w:pPr>
        <w:spacing w:line="360" w:lineRule="auto"/>
        <w:contextualSpacing/>
        <w:rPr>
          <w:rFonts w:cs="Arial" w:asciiTheme="majorHAnsi" w:hAnsiTheme="majorHAnsi"/>
          <w:b/>
          <w:sz w:val="18"/>
          <w:szCs w:val="18"/>
        </w:rPr>
      </w:pPr>
    </w:p>
    <w:p w:rsidRPr="00460CFB" w:rsidR="00455F77" w:rsidP="003202E7" w:rsidRDefault="002E3B61">
      <w:pPr>
        <w:spacing w:line="360" w:lineRule="auto"/>
        <w:contextualSpacing/>
        <w:rPr>
          <w:rFonts w:cs="Arial" w:asciiTheme="majorHAnsi" w:hAnsiTheme="majorHAnsi"/>
          <w:b/>
          <w:sz w:val="18"/>
          <w:szCs w:val="18"/>
        </w:rPr>
      </w:pPr>
      <w:proofErr w:type="spellStart"/>
      <w:r w:rsidRPr="00460CFB">
        <w:rPr>
          <w:rFonts w:cs="Arial" w:asciiTheme="majorHAnsi" w:hAnsiTheme="majorHAnsi"/>
          <w:b/>
          <w:sz w:val="18"/>
          <w:szCs w:val="18"/>
        </w:rPr>
        <w:t>Ecofin</w:t>
      </w:r>
      <w:proofErr w:type="spellEnd"/>
      <w:r w:rsidRPr="00460CFB">
        <w:rPr>
          <w:rFonts w:cs="Arial" w:asciiTheme="majorHAnsi" w:hAnsiTheme="majorHAnsi"/>
          <w:b/>
          <w:sz w:val="18"/>
          <w:szCs w:val="18"/>
        </w:rPr>
        <w:t xml:space="preserve"> ontbijt</w:t>
      </w:r>
    </w:p>
    <w:p w:rsidRPr="00460CFB" w:rsidR="003202E7" w:rsidP="003202E7" w:rsidRDefault="00552CB8">
      <w:pPr>
        <w:spacing w:line="360" w:lineRule="auto"/>
        <w:contextualSpacing/>
        <w:rPr>
          <w:rFonts w:cs="Arial" w:asciiTheme="majorHAnsi" w:hAnsiTheme="majorHAnsi"/>
          <w:sz w:val="18"/>
          <w:szCs w:val="18"/>
        </w:rPr>
      </w:pPr>
      <w:r w:rsidRPr="00460CFB">
        <w:rPr>
          <w:rFonts w:asciiTheme="majorHAnsi" w:hAnsiTheme="majorHAnsi"/>
          <w:sz w:val="18"/>
          <w:szCs w:val="18"/>
        </w:rPr>
        <w:t>Tijdens het ontbijt kregen de ministers een terugkoppeling uit de Eurogro</w:t>
      </w:r>
      <w:r w:rsidR="003E6D2B">
        <w:rPr>
          <w:rFonts w:asciiTheme="majorHAnsi" w:hAnsiTheme="majorHAnsi"/>
          <w:sz w:val="18"/>
          <w:szCs w:val="18"/>
        </w:rPr>
        <w:t>e</w:t>
      </w:r>
      <w:r w:rsidRPr="00460CFB">
        <w:rPr>
          <w:rFonts w:asciiTheme="majorHAnsi" w:hAnsiTheme="majorHAnsi"/>
          <w:sz w:val="18"/>
          <w:szCs w:val="18"/>
        </w:rPr>
        <w:t xml:space="preserve">p en een update over de economische situatie in de EU. De Commissie heeft daarnaast een toelichting gegeven over recente voorstellen </w:t>
      </w:r>
      <w:r w:rsidRPr="00460CFB" w:rsidR="009F5CEB">
        <w:rPr>
          <w:rFonts w:asciiTheme="majorHAnsi" w:hAnsiTheme="majorHAnsi"/>
          <w:sz w:val="18"/>
          <w:szCs w:val="18"/>
        </w:rPr>
        <w:t>in het kader van het Meerjarig Financieel Kader (MFK)</w:t>
      </w:r>
      <w:r w:rsidR="009F5CEB">
        <w:rPr>
          <w:rFonts w:asciiTheme="majorHAnsi" w:hAnsiTheme="majorHAnsi"/>
          <w:sz w:val="18"/>
          <w:szCs w:val="18"/>
        </w:rPr>
        <w:t xml:space="preserve">: </w:t>
      </w:r>
      <w:r w:rsidR="0013164B">
        <w:rPr>
          <w:rFonts w:asciiTheme="majorHAnsi" w:hAnsiTheme="majorHAnsi"/>
          <w:sz w:val="18"/>
          <w:szCs w:val="18"/>
        </w:rPr>
        <w:t xml:space="preserve">een </w:t>
      </w:r>
      <w:proofErr w:type="spellStart"/>
      <w:r w:rsidRPr="006B66FF" w:rsidR="0013164B">
        <w:rPr>
          <w:rFonts w:asciiTheme="majorHAnsi" w:hAnsiTheme="majorHAnsi"/>
          <w:i/>
          <w:sz w:val="18"/>
          <w:szCs w:val="18"/>
        </w:rPr>
        <w:t>Structural</w:t>
      </w:r>
      <w:proofErr w:type="spellEnd"/>
      <w:r w:rsidRPr="006B66FF" w:rsidR="0013164B">
        <w:rPr>
          <w:rFonts w:asciiTheme="majorHAnsi" w:hAnsiTheme="majorHAnsi"/>
          <w:i/>
          <w:sz w:val="18"/>
          <w:szCs w:val="18"/>
        </w:rPr>
        <w:t xml:space="preserve"> Reform Support </w:t>
      </w:r>
      <w:proofErr w:type="spellStart"/>
      <w:r w:rsidRPr="006B66FF" w:rsidR="0013164B">
        <w:rPr>
          <w:rFonts w:asciiTheme="majorHAnsi" w:hAnsiTheme="majorHAnsi"/>
          <w:i/>
          <w:sz w:val="18"/>
          <w:szCs w:val="18"/>
        </w:rPr>
        <w:t>Programme</w:t>
      </w:r>
      <w:proofErr w:type="spellEnd"/>
      <w:r w:rsidR="0013164B">
        <w:rPr>
          <w:rFonts w:asciiTheme="majorHAnsi" w:hAnsiTheme="majorHAnsi"/>
          <w:sz w:val="18"/>
          <w:szCs w:val="18"/>
        </w:rPr>
        <w:t xml:space="preserve"> (SRSP), </w:t>
      </w:r>
      <w:r w:rsidRPr="00460CFB">
        <w:rPr>
          <w:rFonts w:asciiTheme="majorHAnsi" w:hAnsiTheme="majorHAnsi"/>
          <w:sz w:val="18"/>
          <w:szCs w:val="18"/>
        </w:rPr>
        <w:t>een stabilisatiefunctie</w:t>
      </w:r>
      <w:r w:rsidR="0013164B">
        <w:rPr>
          <w:rFonts w:asciiTheme="majorHAnsi" w:hAnsiTheme="majorHAnsi"/>
          <w:sz w:val="18"/>
          <w:szCs w:val="18"/>
        </w:rPr>
        <w:t xml:space="preserve"> en een </w:t>
      </w:r>
      <w:proofErr w:type="spellStart"/>
      <w:r w:rsidR="0013164B">
        <w:rPr>
          <w:rFonts w:asciiTheme="majorHAnsi" w:hAnsiTheme="majorHAnsi"/>
          <w:sz w:val="18"/>
          <w:szCs w:val="18"/>
        </w:rPr>
        <w:t>InvestEU</w:t>
      </w:r>
      <w:proofErr w:type="spellEnd"/>
      <w:r w:rsidR="0013164B">
        <w:rPr>
          <w:rFonts w:asciiTheme="majorHAnsi" w:hAnsiTheme="majorHAnsi"/>
          <w:sz w:val="18"/>
          <w:szCs w:val="18"/>
        </w:rPr>
        <w:t xml:space="preserve"> fonds</w:t>
      </w:r>
      <w:r w:rsidRPr="00460CFB">
        <w:rPr>
          <w:rFonts w:asciiTheme="majorHAnsi" w:hAnsiTheme="majorHAnsi"/>
          <w:sz w:val="18"/>
          <w:szCs w:val="18"/>
        </w:rPr>
        <w:t>. Ook is</w:t>
      </w:r>
      <w:r w:rsidR="009F5CEB">
        <w:rPr>
          <w:rFonts w:asciiTheme="majorHAnsi" w:hAnsiTheme="majorHAnsi"/>
          <w:sz w:val="18"/>
          <w:szCs w:val="18"/>
        </w:rPr>
        <w:t xml:space="preserve"> tijdens het ontbijt</w:t>
      </w:r>
      <w:r w:rsidRPr="00460CFB">
        <w:rPr>
          <w:rFonts w:asciiTheme="majorHAnsi" w:hAnsiTheme="majorHAnsi"/>
          <w:sz w:val="18"/>
          <w:szCs w:val="18"/>
        </w:rPr>
        <w:t xml:space="preserve"> gesproken over de belastinghervorming in de Verenigde Staten (VS). Mogelijk stuurt de Commissie </w:t>
      </w:r>
      <w:r w:rsidRPr="00460CFB" w:rsidR="003202E7">
        <w:rPr>
          <w:rFonts w:asciiTheme="majorHAnsi" w:hAnsiTheme="majorHAnsi"/>
          <w:sz w:val="18"/>
          <w:szCs w:val="18"/>
        </w:rPr>
        <w:t xml:space="preserve">hierover </w:t>
      </w:r>
      <w:r w:rsidRPr="00460CFB">
        <w:rPr>
          <w:rFonts w:asciiTheme="majorHAnsi" w:hAnsiTheme="majorHAnsi"/>
          <w:sz w:val="18"/>
          <w:szCs w:val="18"/>
        </w:rPr>
        <w:t xml:space="preserve">een brief aan de minister van Financiën van de VS. Nederland heeft separaat </w:t>
      </w:r>
      <w:r w:rsidRPr="00460CFB" w:rsidR="003202E7">
        <w:rPr>
          <w:rFonts w:asciiTheme="majorHAnsi" w:hAnsiTheme="majorHAnsi"/>
          <w:sz w:val="18"/>
          <w:szCs w:val="18"/>
        </w:rPr>
        <w:t xml:space="preserve">bij de Commissie aangedrongen om </w:t>
      </w:r>
      <w:r w:rsidRPr="00460CFB" w:rsidR="003202E7">
        <w:rPr>
          <w:rFonts w:cs="Arial" w:asciiTheme="majorHAnsi" w:hAnsiTheme="majorHAnsi"/>
          <w:sz w:val="18"/>
          <w:szCs w:val="18"/>
        </w:rPr>
        <w:t xml:space="preserve">in dit kader </w:t>
      </w:r>
      <w:r w:rsidRPr="00460CFB">
        <w:rPr>
          <w:rFonts w:asciiTheme="majorHAnsi" w:hAnsiTheme="majorHAnsi"/>
          <w:sz w:val="18"/>
          <w:szCs w:val="18"/>
        </w:rPr>
        <w:t xml:space="preserve">de fiscale </w:t>
      </w:r>
      <w:r w:rsidRPr="00460CFB">
        <w:rPr>
          <w:rFonts w:cs="Arial" w:asciiTheme="majorHAnsi" w:hAnsiTheme="majorHAnsi"/>
          <w:sz w:val="18"/>
          <w:szCs w:val="18"/>
        </w:rPr>
        <w:t>positie van in Europa wonende Amerikanen aan de orde te stellen</w:t>
      </w:r>
      <w:r w:rsidRPr="00460CFB" w:rsidR="003202E7">
        <w:rPr>
          <w:rFonts w:cs="Arial" w:asciiTheme="majorHAnsi" w:hAnsiTheme="majorHAnsi"/>
          <w:sz w:val="18"/>
          <w:szCs w:val="18"/>
        </w:rPr>
        <w:t>.</w:t>
      </w:r>
    </w:p>
    <w:p w:rsidRPr="00460CFB" w:rsidR="002E3B61" w:rsidP="003202E7" w:rsidRDefault="002E3B61">
      <w:pPr>
        <w:spacing w:line="360" w:lineRule="auto"/>
        <w:contextualSpacing/>
        <w:rPr>
          <w:rFonts w:cs="Arial" w:asciiTheme="majorHAnsi" w:hAnsiTheme="majorHAnsi"/>
          <w:b/>
          <w:sz w:val="18"/>
          <w:szCs w:val="18"/>
        </w:rPr>
      </w:pPr>
    </w:p>
    <w:p w:rsidRPr="00460CFB" w:rsidR="00455F77" w:rsidP="003202E7" w:rsidRDefault="00455F77">
      <w:pPr>
        <w:spacing w:line="360" w:lineRule="auto"/>
        <w:contextualSpacing/>
        <w:rPr>
          <w:rFonts w:asciiTheme="majorHAnsi" w:hAnsiTheme="majorHAnsi"/>
          <w:b/>
          <w:bCs/>
          <w:sz w:val="18"/>
          <w:szCs w:val="18"/>
        </w:rPr>
      </w:pPr>
      <w:r w:rsidRPr="00460CFB">
        <w:rPr>
          <w:rFonts w:asciiTheme="majorHAnsi" w:hAnsiTheme="majorHAnsi"/>
          <w:b/>
          <w:bCs/>
          <w:sz w:val="18"/>
          <w:szCs w:val="18"/>
        </w:rPr>
        <w:t>Btw algemene verleggingsregeling</w:t>
      </w:r>
    </w:p>
    <w:p w:rsidR="003202E7" w:rsidP="003202E7" w:rsidRDefault="00460CFB">
      <w:pPr>
        <w:spacing w:line="360" w:lineRule="auto"/>
        <w:rPr>
          <w:rFonts w:asciiTheme="majorHAnsi" w:hAnsiTheme="majorHAnsi"/>
          <w:sz w:val="18"/>
          <w:szCs w:val="18"/>
        </w:rPr>
      </w:pPr>
      <w:r w:rsidRPr="00460CFB">
        <w:rPr>
          <w:rFonts w:asciiTheme="majorHAnsi" w:hAnsiTheme="majorHAnsi"/>
          <w:sz w:val="18"/>
          <w:szCs w:val="18"/>
        </w:rPr>
        <w:lastRenderedPageBreak/>
        <w:t xml:space="preserve">Tijdens de </w:t>
      </w:r>
      <w:proofErr w:type="spellStart"/>
      <w:r w:rsidRPr="00460CFB">
        <w:rPr>
          <w:rFonts w:asciiTheme="majorHAnsi" w:hAnsiTheme="majorHAnsi"/>
          <w:sz w:val="18"/>
          <w:szCs w:val="18"/>
        </w:rPr>
        <w:t>Ecofinraad</w:t>
      </w:r>
      <w:proofErr w:type="spellEnd"/>
      <w:r w:rsidRPr="00460CFB">
        <w:rPr>
          <w:rFonts w:asciiTheme="majorHAnsi" w:hAnsiTheme="majorHAnsi"/>
          <w:sz w:val="18"/>
          <w:szCs w:val="18"/>
        </w:rPr>
        <w:t xml:space="preserve"> is wederom </w:t>
      </w:r>
      <w:r w:rsidRPr="00460CFB" w:rsidR="00BB7F92">
        <w:rPr>
          <w:rFonts w:asciiTheme="majorHAnsi" w:hAnsiTheme="majorHAnsi"/>
          <w:sz w:val="18"/>
          <w:szCs w:val="18"/>
        </w:rPr>
        <w:t>gesproken</w:t>
      </w:r>
      <w:r w:rsidRPr="00460CFB">
        <w:rPr>
          <w:rFonts w:asciiTheme="majorHAnsi" w:hAnsiTheme="majorHAnsi"/>
          <w:sz w:val="18"/>
          <w:szCs w:val="18"/>
        </w:rPr>
        <w:t xml:space="preserve"> over het voorstel voor een tijdelijke toepassing van een algemene verleggingsregeling voor leveringen van goederen en diensten boven een bepaalde drempel. Nederland steunt het voorstel om lidstaten de mogelijkheid te bieden tijdelijk een algemene verleggingsregeling te hanteren. Het voorstel biedt lidstaten die zeer ernstige btw-carrouselfraude ondervinden en geen andere mogelijkheid hebben dit goed te beteugelen naar verwachting een effectieve maatregel. Dit dossier ligt stil sinds een blokkade in </w:t>
      </w:r>
      <w:r w:rsidR="00111E13">
        <w:rPr>
          <w:rFonts w:asciiTheme="majorHAnsi" w:hAnsiTheme="majorHAnsi"/>
          <w:sz w:val="18"/>
          <w:szCs w:val="18"/>
        </w:rPr>
        <w:t xml:space="preserve">de </w:t>
      </w:r>
      <w:proofErr w:type="spellStart"/>
      <w:r w:rsidRPr="00460CFB">
        <w:rPr>
          <w:rFonts w:asciiTheme="majorHAnsi" w:hAnsiTheme="majorHAnsi"/>
          <w:sz w:val="18"/>
          <w:szCs w:val="18"/>
        </w:rPr>
        <w:t>Ecofinraad</w:t>
      </w:r>
      <w:proofErr w:type="spellEnd"/>
      <w:r w:rsidRPr="00460CFB">
        <w:rPr>
          <w:rFonts w:asciiTheme="majorHAnsi" w:hAnsiTheme="majorHAnsi"/>
          <w:sz w:val="18"/>
          <w:szCs w:val="18"/>
        </w:rPr>
        <w:t xml:space="preserve"> van juni 2017. Het Bulgaarse voorzitterschap wilde de discussie graag weer openen. De blokkade (in samenhang met de onderhandelingen over het voorstel over e-</w:t>
      </w:r>
      <w:proofErr w:type="spellStart"/>
      <w:r w:rsidRPr="00460CFB">
        <w:rPr>
          <w:rFonts w:asciiTheme="majorHAnsi" w:hAnsiTheme="majorHAnsi"/>
          <w:sz w:val="18"/>
          <w:szCs w:val="18"/>
        </w:rPr>
        <w:t>publications</w:t>
      </w:r>
      <w:proofErr w:type="spellEnd"/>
      <w:r w:rsidRPr="00460CFB">
        <w:rPr>
          <w:rFonts w:asciiTheme="majorHAnsi" w:hAnsiTheme="majorHAnsi"/>
          <w:sz w:val="18"/>
          <w:szCs w:val="18"/>
        </w:rPr>
        <w:t xml:space="preserve">) werd deze </w:t>
      </w:r>
      <w:proofErr w:type="spellStart"/>
      <w:r w:rsidRPr="00460CFB">
        <w:rPr>
          <w:rFonts w:asciiTheme="majorHAnsi" w:hAnsiTheme="majorHAnsi"/>
          <w:sz w:val="18"/>
          <w:szCs w:val="18"/>
        </w:rPr>
        <w:t>Ecofinraad</w:t>
      </w:r>
      <w:proofErr w:type="spellEnd"/>
      <w:r w:rsidRPr="00460CFB">
        <w:rPr>
          <w:rFonts w:asciiTheme="majorHAnsi" w:hAnsiTheme="majorHAnsi"/>
          <w:sz w:val="18"/>
          <w:szCs w:val="18"/>
        </w:rPr>
        <w:t xml:space="preserve"> echter niet opgeheven. Enkele lidstaten konden niet akkoord gaan met de pilot over een tijdelijke algemene verleggingsregeling. Deze lidstaten vrezen voor een verschuiving van de btw fraude naar de lidstaten die geen verleggingsregeling toepassen. Verder zou deze pilot een belemmering kunnen zijn voor het invoeren van verdergaande </w:t>
      </w:r>
      <w:r w:rsidR="006B66FF">
        <w:rPr>
          <w:rFonts w:asciiTheme="majorHAnsi" w:hAnsiTheme="majorHAnsi"/>
          <w:sz w:val="18"/>
          <w:szCs w:val="18"/>
        </w:rPr>
        <w:t>btw-</w:t>
      </w:r>
      <w:r w:rsidRPr="00460CFB">
        <w:rPr>
          <w:rFonts w:asciiTheme="majorHAnsi" w:hAnsiTheme="majorHAnsi"/>
          <w:sz w:val="18"/>
          <w:szCs w:val="18"/>
        </w:rPr>
        <w:t xml:space="preserve">voorstellen zoals het zogenoemde definitieve systeem. </w:t>
      </w:r>
      <w:r w:rsidR="00BB7F92">
        <w:rPr>
          <w:rFonts w:asciiTheme="majorHAnsi" w:hAnsiTheme="majorHAnsi"/>
          <w:sz w:val="18"/>
          <w:szCs w:val="18"/>
        </w:rPr>
        <w:t>Afgesproken is de komende maanden te onderzoeken of een bijstelling van de voorstellen mogelijk is, zodat hierover consensus kan worden bereikt.</w:t>
      </w:r>
    </w:p>
    <w:p w:rsidRPr="00460CFB" w:rsidR="00BB7F92" w:rsidP="003202E7" w:rsidRDefault="00BB7F92">
      <w:pPr>
        <w:spacing w:line="360" w:lineRule="auto"/>
        <w:rPr>
          <w:rFonts w:asciiTheme="majorHAnsi" w:hAnsiTheme="majorHAnsi"/>
          <w:b/>
          <w:bCs/>
          <w:sz w:val="18"/>
          <w:szCs w:val="18"/>
        </w:rPr>
      </w:pPr>
    </w:p>
    <w:p w:rsidRPr="00460CFB" w:rsidR="003202E7" w:rsidP="003202E7" w:rsidRDefault="003202E7">
      <w:pPr>
        <w:spacing w:line="360" w:lineRule="auto"/>
        <w:rPr>
          <w:rFonts w:asciiTheme="majorHAnsi" w:hAnsiTheme="majorHAnsi"/>
          <w:b/>
          <w:bCs/>
          <w:sz w:val="18"/>
          <w:szCs w:val="18"/>
        </w:rPr>
      </w:pPr>
      <w:r w:rsidRPr="00460CFB">
        <w:rPr>
          <w:rFonts w:asciiTheme="majorHAnsi" w:hAnsiTheme="majorHAnsi"/>
          <w:b/>
          <w:bCs/>
          <w:sz w:val="18"/>
          <w:szCs w:val="18"/>
        </w:rPr>
        <w:t>Btw e-publicaties</w:t>
      </w:r>
    </w:p>
    <w:p w:rsidR="00460CFB" w:rsidP="003202E7" w:rsidRDefault="003202E7">
      <w:pPr>
        <w:spacing w:line="360" w:lineRule="auto"/>
        <w:rPr>
          <w:rFonts w:asciiTheme="majorHAnsi" w:hAnsiTheme="majorHAnsi"/>
          <w:sz w:val="18"/>
          <w:szCs w:val="18"/>
        </w:rPr>
      </w:pPr>
      <w:r w:rsidRPr="00460CFB">
        <w:rPr>
          <w:rFonts w:asciiTheme="majorHAnsi" w:hAnsiTheme="majorHAnsi"/>
          <w:sz w:val="18"/>
          <w:szCs w:val="18"/>
        </w:rPr>
        <w:t xml:space="preserve">Tijdens de </w:t>
      </w:r>
      <w:proofErr w:type="spellStart"/>
      <w:r w:rsidRPr="00460CFB">
        <w:rPr>
          <w:rFonts w:asciiTheme="majorHAnsi" w:hAnsiTheme="majorHAnsi"/>
          <w:sz w:val="18"/>
          <w:szCs w:val="18"/>
        </w:rPr>
        <w:t>Ecofinraad</w:t>
      </w:r>
      <w:proofErr w:type="spellEnd"/>
      <w:r w:rsidRPr="00460CFB">
        <w:rPr>
          <w:rFonts w:asciiTheme="majorHAnsi" w:hAnsiTheme="majorHAnsi"/>
          <w:sz w:val="18"/>
          <w:szCs w:val="18"/>
        </w:rPr>
        <w:t xml:space="preserve"> is </w:t>
      </w:r>
      <w:r w:rsidRPr="00460CFB" w:rsidR="00460CFB">
        <w:rPr>
          <w:rFonts w:asciiTheme="majorHAnsi" w:hAnsiTheme="majorHAnsi"/>
          <w:sz w:val="18"/>
          <w:szCs w:val="18"/>
        </w:rPr>
        <w:t xml:space="preserve">ook </w:t>
      </w:r>
      <w:r w:rsidRPr="00460CFB">
        <w:rPr>
          <w:rFonts w:asciiTheme="majorHAnsi" w:hAnsiTheme="majorHAnsi"/>
          <w:sz w:val="18"/>
          <w:szCs w:val="18"/>
        </w:rPr>
        <w:t xml:space="preserve">wederom gesproken over het richtlijnvoorstel </w:t>
      </w:r>
      <w:r w:rsidRPr="006B66FF">
        <w:rPr>
          <w:rFonts w:asciiTheme="majorHAnsi" w:hAnsiTheme="majorHAnsi"/>
          <w:i/>
          <w:sz w:val="18"/>
          <w:szCs w:val="18"/>
        </w:rPr>
        <w:t>e-</w:t>
      </w:r>
      <w:proofErr w:type="spellStart"/>
      <w:r w:rsidRPr="006B66FF">
        <w:rPr>
          <w:rFonts w:asciiTheme="majorHAnsi" w:hAnsiTheme="majorHAnsi"/>
          <w:i/>
          <w:sz w:val="18"/>
          <w:szCs w:val="18"/>
        </w:rPr>
        <w:t>publications</w:t>
      </w:r>
      <w:proofErr w:type="spellEnd"/>
      <w:r w:rsidRPr="00460CFB">
        <w:rPr>
          <w:rFonts w:asciiTheme="majorHAnsi" w:hAnsiTheme="majorHAnsi"/>
          <w:sz w:val="18"/>
          <w:szCs w:val="18"/>
        </w:rPr>
        <w:t>. Nederland is voorstander van de gelijke behandeling van digitale en fysieke publicaties en steunt het voorstel. Het is op basis van de btw-richtlijn momenteel niet mogelijk om elektronische diensten tegen het verlaagde btw-tarief te belasten. Met dit voorstel wordt een uitzondering gemaakt voor bepaalde elektronische diensten, zijnde: de levering, ook bij uitlening door bibliotheken, van boeken, kranten en tijdschriften, voor zover niet uitsluitend of hoofdzakelijk reclamemateriaal en voor zover niet uitsluitend of hoofdzakelijk bestaande uit muziek of video. Hiermee wordt een gelijke btw-behandeling van elektronische en fysieke publicaties tegen het verlaag</w:t>
      </w:r>
      <w:r w:rsidRPr="00460CFB" w:rsidR="00460CFB">
        <w:rPr>
          <w:rFonts w:asciiTheme="majorHAnsi" w:hAnsiTheme="majorHAnsi"/>
          <w:sz w:val="18"/>
          <w:szCs w:val="18"/>
        </w:rPr>
        <w:t xml:space="preserve">de btw-tarief mogelijk gemaakt. </w:t>
      </w:r>
      <w:r w:rsidRPr="00460CFB">
        <w:rPr>
          <w:rFonts w:asciiTheme="majorHAnsi" w:hAnsiTheme="majorHAnsi"/>
          <w:sz w:val="18"/>
          <w:szCs w:val="18"/>
        </w:rPr>
        <w:t xml:space="preserve">Ook deze keer is in de </w:t>
      </w:r>
      <w:proofErr w:type="spellStart"/>
      <w:r w:rsidRPr="00460CFB">
        <w:rPr>
          <w:rFonts w:asciiTheme="majorHAnsi" w:hAnsiTheme="majorHAnsi"/>
          <w:sz w:val="18"/>
          <w:szCs w:val="18"/>
        </w:rPr>
        <w:t>Ecofinraad</w:t>
      </w:r>
      <w:proofErr w:type="spellEnd"/>
      <w:r w:rsidRPr="00460CFB">
        <w:rPr>
          <w:rFonts w:asciiTheme="majorHAnsi" w:hAnsiTheme="majorHAnsi"/>
          <w:sz w:val="18"/>
          <w:szCs w:val="18"/>
        </w:rPr>
        <w:t xml:space="preserve"> geen akkoord bereikt omdat niet alle lidstaten steun konden uitspreken voor het voorstel.</w:t>
      </w:r>
    </w:p>
    <w:p w:rsidR="00460CFB" w:rsidP="003202E7" w:rsidRDefault="00460CFB">
      <w:pPr>
        <w:spacing w:line="360" w:lineRule="auto"/>
        <w:rPr>
          <w:rFonts w:asciiTheme="majorHAnsi" w:hAnsiTheme="majorHAnsi"/>
          <w:sz w:val="18"/>
          <w:szCs w:val="18"/>
        </w:rPr>
      </w:pPr>
    </w:p>
    <w:p w:rsidRPr="00460CFB" w:rsidR="00455F77" w:rsidP="003202E7" w:rsidRDefault="00455F77">
      <w:pPr>
        <w:spacing w:line="360" w:lineRule="auto"/>
        <w:rPr>
          <w:rFonts w:asciiTheme="majorHAnsi" w:hAnsiTheme="majorHAnsi"/>
          <w:sz w:val="18"/>
          <w:szCs w:val="18"/>
        </w:rPr>
      </w:pPr>
      <w:r w:rsidRPr="00460CFB">
        <w:rPr>
          <w:rFonts w:cs="Arial" w:asciiTheme="majorHAnsi" w:hAnsiTheme="majorHAnsi"/>
          <w:b/>
          <w:sz w:val="18"/>
          <w:szCs w:val="18"/>
        </w:rPr>
        <w:t>Presentatie van het Werkprogramma van het voorzitterschap</w:t>
      </w:r>
    </w:p>
    <w:p w:rsidRPr="00460CFB" w:rsidR="00455F77" w:rsidP="003202E7" w:rsidRDefault="00453FBC">
      <w:pPr>
        <w:spacing w:line="360" w:lineRule="auto"/>
        <w:contextualSpacing/>
        <w:rPr>
          <w:rFonts w:eastAsia="Calibri" w:asciiTheme="majorHAnsi" w:hAnsiTheme="majorHAnsi"/>
          <w:sz w:val="18"/>
          <w:szCs w:val="18"/>
        </w:rPr>
      </w:pPr>
      <w:r w:rsidRPr="00460CFB">
        <w:rPr>
          <w:rFonts w:eastAsia="Calibri" w:asciiTheme="majorHAnsi" w:hAnsiTheme="majorHAnsi"/>
          <w:sz w:val="18"/>
          <w:szCs w:val="18"/>
        </w:rPr>
        <w:t xml:space="preserve">De tweede helft van 2018 is Oostenrijk de voorzitter van de Raad. </w:t>
      </w:r>
      <w:r w:rsidRPr="00460CFB" w:rsidR="00B40E18">
        <w:rPr>
          <w:rFonts w:asciiTheme="majorHAnsi" w:hAnsiTheme="majorHAnsi"/>
          <w:sz w:val="18"/>
          <w:szCs w:val="18"/>
        </w:rPr>
        <w:t xml:space="preserve">Tijdens de </w:t>
      </w:r>
      <w:proofErr w:type="spellStart"/>
      <w:r w:rsidRPr="00460CFB" w:rsidR="00B40E18">
        <w:rPr>
          <w:rFonts w:asciiTheme="majorHAnsi" w:hAnsiTheme="majorHAnsi"/>
          <w:sz w:val="18"/>
          <w:szCs w:val="18"/>
        </w:rPr>
        <w:t>Ecofinraad</w:t>
      </w:r>
      <w:proofErr w:type="spellEnd"/>
      <w:r w:rsidRPr="00460CFB" w:rsidR="00B40E18">
        <w:rPr>
          <w:rFonts w:asciiTheme="majorHAnsi" w:hAnsiTheme="majorHAnsi"/>
          <w:sz w:val="18"/>
          <w:szCs w:val="18"/>
        </w:rPr>
        <w:t xml:space="preserve"> heeft Oostenrijk </w:t>
      </w:r>
      <w:r w:rsidRPr="00460CFB">
        <w:rPr>
          <w:rFonts w:asciiTheme="majorHAnsi" w:hAnsiTheme="majorHAnsi"/>
          <w:sz w:val="18"/>
          <w:szCs w:val="18"/>
        </w:rPr>
        <w:t>het</w:t>
      </w:r>
      <w:r w:rsidRPr="00460CFB" w:rsidR="00B40E18">
        <w:rPr>
          <w:rFonts w:asciiTheme="majorHAnsi" w:hAnsiTheme="majorHAnsi"/>
          <w:sz w:val="18"/>
          <w:szCs w:val="18"/>
        </w:rPr>
        <w:t xml:space="preserve"> werkprogramma van haar voorzitterschap</w:t>
      </w:r>
      <w:r w:rsidRPr="00460CFB">
        <w:rPr>
          <w:rFonts w:asciiTheme="majorHAnsi" w:hAnsiTheme="majorHAnsi"/>
          <w:sz w:val="18"/>
          <w:szCs w:val="18"/>
        </w:rPr>
        <w:t xml:space="preserve"> ten aanzien van financieel-economische thema’s gepresenteerd</w:t>
      </w:r>
      <w:r w:rsidRPr="00460CFB" w:rsidR="00B40E18">
        <w:rPr>
          <w:rFonts w:asciiTheme="majorHAnsi" w:hAnsiTheme="majorHAnsi"/>
          <w:sz w:val="18"/>
          <w:szCs w:val="18"/>
        </w:rPr>
        <w:t xml:space="preserve">. </w:t>
      </w:r>
      <w:r w:rsidRPr="00460CFB" w:rsidR="00455F77">
        <w:rPr>
          <w:rFonts w:eastAsia="Calibri" w:asciiTheme="majorHAnsi" w:hAnsiTheme="majorHAnsi"/>
          <w:sz w:val="18"/>
          <w:szCs w:val="18"/>
        </w:rPr>
        <w:t xml:space="preserve">In de </w:t>
      </w:r>
      <w:proofErr w:type="spellStart"/>
      <w:r w:rsidRPr="00460CFB" w:rsidR="00455F77">
        <w:rPr>
          <w:rFonts w:eastAsia="Calibri" w:asciiTheme="majorHAnsi" w:hAnsiTheme="majorHAnsi"/>
          <w:sz w:val="18"/>
          <w:szCs w:val="18"/>
        </w:rPr>
        <w:t>Ecofinraad</w:t>
      </w:r>
      <w:proofErr w:type="spellEnd"/>
      <w:r w:rsidRPr="00460CFB" w:rsidR="00455F77">
        <w:rPr>
          <w:rFonts w:eastAsia="Calibri" w:asciiTheme="majorHAnsi" w:hAnsiTheme="majorHAnsi"/>
          <w:sz w:val="18"/>
          <w:szCs w:val="18"/>
        </w:rPr>
        <w:t xml:space="preserve"> geeft Oostenrijk prioriteit aan het agenderen van de voltooiing van de bankenunie, het verder ontwikkelen van de kapitaalmarktunie, het verdiepen en versterken van gecoördineerd economisch beleid en het vergroten van efficiëntie ten aanzien van belastingen. Het volledige programma is te vinden op de website van het Oostenrijkse voorzitterschap</w:t>
      </w:r>
      <w:r w:rsidR="0013164B">
        <w:rPr>
          <w:rFonts w:eastAsia="Calibri" w:asciiTheme="majorHAnsi" w:hAnsiTheme="majorHAnsi"/>
          <w:sz w:val="18"/>
          <w:szCs w:val="18"/>
        </w:rPr>
        <w:t>.</w:t>
      </w:r>
      <w:r w:rsidRPr="00460CFB" w:rsidR="00455F77">
        <w:rPr>
          <w:rFonts w:eastAsia="Calibri" w:asciiTheme="majorHAnsi" w:hAnsiTheme="majorHAnsi"/>
          <w:sz w:val="18"/>
          <w:szCs w:val="18"/>
          <w:vertAlign w:val="superscript"/>
        </w:rPr>
        <w:footnoteReference w:id="12"/>
      </w:r>
      <w:r w:rsidRPr="00460CFB" w:rsidR="00455F77">
        <w:rPr>
          <w:rFonts w:eastAsia="Calibri" w:asciiTheme="majorHAnsi" w:hAnsiTheme="majorHAnsi"/>
          <w:sz w:val="18"/>
          <w:szCs w:val="18"/>
        </w:rPr>
        <w:t xml:space="preserve"> </w:t>
      </w:r>
    </w:p>
    <w:p w:rsidRPr="00460CFB" w:rsidR="00B40E18" w:rsidP="003202E7" w:rsidRDefault="00B40E18">
      <w:pPr>
        <w:spacing w:line="360" w:lineRule="auto"/>
        <w:contextualSpacing/>
        <w:rPr>
          <w:rFonts w:eastAsia="Calibri" w:asciiTheme="majorHAnsi" w:hAnsiTheme="majorHAnsi"/>
          <w:sz w:val="18"/>
          <w:szCs w:val="18"/>
        </w:rPr>
      </w:pPr>
    </w:p>
    <w:p w:rsidRPr="00460CFB" w:rsidR="00455F77" w:rsidP="003202E7" w:rsidRDefault="00455F77">
      <w:pPr>
        <w:spacing w:line="360" w:lineRule="auto"/>
        <w:contextualSpacing/>
        <w:rPr>
          <w:rFonts w:eastAsia="Calibri" w:asciiTheme="majorHAnsi" w:hAnsiTheme="majorHAnsi"/>
          <w:b/>
          <w:sz w:val="18"/>
          <w:szCs w:val="18"/>
        </w:rPr>
      </w:pPr>
      <w:r w:rsidRPr="00460CFB">
        <w:rPr>
          <w:rFonts w:eastAsia="Calibri" w:asciiTheme="majorHAnsi" w:hAnsiTheme="majorHAnsi"/>
          <w:b/>
          <w:sz w:val="18"/>
          <w:szCs w:val="18"/>
        </w:rPr>
        <w:t xml:space="preserve">Follow-up </w:t>
      </w:r>
      <w:r w:rsidR="00460CFB">
        <w:rPr>
          <w:rFonts w:eastAsia="Calibri" w:asciiTheme="majorHAnsi" w:hAnsiTheme="majorHAnsi"/>
          <w:b/>
          <w:sz w:val="18"/>
          <w:szCs w:val="18"/>
        </w:rPr>
        <w:t>Europese Raad</w:t>
      </w:r>
    </w:p>
    <w:p w:rsidR="00460CFB" w:rsidP="00460CFB" w:rsidRDefault="00460CFB">
      <w:pPr>
        <w:spacing w:line="360" w:lineRule="auto"/>
        <w:contextualSpacing/>
        <w:rPr>
          <w:rFonts w:cs="Arial" w:asciiTheme="majorHAnsi" w:hAnsiTheme="majorHAnsi"/>
          <w:sz w:val="18"/>
          <w:szCs w:val="18"/>
        </w:rPr>
      </w:pPr>
      <w:r w:rsidRPr="00460CFB">
        <w:rPr>
          <w:rFonts w:eastAsia="Calibri" w:asciiTheme="majorHAnsi" w:hAnsiTheme="majorHAnsi"/>
          <w:sz w:val="18"/>
          <w:szCs w:val="18"/>
        </w:rPr>
        <w:t>Ook tijdens de</w:t>
      </w:r>
      <w:r w:rsidRPr="00460CFB" w:rsidR="00455F77">
        <w:rPr>
          <w:rFonts w:cs="Arial" w:asciiTheme="majorHAnsi" w:hAnsiTheme="majorHAnsi"/>
          <w:sz w:val="18"/>
          <w:szCs w:val="18"/>
        </w:rPr>
        <w:t xml:space="preserve"> </w:t>
      </w:r>
      <w:proofErr w:type="spellStart"/>
      <w:r w:rsidRPr="00460CFB" w:rsidR="00455F77">
        <w:rPr>
          <w:rFonts w:cs="Arial" w:asciiTheme="majorHAnsi" w:hAnsiTheme="majorHAnsi"/>
          <w:sz w:val="18"/>
          <w:szCs w:val="18"/>
        </w:rPr>
        <w:t>Ecofinraad</w:t>
      </w:r>
      <w:proofErr w:type="spellEnd"/>
      <w:r w:rsidRPr="00460CFB" w:rsidR="00455F77">
        <w:rPr>
          <w:rFonts w:cs="Arial" w:asciiTheme="majorHAnsi" w:hAnsiTheme="majorHAnsi"/>
          <w:sz w:val="18"/>
          <w:szCs w:val="18"/>
        </w:rPr>
        <w:t xml:space="preserve"> </w:t>
      </w:r>
      <w:r>
        <w:rPr>
          <w:rFonts w:cs="Arial" w:asciiTheme="majorHAnsi" w:hAnsiTheme="majorHAnsi"/>
          <w:sz w:val="18"/>
          <w:szCs w:val="18"/>
        </w:rPr>
        <w:t xml:space="preserve">is stilgestaan bij de uitkomst van de </w:t>
      </w:r>
      <w:r w:rsidRPr="00460CFB" w:rsidR="00455F77">
        <w:rPr>
          <w:rFonts w:cs="Arial" w:asciiTheme="majorHAnsi" w:hAnsiTheme="majorHAnsi"/>
          <w:sz w:val="18"/>
          <w:szCs w:val="18"/>
        </w:rPr>
        <w:t xml:space="preserve">Europese Raad van </w:t>
      </w:r>
      <w:r w:rsidR="0013164B">
        <w:rPr>
          <w:rFonts w:cs="Arial" w:asciiTheme="majorHAnsi" w:hAnsiTheme="majorHAnsi"/>
          <w:sz w:val="18"/>
          <w:szCs w:val="18"/>
        </w:rPr>
        <w:t xml:space="preserve">28 en </w:t>
      </w:r>
      <w:r w:rsidRPr="00460CFB" w:rsidR="00455F77">
        <w:rPr>
          <w:rFonts w:cs="Arial" w:asciiTheme="majorHAnsi" w:hAnsiTheme="majorHAnsi"/>
          <w:sz w:val="18"/>
          <w:szCs w:val="18"/>
        </w:rPr>
        <w:t>29 juni</w:t>
      </w:r>
      <w:r>
        <w:rPr>
          <w:rFonts w:cs="Arial" w:asciiTheme="majorHAnsi" w:hAnsiTheme="majorHAnsi"/>
          <w:sz w:val="18"/>
          <w:szCs w:val="18"/>
        </w:rPr>
        <w:t xml:space="preserve"> jl.</w:t>
      </w:r>
      <w:r w:rsidR="0013164B">
        <w:rPr>
          <w:rFonts w:cs="Arial" w:asciiTheme="majorHAnsi" w:hAnsiTheme="majorHAnsi"/>
          <w:sz w:val="18"/>
          <w:szCs w:val="18"/>
        </w:rPr>
        <w:t xml:space="preserve"> </w:t>
      </w:r>
      <w:r>
        <w:rPr>
          <w:rFonts w:cs="Arial" w:asciiTheme="majorHAnsi" w:hAnsiTheme="majorHAnsi"/>
          <w:sz w:val="18"/>
          <w:szCs w:val="18"/>
        </w:rPr>
        <w:t xml:space="preserve">Er volgde een korte terugkoppeling en daarna was er weinig discussie. Sommige lidstaten </w:t>
      </w:r>
      <w:r w:rsidR="0013164B">
        <w:rPr>
          <w:rFonts w:cs="Arial" w:asciiTheme="majorHAnsi" w:hAnsiTheme="majorHAnsi"/>
          <w:sz w:val="18"/>
          <w:szCs w:val="18"/>
        </w:rPr>
        <w:t>gaven aan</w:t>
      </w:r>
      <w:r>
        <w:rPr>
          <w:rFonts w:cs="Arial" w:asciiTheme="majorHAnsi" w:hAnsiTheme="majorHAnsi"/>
          <w:sz w:val="18"/>
          <w:szCs w:val="18"/>
        </w:rPr>
        <w:t xml:space="preserve"> dat in de conclusies van de Europese Raad </w:t>
      </w:r>
      <w:r w:rsidR="0013164B">
        <w:rPr>
          <w:rFonts w:cs="Arial" w:asciiTheme="majorHAnsi" w:hAnsiTheme="majorHAnsi"/>
          <w:sz w:val="18"/>
          <w:szCs w:val="18"/>
        </w:rPr>
        <w:t xml:space="preserve">naast de focus op de bankenunie en versterking </w:t>
      </w:r>
      <w:r w:rsidR="0013164B">
        <w:rPr>
          <w:rFonts w:cs="Arial" w:asciiTheme="majorHAnsi" w:hAnsiTheme="majorHAnsi"/>
          <w:sz w:val="18"/>
          <w:szCs w:val="18"/>
        </w:rPr>
        <w:lastRenderedPageBreak/>
        <w:t xml:space="preserve">van het ESM </w:t>
      </w:r>
      <w:r>
        <w:rPr>
          <w:rFonts w:cs="Arial" w:asciiTheme="majorHAnsi" w:hAnsiTheme="majorHAnsi"/>
          <w:sz w:val="18"/>
          <w:szCs w:val="18"/>
        </w:rPr>
        <w:t>ook belasting</w:t>
      </w:r>
      <w:r w:rsidR="0013164B">
        <w:rPr>
          <w:rFonts w:cs="Arial" w:asciiTheme="majorHAnsi" w:hAnsiTheme="majorHAnsi"/>
          <w:sz w:val="18"/>
          <w:szCs w:val="18"/>
        </w:rPr>
        <w:t xml:space="preserve">elementen terugkomen waar verder aan gewerkt </w:t>
      </w:r>
      <w:r w:rsidR="00A0533E">
        <w:rPr>
          <w:rFonts w:cs="Arial" w:asciiTheme="majorHAnsi" w:hAnsiTheme="majorHAnsi"/>
          <w:sz w:val="18"/>
          <w:szCs w:val="18"/>
        </w:rPr>
        <w:t xml:space="preserve">moet </w:t>
      </w:r>
      <w:r w:rsidR="0013164B">
        <w:rPr>
          <w:rFonts w:cs="Arial" w:asciiTheme="majorHAnsi" w:hAnsiTheme="majorHAnsi"/>
          <w:sz w:val="18"/>
          <w:szCs w:val="18"/>
        </w:rPr>
        <w:t xml:space="preserve">worden, zoals effectieve </w:t>
      </w:r>
      <w:proofErr w:type="spellStart"/>
      <w:r w:rsidR="0013164B">
        <w:rPr>
          <w:rFonts w:cs="Arial" w:asciiTheme="majorHAnsi" w:hAnsiTheme="majorHAnsi"/>
          <w:sz w:val="18"/>
          <w:szCs w:val="18"/>
        </w:rPr>
        <w:t>BTW</w:t>
      </w:r>
      <w:r w:rsidR="00BB7F92">
        <w:rPr>
          <w:rFonts w:cs="Arial" w:asciiTheme="majorHAnsi" w:hAnsiTheme="majorHAnsi"/>
          <w:sz w:val="18"/>
          <w:szCs w:val="18"/>
        </w:rPr>
        <w:t>-</w:t>
      </w:r>
      <w:r w:rsidR="0013164B">
        <w:rPr>
          <w:rFonts w:cs="Arial" w:asciiTheme="majorHAnsi" w:hAnsiTheme="majorHAnsi"/>
          <w:sz w:val="18"/>
          <w:szCs w:val="18"/>
        </w:rPr>
        <w:t>inning</w:t>
      </w:r>
      <w:proofErr w:type="spellEnd"/>
      <w:r w:rsidR="0013164B">
        <w:rPr>
          <w:rFonts w:cs="Arial" w:asciiTheme="majorHAnsi" w:hAnsiTheme="majorHAnsi"/>
          <w:sz w:val="18"/>
          <w:szCs w:val="18"/>
        </w:rPr>
        <w:t xml:space="preserve"> en belasting</w:t>
      </w:r>
      <w:r w:rsidR="00A0533E">
        <w:rPr>
          <w:rFonts w:cs="Arial" w:asciiTheme="majorHAnsi" w:hAnsiTheme="majorHAnsi"/>
          <w:sz w:val="18"/>
          <w:szCs w:val="18"/>
        </w:rPr>
        <w:t>heffing van</w:t>
      </w:r>
      <w:r w:rsidR="0013164B">
        <w:rPr>
          <w:rFonts w:cs="Arial" w:asciiTheme="majorHAnsi" w:hAnsiTheme="majorHAnsi"/>
          <w:sz w:val="18"/>
          <w:szCs w:val="18"/>
        </w:rPr>
        <w:t xml:space="preserve"> de digitale economie.</w:t>
      </w:r>
      <w:r w:rsidR="0013164B">
        <w:rPr>
          <w:rStyle w:val="Voetnootmarkering"/>
          <w:rFonts w:cs="Arial" w:asciiTheme="majorHAnsi" w:hAnsiTheme="majorHAnsi"/>
          <w:sz w:val="18"/>
          <w:szCs w:val="18"/>
        </w:rPr>
        <w:footnoteReference w:id="13"/>
      </w:r>
    </w:p>
    <w:p w:rsidRPr="00460CFB" w:rsidR="00460CFB" w:rsidP="00460CFB" w:rsidRDefault="00460CFB">
      <w:pPr>
        <w:spacing w:line="360" w:lineRule="auto"/>
        <w:rPr>
          <w:rFonts w:asciiTheme="majorHAnsi" w:hAnsiTheme="majorHAnsi"/>
          <w:sz w:val="18"/>
          <w:szCs w:val="18"/>
        </w:rPr>
      </w:pPr>
    </w:p>
    <w:p w:rsidRPr="0013164B" w:rsidR="00455F77" w:rsidP="003202E7" w:rsidRDefault="00455F77">
      <w:pPr>
        <w:pStyle w:val="Plattetekst"/>
        <w:contextualSpacing/>
        <w:rPr>
          <w:rFonts w:cs="Arial" w:asciiTheme="majorHAnsi" w:hAnsiTheme="majorHAnsi"/>
          <w:b/>
          <w:bCs/>
          <w:sz w:val="18"/>
          <w:szCs w:val="18"/>
        </w:rPr>
      </w:pPr>
      <w:r w:rsidRPr="0013164B">
        <w:rPr>
          <w:rFonts w:cs="Arial" w:asciiTheme="majorHAnsi" w:hAnsiTheme="majorHAnsi"/>
          <w:b/>
          <w:bCs/>
          <w:sz w:val="18"/>
          <w:szCs w:val="18"/>
        </w:rPr>
        <w:t xml:space="preserve">Voorbereiding G20 vergadering </w:t>
      </w:r>
      <w:r w:rsidRPr="0013164B" w:rsidR="0013164B">
        <w:rPr>
          <w:rFonts w:cs="Arial" w:asciiTheme="majorHAnsi" w:hAnsiTheme="majorHAnsi"/>
          <w:b/>
          <w:bCs/>
          <w:sz w:val="18"/>
          <w:szCs w:val="18"/>
        </w:rPr>
        <w:t>21 en 22 juli</w:t>
      </w:r>
      <w:r w:rsidRPr="0013164B">
        <w:rPr>
          <w:rFonts w:cs="Arial" w:asciiTheme="majorHAnsi" w:hAnsiTheme="majorHAnsi"/>
          <w:b/>
          <w:bCs/>
          <w:sz w:val="18"/>
          <w:szCs w:val="18"/>
        </w:rPr>
        <w:t xml:space="preserve"> </w:t>
      </w:r>
    </w:p>
    <w:p w:rsidR="00455F77" w:rsidP="0013164B" w:rsidRDefault="0013164B">
      <w:pPr>
        <w:spacing w:line="360" w:lineRule="auto"/>
        <w:contextualSpacing/>
        <w:rPr>
          <w:rFonts w:cs="Arial" w:asciiTheme="majorHAnsi" w:hAnsiTheme="majorHAnsi"/>
          <w:sz w:val="18"/>
          <w:szCs w:val="18"/>
        </w:rPr>
      </w:pPr>
      <w:r>
        <w:rPr>
          <w:rFonts w:cs="Arial" w:asciiTheme="majorHAnsi" w:hAnsiTheme="majorHAnsi"/>
          <w:sz w:val="18"/>
          <w:szCs w:val="18"/>
        </w:rPr>
        <w:t xml:space="preserve">In de </w:t>
      </w:r>
      <w:proofErr w:type="spellStart"/>
      <w:r>
        <w:rPr>
          <w:rFonts w:cs="Arial" w:asciiTheme="majorHAnsi" w:hAnsiTheme="majorHAnsi"/>
          <w:sz w:val="18"/>
          <w:szCs w:val="18"/>
        </w:rPr>
        <w:t>Ecofinraad</w:t>
      </w:r>
      <w:proofErr w:type="spellEnd"/>
      <w:r>
        <w:rPr>
          <w:rFonts w:cs="Arial" w:asciiTheme="majorHAnsi" w:hAnsiTheme="majorHAnsi"/>
          <w:sz w:val="18"/>
          <w:szCs w:val="18"/>
        </w:rPr>
        <w:t xml:space="preserve"> is </w:t>
      </w:r>
      <w:r w:rsidRPr="00460CFB">
        <w:rPr>
          <w:rFonts w:cs="Arial" w:asciiTheme="majorHAnsi" w:hAnsiTheme="majorHAnsi"/>
          <w:sz w:val="18"/>
          <w:szCs w:val="18"/>
        </w:rPr>
        <w:t>de EU-inbreng</w:t>
      </w:r>
      <w:r>
        <w:rPr>
          <w:rFonts w:cs="Arial" w:asciiTheme="majorHAnsi" w:hAnsiTheme="majorHAnsi"/>
          <w:sz w:val="18"/>
          <w:szCs w:val="18"/>
        </w:rPr>
        <w:t xml:space="preserve">, </w:t>
      </w:r>
      <w:r w:rsidRPr="00460CFB">
        <w:rPr>
          <w:rFonts w:cs="Arial" w:asciiTheme="majorHAnsi" w:hAnsiTheme="majorHAnsi"/>
          <w:sz w:val="18"/>
          <w:szCs w:val="18"/>
        </w:rPr>
        <w:t xml:space="preserve">middels een </w:t>
      </w:r>
      <w:proofErr w:type="spellStart"/>
      <w:r w:rsidRPr="00460CFB">
        <w:rPr>
          <w:rFonts w:cs="Arial" w:asciiTheme="majorHAnsi" w:hAnsiTheme="majorHAnsi"/>
          <w:i/>
          <w:sz w:val="18"/>
          <w:szCs w:val="18"/>
        </w:rPr>
        <w:t>Terms</w:t>
      </w:r>
      <w:proofErr w:type="spellEnd"/>
      <w:r w:rsidRPr="00460CFB">
        <w:rPr>
          <w:rFonts w:cs="Arial" w:asciiTheme="majorHAnsi" w:hAnsiTheme="majorHAnsi"/>
          <w:i/>
          <w:sz w:val="18"/>
          <w:szCs w:val="18"/>
        </w:rPr>
        <w:t xml:space="preserve"> of Reference</w:t>
      </w:r>
      <w:r>
        <w:rPr>
          <w:rFonts w:cs="Arial" w:asciiTheme="majorHAnsi" w:hAnsiTheme="majorHAnsi"/>
          <w:sz w:val="18"/>
          <w:szCs w:val="18"/>
        </w:rPr>
        <w:t xml:space="preserve"> (</w:t>
      </w:r>
      <w:proofErr w:type="spellStart"/>
      <w:r>
        <w:rPr>
          <w:rFonts w:cs="Arial" w:asciiTheme="majorHAnsi" w:hAnsiTheme="majorHAnsi"/>
          <w:sz w:val="18"/>
          <w:szCs w:val="18"/>
        </w:rPr>
        <w:t>ToR</w:t>
      </w:r>
      <w:proofErr w:type="spellEnd"/>
      <w:r>
        <w:rPr>
          <w:rFonts w:cs="Arial" w:asciiTheme="majorHAnsi" w:hAnsiTheme="majorHAnsi"/>
          <w:sz w:val="18"/>
          <w:szCs w:val="18"/>
        </w:rPr>
        <w:t xml:space="preserve">), </w:t>
      </w:r>
      <w:r w:rsidRPr="00460CFB">
        <w:rPr>
          <w:rFonts w:cs="Arial" w:asciiTheme="majorHAnsi" w:hAnsiTheme="majorHAnsi"/>
          <w:sz w:val="18"/>
          <w:szCs w:val="18"/>
        </w:rPr>
        <w:t xml:space="preserve"> </w:t>
      </w:r>
      <w:r>
        <w:rPr>
          <w:rFonts w:cs="Arial" w:asciiTheme="majorHAnsi" w:hAnsiTheme="majorHAnsi"/>
          <w:sz w:val="18"/>
          <w:szCs w:val="18"/>
        </w:rPr>
        <w:t>bij de G20</w:t>
      </w:r>
      <w:r w:rsidRPr="0013164B">
        <w:rPr>
          <w:rFonts w:cs="Arial" w:asciiTheme="majorHAnsi" w:hAnsiTheme="majorHAnsi"/>
          <w:sz w:val="18"/>
          <w:szCs w:val="18"/>
        </w:rPr>
        <w:t xml:space="preserve"> </w:t>
      </w:r>
      <w:r>
        <w:rPr>
          <w:rFonts w:cs="Arial" w:asciiTheme="majorHAnsi" w:hAnsiTheme="majorHAnsi"/>
          <w:sz w:val="18"/>
          <w:szCs w:val="18"/>
        </w:rPr>
        <w:t xml:space="preserve">vergadering in </w:t>
      </w:r>
      <w:r w:rsidRPr="00460CFB">
        <w:rPr>
          <w:rFonts w:cs="Arial" w:asciiTheme="majorHAnsi" w:hAnsiTheme="majorHAnsi"/>
          <w:sz w:val="18"/>
          <w:szCs w:val="18"/>
        </w:rPr>
        <w:t>Buenos Aires</w:t>
      </w:r>
      <w:r w:rsidRPr="0013164B">
        <w:rPr>
          <w:rFonts w:cs="Arial" w:asciiTheme="majorHAnsi" w:hAnsiTheme="majorHAnsi"/>
          <w:sz w:val="18"/>
          <w:szCs w:val="18"/>
        </w:rPr>
        <w:t xml:space="preserve"> </w:t>
      </w:r>
      <w:r>
        <w:rPr>
          <w:rFonts w:cs="Arial" w:asciiTheme="majorHAnsi" w:hAnsiTheme="majorHAnsi"/>
          <w:sz w:val="18"/>
          <w:szCs w:val="18"/>
        </w:rPr>
        <w:t>o</w:t>
      </w:r>
      <w:r w:rsidRPr="00460CFB">
        <w:rPr>
          <w:rFonts w:cs="Arial" w:asciiTheme="majorHAnsi" w:hAnsiTheme="majorHAnsi"/>
          <w:sz w:val="18"/>
          <w:szCs w:val="18"/>
        </w:rPr>
        <w:t>p 21 en 22 juli</w:t>
      </w:r>
      <w:r>
        <w:rPr>
          <w:rFonts w:cs="Arial" w:asciiTheme="majorHAnsi" w:hAnsiTheme="majorHAnsi"/>
          <w:sz w:val="18"/>
          <w:szCs w:val="18"/>
        </w:rPr>
        <w:t xml:space="preserve"> aangenomen. </w:t>
      </w:r>
      <w:r w:rsidRPr="00460CFB" w:rsidR="00455F77">
        <w:rPr>
          <w:rFonts w:cs="Arial" w:asciiTheme="majorHAnsi" w:hAnsiTheme="majorHAnsi"/>
          <w:sz w:val="18"/>
          <w:szCs w:val="18"/>
        </w:rPr>
        <w:t>In</w:t>
      </w:r>
      <w:r w:rsidR="00BB7F92">
        <w:rPr>
          <w:rFonts w:cs="Arial" w:asciiTheme="majorHAnsi" w:hAnsiTheme="majorHAnsi"/>
          <w:sz w:val="18"/>
          <w:szCs w:val="18"/>
        </w:rPr>
        <w:t xml:space="preserve"> de </w:t>
      </w:r>
      <w:proofErr w:type="spellStart"/>
      <w:r w:rsidR="00BB7F92">
        <w:rPr>
          <w:rFonts w:cs="Arial" w:asciiTheme="majorHAnsi" w:hAnsiTheme="majorHAnsi"/>
          <w:sz w:val="18"/>
          <w:szCs w:val="18"/>
        </w:rPr>
        <w:t>ToR</w:t>
      </w:r>
      <w:proofErr w:type="spellEnd"/>
      <w:r w:rsidR="00BB7F92">
        <w:rPr>
          <w:rFonts w:cs="Arial" w:asciiTheme="majorHAnsi" w:hAnsiTheme="majorHAnsi"/>
          <w:sz w:val="18"/>
          <w:szCs w:val="18"/>
        </w:rPr>
        <w:t xml:space="preserve"> roept de EU de G20 op</w:t>
      </w:r>
      <w:r w:rsidRPr="00460CFB" w:rsidR="00455F77">
        <w:rPr>
          <w:rFonts w:cs="Arial" w:asciiTheme="majorHAnsi" w:hAnsiTheme="majorHAnsi"/>
          <w:sz w:val="18"/>
          <w:szCs w:val="18"/>
        </w:rPr>
        <w:t xml:space="preserve"> de positieve economische vooruitzichten te gebruiken om de economische risico’s voor de toekomst aan te pakken, waarbij de aandacht zou moeten verschuiven naar het opnieuw opbouwen van financiële buffers en het waarborgen van </w:t>
      </w:r>
      <w:proofErr w:type="spellStart"/>
      <w:r w:rsidRPr="00460CFB" w:rsidR="00455F77">
        <w:rPr>
          <w:rFonts w:cs="Arial" w:asciiTheme="majorHAnsi" w:hAnsiTheme="majorHAnsi"/>
          <w:sz w:val="18"/>
          <w:szCs w:val="18"/>
        </w:rPr>
        <w:t>langetermijngroei</w:t>
      </w:r>
      <w:proofErr w:type="spellEnd"/>
      <w:r w:rsidRPr="00460CFB" w:rsidR="00455F77">
        <w:rPr>
          <w:rFonts w:cs="Arial" w:asciiTheme="majorHAnsi" w:hAnsiTheme="majorHAnsi"/>
          <w:sz w:val="18"/>
          <w:szCs w:val="18"/>
        </w:rPr>
        <w:t xml:space="preserve">. De EU verwelkomt de prioriteit van het Argentijnse G20 voorzitterschap ten aanzien van de financiering van infrastructuur. De EU benadrukt het belang van een open wereldeconomie en het belang van </w:t>
      </w:r>
      <w:proofErr w:type="spellStart"/>
      <w:r w:rsidRPr="00460CFB" w:rsidR="00455F77">
        <w:rPr>
          <w:rFonts w:cs="Arial" w:asciiTheme="majorHAnsi" w:hAnsiTheme="majorHAnsi"/>
          <w:i/>
          <w:sz w:val="18"/>
          <w:szCs w:val="18"/>
        </w:rPr>
        <w:t>rules</w:t>
      </w:r>
      <w:proofErr w:type="spellEnd"/>
      <w:r w:rsidRPr="00460CFB" w:rsidR="00455F77">
        <w:rPr>
          <w:rFonts w:cs="Arial" w:asciiTheme="majorHAnsi" w:hAnsiTheme="majorHAnsi"/>
          <w:i/>
          <w:sz w:val="18"/>
          <w:szCs w:val="18"/>
        </w:rPr>
        <w:t xml:space="preserve"> </w:t>
      </w:r>
      <w:proofErr w:type="spellStart"/>
      <w:r w:rsidRPr="00460CFB" w:rsidR="00455F77">
        <w:rPr>
          <w:rFonts w:cs="Arial" w:asciiTheme="majorHAnsi" w:hAnsiTheme="majorHAnsi"/>
          <w:i/>
          <w:sz w:val="18"/>
          <w:szCs w:val="18"/>
        </w:rPr>
        <w:t>based</w:t>
      </w:r>
      <w:proofErr w:type="spellEnd"/>
      <w:r w:rsidRPr="00460CFB" w:rsidR="00455F77">
        <w:rPr>
          <w:rFonts w:cs="Arial" w:asciiTheme="majorHAnsi" w:hAnsiTheme="majorHAnsi"/>
          <w:color w:val="222222"/>
          <w:sz w:val="18"/>
          <w:szCs w:val="18"/>
        </w:rPr>
        <w:t xml:space="preserve"> multilateralisme. </w:t>
      </w:r>
      <w:r w:rsidRPr="00460CFB" w:rsidR="00455F77">
        <w:rPr>
          <w:rFonts w:cs="Arial" w:asciiTheme="majorHAnsi" w:hAnsiTheme="majorHAnsi"/>
          <w:sz w:val="18"/>
          <w:szCs w:val="18"/>
        </w:rPr>
        <w:t>Ook benadruk</w:t>
      </w:r>
      <w:r w:rsidR="00BB7F92">
        <w:rPr>
          <w:rFonts w:cs="Arial" w:asciiTheme="majorHAnsi" w:hAnsiTheme="majorHAnsi"/>
          <w:sz w:val="18"/>
          <w:szCs w:val="18"/>
        </w:rPr>
        <w:t>t de EU dat het van belang is</w:t>
      </w:r>
      <w:r w:rsidRPr="00460CFB" w:rsidR="00455F77">
        <w:rPr>
          <w:rFonts w:cs="Arial" w:asciiTheme="majorHAnsi" w:hAnsiTheme="majorHAnsi"/>
          <w:sz w:val="18"/>
          <w:szCs w:val="18"/>
        </w:rPr>
        <w:t xml:space="preserve"> voortgang te boeken met de implementatie van financiële regelgeving. Daarnaast wordt opgeroepen tot voortgang van het werk van de </w:t>
      </w:r>
      <w:r w:rsidRPr="00460CFB" w:rsidR="00455F77">
        <w:rPr>
          <w:rFonts w:cs="Arial" w:asciiTheme="majorHAnsi" w:hAnsiTheme="majorHAnsi"/>
          <w:i/>
          <w:sz w:val="18"/>
          <w:szCs w:val="18"/>
        </w:rPr>
        <w:t xml:space="preserve">Financial </w:t>
      </w:r>
      <w:proofErr w:type="spellStart"/>
      <w:r w:rsidRPr="00460CFB" w:rsidR="00455F77">
        <w:rPr>
          <w:rFonts w:cs="Arial" w:asciiTheme="majorHAnsi" w:hAnsiTheme="majorHAnsi"/>
          <w:i/>
          <w:sz w:val="18"/>
          <w:szCs w:val="18"/>
        </w:rPr>
        <w:t>Stability</w:t>
      </w:r>
      <w:proofErr w:type="spellEnd"/>
      <w:r w:rsidRPr="00460CFB" w:rsidR="00455F77">
        <w:rPr>
          <w:rFonts w:cs="Arial" w:asciiTheme="majorHAnsi" w:hAnsiTheme="majorHAnsi"/>
          <w:i/>
          <w:sz w:val="18"/>
          <w:szCs w:val="18"/>
        </w:rPr>
        <w:t xml:space="preserve"> Board </w:t>
      </w:r>
      <w:r w:rsidRPr="00460CFB" w:rsidR="00455F77">
        <w:rPr>
          <w:rFonts w:cs="Arial" w:asciiTheme="majorHAnsi" w:hAnsiTheme="majorHAnsi"/>
          <w:sz w:val="18"/>
          <w:szCs w:val="18"/>
        </w:rPr>
        <w:t>(FSB)</w:t>
      </w:r>
      <w:r w:rsidRPr="00460CFB" w:rsidR="00455F77">
        <w:rPr>
          <w:rFonts w:cs="Arial" w:asciiTheme="majorHAnsi" w:hAnsiTheme="majorHAnsi"/>
          <w:i/>
          <w:sz w:val="18"/>
          <w:szCs w:val="18"/>
        </w:rPr>
        <w:t xml:space="preserve"> </w:t>
      </w:r>
      <w:r w:rsidRPr="00460CFB" w:rsidR="00455F77">
        <w:rPr>
          <w:rFonts w:cs="Arial" w:asciiTheme="majorHAnsi" w:hAnsiTheme="majorHAnsi"/>
          <w:sz w:val="18"/>
          <w:szCs w:val="18"/>
        </w:rPr>
        <w:t xml:space="preserve">op het gebied van </w:t>
      </w:r>
      <w:r w:rsidRPr="00460CFB" w:rsidR="00455F77">
        <w:rPr>
          <w:rFonts w:cs="Arial" w:asciiTheme="majorHAnsi" w:hAnsiTheme="majorHAnsi"/>
          <w:i/>
          <w:sz w:val="18"/>
          <w:szCs w:val="18"/>
        </w:rPr>
        <w:t>cybersecurity</w:t>
      </w:r>
      <w:r w:rsidRPr="00460CFB" w:rsidR="00455F77">
        <w:rPr>
          <w:rFonts w:cs="Arial" w:asciiTheme="majorHAnsi" w:hAnsiTheme="majorHAnsi"/>
          <w:sz w:val="18"/>
          <w:szCs w:val="18"/>
        </w:rPr>
        <w:t xml:space="preserve"> en de uitdagingen die voortvloeien uit technologische veranderingen zoals </w:t>
      </w:r>
      <w:r w:rsidRPr="00460CFB" w:rsidR="00455F77">
        <w:rPr>
          <w:rFonts w:cs="Arial" w:asciiTheme="majorHAnsi" w:hAnsiTheme="majorHAnsi"/>
          <w:i/>
          <w:sz w:val="18"/>
          <w:szCs w:val="18"/>
        </w:rPr>
        <w:t xml:space="preserve">crypto-assets. </w:t>
      </w:r>
      <w:r w:rsidRPr="00460CFB" w:rsidR="00455F77">
        <w:rPr>
          <w:rFonts w:cs="Arial" w:asciiTheme="majorHAnsi" w:hAnsiTheme="majorHAnsi"/>
          <w:color w:val="222222"/>
          <w:sz w:val="18"/>
          <w:szCs w:val="18"/>
        </w:rPr>
        <w:t xml:space="preserve">De EU roept daarnaast de G20 op om de hoogste prioriteit te geven aan het vinden van oplossingen voor de belasting van de digitale economie. Op het gebied van internationale belastingen is het tevens van belang dat de G20 het werk ten aanzien van </w:t>
      </w:r>
      <w:r w:rsidRPr="00460CFB" w:rsidR="00455F77">
        <w:rPr>
          <w:rFonts w:eastAsia="Times New Roman" w:cs="Arial" w:asciiTheme="majorHAnsi" w:hAnsiTheme="majorHAnsi"/>
          <w:color w:val="222222"/>
          <w:sz w:val="18"/>
          <w:szCs w:val="18"/>
        </w:rPr>
        <w:t xml:space="preserve">fiscale transparantie intensiveert en dat </w:t>
      </w:r>
      <w:r w:rsidRPr="00460CFB" w:rsidR="00455F77">
        <w:rPr>
          <w:rFonts w:cs="Arial" w:asciiTheme="majorHAnsi" w:hAnsiTheme="majorHAnsi"/>
          <w:sz w:val="18"/>
          <w:szCs w:val="18"/>
        </w:rPr>
        <w:t xml:space="preserve">het onder het Turks voorzitterschap omarmde </w:t>
      </w:r>
      <w:r w:rsidRPr="00460CFB" w:rsidR="00455F77">
        <w:rPr>
          <w:rFonts w:cs="Arial" w:asciiTheme="majorHAnsi" w:hAnsiTheme="majorHAnsi"/>
          <w:i/>
          <w:sz w:val="18"/>
          <w:szCs w:val="18"/>
        </w:rPr>
        <w:t xml:space="preserve">Base </w:t>
      </w:r>
      <w:proofErr w:type="spellStart"/>
      <w:r w:rsidRPr="00460CFB" w:rsidR="00455F77">
        <w:rPr>
          <w:rFonts w:cs="Arial" w:asciiTheme="majorHAnsi" w:hAnsiTheme="majorHAnsi"/>
          <w:i/>
          <w:sz w:val="18"/>
          <w:szCs w:val="18"/>
        </w:rPr>
        <w:t>Erosion</w:t>
      </w:r>
      <w:proofErr w:type="spellEnd"/>
      <w:r w:rsidRPr="00460CFB" w:rsidR="00455F77">
        <w:rPr>
          <w:rFonts w:cs="Arial" w:asciiTheme="majorHAnsi" w:hAnsiTheme="majorHAnsi"/>
          <w:i/>
          <w:sz w:val="18"/>
          <w:szCs w:val="18"/>
        </w:rPr>
        <w:t xml:space="preserve"> </w:t>
      </w:r>
      <w:proofErr w:type="spellStart"/>
      <w:r w:rsidRPr="00460CFB" w:rsidR="00455F77">
        <w:rPr>
          <w:rFonts w:cs="Arial" w:asciiTheme="majorHAnsi" w:hAnsiTheme="majorHAnsi"/>
          <w:i/>
          <w:sz w:val="18"/>
          <w:szCs w:val="18"/>
        </w:rPr>
        <w:t>and</w:t>
      </w:r>
      <w:proofErr w:type="spellEnd"/>
      <w:r w:rsidRPr="00460CFB" w:rsidR="00455F77">
        <w:rPr>
          <w:rFonts w:cs="Arial" w:asciiTheme="majorHAnsi" w:hAnsiTheme="majorHAnsi"/>
          <w:i/>
          <w:sz w:val="18"/>
          <w:szCs w:val="18"/>
        </w:rPr>
        <w:t xml:space="preserve"> Profit </w:t>
      </w:r>
      <w:proofErr w:type="spellStart"/>
      <w:r w:rsidRPr="00460CFB" w:rsidR="00455F77">
        <w:rPr>
          <w:rFonts w:cs="Arial" w:asciiTheme="majorHAnsi" w:hAnsiTheme="majorHAnsi"/>
          <w:i/>
          <w:sz w:val="18"/>
          <w:szCs w:val="18"/>
        </w:rPr>
        <w:t>Shifting</w:t>
      </w:r>
      <w:proofErr w:type="spellEnd"/>
      <w:r w:rsidRPr="00460CFB" w:rsidR="00455F77">
        <w:rPr>
          <w:rFonts w:cs="Arial" w:asciiTheme="majorHAnsi" w:hAnsiTheme="majorHAnsi"/>
          <w:i/>
          <w:sz w:val="18"/>
          <w:szCs w:val="18"/>
        </w:rPr>
        <w:t xml:space="preserve"> (BEPS) </w:t>
      </w:r>
      <w:r w:rsidRPr="00460CFB" w:rsidR="00455F77">
        <w:rPr>
          <w:rFonts w:cs="Arial" w:asciiTheme="majorHAnsi" w:hAnsiTheme="majorHAnsi"/>
          <w:sz w:val="18"/>
          <w:szCs w:val="18"/>
        </w:rPr>
        <w:t>raamwerk wordt</w:t>
      </w:r>
      <w:r>
        <w:rPr>
          <w:rFonts w:cs="Arial" w:asciiTheme="majorHAnsi" w:hAnsiTheme="majorHAnsi"/>
          <w:sz w:val="18"/>
          <w:szCs w:val="18"/>
        </w:rPr>
        <w:t xml:space="preserve"> geïmplementeerd en gemonitord.</w:t>
      </w:r>
    </w:p>
    <w:p w:rsidR="001C4DC2" w:rsidP="0013164B" w:rsidRDefault="001C4DC2">
      <w:pPr>
        <w:spacing w:line="360" w:lineRule="auto"/>
        <w:contextualSpacing/>
        <w:rPr>
          <w:rFonts w:cs="Arial" w:asciiTheme="majorHAnsi" w:hAnsiTheme="majorHAnsi"/>
          <w:sz w:val="18"/>
          <w:szCs w:val="18"/>
        </w:rPr>
      </w:pPr>
    </w:p>
    <w:p w:rsidR="001C4DC2" w:rsidP="0013164B" w:rsidRDefault="001C4DC2">
      <w:pPr>
        <w:spacing w:line="360" w:lineRule="auto"/>
        <w:contextualSpacing/>
        <w:rPr>
          <w:rFonts w:cs="Arial" w:asciiTheme="majorHAnsi" w:hAnsiTheme="majorHAnsi"/>
          <w:sz w:val="18"/>
          <w:szCs w:val="18"/>
        </w:rPr>
      </w:pPr>
      <w:r>
        <w:rPr>
          <w:rFonts w:cs="Arial" w:asciiTheme="majorHAnsi" w:hAnsiTheme="majorHAnsi"/>
          <w:b/>
          <w:sz w:val="18"/>
          <w:szCs w:val="18"/>
          <w:u w:val="single"/>
        </w:rPr>
        <w:t>Bijeenkomst kapitaalmarktunie</w:t>
      </w:r>
    </w:p>
    <w:p w:rsidRPr="00B43BF1" w:rsidR="005F346D" w:rsidP="001C4DC2" w:rsidRDefault="001C4DC2">
      <w:pPr>
        <w:spacing w:line="360" w:lineRule="auto"/>
        <w:contextualSpacing/>
        <w:rPr>
          <w:rFonts w:ascii="Verdana" w:hAnsi="Verdana"/>
          <w:sz w:val="18"/>
          <w:szCs w:val="18"/>
        </w:rPr>
      </w:pPr>
      <w:r>
        <w:rPr>
          <w:rFonts w:cs="Arial" w:asciiTheme="majorHAnsi" w:hAnsiTheme="majorHAnsi"/>
          <w:sz w:val="18"/>
          <w:szCs w:val="18"/>
        </w:rPr>
        <w:t xml:space="preserve">En marge van de </w:t>
      </w:r>
      <w:r w:rsidR="00C0332C">
        <w:rPr>
          <w:rFonts w:cs="Arial" w:asciiTheme="majorHAnsi" w:hAnsiTheme="majorHAnsi"/>
          <w:sz w:val="18"/>
          <w:szCs w:val="18"/>
        </w:rPr>
        <w:t xml:space="preserve">vorige </w:t>
      </w:r>
      <w:proofErr w:type="spellStart"/>
      <w:r>
        <w:rPr>
          <w:rFonts w:cs="Arial" w:asciiTheme="majorHAnsi" w:hAnsiTheme="majorHAnsi"/>
          <w:sz w:val="18"/>
          <w:szCs w:val="18"/>
        </w:rPr>
        <w:t>Ecofinraad</w:t>
      </w:r>
      <w:proofErr w:type="spellEnd"/>
      <w:r>
        <w:rPr>
          <w:rFonts w:cs="Arial" w:asciiTheme="majorHAnsi" w:hAnsiTheme="majorHAnsi"/>
          <w:sz w:val="18"/>
          <w:szCs w:val="18"/>
        </w:rPr>
        <w:t xml:space="preserve"> vond een bijeenkomst plaats tussen de ministers van financiën van Denemarken, Estland, Finaland, Ierland, Letland, Litouwen, Zweden en Nederland. Tijdens deze bijeenkomst hebben de ministers </w:t>
      </w:r>
      <w:r w:rsidR="00C0332C">
        <w:rPr>
          <w:rFonts w:cs="Arial" w:asciiTheme="majorHAnsi" w:hAnsiTheme="majorHAnsi"/>
          <w:sz w:val="18"/>
          <w:szCs w:val="18"/>
        </w:rPr>
        <w:t>besloten te werken</w:t>
      </w:r>
      <w:r>
        <w:rPr>
          <w:rFonts w:cs="Arial" w:asciiTheme="majorHAnsi" w:hAnsiTheme="majorHAnsi"/>
          <w:sz w:val="18"/>
          <w:szCs w:val="18"/>
        </w:rPr>
        <w:t xml:space="preserve"> aan een gemeenschappelijk paper over de kapitaalmarktunie</w:t>
      </w:r>
      <w:r w:rsidR="003E6D2B">
        <w:rPr>
          <w:rFonts w:cs="Arial" w:asciiTheme="majorHAnsi" w:hAnsiTheme="majorHAnsi"/>
          <w:sz w:val="18"/>
          <w:szCs w:val="18"/>
        </w:rPr>
        <w:t xml:space="preserve"> dat op 18 juli is gepresenteerd aan het Voorzitterschap, de Commissie en andere lidstaten</w:t>
      </w:r>
      <w:r>
        <w:rPr>
          <w:rFonts w:cs="Arial" w:asciiTheme="majorHAnsi" w:hAnsiTheme="majorHAnsi"/>
          <w:sz w:val="18"/>
          <w:szCs w:val="18"/>
        </w:rPr>
        <w:t xml:space="preserve">. </w:t>
      </w:r>
      <w:r>
        <w:rPr>
          <w:rFonts w:ascii="Verdana" w:hAnsi="Verdana"/>
          <w:sz w:val="18"/>
          <w:szCs w:val="18"/>
        </w:rPr>
        <w:t xml:space="preserve">Het paper staat stil bij wat er onder de </w:t>
      </w:r>
      <w:proofErr w:type="spellStart"/>
      <w:r>
        <w:rPr>
          <w:rFonts w:ascii="Verdana" w:hAnsi="Verdana"/>
          <w:sz w:val="18"/>
          <w:szCs w:val="18"/>
        </w:rPr>
        <w:t>kapitaalmarktunie</w:t>
      </w:r>
      <w:r w:rsidR="00893ABD">
        <w:rPr>
          <w:rFonts w:ascii="Verdana" w:hAnsi="Verdana"/>
          <w:sz w:val="18"/>
          <w:szCs w:val="18"/>
        </w:rPr>
        <w:t>agenda</w:t>
      </w:r>
      <w:proofErr w:type="spellEnd"/>
      <w:r>
        <w:rPr>
          <w:rFonts w:ascii="Verdana" w:hAnsi="Verdana"/>
          <w:sz w:val="18"/>
          <w:szCs w:val="18"/>
        </w:rPr>
        <w:t xml:space="preserve"> is bereikt en benadrukt het belang van ee</w:t>
      </w:r>
      <w:r w:rsidR="00893ABD">
        <w:rPr>
          <w:rFonts w:ascii="Verdana" w:hAnsi="Verdana"/>
          <w:sz w:val="18"/>
          <w:szCs w:val="18"/>
        </w:rPr>
        <w:t>n verdere totstandkoming van de agenda</w:t>
      </w:r>
      <w:r>
        <w:rPr>
          <w:rFonts w:ascii="Verdana" w:hAnsi="Verdana"/>
          <w:sz w:val="18"/>
          <w:szCs w:val="18"/>
        </w:rPr>
        <w:t xml:space="preserve">, mede in het licht van de </w:t>
      </w:r>
      <w:proofErr w:type="spellStart"/>
      <w:r>
        <w:rPr>
          <w:rFonts w:ascii="Verdana" w:hAnsi="Verdana"/>
          <w:sz w:val="18"/>
          <w:szCs w:val="18"/>
        </w:rPr>
        <w:t>Brexit</w:t>
      </w:r>
      <w:proofErr w:type="spellEnd"/>
      <w:r>
        <w:rPr>
          <w:rFonts w:ascii="Verdana" w:hAnsi="Verdana"/>
          <w:sz w:val="18"/>
          <w:szCs w:val="18"/>
        </w:rPr>
        <w:t xml:space="preserve">. Hiertoe moet aandacht zijn voor prioritering van lopende trajecten, waaronder meer proportionele regelgeving voor beleggingsondernemingen en </w:t>
      </w:r>
      <w:r w:rsidR="00C0332C">
        <w:rPr>
          <w:rFonts w:ascii="Verdana" w:hAnsi="Verdana"/>
          <w:sz w:val="18"/>
          <w:szCs w:val="18"/>
        </w:rPr>
        <w:t xml:space="preserve">de </w:t>
      </w:r>
      <w:r>
        <w:rPr>
          <w:rFonts w:ascii="Verdana" w:hAnsi="Verdana"/>
          <w:sz w:val="18"/>
          <w:szCs w:val="18"/>
        </w:rPr>
        <w:t>duurzaamheidsvoorstellen. Ook wordt het belang van financiële technologie benadrukt</w:t>
      </w:r>
      <w:r w:rsidR="00893ABD">
        <w:rPr>
          <w:rFonts w:ascii="Verdana" w:hAnsi="Verdana"/>
          <w:sz w:val="18"/>
          <w:szCs w:val="18"/>
        </w:rPr>
        <w:t xml:space="preserve"> en is er aandacht voor de ESA-</w:t>
      </w:r>
      <w:r>
        <w:rPr>
          <w:rFonts w:ascii="Verdana" w:hAnsi="Verdana"/>
          <w:sz w:val="18"/>
          <w:szCs w:val="18"/>
        </w:rPr>
        <w:t>review. Het kabinet is van mening dat i</w:t>
      </w:r>
      <w:r w:rsidRPr="001C4DC2">
        <w:rPr>
          <w:rFonts w:ascii="Verdana" w:hAnsi="Verdana"/>
          <w:sz w:val="18"/>
          <w:szCs w:val="18"/>
        </w:rPr>
        <w:t xml:space="preserve">nitiatieven die vallen onder de kapitaalmarktunie de toegang tot financiering </w:t>
      </w:r>
      <w:r>
        <w:rPr>
          <w:rFonts w:ascii="Verdana" w:hAnsi="Verdana"/>
          <w:sz w:val="18"/>
          <w:szCs w:val="18"/>
        </w:rPr>
        <w:t xml:space="preserve">kunnen </w:t>
      </w:r>
      <w:r w:rsidRPr="001C4DC2">
        <w:rPr>
          <w:rFonts w:ascii="Verdana" w:hAnsi="Verdana"/>
          <w:sz w:val="18"/>
          <w:szCs w:val="18"/>
        </w:rPr>
        <w:t xml:space="preserve">verbeteren, de efficiëntie van markten </w:t>
      </w:r>
      <w:r>
        <w:rPr>
          <w:rFonts w:ascii="Verdana" w:hAnsi="Verdana"/>
          <w:sz w:val="18"/>
          <w:szCs w:val="18"/>
        </w:rPr>
        <w:t xml:space="preserve">kunnen </w:t>
      </w:r>
      <w:r w:rsidRPr="001C4DC2">
        <w:rPr>
          <w:rFonts w:ascii="Verdana" w:hAnsi="Verdana"/>
          <w:sz w:val="18"/>
          <w:szCs w:val="18"/>
        </w:rPr>
        <w:t xml:space="preserve">vergroten en bestaande barrières </w:t>
      </w:r>
      <w:r>
        <w:rPr>
          <w:rFonts w:ascii="Verdana" w:hAnsi="Verdana"/>
          <w:sz w:val="18"/>
          <w:szCs w:val="18"/>
        </w:rPr>
        <w:t xml:space="preserve">mogelijk </w:t>
      </w:r>
      <w:r w:rsidRPr="001C4DC2">
        <w:rPr>
          <w:rFonts w:ascii="Verdana" w:hAnsi="Verdana"/>
          <w:sz w:val="18"/>
          <w:szCs w:val="18"/>
        </w:rPr>
        <w:t>wegnemen.</w:t>
      </w:r>
      <w:r>
        <w:rPr>
          <w:rFonts w:ascii="Verdana" w:hAnsi="Verdana"/>
          <w:sz w:val="18"/>
          <w:szCs w:val="18"/>
        </w:rPr>
        <w:t xml:space="preserve"> Nederland is</w:t>
      </w:r>
      <w:r w:rsidRPr="001C4DC2">
        <w:rPr>
          <w:rFonts w:ascii="Verdana" w:hAnsi="Verdana"/>
          <w:sz w:val="18"/>
          <w:szCs w:val="18"/>
        </w:rPr>
        <w:t xml:space="preserve"> dan ook voorstander van een daadkrachtige uitvoering van de agenda van de kapitaalmarktunie</w:t>
      </w:r>
      <w:r>
        <w:rPr>
          <w:rFonts w:ascii="Verdana" w:hAnsi="Verdana"/>
          <w:sz w:val="18"/>
          <w:szCs w:val="18"/>
        </w:rPr>
        <w:t>,</w:t>
      </w:r>
      <w:r w:rsidRPr="001C4DC2">
        <w:rPr>
          <w:rFonts w:ascii="Verdana" w:hAnsi="Verdana"/>
          <w:sz w:val="18"/>
          <w:szCs w:val="18"/>
        </w:rPr>
        <w:t xml:space="preserve"> met een nadruk op de bouwstenen die die </w:t>
      </w:r>
      <w:r>
        <w:rPr>
          <w:rFonts w:ascii="Verdana" w:hAnsi="Verdana"/>
          <w:sz w:val="18"/>
          <w:szCs w:val="18"/>
        </w:rPr>
        <w:t xml:space="preserve">de meeste impact kunnen hebben. </w:t>
      </w:r>
      <w:r w:rsidRPr="001C4DC2">
        <w:rPr>
          <w:rFonts w:ascii="Verdana" w:hAnsi="Verdana"/>
          <w:sz w:val="18"/>
          <w:szCs w:val="18"/>
        </w:rPr>
        <w:t xml:space="preserve">Door hier gezamenlijk op te wijzen wordt deze boodschap extra kracht bij gezet. </w:t>
      </w:r>
      <w:r>
        <w:rPr>
          <w:rFonts w:ascii="Verdana" w:hAnsi="Verdana"/>
          <w:sz w:val="18"/>
          <w:szCs w:val="18"/>
        </w:rPr>
        <w:t>Het gemeenschappelijk paper wordt als bijlage bij dit verslag meegezonden.</w:t>
      </w:r>
    </w:p>
    <w:sectPr w:rsidRPr="00B43BF1" w:rsidR="005F346D" w:rsidSect="00A17C6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32C" w:rsidRDefault="00C0332C" w:rsidP="00916A6B">
      <w:r>
        <w:separator/>
      </w:r>
    </w:p>
  </w:endnote>
  <w:endnote w:type="continuationSeparator" w:id="0">
    <w:p w:rsidR="00C0332C" w:rsidRDefault="00C0332C" w:rsidP="00916A6B">
      <w:r>
        <w:continuationSeparator/>
      </w:r>
    </w:p>
  </w:endnote>
  <w:endnote w:type="continuationNotice" w:id="1">
    <w:p w:rsidR="00C0332C" w:rsidRDefault="00C03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C" w:rsidRDefault="00C033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C" w:rsidRDefault="00C0332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C" w:rsidRDefault="00C033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32C" w:rsidRDefault="00C0332C" w:rsidP="00916A6B">
      <w:r>
        <w:separator/>
      </w:r>
    </w:p>
  </w:footnote>
  <w:footnote w:type="continuationSeparator" w:id="0">
    <w:p w:rsidR="00C0332C" w:rsidRDefault="00C0332C" w:rsidP="00916A6B">
      <w:r>
        <w:continuationSeparator/>
      </w:r>
    </w:p>
  </w:footnote>
  <w:footnote w:type="continuationNotice" w:id="1">
    <w:p w:rsidR="00C0332C" w:rsidRDefault="00C0332C"/>
  </w:footnote>
  <w:footnote w:id="2">
    <w:p w:rsidR="00C0332C" w:rsidRPr="00135B0A" w:rsidRDefault="00C0332C" w:rsidP="007B0B7D">
      <w:pPr>
        <w:spacing w:line="276" w:lineRule="auto"/>
        <w:contextualSpacing/>
        <w:rPr>
          <w:rFonts w:asciiTheme="minorHAnsi" w:hAnsiTheme="minorHAnsi" w:cs="Arial"/>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w:t>
      </w:r>
      <w:hyperlink r:id="rId1" w:history="1">
        <w:r w:rsidRPr="00135B0A">
          <w:rPr>
            <w:rStyle w:val="Hyperlink"/>
            <w:rFonts w:asciiTheme="minorHAnsi" w:hAnsiTheme="minorHAnsi" w:cs="Arial"/>
            <w:sz w:val="16"/>
            <w:szCs w:val="16"/>
          </w:rPr>
          <w:t>http://www.consilium.europa.eu/media/35999/29-euro-summit-statement-en.pdf</w:t>
        </w:r>
      </w:hyperlink>
    </w:p>
  </w:footnote>
  <w:footnote w:id="3">
    <w:p w:rsidR="00C0332C" w:rsidRPr="00135B0A" w:rsidRDefault="00C0332C" w:rsidP="009A0413">
      <w:pPr>
        <w:pStyle w:val="Voetnoottekst"/>
        <w:rPr>
          <w:rFonts w:asciiTheme="minorHAnsi" w:hAnsiTheme="min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w:t>
      </w:r>
      <w:hyperlink r:id="rId2" w:history="1">
        <w:r w:rsidRPr="00135B0A">
          <w:rPr>
            <w:rStyle w:val="Hyperlink"/>
            <w:rFonts w:asciiTheme="minorHAnsi" w:hAnsiTheme="minorHAnsi"/>
            <w:sz w:val="16"/>
            <w:szCs w:val="16"/>
          </w:rPr>
          <w:t>http://www.consilium.europa.eu/media/35798/2018-06-25-letter-president-centeno-to-president-tusk.pdf</w:t>
        </w:r>
      </w:hyperlink>
    </w:p>
  </w:footnote>
  <w:footnote w:id="4">
    <w:p w:rsidR="00C0332C" w:rsidRPr="009F5CEB" w:rsidRDefault="00C0332C">
      <w:pPr>
        <w:pStyle w:val="Voetnoottekst"/>
        <w:rPr>
          <w:rFonts w:asciiTheme="majorHAnsi" w:hAnsiTheme="maj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w:t>
      </w:r>
      <w:hyperlink r:id="rId3" w:history="1">
        <w:r w:rsidRPr="00135B0A">
          <w:rPr>
            <w:rStyle w:val="Hyperlink"/>
            <w:rFonts w:asciiTheme="minorHAnsi" w:hAnsiTheme="minorHAnsi"/>
            <w:sz w:val="16"/>
            <w:szCs w:val="16"/>
          </w:rPr>
          <w:t>https://www.rijksoverheid.nl/documenten/kamerstukken/2018/07/02/kamerbrief-over-verslag-europese-raad-28-en-29-juni-2018</w:t>
        </w:r>
      </w:hyperlink>
      <w:r w:rsidRPr="009F5CEB">
        <w:rPr>
          <w:rFonts w:asciiTheme="majorHAnsi" w:hAnsiTheme="majorHAnsi"/>
          <w:sz w:val="16"/>
          <w:szCs w:val="16"/>
        </w:rPr>
        <w:t xml:space="preserve"> </w:t>
      </w:r>
    </w:p>
  </w:footnote>
  <w:footnote w:id="5">
    <w:p w:rsidR="00C0332C" w:rsidRPr="00135B0A" w:rsidRDefault="00C0332C">
      <w:pPr>
        <w:pStyle w:val="Voetnoottekst"/>
        <w:rPr>
          <w:rFonts w:asciiTheme="minorHAnsi" w:hAnsiTheme="min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w:t>
      </w:r>
      <w:hyperlink r:id="rId4" w:history="1">
        <w:r w:rsidRPr="00135B0A">
          <w:rPr>
            <w:rStyle w:val="Hyperlink"/>
            <w:rFonts w:asciiTheme="minorHAnsi" w:hAnsiTheme="minorHAnsi"/>
            <w:sz w:val="16"/>
            <w:szCs w:val="16"/>
          </w:rPr>
          <w:t>https://ec.europa.eu/info/sites/info/files/20180603-june-report_-final_en.pdf</w:t>
        </w:r>
      </w:hyperlink>
      <w:r w:rsidRPr="00135B0A">
        <w:rPr>
          <w:rFonts w:asciiTheme="minorHAnsi" w:hAnsiTheme="minorHAnsi"/>
          <w:sz w:val="16"/>
          <w:szCs w:val="16"/>
        </w:rPr>
        <w:t xml:space="preserve"> </w:t>
      </w:r>
    </w:p>
  </w:footnote>
  <w:footnote w:id="6">
    <w:p w:rsidR="00C0332C" w:rsidRPr="009F5CEB" w:rsidRDefault="00C0332C">
      <w:pPr>
        <w:pStyle w:val="Voetnoottekst"/>
        <w:rPr>
          <w:rFonts w:asciiTheme="majorHAnsi" w:hAnsiTheme="maj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w:t>
      </w:r>
      <w:hyperlink r:id="rId5" w:history="1">
        <w:r w:rsidRPr="00135B0A">
          <w:rPr>
            <w:rStyle w:val="Hyperlink"/>
            <w:rFonts w:asciiTheme="minorHAnsi" w:hAnsiTheme="minorHAnsi"/>
            <w:sz w:val="16"/>
            <w:szCs w:val="16"/>
          </w:rPr>
          <w:t>https://ec.europa.eu/info/sites/info/files/economy-finance/ip081_en.pdf</w:t>
        </w:r>
      </w:hyperlink>
      <w:r w:rsidRPr="009F5CEB">
        <w:rPr>
          <w:rFonts w:asciiTheme="majorHAnsi" w:hAnsiTheme="majorHAnsi"/>
          <w:sz w:val="16"/>
          <w:szCs w:val="16"/>
        </w:rPr>
        <w:t xml:space="preserve"> </w:t>
      </w:r>
    </w:p>
  </w:footnote>
  <w:footnote w:id="7">
    <w:p w:rsidR="00C0332C" w:rsidRPr="00135B0A" w:rsidRDefault="00C0332C">
      <w:pPr>
        <w:pStyle w:val="Voetnoottekst"/>
        <w:rPr>
          <w:rFonts w:asciiTheme="minorHAnsi" w:hAnsiTheme="min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w:t>
      </w:r>
      <w:hyperlink r:id="rId6" w:history="1">
        <w:r w:rsidRPr="00135B0A">
          <w:rPr>
            <w:rStyle w:val="Hyperlink"/>
            <w:rFonts w:asciiTheme="minorHAnsi" w:hAnsiTheme="minorHAnsi"/>
            <w:sz w:val="16"/>
            <w:szCs w:val="16"/>
          </w:rPr>
          <w:t>https://ec.europa.eu/info/sites/info/files/economy-finance/ip082_en.pdf</w:t>
        </w:r>
      </w:hyperlink>
      <w:r w:rsidRPr="00135B0A">
        <w:rPr>
          <w:rFonts w:asciiTheme="minorHAnsi" w:hAnsiTheme="minorHAnsi"/>
          <w:sz w:val="16"/>
          <w:szCs w:val="16"/>
        </w:rPr>
        <w:t xml:space="preserve"> </w:t>
      </w:r>
    </w:p>
  </w:footnote>
  <w:footnote w:id="8">
    <w:p w:rsidR="00C0332C" w:rsidRPr="00135B0A" w:rsidRDefault="00C0332C" w:rsidP="003202E7">
      <w:pPr>
        <w:pStyle w:val="Voetnoottekst"/>
        <w:rPr>
          <w:rFonts w:asciiTheme="minorHAnsi" w:hAnsiTheme="min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http://www.consilium.europa.eu/nl/press/press-releases/2018/07/12/statement-on-bulgaria-s-path-towards-erm-ii-participation/</w:t>
      </w:r>
    </w:p>
  </w:footnote>
  <w:footnote w:id="9">
    <w:p w:rsidR="00C0332C" w:rsidRPr="009F5CEB" w:rsidRDefault="00C0332C" w:rsidP="003202E7">
      <w:pPr>
        <w:pStyle w:val="Voetnoottekst"/>
        <w:rPr>
          <w:rFonts w:asciiTheme="majorHAnsi" w:hAnsiTheme="maj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http://www.consilium.europa.eu/media/36125/st11119-en18.pdf</w:t>
      </w:r>
    </w:p>
  </w:footnote>
  <w:footnote w:id="10">
    <w:p w:rsidR="00C0332C" w:rsidRPr="00135B0A" w:rsidRDefault="00C0332C">
      <w:pPr>
        <w:pStyle w:val="Voetnoottekst"/>
        <w:rPr>
          <w:rFonts w:asciiTheme="minorHAnsi" w:hAnsiTheme="min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Kamerstuk 21501-07 nr. 1533</w:t>
      </w:r>
    </w:p>
  </w:footnote>
  <w:footnote w:id="11">
    <w:p w:rsidR="00135B0A" w:rsidRDefault="00135B0A" w:rsidP="00135B0A">
      <w:pPr>
        <w:pStyle w:val="Voetnoottekst"/>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w:t>
      </w:r>
      <w:hyperlink r:id="rId7" w:history="1">
        <w:r w:rsidRPr="00135B0A">
          <w:rPr>
            <w:rStyle w:val="Hyperlink"/>
            <w:rFonts w:asciiTheme="minorHAnsi" w:hAnsiTheme="minorHAnsi"/>
            <w:sz w:val="16"/>
            <w:szCs w:val="16"/>
          </w:rPr>
          <w:t>https://ec.europa.eu/info/sites/info/files/economy-finance/compliance_report_4r_2018.06.20.docx.pdf</w:t>
        </w:r>
      </w:hyperlink>
    </w:p>
  </w:footnote>
  <w:footnote w:id="12">
    <w:p w:rsidR="00C0332C" w:rsidRPr="00135B0A" w:rsidRDefault="00C0332C" w:rsidP="00455F77">
      <w:pPr>
        <w:pStyle w:val="Voetnoottekst"/>
        <w:rPr>
          <w:rFonts w:asciiTheme="minorHAnsi" w:hAnsiTheme="min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w:t>
      </w:r>
      <w:hyperlink r:id="rId8" w:history="1">
        <w:r w:rsidRPr="00135B0A">
          <w:rPr>
            <w:rStyle w:val="Hyperlink"/>
            <w:rFonts w:asciiTheme="minorHAnsi" w:hAnsiTheme="minorHAnsi"/>
            <w:sz w:val="16"/>
            <w:szCs w:val="16"/>
          </w:rPr>
          <w:t>https://www.eu2018.at/agenda-priorities/programme.html</w:t>
        </w:r>
      </w:hyperlink>
      <w:r w:rsidRPr="00135B0A">
        <w:rPr>
          <w:rFonts w:asciiTheme="minorHAnsi" w:hAnsiTheme="minorHAnsi"/>
          <w:sz w:val="16"/>
          <w:szCs w:val="16"/>
        </w:rPr>
        <w:t xml:space="preserve"> </w:t>
      </w:r>
    </w:p>
  </w:footnote>
  <w:footnote w:id="13">
    <w:p w:rsidR="00C0332C" w:rsidRPr="00135B0A" w:rsidRDefault="00C0332C">
      <w:pPr>
        <w:pStyle w:val="Voetnoottekst"/>
        <w:rPr>
          <w:rFonts w:asciiTheme="minorHAnsi" w:hAnsiTheme="minorHAnsi"/>
          <w:sz w:val="16"/>
          <w:szCs w:val="16"/>
        </w:rPr>
      </w:pPr>
      <w:r w:rsidRPr="00135B0A">
        <w:rPr>
          <w:rStyle w:val="Voetnootmarkering"/>
          <w:rFonts w:asciiTheme="minorHAnsi" w:hAnsiTheme="minorHAnsi"/>
          <w:sz w:val="16"/>
          <w:szCs w:val="16"/>
        </w:rPr>
        <w:footnoteRef/>
      </w:r>
      <w:r w:rsidRPr="00135B0A">
        <w:rPr>
          <w:rFonts w:asciiTheme="minorHAnsi" w:hAnsiTheme="minorHAnsi"/>
          <w:sz w:val="16"/>
          <w:szCs w:val="16"/>
        </w:rPr>
        <w:t xml:space="preserve"> </w:t>
      </w:r>
      <w:hyperlink r:id="rId9" w:history="1">
        <w:r w:rsidRPr="00135B0A">
          <w:rPr>
            <w:rStyle w:val="Hyperlink"/>
            <w:rFonts w:asciiTheme="minorHAnsi" w:hAnsiTheme="minorHAnsi"/>
            <w:sz w:val="16"/>
            <w:szCs w:val="16"/>
          </w:rPr>
          <w:t>http://www.consilium.europa.eu/en/press/press-releases/2018/06/29/20180628-euco-conclusions-final/</w:t>
        </w:r>
      </w:hyperlink>
      <w:r w:rsidRPr="00135B0A">
        <w:rPr>
          <w:rFonts w:asciiTheme="minorHAnsi" w:hAnsi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C" w:rsidRDefault="00C033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C" w:rsidRDefault="00C0332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32C" w:rsidRDefault="00C033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B46"/>
    <w:multiLevelType w:val="hybridMultilevel"/>
    <w:tmpl w:val="EBA26D6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60411A6"/>
    <w:multiLevelType w:val="hybridMultilevel"/>
    <w:tmpl w:val="6DF25E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10823BD"/>
    <w:multiLevelType w:val="hybridMultilevel"/>
    <w:tmpl w:val="242CED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B7C6146"/>
    <w:multiLevelType w:val="hybridMultilevel"/>
    <w:tmpl w:val="0504BBB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5FC01A74"/>
    <w:multiLevelType w:val="hybridMultilevel"/>
    <w:tmpl w:val="29B0CA00"/>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755051A"/>
    <w:multiLevelType w:val="hybridMultilevel"/>
    <w:tmpl w:val="197636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E31D70"/>
    <w:multiLevelType w:val="hybridMultilevel"/>
    <w:tmpl w:val="0E1CC69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4D59B1"/>
    <w:rsid w:val="00005C95"/>
    <w:rsid w:val="0001278C"/>
    <w:rsid w:val="00017A80"/>
    <w:rsid w:val="00031D59"/>
    <w:rsid w:val="0009760F"/>
    <w:rsid w:val="000A57B9"/>
    <w:rsid w:val="00101E19"/>
    <w:rsid w:val="00111E13"/>
    <w:rsid w:val="00111E82"/>
    <w:rsid w:val="00113062"/>
    <w:rsid w:val="0013164B"/>
    <w:rsid w:val="00135B0A"/>
    <w:rsid w:val="00140B4F"/>
    <w:rsid w:val="0016307D"/>
    <w:rsid w:val="001A00F4"/>
    <w:rsid w:val="001A017B"/>
    <w:rsid w:val="001B2EF9"/>
    <w:rsid w:val="001C4DC2"/>
    <w:rsid w:val="001F68EB"/>
    <w:rsid w:val="002075AE"/>
    <w:rsid w:val="00236B54"/>
    <w:rsid w:val="0026627C"/>
    <w:rsid w:val="00270FAE"/>
    <w:rsid w:val="00283E5C"/>
    <w:rsid w:val="002B2EA2"/>
    <w:rsid w:val="002C6651"/>
    <w:rsid w:val="002E3B61"/>
    <w:rsid w:val="002E6EEE"/>
    <w:rsid w:val="002F6857"/>
    <w:rsid w:val="003202E7"/>
    <w:rsid w:val="0032137B"/>
    <w:rsid w:val="003402B4"/>
    <w:rsid w:val="003451B0"/>
    <w:rsid w:val="00354EE6"/>
    <w:rsid w:val="0037234C"/>
    <w:rsid w:val="003830BE"/>
    <w:rsid w:val="00383676"/>
    <w:rsid w:val="00386AB1"/>
    <w:rsid w:val="003C26E6"/>
    <w:rsid w:val="003E6D2B"/>
    <w:rsid w:val="004055DA"/>
    <w:rsid w:val="0041392D"/>
    <w:rsid w:val="004418B8"/>
    <w:rsid w:val="00453FBC"/>
    <w:rsid w:val="00455F77"/>
    <w:rsid w:val="00460800"/>
    <w:rsid w:val="00460CFB"/>
    <w:rsid w:val="00460E4F"/>
    <w:rsid w:val="004824A1"/>
    <w:rsid w:val="00482EF8"/>
    <w:rsid w:val="00494C1A"/>
    <w:rsid w:val="004A400A"/>
    <w:rsid w:val="004D59B1"/>
    <w:rsid w:val="004F742A"/>
    <w:rsid w:val="00507A68"/>
    <w:rsid w:val="005121AE"/>
    <w:rsid w:val="0052550A"/>
    <w:rsid w:val="005368C1"/>
    <w:rsid w:val="00542575"/>
    <w:rsid w:val="00552CB8"/>
    <w:rsid w:val="00557C8B"/>
    <w:rsid w:val="00557EC4"/>
    <w:rsid w:val="00575A3E"/>
    <w:rsid w:val="005B13FF"/>
    <w:rsid w:val="005C24EB"/>
    <w:rsid w:val="005C2814"/>
    <w:rsid w:val="005C6527"/>
    <w:rsid w:val="005E103A"/>
    <w:rsid w:val="005F1971"/>
    <w:rsid w:val="005F346D"/>
    <w:rsid w:val="00610E46"/>
    <w:rsid w:val="00632345"/>
    <w:rsid w:val="00635BAC"/>
    <w:rsid w:val="00666EC9"/>
    <w:rsid w:val="00673F42"/>
    <w:rsid w:val="00676F79"/>
    <w:rsid w:val="0069331B"/>
    <w:rsid w:val="006A74A0"/>
    <w:rsid w:val="006B5866"/>
    <w:rsid w:val="006B66FF"/>
    <w:rsid w:val="006C03D9"/>
    <w:rsid w:val="006C78F5"/>
    <w:rsid w:val="006F13A1"/>
    <w:rsid w:val="00722028"/>
    <w:rsid w:val="007232DD"/>
    <w:rsid w:val="00724F23"/>
    <w:rsid w:val="00756389"/>
    <w:rsid w:val="007765E2"/>
    <w:rsid w:val="00777190"/>
    <w:rsid w:val="00786333"/>
    <w:rsid w:val="00786882"/>
    <w:rsid w:val="007931C8"/>
    <w:rsid w:val="007A6607"/>
    <w:rsid w:val="007B0B7D"/>
    <w:rsid w:val="007D7F61"/>
    <w:rsid w:val="007F3A9D"/>
    <w:rsid w:val="00852E48"/>
    <w:rsid w:val="00860CE4"/>
    <w:rsid w:val="00864D03"/>
    <w:rsid w:val="0088383E"/>
    <w:rsid w:val="00893ABD"/>
    <w:rsid w:val="008C6D13"/>
    <w:rsid w:val="008F0EA3"/>
    <w:rsid w:val="00905545"/>
    <w:rsid w:val="00916A6B"/>
    <w:rsid w:val="00966884"/>
    <w:rsid w:val="00982A0E"/>
    <w:rsid w:val="009902B6"/>
    <w:rsid w:val="00991520"/>
    <w:rsid w:val="009929FC"/>
    <w:rsid w:val="009A0413"/>
    <w:rsid w:val="009A5C0E"/>
    <w:rsid w:val="009B3C82"/>
    <w:rsid w:val="009C0257"/>
    <w:rsid w:val="009F5CEB"/>
    <w:rsid w:val="00A022BF"/>
    <w:rsid w:val="00A0533E"/>
    <w:rsid w:val="00A17C6E"/>
    <w:rsid w:val="00A332A0"/>
    <w:rsid w:val="00A34D20"/>
    <w:rsid w:val="00A63F5B"/>
    <w:rsid w:val="00A729ED"/>
    <w:rsid w:val="00A80C6B"/>
    <w:rsid w:val="00A816C7"/>
    <w:rsid w:val="00A944F5"/>
    <w:rsid w:val="00AD3527"/>
    <w:rsid w:val="00AE6E3D"/>
    <w:rsid w:val="00B00813"/>
    <w:rsid w:val="00B167EA"/>
    <w:rsid w:val="00B40E18"/>
    <w:rsid w:val="00B43881"/>
    <w:rsid w:val="00B43BF1"/>
    <w:rsid w:val="00B645BD"/>
    <w:rsid w:val="00B73BAF"/>
    <w:rsid w:val="00BB113C"/>
    <w:rsid w:val="00BB3D6A"/>
    <w:rsid w:val="00BB7F92"/>
    <w:rsid w:val="00BC4EE4"/>
    <w:rsid w:val="00BD6071"/>
    <w:rsid w:val="00BE74BF"/>
    <w:rsid w:val="00C0332C"/>
    <w:rsid w:val="00C2631A"/>
    <w:rsid w:val="00C31B78"/>
    <w:rsid w:val="00CD79F4"/>
    <w:rsid w:val="00D1062F"/>
    <w:rsid w:val="00D15028"/>
    <w:rsid w:val="00D51EEC"/>
    <w:rsid w:val="00D6161E"/>
    <w:rsid w:val="00D63D95"/>
    <w:rsid w:val="00D83BA3"/>
    <w:rsid w:val="00DA1481"/>
    <w:rsid w:val="00DB3601"/>
    <w:rsid w:val="00DD4281"/>
    <w:rsid w:val="00E01307"/>
    <w:rsid w:val="00E12D39"/>
    <w:rsid w:val="00E75C33"/>
    <w:rsid w:val="00E81DB9"/>
    <w:rsid w:val="00E92160"/>
    <w:rsid w:val="00EA347E"/>
    <w:rsid w:val="00EC21A0"/>
    <w:rsid w:val="00EF7540"/>
    <w:rsid w:val="00F07EB4"/>
    <w:rsid w:val="00F14773"/>
    <w:rsid w:val="00F22CDC"/>
    <w:rsid w:val="00F235D7"/>
    <w:rsid w:val="00F43130"/>
    <w:rsid w:val="00F56AD5"/>
    <w:rsid w:val="00FA0310"/>
    <w:rsid w:val="00FA0AF9"/>
    <w:rsid w:val="00FA2B68"/>
    <w:rsid w:val="00FA6E24"/>
    <w:rsid w:val="00FC67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04152F-8F89-4527-AE1A-828704C50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6A6B"/>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uiPriority w:val="9"/>
    <w:qFormat/>
    <w:rsid w:val="00D83B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4">
    <w:name w:val="heading 4"/>
    <w:basedOn w:val="Standaard"/>
    <w:next w:val="Standaard"/>
    <w:link w:val="Kop4Char"/>
    <w:uiPriority w:val="9"/>
    <w:semiHidden/>
    <w:unhideWhenUsed/>
    <w:qFormat/>
    <w:rsid w:val="007863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3BA3"/>
    <w:pPr>
      <w:spacing w:after="0" w:line="240" w:lineRule="auto"/>
    </w:pPr>
    <w:rPr>
      <w:rFonts w:ascii="Verdana" w:hAnsi="Verdana"/>
      <w:sz w:val="18"/>
    </w:rPr>
  </w:style>
  <w:style w:type="character" w:customStyle="1" w:styleId="Kop1Char">
    <w:name w:val="Kop 1 Char"/>
    <w:basedOn w:val="Standaardalinea-lettertype"/>
    <w:link w:val="Kop1"/>
    <w:uiPriority w:val="9"/>
    <w:rsid w:val="00D83BA3"/>
    <w:rPr>
      <w:rFonts w:asciiTheme="majorHAnsi" w:eastAsiaTheme="majorEastAsia" w:hAnsiTheme="majorHAnsi" w:cstheme="majorBidi"/>
      <w:b/>
      <w:bCs/>
      <w:color w:val="365F91" w:themeColor="accent1" w:themeShade="BF"/>
      <w:sz w:val="28"/>
      <w:szCs w:val="28"/>
    </w:rPr>
  </w:style>
  <w:style w:type="paragraph" w:styleId="Koptekst">
    <w:name w:val="header"/>
    <w:basedOn w:val="Standaard"/>
    <w:link w:val="KoptekstChar"/>
    <w:uiPriority w:val="99"/>
    <w:unhideWhenUsed/>
    <w:rsid w:val="00916A6B"/>
    <w:pPr>
      <w:tabs>
        <w:tab w:val="center" w:pos="4536"/>
        <w:tab w:val="right" w:pos="9072"/>
      </w:tabs>
    </w:pPr>
  </w:style>
  <w:style w:type="character" w:customStyle="1" w:styleId="KoptekstChar">
    <w:name w:val="Koptekst Char"/>
    <w:basedOn w:val="Standaardalinea-lettertype"/>
    <w:link w:val="Koptekst"/>
    <w:uiPriority w:val="99"/>
    <w:rsid w:val="00916A6B"/>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916A6B"/>
    <w:pPr>
      <w:tabs>
        <w:tab w:val="center" w:pos="4536"/>
        <w:tab w:val="right" w:pos="9072"/>
      </w:tabs>
    </w:pPr>
  </w:style>
  <w:style w:type="character" w:customStyle="1" w:styleId="VoettekstChar">
    <w:name w:val="Voettekst Char"/>
    <w:basedOn w:val="Standaardalinea-lettertype"/>
    <w:link w:val="Voettekst"/>
    <w:uiPriority w:val="99"/>
    <w:rsid w:val="00916A6B"/>
    <w:rPr>
      <w:rFonts w:ascii="Times New Roman" w:hAnsi="Times New Roman" w:cs="Times New Roman"/>
      <w:sz w:val="24"/>
      <w:szCs w:val="24"/>
      <w:lang w:eastAsia="nl-NL"/>
    </w:rPr>
  </w:style>
  <w:style w:type="character" w:styleId="Hyperlink">
    <w:name w:val="Hyperlink"/>
    <w:basedOn w:val="Standaardalinea-lettertype"/>
    <w:uiPriority w:val="99"/>
    <w:unhideWhenUsed/>
    <w:rsid w:val="00916A6B"/>
    <w:rPr>
      <w:color w:val="0000FF"/>
      <w:u w:val="single"/>
    </w:rPr>
  </w:style>
  <w:style w:type="paragraph" w:customStyle="1" w:styleId="default">
    <w:name w:val="default"/>
    <w:basedOn w:val="Standaard"/>
    <w:rsid w:val="00916A6B"/>
    <w:pPr>
      <w:spacing w:before="100" w:beforeAutospacing="1" w:after="100" w:afterAutospacing="1"/>
    </w:pPr>
  </w:style>
  <w:style w:type="paragraph" w:styleId="Voetnoottekst">
    <w:name w:val="footnote text"/>
    <w:aliases w:val="Char,Voetnoottekst Char Char,ESB-eigenwoningdiscussie,toelichting,Voetnoottekst Char1,Voetnoottekst Char3 Char Char,Voetnoottekst Char1 Char1 Char Char,Voetnoottekst Char2 Char Char Char Char,Voetnoottekst Char Char Char"/>
    <w:basedOn w:val="Standaard"/>
    <w:link w:val="VoetnoottekstChar"/>
    <w:uiPriority w:val="99"/>
    <w:unhideWhenUsed/>
    <w:qFormat/>
    <w:rsid w:val="00916A6B"/>
    <w:rPr>
      <w:sz w:val="20"/>
      <w:szCs w:val="20"/>
    </w:rPr>
  </w:style>
  <w:style w:type="character" w:customStyle="1" w:styleId="VoetnoottekstChar">
    <w:name w:val="Voetnoottekst Char"/>
    <w:aliases w:val="Char Char,Voetnoottekst Char Char Char1,ESB-eigenwoningdiscussie Char,toelichting Char,Voetnoottekst Char1 Char,Voetnoottekst Char3 Char Char Char,Voetnoottekst Char1 Char1 Char Char Char,Voetnoottekst Char2 Char Char Char Char Char"/>
    <w:basedOn w:val="Standaardalinea-lettertype"/>
    <w:link w:val="Voetnoottekst"/>
    <w:uiPriority w:val="99"/>
    <w:rsid w:val="00916A6B"/>
    <w:rPr>
      <w:rFonts w:ascii="Times New Roman" w:hAnsi="Times New Roman" w:cs="Times New Roman"/>
      <w:sz w:val="20"/>
      <w:szCs w:val="20"/>
      <w:lang w:eastAsia="nl-NL"/>
    </w:rPr>
  </w:style>
  <w:style w:type="character" w:styleId="Voetnootmarkering">
    <w:name w:val="footnote reference"/>
    <w:basedOn w:val="Standaardalinea-lettertype"/>
    <w:uiPriority w:val="99"/>
    <w:unhideWhenUsed/>
    <w:rsid w:val="00916A6B"/>
    <w:rPr>
      <w:vertAlign w:val="superscript"/>
    </w:rPr>
  </w:style>
  <w:style w:type="paragraph" w:customStyle="1" w:styleId="Default0">
    <w:name w:val="Default"/>
    <w:rsid w:val="00916A6B"/>
    <w:pPr>
      <w:autoSpaceDE w:val="0"/>
      <w:autoSpaceDN w:val="0"/>
      <w:adjustRightInd w:val="0"/>
      <w:spacing w:after="0" w:line="240" w:lineRule="auto"/>
    </w:pPr>
    <w:rPr>
      <w:rFonts w:ascii="Verdana" w:hAnsi="Verdana" w:cs="Verdana"/>
      <w:color w:val="000000"/>
      <w:sz w:val="24"/>
      <w:szCs w:val="24"/>
    </w:rPr>
  </w:style>
  <w:style w:type="table" w:styleId="Tabelraster">
    <w:name w:val="Table Grid"/>
    <w:basedOn w:val="Standaardtabel"/>
    <w:uiPriority w:val="59"/>
    <w:rsid w:val="00916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916A6B"/>
    <w:pPr>
      <w:widowControl w:val="0"/>
      <w:tabs>
        <w:tab w:val="left" w:pos="1418"/>
        <w:tab w:val="left" w:pos="2835"/>
        <w:tab w:val="left" w:pos="4253"/>
        <w:tab w:val="left" w:pos="5670"/>
      </w:tabs>
      <w:suppressAutoHyphens/>
      <w:spacing w:line="360" w:lineRule="auto"/>
    </w:pPr>
    <w:rPr>
      <w:rFonts w:ascii="Arial" w:eastAsia="Times New Roman" w:hAnsi="Arial"/>
      <w:sz w:val="20"/>
      <w:szCs w:val="20"/>
    </w:rPr>
  </w:style>
  <w:style w:type="character" w:customStyle="1" w:styleId="PlattetekstChar">
    <w:name w:val="Platte tekst Char"/>
    <w:basedOn w:val="Standaardalinea-lettertype"/>
    <w:link w:val="Plattetekst"/>
    <w:rsid w:val="00916A6B"/>
    <w:rPr>
      <w:rFonts w:ascii="Arial" w:eastAsia="Times New Roman" w:hAnsi="Arial" w:cs="Times New Roman"/>
      <w:sz w:val="20"/>
      <w:szCs w:val="20"/>
      <w:lang w:eastAsia="nl-NL"/>
    </w:rPr>
  </w:style>
  <w:style w:type="paragraph" w:styleId="Eindnoottekst">
    <w:name w:val="endnote text"/>
    <w:basedOn w:val="Standaard"/>
    <w:link w:val="EindnoottekstChar"/>
    <w:uiPriority w:val="99"/>
    <w:semiHidden/>
    <w:unhideWhenUsed/>
    <w:rsid w:val="005368C1"/>
    <w:rPr>
      <w:sz w:val="20"/>
      <w:szCs w:val="20"/>
    </w:rPr>
  </w:style>
  <w:style w:type="character" w:customStyle="1" w:styleId="EindnoottekstChar">
    <w:name w:val="Eindnoottekst Char"/>
    <w:basedOn w:val="Standaardalinea-lettertype"/>
    <w:link w:val="Eindnoottekst"/>
    <w:uiPriority w:val="99"/>
    <w:semiHidden/>
    <w:rsid w:val="005368C1"/>
    <w:rPr>
      <w:rFonts w:ascii="Times New Roman" w:hAnsi="Times New Roman" w:cs="Times New Roman"/>
      <w:sz w:val="20"/>
      <w:szCs w:val="20"/>
      <w:lang w:eastAsia="nl-NL"/>
    </w:rPr>
  </w:style>
  <w:style w:type="character" w:styleId="Eindnootmarkering">
    <w:name w:val="endnote reference"/>
    <w:basedOn w:val="Standaardalinea-lettertype"/>
    <w:uiPriority w:val="99"/>
    <w:semiHidden/>
    <w:unhideWhenUsed/>
    <w:rsid w:val="005368C1"/>
    <w:rPr>
      <w:vertAlign w:val="superscript"/>
    </w:rPr>
  </w:style>
  <w:style w:type="character" w:styleId="GevolgdeHyperlink">
    <w:name w:val="FollowedHyperlink"/>
    <w:basedOn w:val="Standaardalinea-lettertype"/>
    <w:uiPriority w:val="99"/>
    <w:semiHidden/>
    <w:unhideWhenUsed/>
    <w:rsid w:val="0016307D"/>
    <w:rPr>
      <w:color w:val="800080" w:themeColor="followedHyperlink"/>
      <w:u w:val="single"/>
    </w:rPr>
  </w:style>
  <w:style w:type="character" w:styleId="Verwijzingopmerking">
    <w:name w:val="annotation reference"/>
    <w:basedOn w:val="Standaardalinea-lettertype"/>
    <w:uiPriority w:val="99"/>
    <w:semiHidden/>
    <w:unhideWhenUsed/>
    <w:rsid w:val="005F1971"/>
    <w:rPr>
      <w:sz w:val="16"/>
      <w:szCs w:val="16"/>
    </w:rPr>
  </w:style>
  <w:style w:type="paragraph" w:styleId="Tekstopmerking">
    <w:name w:val="annotation text"/>
    <w:basedOn w:val="Standaard"/>
    <w:link w:val="TekstopmerkingChar"/>
    <w:uiPriority w:val="99"/>
    <w:semiHidden/>
    <w:unhideWhenUsed/>
    <w:rsid w:val="005F1971"/>
    <w:pPr>
      <w:spacing w:after="200"/>
    </w:pPr>
    <w:rPr>
      <w:rFonts w:ascii="Verdana" w:hAnsi="Verdana" w:cstheme="minorBidi"/>
      <w:sz w:val="20"/>
      <w:szCs w:val="20"/>
      <w:lang w:eastAsia="en-US"/>
    </w:rPr>
  </w:style>
  <w:style w:type="character" w:customStyle="1" w:styleId="TekstopmerkingChar">
    <w:name w:val="Tekst opmerking Char"/>
    <w:basedOn w:val="Standaardalinea-lettertype"/>
    <w:link w:val="Tekstopmerking"/>
    <w:uiPriority w:val="99"/>
    <w:semiHidden/>
    <w:rsid w:val="005F1971"/>
    <w:rPr>
      <w:rFonts w:ascii="Verdana" w:hAnsi="Verdana"/>
      <w:sz w:val="20"/>
      <w:szCs w:val="20"/>
    </w:rPr>
  </w:style>
  <w:style w:type="paragraph" w:styleId="Ballontekst">
    <w:name w:val="Balloon Text"/>
    <w:basedOn w:val="Standaard"/>
    <w:link w:val="BallontekstChar"/>
    <w:uiPriority w:val="99"/>
    <w:semiHidden/>
    <w:unhideWhenUsed/>
    <w:rsid w:val="005F1971"/>
    <w:rPr>
      <w:rFonts w:ascii="Tahoma" w:hAnsi="Tahoma" w:cs="Tahoma"/>
      <w:sz w:val="16"/>
      <w:szCs w:val="16"/>
    </w:rPr>
  </w:style>
  <w:style w:type="character" w:customStyle="1" w:styleId="BallontekstChar">
    <w:name w:val="Ballontekst Char"/>
    <w:basedOn w:val="Standaardalinea-lettertype"/>
    <w:link w:val="Ballontekst"/>
    <w:uiPriority w:val="99"/>
    <w:semiHidden/>
    <w:rsid w:val="005F1971"/>
    <w:rPr>
      <w:rFonts w:ascii="Tahoma" w:hAnsi="Tahoma" w:cs="Tahoma"/>
      <w:sz w:val="16"/>
      <w:szCs w:val="16"/>
      <w:lang w:eastAsia="nl-NL"/>
    </w:rPr>
  </w:style>
  <w:style w:type="paragraph" w:styleId="Onderwerpvanopmerking">
    <w:name w:val="annotation subject"/>
    <w:basedOn w:val="Tekstopmerking"/>
    <w:next w:val="Tekstopmerking"/>
    <w:link w:val="OnderwerpvanopmerkingChar"/>
    <w:uiPriority w:val="99"/>
    <w:semiHidden/>
    <w:unhideWhenUsed/>
    <w:rsid w:val="00A729ED"/>
    <w:pPr>
      <w:spacing w:after="0"/>
    </w:pPr>
    <w:rPr>
      <w:rFonts w:ascii="Times New Roman" w:hAnsi="Times New Roman" w:cs="Times New Roman"/>
      <w:b/>
      <w:bCs/>
      <w:lang w:eastAsia="nl-NL"/>
    </w:rPr>
  </w:style>
  <w:style w:type="character" w:customStyle="1" w:styleId="OnderwerpvanopmerkingChar">
    <w:name w:val="Onderwerp van opmerking Char"/>
    <w:basedOn w:val="TekstopmerkingChar"/>
    <w:link w:val="Onderwerpvanopmerking"/>
    <w:uiPriority w:val="99"/>
    <w:semiHidden/>
    <w:rsid w:val="00A729ED"/>
    <w:rPr>
      <w:rFonts w:ascii="Times New Roman" w:hAnsi="Times New Roman" w:cs="Times New Roman"/>
      <w:b/>
      <w:bCs/>
      <w:sz w:val="20"/>
      <w:szCs w:val="20"/>
      <w:lang w:eastAsia="nl-NL"/>
    </w:rPr>
  </w:style>
  <w:style w:type="paragraph" w:styleId="Lijstalinea">
    <w:name w:val="List Paragraph"/>
    <w:aliases w:val="Dot pt,F5 List Paragraph,List Paragraph1,No Spacing1,List Paragraph Char Char Char,Indicator Text,Colorful List - Accent 11,Numbered Para 1,Bullet 1,Bullet Points,MAIN CONTENT,List Paragraph11,List Paragraph12,List Paragraph2,L,OBC Bullet"/>
    <w:basedOn w:val="Standaard"/>
    <w:link w:val="LijstalineaChar"/>
    <w:uiPriority w:val="34"/>
    <w:qFormat/>
    <w:rsid w:val="00A944F5"/>
    <w:pPr>
      <w:ind w:left="720"/>
      <w:contextualSpacing/>
    </w:pPr>
  </w:style>
  <w:style w:type="character" w:customStyle="1" w:styleId="LijstalineaChar">
    <w:name w:val="Lijstalinea Char"/>
    <w:aliases w:val="Dot pt Char,F5 List Paragraph Char,List Paragraph1 Char,No Spacing1 Char,List Paragraph Char Char Char Char,Indicator Text Char,Colorful List - Accent 11 Char,Numbered Para 1 Char,Bullet 1 Char,Bullet Points Char,MAIN CONTENT Char"/>
    <w:link w:val="Lijstalinea"/>
    <w:uiPriority w:val="34"/>
    <w:qFormat/>
    <w:rsid w:val="00EA347E"/>
    <w:rPr>
      <w:rFonts w:ascii="Times New Roman" w:hAnsi="Times New Roman" w:cs="Times New Roman"/>
      <w:sz w:val="24"/>
      <w:szCs w:val="24"/>
      <w:lang w:eastAsia="nl-NL"/>
    </w:rPr>
  </w:style>
  <w:style w:type="character" w:customStyle="1" w:styleId="Kop4Char">
    <w:name w:val="Kop 4 Char"/>
    <w:basedOn w:val="Standaardalinea-lettertype"/>
    <w:link w:val="Kop4"/>
    <w:uiPriority w:val="9"/>
    <w:semiHidden/>
    <w:rsid w:val="00786333"/>
    <w:rPr>
      <w:rFonts w:asciiTheme="majorHAnsi" w:eastAsiaTheme="majorEastAsia" w:hAnsiTheme="majorHAnsi" w:cstheme="majorBidi"/>
      <w:i/>
      <w:iCs/>
      <w:color w:val="365F91" w:themeColor="accent1" w:themeShade="BF"/>
      <w:sz w:val="24"/>
      <w:szCs w:val="24"/>
      <w:lang w:eastAsia="nl-NL"/>
    </w:rPr>
  </w:style>
  <w:style w:type="paragraph" w:styleId="Normaalweb">
    <w:name w:val="Normal (Web)"/>
    <w:basedOn w:val="Standaard"/>
    <w:uiPriority w:val="99"/>
    <w:semiHidden/>
    <w:unhideWhenUsed/>
    <w:rsid w:val="00786333"/>
    <w:pPr>
      <w:spacing w:before="100" w:beforeAutospacing="1" w:after="100" w:afterAutospacing="1"/>
    </w:pPr>
    <w:rPr>
      <w:rFonts w:eastAsia="Times New Roman"/>
    </w:rPr>
  </w:style>
  <w:style w:type="paragraph" w:styleId="Revisie">
    <w:name w:val="Revision"/>
    <w:hidden/>
    <w:uiPriority w:val="99"/>
    <w:semiHidden/>
    <w:rsid w:val="00031D59"/>
    <w:pPr>
      <w:spacing w:after="0" w:line="240" w:lineRule="auto"/>
    </w:pPr>
    <w:rPr>
      <w:rFonts w:ascii="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990">
      <w:bodyDiv w:val="1"/>
      <w:marLeft w:val="0"/>
      <w:marRight w:val="0"/>
      <w:marTop w:val="0"/>
      <w:marBottom w:val="0"/>
      <w:divBdr>
        <w:top w:val="none" w:sz="0" w:space="0" w:color="auto"/>
        <w:left w:val="none" w:sz="0" w:space="0" w:color="auto"/>
        <w:bottom w:val="none" w:sz="0" w:space="0" w:color="auto"/>
        <w:right w:val="none" w:sz="0" w:space="0" w:color="auto"/>
      </w:divBdr>
    </w:div>
    <w:div w:id="96874701">
      <w:bodyDiv w:val="1"/>
      <w:marLeft w:val="0"/>
      <w:marRight w:val="0"/>
      <w:marTop w:val="0"/>
      <w:marBottom w:val="0"/>
      <w:divBdr>
        <w:top w:val="none" w:sz="0" w:space="0" w:color="auto"/>
        <w:left w:val="none" w:sz="0" w:space="0" w:color="auto"/>
        <w:bottom w:val="none" w:sz="0" w:space="0" w:color="auto"/>
        <w:right w:val="none" w:sz="0" w:space="0" w:color="auto"/>
      </w:divBdr>
    </w:div>
    <w:div w:id="132910105">
      <w:bodyDiv w:val="1"/>
      <w:marLeft w:val="0"/>
      <w:marRight w:val="0"/>
      <w:marTop w:val="0"/>
      <w:marBottom w:val="0"/>
      <w:divBdr>
        <w:top w:val="none" w:sz="0" w:space="0" w:color="auto"/>
        <w:left w:val="none" w:sz="0" w:space="0" w:color="auto"/>
        <w:bottom w:val="none" w:sz="0" w:space="0" w:color="auto"/>
        <w:right w:val="none" w:sz="0" w:space="0" w:color="auto"/>
      </w:divBdr>
    </w:div>
    <w:div w:id="287325397">
      <w:bodyDiv w:val="1"/>
      <w:marLeft w:val="0"/>
      <w:marRight w:val="0"/>
      <w:marTop w:val="0"/>
      <w:marBottom w:val="0"/>
      <w:divBdr>
        <w:top w:val="none" w:sz="0" w:space="0" w:color="auto"/>
        <w:left w:val="none" w:sz="0" w:space="0" w:color="auto"/>
        <w:bottom w:val="none" w:sz="0" w:space="0" w:color="auto"/>
        <w:right w:val="none" w:sz="0" w:space="0" w:color="auto"/>
      </w:divBdr>
    </w:div>
    <w:div w:id="403183094">
      <w:bodyDiv w:val="1"/>
      <w:marLeft w:val="0"/>
      <w:marRight w:val="0"/>
      <w:marTop w:val="0"/>
      <w:marBottom w:val="0"/>
      <w:divBdr>
        <w:top w:val="none" w:sz="0" w:space="0" w:color="auto"/>
        <w:left w:val="none" w:sz="0" w:space="0" w:color="auto"/>
        <w:bottom w:val="none" w:sz="0" w:space="0" w:color="auto"/>
        <w:right w:val="none" w:sz="0" w:space="0" w:color="auto"/>
      </w:divBdr>
    </w:div>
    <w:div w:id="599065971">
      <w:bodyDiv w:val="1"/>
      <w:marLeft w:val="0"/>
      <w:marRight w:val="0"/>
      <w:marTop w:val="0"/>
      <w:marBottom w:val="0"/>
      <w:divBdr>
        <w:top w:val="none" w:sz="0" w:space="0" w:color="auto"/>
        <w:left w:val="none" w:sz="0" w:space="0" w:color="auto"/>
        <w:bottom w:val="none" w:sz="0" w:space="0" w:color="auto"/>
        <w:right w:val="none" w:sz="0" w:space="0" w:color="auto"/>
      </w:divBdr>
    </w:div>
    <w:div w:id="634719578">
      <w:bodyDiv w:val="1"/>
      <w:marLeft w:val="0"/>
      <w:marRight w:val="0"/>
      <w:marTop w:val="0"/>
      <w:marBottom w:val="0"/>
      <w:divBdr>
        <w:top w:val="none" w:sz="0" w:space="0" w:color="auto"/>
        <w:left w:val="none" w:sz="0" w:space="0" w:color="auto"/>
        <w:bottom w:val="none" w:sz="0" w:space="0" w:color="auto"/>
        <w:right w:val="none" w:sz="0" w:space="0" w:color="auto"/>
      </w:divBdr>
    </w:div>
    <w:div w:id="927881316">
      <w:bodyDiv w:val="1"/>
      <w:marLeft w:val="0"/>
      <w:marRight w:val="0"/>
      <w:marTop w:val="0"/>
      <w:marBottom w:val="0"/>
      <w:divBdr>
        <w:top w:val="none" w:sz="0" w:space="0" w:color="auto"/>
        <w:left w:val="none" w:sz="0" w:space="0" w:color="auto"/>
        <w:bottom w:val="none" w:sz="0" w:space="0" w:color="auto"/>
        <w:right w:val="none" w:sz="0" w:space="0" w:color="auto"/>
      </w:divBdr>
    </w:div>
    <w:div w:id="1192917034">
      <w:bodyDiv w:val="1"/>
      <w:marLeft w:val="0"/>
      <w:marRight w:val="0"/>
      <w:marTop w:val="0"/>
      <w:marBottom w:val="0"/>
      <w:divBdr>
        <w:top w:val="none" w:sz="0" w:space="0" w:color="auto"/>
        <w:left w:val="none" w:sz="0" w:space="0" w:color="auto"/>
        <w:bottom w:val="none" w:sz="0" w:space="0" w:color="auto"/>
        <w:right w:val="none" w:sz="0" w:space="0" w:color="auto"/>
      </w:divBdr>
    </w:div>
    <w:div w:id="1341346636">
      <w:bodyDiv w:val="1"/>
      <w:marLeft w:val="0"/>
      <w:marRight w:val="0"/>
      <w:marTop w:val="0"/>
      <w:marBottom w:val="0"/>
      <w:divBdr>
        <w:top w:val="none" w:sz="0" w:space="0" w:color="auto"/>
        <w:left w:val="none" w:sz="0" w:space="0" w:color="auto"/>
        <w:bottom w:val="none" w:sz="0" w:space="0" w:color="auto"/>
        <w:right w:val="none" w:sz="0" w:space="0" w:color="auto"/>
      </w:divBdr>
      <w:divsChild>
        <w:div w:id="1369798136">
          <w:marLeft w:val="0"/>
          <w:marRight w:val="0"/>
          <w:marTop w:val="0"/>
          <w:marBottom w:val="0"/>
          <w:divBdr>
            <w:top w:val="none" w:sz="0" w:space="0" w:color="auto"/>
            <w:left w:val="none" w:sz="0" w:space="0" w:color="auto"/>
            <w:bottom w:val="none" w:sz="0" w:space="0" w:color="auto"/>
            <w:right w:val="none" w:sz="0" w:space="0" w:color="auto"/>
          </w:divBdr>
          <w:divsChild>
            <w:div w:id="868496013">
              <w:marLeft w:val="0"/>
              <w:marRight w:val="0"/>
              <w:marTop w:val="0"/>
              <w:marBottom w:val="0"/>
              <w:divBdr>
                <w:top w:val="none" w:sz="0" w:space="0" w:color="auto"/>
                <w:left w:val="none" w:sz="0" w:space="0" w:color="auto"/>
                <w:bottom w:val="none" w:sz="0" w:space="0" w:color="auto"/>
                <w:right w:val="none" w:sz="0" w:space="0" w:color="auto"/>
              </w:divBdr>
              <w:divsChild>
                <w:div w:id="779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20151">
      <w:bodyDiv w:val="1"/>
      <w:marLeft w:val="0"/>
      <w:marRight w:val="0"/>
      <w:marTop w:val="0"/>
      <w:marBottom w:val="0"/>
      <w:divBdr>
        <w:top w:val="none" w:sz="0" w:space="0" w:color="auto"/>
        <w:left w:val="none" w:sz="0" w:space="0" w:color="auto"/>
        <w:bottom w:val="none" w:sz="0" w:space="0" w:color="auto"/>
        <w:right w:val="none" w:sz="0" w:space="0" w:color="auto"/>
      </w:divBdr>
    </w:div>
    <w:div w:id="1407873206">
      <w:bodyDiv w:val="1"/>
      <w:marLeft w:val="0"/>
      <w:marRight w:val="0"/>
      <w:marTop w:val="0"/>
      <w:marBottom w:val="0"/>
      <w:divBdr>
        <w:top w:val="none" w:sz="0" w:space="0" w:color="auto"/>
        <w:left w:val="none" w:sz="0" w:space="0" w:color="auto"/>
        <w:bottom w:val="none" w:sz="0" w:space="0" w:color="auto"/>
        <w:right w:val="none" w:sz="0" w:space="0" w:color="auto"/>
      </w:divBdr>
    </w:div>
    <w:div w:id="1619481923">
      <w:bodyDiv w:val="1"/>
      <w:marLeft w:val="0"/>
      <w:marRight w:val="0"/>
      <w:marTop w:val="0"/>
      <w:marBottom w:val="0"/>
      <w:divBdr>
        <w:top w:val="none" w:sz="0" w:space="0" w:color="auto"/>
        <w:left w:val="none" w:sz="0" w:space="0" w:color="auto"/>
        <w:bottom w:val="none" w:sz="0" w:space="0" w:color="auto"/>
        <w:right w:val="none" w:sz="0" w:space="0" w:color="auto"/>
      </w:divBdr>
    </w:div>
    <w:div w:id="1670208953">
      <w:bodyDiv w:val="1"/>
      <w:marLeft w:val="0"/>
      <w:marRight w:val="0"/>
      <w:marTop w:val="0"/>
      <w:marBottom w:val="0"/>
      <w:divBdr>
        <w:top w:val="none" w:sz="0" w:space="0" w:color="auto"/>
        <w:left w:val="none" w:sz="0" w:space="0" w:color="auto"/>
        <w:bottom w:val="none" w:sz="0" w:space="0" w:color="auto"/>
        <w:right w:val="none" w:sz="0" w:space="0" w:color="auto"/>
      </w:divBdr>
    </w:div>
    <w:div w:id="1680696188">
      <w:bodyDiv w:val="1"/>
      <w:marLeft w:val="0"/>
      <w:marRight w:val="0"/>
      <w:marTop w:val="0"/>
      <w:marBottom w:val="0"/>
      <w:divBdr>
        <w:top w:val="none" w:sz="0" w:space="0" w:color="auto"/>
        <w:left w:val="none" w:sz="0" w:space="0" w:color="auto"/>
        <w:bottom w:val="none" w:sz="0" w:space="0" w:color="auto"/>
        <w:right w:val="none" w:sz="0" w:space="0" w:color="auto"/>
      </w:divBdr>
    </w:div>
    <w:div w:id="1821655398">
      <w:bodyDiv w:val="1"/>
      <w:marLeft w:val="0"/>
      <w:marRight w:val="0"/>
      <w:marTop w:val="0"/>
      <w:marBottom w:val="0"/>
      <w:divBdr>
        <w:top w:val="none" w:sz="0" w:space="0" w:color="auto"/>
        <w:left w:val="none" w:sz="0" w:space="0" w:color="auto"/>
        <w:bottom w:val="none" w:sz="0" w:space="0" w:color="auto"/>
        <w:right w:val="none" w:sz="0" w:space="0" w:color="auto"/>
      </w:divBdr>
    </w:div>
    <w:div w:id="1828327565">
      <w:bodyDiv w:val="1"/>
      <w:marLeft w:val="0"/>
      <w:marRight w:val="0"/>
      <w:marTop w:val="0"/>
      <w:marBottom w:val="0"/>
      <w:divBdr>
        <w:top w:val="none" w:sz="0" w:space="0" w:color="auto"/>
        <w:left w:val="none" w:sz="0" w:space="0" w:color="auto"/>
        <w:bottom w:val="none" w:sz="0" w:space="0" w:color="auto"/>
        <w:right w:val="none" w:sz="0" w:space="0" w:color="auto"/>
      </w:divBdr>
    </w:div>
    <w:div w:id="2009671576">
      <w:bodyDiv w:val="1"/>
      <w:marLeft w:val="0"/>
      <w:marRight w:val="0"/>
      <w:marTop w:val="0"/>
      <w:marBottom w:val="0"/>
      <w:divBdr>
        <w:top w:val="none" w:sz="0" w:space="0" w:color="auto"/>
        <w:left w:val="none" w:sz="0" w:space="0" w:color="auto"/>
        <w:bottom w:val="none" w:sz="0" w:space="0" w:color="auto"/>
        <w:right w:val="none" w:sz="0" w:space="0" w:color="auto"/>
      </w:divBdr>
    </w:div>
    <w:div w:id="20736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eu2018.at/agenda-priorities/programme.html" TargetMode="External"/><Relationship Id="rId3" Type="http://schemas.openxmlformats.org/officeDocument/2006/relationships/hyperlink" Target="https://www.rijksoverheid.nl/documenten/kamerstukken/2018/07/02/kamerbrief-over-verslag-europese-raad-28-en-29-juni-2018" TargetMode="External"/><Relationship Id="rId7" Type="http://schemas.openxmlformats.org/officeDocument/2006/relationships/hyperlink" Target="https://ec.europa.eu/info/sites/info/files/economy-finance/compliance_report_4r_2018.06.20.docx.pdf" TargetMode="External"/><Relationship Id="rId2" Type="http://schemas.openxmlformats.org/officeDocument/2006/relationships/hyperlink" Target="http://www.consilium.europa.eu/media/35798/2018-06-25-letter-president-centeno-to-president-tusk.pdf" TargetMode="External"/><Relationship Id="rId1" Type="http://schemas.openxmlformats.org/officeDocument/2006/relationships/hyperlink" Target="http://www.consilium.europa.eu/media/35999/29-euro-summit-statement-en.pdf" TargetMode="External"/><Relationship Id="rId6" Type="http://schemas.openxmlformats.org/officeDocument/2006/relationships/hyperlink" Target="https://ec.europa.eu/info/sites/info/files/economy-finance/ip082_en.pdf" TargetMode="External"/><Relationship Id="rId5" Type="http://schemas.openxmlformats.org/officeDocument/2006/relationships/hyperlink" Target="https://ec.europa.eu/info/sites/info/files/economy-finance/ip081_en.pdf" TargetMode="External"/><Relationship Id="rId4" Type="http://schemas.openxmlformats.org/officeDocument/2006/relationships/hyperlink" Target="https://ec.europa.eu/info/sites/info/files/20180603-june-report_-final_en.pdf" TargetMode="External"/><Relationship Id="rId9" Type="http://schemas.openxmlformats.org/officeDocument/2006/relationships/hyperlink" Target="http://www.consilium.europa.eu/en/press/press-releases/2018/06/29/20180628-euco-conclusions-fina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2676</ap:Words>
  <ap:Characters>14719</ap:Characters>
  <ap:DocSecurity>0</ap:DocSecurity>
  <ap:Lines>122</ap:Lines>
  <ap:Paragraphs>34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17361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2018-07-23T13:07:00.0000000Z</dcterms:created>
  <dcterms:modified xsi:type="dcterms:W3CDTF">2018-07-23T13:07:00.0000000Z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0x010100BCC5BE040E48DC448E7300ED3461F3A3</vt:lpwstr>
  </property>
  <property fmtid="{D5CDD505-2E9C-101B-9397-08002B2CF9AE}" pid="3" name="BZ_Forum">
    <vt:lpwstr>3;#EU|4d8f9873-61b3-4ee5-b6f7-0bb00c6df5e8</vt:lpwstr>
  </property>
  <property fmtid="{D5CDD505-2E9C-101B-9397-08002B2CF9AE}" pid="4" name="BZ_Country">
    <vt:lpwstr>2;#Belgium|8c53861d-5948-4849-ad81-854a9451db77</vt:lpwstr>
  </property>
  <property fmtid="{D5CDD505-2E9C-101B-9397-08002B2CF9AE}" pid="5" name="BZ_Theme">
    <vt:lpwstr>1;#EU policy-making|62445f8a-7f88-4a05-90cb-30e854042045</vt:lpwstr>
  </property>
  <property fmtid="{D5CDD505-2E9C-101B-9397-08002B2CF9AE}" pid="6" name="BZ_Classification">
    <vt:lpwstr>4;#Unclassified|d92c6340-bc14-4cb2-a9a6-6deda93c493b</vt:lpwstr>
  </property>
</Properties>
</file>