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CA" w:rsidRDefault="004373C0">
      <w:pPr>
        <w:pStyle w:val="Salutation"/>
      </w:pPr>
      <w:bookmarkStart w:name="_GoBack" w:id="0"/>
      <w:bookmarkEnd w:id="0"/>
      <w:r>
        <w:t>Geachte voorzitter,</w:t>
      </w:r>
    </w:p>
    <w:p w:rsidR="00790724" w:rsidP="00790724" w:rsidRDefault="00790724"/>
    <w:p w:rsidR="00790724" w:rsidP="00790724" w:rsidRDefault="00790724">
      <w:r>
        <w:t>Hierbij bied ik u mede namens mijn ambtgenoot van Binnenlandse Zaken en Koninkrijksrelaties de Nota naar aanleiding van het verslag inzake het wetsvoorstel Aanvullingswet bodem Omgevingswet</w:t>
      </w:r>
      <w:r w:rsidR="004373C0">
        <w:t xml:space="preserve"> (34 864)</w:t>
      </w:r>
      <w:r>
        <w:t xml:space="preserve">. </w:t>
      </w:r>
    </w:p>
    <w:p w:rsidR="00790724" w:rsidP="00790724" w:rsidRDefault="00790724">
      <w:pPr>
        <w:autoSpaceDN/>
        <w:spacing w:line="276" w:lineRule="auto"/>
        <w:textAlignment w:val="auto"/>
      </w:pPr>
    </w:p>
    <w:p w:rsidRPr="00790724" w:rsidR="00790724" w:rsidP="00790724" w:rsidRDefault="00790724">
      <w:pPr>
        <w:autoSpaceDN/>
        <w:spacing w:line="276" w:lineRule="auto"/>
        <w:textAlignment w:val="auto"/>
        <w:rPr>
          <w:rFonts w:eastAsia="Times New Roman" w:cs="Times New Roman"/>
          <w:b/>
          <w:color w:val="auto"/>
        </w:rPr>
      </w:pPr>
      <w:r>
        <w:t>Deze nota naar aanleiding van het verslag gaat vergezeld van een nota van wijziging. </w:t>
      </w:r>
      <w:r>
        <w:rPr>
          <w:rFonts w:eastAsia="Times New Roman" w:cs="Times New Roman"/>
          <w:color w:val="auto"/>
        </w:rPr>
        <w:t>Deze bevat een beperkt</w:t>
      </w:r>
      <w:r w:rsidRPr="001049F3">
        <w:rPr>
          <w:rFonts w:eastAsia="Times New Roman" w:cs="Times New Roman"/>
          <w:color w:val="auto"/>
        </w:rPr>
        <w:t xml:space="preserve"> aantal inhoudelijke wijzigingen en een aantal technische verbeteringen in het wetsvoorstel. Voor een uitgebreidere toelichting hierop verwijs ik graag naar </w:t>
      </w:r>
      <w:r w:rsidRPr="00472E48">
        <w:rPr>
          <w:rFonts w:eastAsia="Times New Roman" w:cs="Times New Roman"/>
          <w:color w:val="auto"/>
        </w:rPr>
        <w:t xml:space="preserve">de nota van </w:t>
      </w:r>
      <w:r w:rsidRPr="006E5332">
        <w:rPr>
          <w:rFonts w:eastAsia="Times New Roman" w:cs="Times New Roman"/>
          <w:color w:val="auto"/>
        </w:rPr>
        <w:t>wijziging</w:t>
      </w:r>
      <w:r w:rsidRPr="000517B4" w:rsidR="000517B4">
        <w:rPr>
          <w:rFonts w:eastAsia="Times New Roman" w:cs="Times New Roman"/>
          <w:color w:val="auto"/>
        </w:rPr>
        <w:t>.</w:t>
      </w:r>
    </w:p>
    <w:p w:rsidR="00D03BCA" w:rsidRDefault="004373C0">
      <w:pPr>
        <w:pStyle w:val="WitregelW1bodytekst"/>
      </w:pPr>
      <w:r>
        <w:t xml:space="preserve">  </w:t>
      </w:r>
    </w:p>
    <w:p w:rsidR="00D03BCA" w:rsidRDefault="004373C0">
      <w:pPr>
        <w:pStyle w:val="Slotzin"/>
      </w:pPr>
      <w:r>
        <w:t>Hoogachtend,</w:t>
      </w:r>
    </w:p>
    <w:p w:rsidR="00D03BCA" w:rsidRDefault="004373C0">
      <w:pPr>
        <w:pStyle w:val="OndertekeningArea1"/>
      </w:pPr>
      <w:r>
        <w:t>DE STAATSSECRETARIS VAN INFRASTRUCTUUR EN WATERSTAAT,</w:t>
      </w:r>
    </w:p>
    <w:p w:rsidR="00D03BCA" w:rsidRDefault="00D03BCA"/>
    <w:p w:rsidR="00D03BCA" w:rsidRDefault="00D03BCA"/>
    <w:p w:rsidR="00D03BCA" w:rsidRDefault="00D03BCA"/>
    <w:p w:rsidR="00D03BCA" w:rsidRDefault="00D03BCA"/>
    <w:p w:rsidR="00D03BCA" w:rsidRDefault="004373C0">
      <w:r>
        <w:t>S. van Veldhoven - Van der Meer</w:t>
      </w:r>
    </w:p>
    <w:sectPr w:rsidR="00D03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0B" w:rsidRDefault="00E9230B">
      <w:pPr>
        <w:spacing w:line="240" w:lineRule="auto"/>
      </w:pPr>
      <w:r>
        <w:separator/>
      </w:r>
    </w:p>
  </w:endnote>
  <w:endnote w:type="continuationSeparator" w:id="0">
    <w:p w:rsidR="00E9230B" w:rsidRDefault="00E92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FD" w:rsidRDefault="00F76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FD" w:rsidRDefault="00F769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FD" w:rsidRDefault="00F76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0B" w:rsidRDefault="00E9230B">
      <w:pPr>
        <w:spacing w:line="240" w:lineRule="auto"/>
      </w:pPr>
      <w:r>
        <w:separator/>
      </w:r>
    </w:p>
  </w:footnote>
  <w:footnote w:type="continuationSeparator" w:id="0">
    <w:p w:rsidR="00E9230B" w:rsidRDefault="00E92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9FD" w:rsidRDefault="00F76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CA" w:rsidRDefault="00DC111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61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<v:textbox inset="0,0,0,0">
            <w:txbxContent>
              <w:p w:rsidR="00D03BCA" w:rsidRDefault="004373C0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3" o:spid="_x0000_s2060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<v:textbox inset="0,0,0,0">
            <w:txbxContent>
              <w:p w:rsidR="00D03BCA" w:rsidRDefault="004373C0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11C44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11C4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 vervolgpagina" o:spid="_x0000_s2059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<v:textbox inset="0,0,0,0">
            <w:txbxContent>
              <w:p w:rsidR="00B57F21" w:rsidRDefault="00B57F21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vervolgpagina" o:spid="_x0000_s2058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<v:textbox inset="0,0,0,0">
            <w:txbxContent>
              <w:p w:rsidR="00B57F21" w:rsidRDefault="00B57F21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CA" w:rsidRDefault="00DC1115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" o:spid="_x0000_s2057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<v:textbox inset="0,0,0,0">
            <w:txbxContent>
              <w:p w:rsidR="00B57F21" w:rsidRDefault="00B57F21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2" o:spid="_x0000_s2056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<v:textbox inset="0,0,0,0">
            <w:txbxContent>
              <w:p w:rsidR="00D03BCA" w:rsidRDefault="004373C0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C111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DC111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_2" o:spid="_x0000_s2055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<v:textbox inset="0,0,0,0">
            <w:txbxContent>
              <w:p w:rsidR="00D03BCA" w:rsidRDefault="004373C0">
                <w:pPr>
                  <w:pStyle w:val="AfzendgegevensKop0"/>
                </w:pPr>
                <w:r>
                  <w:t>Ministerie van Infrastructuur en Waterstaat</w:t>
                </w:r>
              </w:p>
              <w:p w:rsidR="00D03BCA" w:rsidRDefault="00D03BCA">
                <w:pPr>
                  <w:pStyle w:val="WitregelW1"/>
                </w:pPr>
              </w:p>
              <w:p w:rsidR="00D03BCA" w:rsidRDefault="004373C0">
                <w:pPr>
                  <w:pStyle w:val="Afzendgegevens"/>
                </w:pPr>
                <w:r>
                  <w:t>Rijnstraat 8</w:t>
                </w:r>
              </w:p>
              <w:p w:rsidR="00D03BCA" w:rsidRPr="00790724" w:rsidRDefault="004373C0">
                <w:pPr>
                  <w:pStyle w:val="Afzendgegevens"/>
                  <w:rPr>
                    <w:lang w:val="de-DE"/>
                  </w:rPr>
                </w:pPr>
                <w:r w:rsidRPr="00790724">
                  <w:rPr>
                    <w:lang w:val="de-DE"/>
                  </w:rPr>
                  <w:t>2515 XP  Den Haag</w:t>
                </w:r>
              </w:p>
              <w:p w:rsidR="00D03BCA" w:rsidRPr="00790724" w:rsidRDefault="004373C0">
                <w:pPr>
                  <w:pStyle w:val="Afzendgegevens"/>
                  <w:rPr>
                    <w:lang w:val="de-DE"/>
                  </w:rPr>
                </w:pPr>
                <w:r w:rsidRPr="00790724">
                  <w:rPr>
                    <w:lang w:val="de-DE"/>
                  </w:rPr>
                  <w:t>Postbus 20901</w:t>
                </w:r>
              </w:p>
              <w:p w:rsidR="00D03BCA" w:rsidRPr="00790724" w:rsidRDefault="004373C0">
                <w:pPr>
                  <w:pStyle w:val="Afzendgegevens"/>
                  <w:rPr>
                    <w:lang w:val="de-DE"/>
                  </w:rPr>
                </w:pPr>
                <w:r w:rsidRPr="00790724">
                  <w:rPr>
                    <w:lang w:val="de-DE"/>
                  </w:rPr>
                  <w:t>2500 EX Den Haag</w:t>
                </w:r>
              </w:p>
              <w:p w:rsidR="00D03BCA" w:rsidRPr="00790724" w:rsidRDefault="00D03BCA">
                <w:pPr>
                  <w:pStyle w:val="WitregelW1"/>
                  <w:rPr>
                    <w:lang w:val="de-DE"/>
                  </w:rPr>
                </w:pPr>
              </w:p>
              <w:p w:rsidR="00D03BCA" w:rsidRPr="00790724" w:rsidRDefault="004373C0">
                <w:pPr>
                  <w:pStyle w:val="Afzendgegevens"/>
                  <w:rPr>
                    <w:lang w:val="de-DE"/>
                  </w:rPr>
                </w:pPr>
                <w:r w:rsidRPr="00790724">
                  <w:rPr>
                    <w:lang w:val="de-DE"/>
                  </w:rPr>
                  <w:t>T   070-456 0000</w:t>
                </w:r>
              </w:p>
              <w:p w:rsidR="00D03BCA" w:rsidRDefault="004373C0">
                <w:pPr>
                  <w:pStyle w:val="Afzendgegevens"/>
                </w:pPr>
                <w:r>
                  <w:t>F   070-456 1111</w:t>
                </w:r>
              </w:p>
              <w:p w:rsidR="00911C44" w:rsidRDefault="00911C44" w:rsidP="00911C44"/>
              <w:p w:rsidR="00911C44" w:rsidRPr="00911C44" w:rsidRDefault="00911C44" w:rsidP="00911C44">
                <w:pPr>
                  <w:rPr>
                    <w:b/>
                    <w:sz w:val="13"/>
                    <w:szCs w:val="13"/>
                  </w:rPr>
                </w:pPr>
                <w:r w:rsidRPr="00911C44">
                  <w:rPr>
                    <w:b/>
                    <w:sz w:val="13"/>
                    <w:szCs w:val="13"/>
                  </w:rPr>
                  <w:t>Ons kenmerk</w:t>
                </w:r>
              </w:p>
              <w:p w:rsidR="00911C44" w:rsidRPr="00911C44" w:rsidRDefault="00911C44" w:rsidP="00911C44">
                <w:pPr>
                  <w:rPr>
                    <w:sz w:val="13"/>
                    <w:szCs w:val="13"/>
                  </w:rPr>
                </w:pPr>
                <w:r w:rsidRPr="00911C44">
                  <w:rPr>
                    <w:sz w:val="13"/>
                    <w:szCs w:val="13"/>
                  </w:rPr>
                  <w:t>IENW/BSK-2018/138142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int_2" o:spid="_x0000_s2054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<v:textbox inset="0,0,0,0">
            <w:txbxContent>
              <w:p w:rsidR="00B57F21" w:rsidRDefault="00B57F21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2" o:spid="_x0000_s2053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<v:textbox inset="0,0,0,0">
            <w:txbxContent>
              <w:p w:rsidR="00D03BCA" w:rsidRDefault="004373C0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EB1E715" wp14:editId="29FAC801">
                      <wp:extent cx="2339975" cy="1582834"/>
                      <wp:effectExtent l="0" t="0" r="0" b="0"/>
                      <wp:docPr id="6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regel_2" o:spid="_x0000_s2052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<v:textbox inset="0,0,0,0">
            <w:txbxContent>
              <w:p w:rsidR="00D03BCA" w:rsidRDefault="004373C0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_2" o:spid="_x0000_s2051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<v:textbox inset="0,0,0,0">
            <w:txbxContent>
              <w:p w:rsidR="00D03BCA" w:rsidRDefault="004373C0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gegevens" o:spid="_x0000_s2050" type="#_x0000_t202" style="position:absolute;margin-left:79.35pt;margin-top:286.25pt;width:323.25pt;height:74.8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<v:textbox style="mso-next-textbox:#Documentgegevens"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D03BC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03BCA" w:rsidRDefault="00D03BCA"/>
                  </w:tc>
                  <w:tc>
                    <w:tcPr>
                      <w:tcW w:w="5400" w:type="dxa"/>
                    </w:tcPr>
                    <w:p w:rsidR="00D03BCA" w:rsidRDefault="00D03BCA"/>
                  </w:tc>
                </w:tr>
                <w:tr w:rsidR="00D03BCA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03BCA" w:rsidRDefault="004373C0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D03BCA" w:rsidRDefault="00911C44">
                      <w:r>
                        <w:t>30 oktober 2018</w:t>
                      </w:r>
                    </w:p>
                  </w:tc>
                </w:tr>
                <w:tr w:rsidR="00D03BCA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03BCA" w:rsidRDefault="004373C0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D03BCA" w:rsidRDefault="00790724" w:rsidP="00477DA1">
                      <w:r>
                        <w:t>A</w:t>
                      </w:r>
                      <w:r w:rsidR="004373C0">
                        <w:t xml:space="preserve">anbieding </w:t>
                      </w:r>
                      <w:r w:rsidR="005A7FBA">
                        <w:t>n</w:t>
                      </w:r>
                      <w:r w:rsidR="004373C0">
                        <w:t xml:space="preserve">ota </w:t>
                      </w:r>
                      <w:r w:rsidR="005A7FBA">
                        <w:t xml:space="preserve">naar aanleiding van </w:t>
                      </w:r>
                      <w:r w:rsidR="004373C0">
                        <w:t xml:space="preserve">het verslag en </w:t>
                      </w:r>
                      <w:r w:rsidR="005A7FBA">
                        <w:t>n</w:t>
                      </w:r>
                      <w:r w:rsidR="004373C0">
                        <w:t>ota van wijziging inzake we</w:t>
                      </w:r>
                      <w:r w:rsidR="00477DA1">
                        <w:t>tsvoorstel Aanvullingswet bodem</w:t>
                      </w:r>
                    </w:p>
                  </w:tc>
                </w:tr>
                <w:tr w:rsidR="00D03BC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03BCA" w:rsidRDefault="00D03BCA"/>
                  </w:tc>
                  <w:tc>
                    <w:tcPr>
                      <w:tcW w:w="5400" w:type="dxa"/>
                    </w:tcPr>
                    <w:p w:rsidR="00D03BCA" w:rsidRDefault="00D03BCA"/>
                  </w:tc>
                </w:tr>
              </w:tbl>
              <w:p w:rsidR="00B57F21" w:rsidRDefault="00B57F21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" o:spid="_x0000_s2049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<v:textbox inset="0,0,0,0">
            <w:txbxContent>
              <w:p w:rsidR="00B57F21" w:rsidRDefault="00B57F21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93C509"/>
    <w:multiLevelType w:val="multilevel"/>
    <w:tmpl w:val="AEF792B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8500997"/>
    <w:multiLevelType w:val="multilevel"/>
    <w:tmpl w:val="09670F6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B73700F"/>
    <w:multiLevelType w:val="multilevel"/>
    <w:tmpl w:val="772CE5E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F4D6C1E"/>
    <w:multiLevelType w:val="multilevel"/>
    <w:tmpl w:val="3CEDF8B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1A1D4F4"/>
    <w:multiLevelType w:val="multilevel"/>
    <w:tmpl w:val="179947A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1BEA1EA"/>
    <w:multiLevelType w:val="multilevel"/>
    <w:tmpl w:val="68F51B9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4FB3B28"/>
    <w:multiLevelType w:val="multilevel"/>
    <w:tmpl w:val="99C17F3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B66AB1E"/>
    <w:multiLevelType w:val="multilevel"/>
    <w:tmpl w:val="1DDB213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66D1FF4"/>
    <w:multiLevelType w:val="multilevel"/>
    <w:tmpl w:val="3F02AE3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BD9E72"/>
    <w:multiLevelType w:val="multilevel"/>
    <w:tmpl w:val="746BACD9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E9B583"/>
    <w:multiLevelType w:val="multilevel"/>
    <w:tmpl w:val="0C25E0E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1C8464"/>
    <w:multiLevelType w:val="multilevel"/>
    <w:tmpl w:val="09A8635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62204F"/>
    <w:multiLevelType w:val="multilevel"/>
    <w:tmpl w:val="912C546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66884D"/>
    <w:multiLevelType w:val="multilevel"/>
    <w:tmpl w:val="05A0774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D7C934"/>
    <w:multiLevelType w:val="multilevel"/>
    <w:tmpl w:val="45E1A48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724"/>
    <w:rsid w:val="000517B4"/>
    <w:rsid w:val="004373C0"/>
    <w:rsid w:val="00477DA1"/>
    <w:rsid w:val="005A7FBA"/>
    <w:rsid w:val="00790724"/>
    <w:rsid w:val="00911C44"/>
    <w:rsid w:val="00924E54"/>
    <w:rsid w:val="00B57F21"/>
    <w:rsid w:val="00D03BCA"/>
    <w:rsid w:val="00DC1115"/>
    <w:rsid w:val="00E9230B"/>
    <w:rsid w:val="00F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79072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72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072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724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1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erner\AppData\Local\Microsoft\Windows\INetCache\IE\3192YBWD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2018-10-30T13:19:00.0000000Z</dcterms:created>
  <dcterms:modified xsi:type="dcterms:W3CDTF">2018-10-30T13:19:00.0000000Z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0x01010053785F85F773CE4F87859A06C3799C79</vt:lpwstr>
  </property>
</Properties>
</file>