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1A42" w:rsidR="001F7CE4" w:rsidP="00F31A42" w:rsidRDefault="001F7CE4" w14:paraId="7F254689" w14:textId="77777777">
      <w:pPr>
        <w:spacing w:line="276" w:lineRule="auto"/>
        <w:rPr>
          <w:b/>
          <w:sz w:val="16"/>
          <w:szCs w:val="16"/>
        </w:rPr>
      </w:pPr>
      <w:bookmarkStart w:name="_GoBack" w:id="0"/>
      <w:bookmarkEnd w:id="0"/>
      <w:r w:rsidRPr="00F31A42">
        <w:rPr>
          <w:b/>
          <w:sz w:val="16"/>
          <w:szCs w:val="16"/>
        </w:rPr>
        <w:t>BIJLAGE</w:t>
      </w:r>
      <w:r w:rsidRPr="00F31A42" w:rsidR="005256EA">
        <w:rPr>
          <w:b/>
          <w:sz w:val="16"/>
          <w:szCs w:val="16"/>
        </w:rPr>
        <w:t xml:space="preserve"> 1</w:t>
      </w:r>
    </w:p>
    <w:p w:rsidRPr="00F31A42" w:rsidR="001F7CE4" w:rsidP="00F31A42" w:rsidRDefault="001F7CE4" w14:paraId="540FEBDB" w14:textId="77777777">
      <w:pPr>
        <w:spacing w:line="276" w:lineRule="auto"/>
        <w:rPr>
          <w:b/>
          <w:sz w:val="16"/>
          <w:szCs w:val="16"/>
        </w:rPr>
      </w:pPr>
    </w:p>
    <w:p w:rsidRPr="00F31A42" w:rsidR="001F7CE4" w:rsidP="00F31A42" w:rsidRDefault="001F7CE4" w14:paraId="01D81498" w14:textId="080F6147">
      <w:pPr>
        <w:spacing w:line="276" w:lineRule="auto"/>
        <w:rPr>
          <w:b/>
          <w:sz w:val="16"/>
          <w:szCs w:val="16"/>
        </w:rPr>
      </w:pPr>
      <w:r w:rsidRPr="00F31A42">
        <w:rPr>
          <w:b/>
          <w:sz w:val="16"/>
          <w:szCs w:val="16"/>
        </w:rPr>
        <w:t>Overzicht oordeel amende</w:t>
      </w:r>
      <w:r w:rsidR="00FC0E2E">
        <w:rPr>
          <w:b/>
          <w:sz w:val="16"/>
          <w:szCs w:val="16"/>
        </w:rPr>
        <w:t>menten pakket Belastingplan 2019</w:t>
      </w:r>
      <w:r w:rsidRPr="00F31A42">
        <w:rPr>
          <w:b/>
          <w:sz w:val="16"/>
          <w:szCs w:val="16"/>
        </w:rPr>
        <w:t xml:space="preserve"> en </w:t>
      </w:r>
      <w:r w:rsidR="00AB22A1">
        <w:rPr>
          <w:b/>
          <w:sz w:val="16"/>
          <w:szCs w:val="16"/>
        </w:rPr>
        <w:t xml:space="preserve">het </w:t>
      </w:r>
      <w:r w:rsidRPr="00F31A42">
        <w:rPr>
          <w:b/>
          <w:sz w:val="16"/>
          <w:szCs w:val="16"/>
        </w:rPr>
        <w:t xml:space="preserve">wetsvoorstel </w:t>
      </w:r>
      <w:r w:rsidR="0099648D">
        <w:rPr>
          <w:b/>
          <w:sz w:val="16"/>
          <w:szCs w:val="16"/>
        </w:rPr>
        <w:t xml:space="preserve">Wet </w:t>
      </w:r>
      <w:r w:rsidRPr="00F31A42" w:rsidR="00930FA4">
        <w:rPr>
          <w:b/>
          <w:sz w:val="16"/>
          <w:szCs w:val="16"/>
        </w:rPr>
        <w:t>implementatie van de eerste EU-richtlijn antibelastingontwijking</w:t>
      </w:r>
    </w:p>
    <w:tbl>
      <w:tblPr>
        <w:tblStyle w:val="Tabelraster"/>
        <w:tblpPr w:leftFromText="141" w:rightFromText="141" w:vertAnchor="text" w:horzAnchor="margin" w:tblpXSpec="center" w:tblpY="425"/>
        <w:tblW w:w="5000" w:type="pct"/>
        <w:tblLook w:val="04A0" w:firstRow="1" w:lastRow="0" w:firstColumn="1" w:lastColumn="0" w:noHBand="0" w:noVBand="1"/>
      </w:tblPr>
      <w:tblGrid>
        <w:gridCol w:w="1088"/>
        <w:gridCol w:w="3447"/>
        <w:gridCol w:w="1615"/>
        <w:gridCol w:w="1593"/>
        <w:gridCol w:w="1319"/>
      </w:tblGrid>
      <w:tr w:rsidRPr="00F31A42" w:rsidR="001F7CE4" w:rsidTr="005A2EE4" w14:paraId="68E72F76" w14:textId="77777777">
        <w:tc>
          <w:tcPr>
            <w:tcW w:w="600" w:type="pct"/>
          </w:tcPr>
          <w:p w:rsidRPr="00F31A42" w:rsidR="001F7CE4" w:rsidP="00F31A42" w:rsidRDefault="001F7CE4" w14:paraId="599AAB23" w14:textId="77777777">
            <w:pPr>
              <w:spacing w:line="276" w:lineRule="auto"/>
              <w:rPr>
                <w:b/>
                <w:sz w:val="16"/>
                <w:szCs w:val="16"/>
                <w:lang w:eastAsia="zh-CN" w:bidi="hi-IN"/>
              </w:rPr>
            </w:pPr>
            <w:r w:rsidRPr="00F31A42">
              <w:rPr>
                <w:b/>
                <w:sz w:val="16"/>
                <w:szCs w:val="16"/>
                <w:lang w:eastAsia="zh-CN" w:bidi="hi-IN"/>
              </w:rPr>
              <w:t>Nummer</w:t>
            </w:r>
          </w:p>
        </w:tc>
        <w:tc>
          <w:tcPr>
            <w:tcW w:w="1902" w:type="pct"/>
          </w:tcPr>
          <w:p w:rsidRPr="00F31A42" w:rsidR="001F7CE4" w:rsidP="00F31A42" w:rsidRDefault="001F7CE4" w14:paraId="1DA44618" w14:textId="77777777">
            <w:pPr>
              <w:spacing w:line="276" w:lineRule="auto"/>
              <w:rPr>
                <w:b/>
                <w:sz w:val="16"/>
                <w:szCs w:val="16"/>
                <w:lang w:eastAsia="zh-CN" w:bidi="hi-IN"/>
              </w:rPr>
            </w:pPr>
            <w:r w:rsidRPr="00F31A42">
              <w:rPr>
                <w:b/>
                <w:sz w:val="16"/>
                <w:szCs w:val="16"/>
                <w:lang w:eastAsia="zh-CN" w:bidi="hi-IN"/>
              </w:rPr>
              <w:t>Korte omschrijving</w:t>
            </w:r>
            <w:r w:rsidRPr="00F31A42" w:rsidR="005256EA">
              <w:rPr>
                <w:b/>
                <w:sz w:val="16"/>
                <w:szCs w:val="16"/>
                <w:lang w:eastAsia="zh-CN" w:bidi="hi-IN"/>
              </w:rPr>
              <w:t xml:space="preserve"> amendement</w:t>
            </w:r>
          </w:p>
        </w:tc>
        <w:tc>
          <w:tcPr>
            <w:tcW w:w="891" w:type="pct"/>
          </w:tcPr>
          <w:p w:rsidRPr="00F31A42" w:rsidR="001F7CE4" w:rsidP="00F31A42" w:rsidRDefault="001F7CE4" w14:paraId="4221D22C" w14:textId="77777777">
            <w:pPr>
              <w:spacing w:line="276" w:lineRule="auto"/>
              <w:rPr>
                <w:b/>
                <w:sz w:val="16"/>
                <w:szCs w:val="16"/>
                <w:lang w:eastAsia="zh-CN" w:bidi="hi-IN"/>
              </w:rPr>
            </w:pPr>
            <w:r w:rsidRPr="00F31A42">
              <w:rPr>
                <w:b/>
                <w:sz w:val="16"/>
                <w:szCs w:val="16"/>
                <w:lang w:eastAsia="zh-CN" w:bidi="hi-IN"/>
              </w:rPr>
              <w:t>Indiener(s)</w:t>
            </w:r>
          </w:p>
        </w:tc>
        <w:tc>
          <w:tcPr>
            <w:tcW w:w="879" w:type="pct"/>
          </w:tcPr>
          <w:p w:rsidRPr="00F31A42" w:rsidR="001F7CE4" w:rsidP="00F31A42" w:rsidRDefault="001F7CE4" w14:paraId="2688B874" w14:textId="77777777">
            <w:pPr>
              <w:spacing w:line="276" w:lineRule="auto"/>
              <w:rPr>
                <w:b/>
                <w:sz w:val="16"/>
                <w:szCs w:val="16"/>
                <w:lang w:eastAsia="zh-CN" w:bidi="hi-IN"/>
              </w:rPr>
            </w:pPr>
            <w:r w:rsidRPr="00F31A42">
              <w:rPr>
                <w:b/>
                <w:sz w:val="16"/>
                <w:szCs w:val="16"/>
                <w:lang w:eastAsia="zh-CN" w:bidi="hi-IN"/>
              </w:rPr>
              <w:t>Oordeel</w:t>
            </w:r>
          </w:p>
        </w:tc>
        <w:tc>
          <w:tcPr>
            <w:tcW w:w="728" w:type="pct"/>
          </w:tcPr>
          <w:p w:rsidRPr="00F31A42" w:rsidR="001F7CE4" w:rsidP="00F31A42" w:rsidRDefault="001F7CE4" w14:paraId="66190524" w14:textId="77777777">
            <w:pPr>
              <w:spacing w:line="276" w:lineRule="auto"/>
              <w:rPr>
                <w:b/>
                <w:sz w:val="16"/>
                <w:szCs w:val="16"/>
                <w:lang w:eastAsia="zh-CN" w:bidi="hi-IN"/>
              </w:rPr>
            </w:pPr>
            <w:r w:rsidRPr="00F31A42">
              <w:rPr>
                <w:b/>
                <w:sz w:val="16"/>
                <w:szCs w:val="16"/>
                <w:lang w:eastAsia="zh-CN" w:bidi="hi-IN"/>
              </w:rPr>
              <w:t>Opmerking</w:t>
            </w:r>
          </w:p>
        </w:tc>
      </w:tr>
      <w:tr w:rsidRPr="00F31A42" w:rsidR="00D04A73" w:rsidTr="005A2EE4" w14:paraId="120D5511" w14:textId="77777777">
        <w:tc>
          <w:tcPr>
            <w:tcW w:w="600" w:type="pct"/>
          </w:tcPr>
          <w:p w:rsidRPr="00F31A42" w:rsidR="00D04A73" w:rsidP="00D04A73" w:rsidRDefault="00D04A73" w14:paraId="50E36209" w14:textId="0D42E115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27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F31A42" w:rsidR="00D04A73" w:rsidP="00D04A73" w:rsidRDefault="00D04A73" w14:paraId="3E34E5FC" w14:textId="5D19A41F">
            <w:pPr>
              <w:spacing w:line="276" w:lineRule="auto"/>
              <w:rPr>
                <w:sz w:val="16"/>
                <w:szCs w:val="16"/>
              </w:rPr>
            </w:pPr>
            <w:r w:rsidRPr="00D04A73">
              <w:rPr>
                <w:rFonts w:cs="Arial"/>
                <w:sz w:val="16"/>
                <w:szCs w:val="28"/>
              </w:rPr>
              <w:t>Er wordt een extra verlaagd btw-tarief geïntroduceerd voor kraanwater (6%).</w:t>
            </w:r>
          </w:p>
        </w:tc>
        <w:tc>
          <w:tcPr>
            <w:tcW w:w="891" w:type="pct"/>
          </w:tcPr>
          <w:p w:rsidRPr="00F31A42" w:rsidR="00D04A73" w:rsidP="00D04A73" w:rsidRDefault="00D04A73" w14:paraId="4A039763" w14:textId="7777777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 xml:space="preserve">Leijten </w:t>
            </w:r>
          </w:p>
          <w:p w:rsidRPr="008D63C3" w:rsidR="00D04A73" w:rsidP="005A042B" w:rsidRDefault="00D04A73" w14:paraId="0E67D1E9" w14:textId="3285B97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8D63C3">
              <w:rPr>
                <w:sz w:val="16"/>
                <w:szCs w:val="16"/>
              </w:rPr>
              <w:t>La</w:t>
            </w:r>
            <w:r w:rsidR="005A042B">
              <w:rPr>
                <w:sz w:val="16"/>
                <w:szCs w:val="16"/>
              </w:rPr>
              <w:t>ç</w:t>
            </w:r>
            <w:r w:rsidRPr="008D63C3">
              <w:rPr>
                <w:sz w:val="16"/>
                <w:szCs w:val="16"/>
              </w:rPr>
              <w:t>in</w:t>
            </w:r>
            <w:proofErr w:type="spellEnd"/>
          </w:p>
        </w:tc>
        <w:tc>
          <w:tcPr>
            <w:tcW w:w="879" w:type="pct"/>
          </w:tcPr>
          <w:p w:rsidRPr="00F31A42" w:rsidR="00D04A73" w:rsidP="00D04A73" w:rsidRDefault="00D04A73" w14:paraId="3FEC978F" w14:textId="5BCB2DC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D04A73" w:rsidP="00D04A73" w:rsidRDefault="00D04A73" w14:paraId="727F2076" w14:textId="4D4F6C8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35 026, nr. 25</w:t>
            </w:r>
          </w:p>
        </w:tc>
      </w:tr>
      <w:tr w:rsidRPr="00F31A42" w:rsidR="00211FFE" w:rsidTr="005A2EE4" w14:paraId="2675762F" w14:textId="77777777">
        <w:tc>
          <w:tcPr>
            <w:tcW w:w="600" w:type="pct"/>
          </w:tcPr>
          <w:p w:rsidRPr="00211FFE" w:rsidR="00211FFE" w:rsidP="00211FFE" w:rsidRDefault="00211FFE" w14:paraId="439997F1" w14:textId="4339F439">
            <w:pPr>
              <w:spacing w:line="276" w:lineRule="auto"/>
              <w:rPr>
                <w:b/>
                <w:sz w:val="16"/>
                <w:szCs w:val="16"/>
              </w:rPr>
            </w:pPr>
            <w:r w:rsidRPr="00211FFE">
              <w:rPr>
                <w:b/>
                <w:sz w:val="16"/>
                <w:szCs w:val="16"/>
              </w:rPr>
              <w:t>35 026, nr. 33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211FFE" w:rsidR="00211FFE" w:rsidP="00211FFE" w:rsidRDefault="00211FFE" w14:paraId="7666BEAE" w14:textId="61954243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211FFE">
              <w:rPr>
                <w:rFonts w:cs="Arial"/>
                <w:sz w:val="16"/>
                <w:szCs w:val="16"/>
              </w:rPr>
              <w:t>De drempel voor de giftenaftrek wordt vanaf 2020 geleidelijk verlaagd naar structureel 0,7% in 2023.</w:t>
            </w:r>
          </w:p>
        </w:tc>
        <w:tc>
          <w:tcPr>
            <w:tcW w:w="891" w:type="pct"/>
          </w:tcPr>
          <w:p w:rsidRPr="00211FFE" w:rsidR="00211FFE" w:rsidP="00211FFE" w:rsidRDefault="00211FFE" w14:paraId="5EAE1A03" w14:textId="61023C47">
            <w:pPr>
              <w:spacing w:line="276" w:lineRule="auto"/>
              <w:rPr>
                <w:sz w:val="16"/>
                <w:szCs w:val="16"/>
              </w:rPr>
            </w:pPr>
            <w:r w:rsidRPr="00211FFE">
              <w:rPr>
                <w:sz w:val="16"/>
                <w:szCs w:val="16"/>
              </w:rPr>
              <w:t>Stoffer</w:t>
            </w:r>
          </w:p>
        </w:tc>
        <w:tc>
          <w:tcPr>
            <w:tcW w:w="879" w:type="pct"/>
          </w:tcPr>
          <w:p w:rsidRPr="00211FFE" w:rsidR="00211FFE" w:rsidP="00211FFE" w:rsidRDefault="00211FFE" w14:paraId="5828C838" w14:textId="5A769516">
            <w:pPr>
              <w:spacing w:line="276" w:lineRule="auto"/>
              <w:rPr>
                <w:sz w:val="16"/>
                <w:szCs w:val="16"/>
              </w:rPr>
            </w:pPr>
            <w:r w:rsidRPr="00211FFE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211FFE" w:rsidR="00211FFE" w:rsidP="00211FFE" w:rsidRDefault="00211FFE" w14:paraId="2F95F219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211FFE" w:rsidTr="005A2EE4" w14:paraId="5B0DB31E" w14:textId="77777777">
        <w:tc>
          <w:tcPr>
            <w:tcW w:w="600" w:type="pct"/>
          </w:tcPr>
          <w:p w:rsidR="00211FFE" w:rsidP="00211FFE" w:rsidRDefault="00211FFE" w14:paraId="7EF1F377" w14:textId="59BD4C0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34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5B6417" w:rsidR="00211FFE" w:rsidP="00211FFE" w:rsidRDefault="00211FFE" w14:paraId="23161817" w14:textId="7E9AEEC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 Nederlandse sportvrijstelling</w:t>
            </w:r>
            <w:r w:rsidRPr="00211FFE">
              <w:rPr>
                <w:rFonts w:cs="Arial"/>
                <w:sz w:val="16"/>
                <w:szCs w:val="16"/>
              </w:rPr>
              <w:t xml:space="preserve"> treedt een jaar later in werking.</w:t>
            </w:r>
          </w:p>
        </w:tc>
        <w:tc>
          <w:tcPr>
            <w:tcW w:w="891" w:type="pct"/>
          </w:tcPr>
          <w:p w:rsidRPr="005B6417" w:rsidR="00211FFE" w:rsidP="00211FFE" w:rsidRDefault="00211FFE" w14:paraId="21A6E793" w14:textId="3C47C60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5B6417" w:rsidR="00211FFE" w:rsidP="00211FFE" w:rsidRDefault="00211FFE" w14:paraId="1B0EB53E" w14:textId="1F0565B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211FFE" w:rsidP="00211FFE" w:rsidRDefault="00211FFE" w14:paraId="1E4BBFE7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211FFE" w:rsidTr="005A2EE4" w14:paraId="2FA3427D" w14:textId="77777777">
        <w:tc>
          <w:tcPr>
            <w:tcW w:w="600" w:type="pct"/>
          </w:tcPr>
          <w:p w:rsidR="00211FFE" w:rsidP="00211FFE" w:rsidRDefault="00211FFE" w14:paraId="3AD3F37C" w14:textId="78DC918B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35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5B6417" w:rsidR="00211FFE" w:rsidP="00211FFE" w:rsidRDefault="00211FFE" w14:paraId="7030A8FF" w14:textId="74AEEDED">
            <w:pPr>
              <w:rPr>
                <w:rFonts w:cs="Arial"/>
                <w:sz w:val="16"/>
                <w:szCs w:val="16"/>
              </w:rPr>
            </w:pPr>
            <w:r w:rsidRPr="00F31A42">
              <w:rPr>
                <w:rFonts w:cs="Arial"/>
                <w:sz w:val="16"/>
                <w:szCs w:val="16"/>
              </w:rPr>
              <w:t>De verhoging van het verlaagde btw-tarief gaat niet door.</w:t>
            </w:r>
          </w:p>
        </w:tc>
        <w:tc>
          <w:tcPr>
            <w:tcW w:w="891" w:type="pct"/>
          </w:tcPr>
          <w:p w:rsidR="00211FFE" w:rsidP="00211FFE" w:rsidRDefault="00211FFE" w14:paraId="57741D52" w14:textId="7777777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Snels</w:t>
            </w:r>
          </w:p>
          <w:p w:rsidR="00856952" w:rsidP="00211FFE" w:rsidRDefault="00856952" w14:paraId="262A2221" w14:textId="7777777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Leijten</w:t>
            </w:r>
          </w:p>
          <w:p w:rsidRPr="005B6417" w:rsidR="00856952" w:rsidP="00211FFE" w:rsidRDefault="00856952" w14:paraId="15D02D62" w14:textId="3A141B5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Nijboer</w:t>
            </w:r>
          </w:p>
        </w:tc>
        <w:tc>
          <w:tcPr>
            <w:tcW w:w="879" w:type="pct"/>
          </w:tcPr>
          <w:p w:rsidRPr="005B6417" w:rsidR="00211FFE" w:rsidP="00211FFE" w:rsidRDefault="00211FFE" w14:paraId="6E69CE0F" w14:textId="4445F2E0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211FFE" w:rsidP="00211FFE" w:rsidRDefault="00211FFE" w14:paraId="6C12FDE6" w14:textId="5F988DB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35 026, nr. 8</w:t>
            </w:r>
          </w:p>
        </w:tc>
      </w:tr>
      <w:tr w:rsidRPr="00F31A42" w:rsidR="00856952" w:rsidTr="005A2EE4" w14:paraId="3C6B83CF" w14:textId="77777777">
        <w:tc>
          <w:tcPr>
            <w:tcW w:w="600" w:type="pct"/>
          </w:tcPr>
          <w:p w:rsidR="00856952" w:rsidP="00211FFE" w:rsidRDefault="00856952" w14:paraId="1AF95334" w14:textId="290DBBDB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36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A07CE9" w:rsidR="00856952" w:rsidP="00EF0F8E" w:rsidRDefault="00A07CE9" w14:paraId="69F99F85" w14:textId="3B9392A3">
            <w:pPr>
              <w:rPr>
                <w:rFonts w:cs="Arial"/>
                <w:sz w:val="16"/>
                <w:szCs w:val="16"/>
              </w:rPr>
            </w:pPr>
            <w:r w:rsidRPr="00A07CE9">
              <w:rPr>
                <w:rFonts w:cs="Arial"/>
                <w:sz w:val="16"/>
                <w:szCs w:val="16"/>
              </w:rPr>
              <w:t>De vaste voet in de</w:t>
            </w:r>
            <w:r w:rsidR="00EF0F8E">
              <w:rPr>
                <w:rFonts w:cs="Arial"/>
                <w:sz w:val="16"/>
                <w:szCs w:val="16"/>
              </w:rPr>
              <w:t xml:space="preserve"> </w:t>
            </w:r>
            <w:r w:rsidRPr="00494AFF" w:rsidR="00EF0F8E">
              <w:rPr>
                <w:rFonts w:cs="Arial"/>
                <w:sz w:val="16"/>
                <w:szCs w:val="16"/>
              </w:rPr>
              <w:t xml:space="preserve"> inkomensafhankelijke combinatiekorting (</w:t>
            </w:r>
            <w:r w:rsidRPr="00A07CE9">
              <w:rPr>
                <w:rFonts w:cs="Arial"/>
                <w:sz w:val="16"/>
                <w:szCs w:val="16"/>
              </w:rPr>
              <w:t>IACK</w:t>
            </w:r>
            <w:r w:rsidR="00EF0F8E">
              <w:rPr>
                <w:rFonts w:cs="Arial"/>
                <w:sz w:val="16"/>
                <w:szCs w:val="16"/>
              </w:rPr>
              <w:t>)</w:t>
            </w:r>
            <w:r w:rsidRPr="00A07CE9">
              <w:rPr>
                <w:rFonts w:cs="Arial"/>
                <w:sz w:val="16"/>
                <w:szCs w:val="16"/>
              </w:rPr>
              <w:t xml:space="preserve"> behouden en een afbouwtraject IACK introduceren.</w:t>
            </w:r>
          </w:p>
        </w:tc>
        <w:tc>
          <w:tcPr>
            <w:tcW w:w="891" w:type="pct"/>
          </w:tcPr>
          <w:p w:rsidRPr="00A07CE9" w:rsidR="00856952" w:rsidP="00211FFE" w:rsidRDefault="00856952" w14:paraId="2869A2E9" w14:textId="182EF253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Snels</w:t>
            </w:r>
          </w:p>
        </w:tc>
        <w:tc>
          <w:tcPr>
            <w:tcW w:w="879" w:type="pct"/>
          </w:tcPr>
          <w:p w:rsidRPr="00A07CE9" w:rsidR="00856952" w:rsidP="00211FFE" w:rsidRDefault="00A07CE9" w14:paraId="779B8634" w14:textId="6CCADCE7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="00856952" w:rsidP="00211FFE" w:rsidRDefault="00856952" w14:paraId="2478769F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856952" w:rsidTr="005A2EE4" w14:paraId="75449C7F" w14:textId="77777777">
        <w:tc>
          <w:tcPr>
            <w:tcW w:w="600" w:type="pct"/>
          </w:tcPr>
          <w:p w:rsidR="00856952" w:rsidP="00211FFE" w:rsidRDefault="00856952" w14:paraId="6E385356" w14:textId="41BDB10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37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A07CE9" w:rsidR="00856952" w:rsidP="00211FFE" w:rsidRDefault="00A07CE9" w14:paraId="01E1F0C0" w14:textId="789D2D79">
            <w:pPr>
              <w:rPr>
                <w:rFonts w:cs="Arial"/>
                <w:sz w:val="16"/>
                <w:szCs w:val="16"/>
              </w:rPr>
            </w:pPr>
            <w:r w:rsidRPr="00A07CE9">
              <w:rPr>
                <w:rFonts w:cs="Arial"/>
                <w:sz w:val="16"/>
                <w:szCs w:val="16"/>
              </w:rPr>
              <w:t>De expatregeli</w:t>
            </w:r>
            <w:r w:rsidR="00EF0F8E">
              <w:rPr>
                <w:rFonts w:cs="Arial"/>
                <w:sz w:val="16"/>
                <w:szCs w:val="16"/>
              </w:rPr>
              <w:t>ng wordt afgetopt met overgan</w:t>
            </w:r>
            <w:r w:rsidRPr="00A07CE9">
              <w:rPr>
                <w:rFonts w:cs="Arial"/>
                <w:sz w:val="16"/>
                <w:szCs w:val="16"/>
              </w:rPr>
              <w:t>gsecht.</w:t>
            </w:r>
          </w:p>
        </w:tc>
        <w:tc>
          <w:tcPr>
            <w:tcW w:w="891" w:type="pct"/>
          </w:tcPr>
          <w:p w:rsidRPr="00A07CE9" w:rsidR="00856952" w:rsidP="00211FFE" w:rsidRDefault="00856952" w14:paraId="5EF75A6D" w14:textId="77777777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Snels</w:t>
            </w:r>
          </w:p>
          <w:p w:rsidRPr="00A07CE9" w:rsidR="00856952" w:rsidP="00211FFE" w:rsidRDefault="00856952" w14:paraId="53DD9572" w14:textId="13A9415A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A07CE9" w:rsidR="00856952" w:rsidP="00211FFE" w:rsidRDefault="00A07CE9" w14:paraId="76BB09E2" w14:textId="3AC6DCC1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="00856952" w:rsidP="00211FFE" w:rsidRDefault="00856952" w14:paraId="00772149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B277E2" w:rsidTr="005A2EE4" w14:paraId="60136EBE" w14:textId="77777777">
        <w:tc>
          <w:tcPr>
            <w:tcW w:w="600" w:type="pct"/>
          </w:tcPr>
          <w:p w:rsidR="00B277E2" w:rsidP="00B277E2" w:rsidRDefault="00B277E2" w14:paraId="7F90DC4A" w14:textId="22B5D746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39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B277E2" w:rsidR="00B277E2" w:rsidP="00B277E2" w:rsidRDefault="00B277E2" w14:paraId="677C0D82" w14:textId="77777777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B277E2">
              <w:rPr>
                <w:rFonts w:cs="Arial"/>
                <w:sz w:val="16"/>
                <w:szCs w:val="16"/>
              </w:rPr>
              <w:t>Vanaf 1 januari 2020 bestaat bij lonen (inclusief kostenvergoedingen en dergelijke) boven € 178.000 geen recht op toepassing van de 30%-regeling of op het onbelast vergoeden van de werkelijke extraterritoriale kosten.</w:t>
            </w:r>
          </w:p>
          <w:p w:rsidRPr="005B6417" w:rsidR="00B277E2" w:rsidP="00B277E2" w:rsidRDefault="00B277E2" w14:paraId="735FED5A" w14:textId="1D1F3076">
            <w:pPr>
              <w:rPr>
                <w:rFonts w:cs="Arial"/>
                <w:sz w:val="16"/>
                <w:szCs w:val="16"/>
              </w:rPr>
            </w:pPr>
            <w:r w:rsidRPr="00B277E2">
              <w:rPr>
                <w:rFonts w:cs="Arial"/>
                <w:sz w:val="16"/>
                <w:szCs w:val="16"/>
              </w:rPr>
              <w:t>Voor op 31 december 2018 bestaande gevallen geldt dit pas vanaf 2021.</w:t>
            </w:r>
          </w:p>
        </w:tc>
        <w:tc>
          <w:tcPr>
            <w:tcW w:w="891" w:type="pct"/>
          </w:tcPr>
          <w:p w:rsidRPr="00B277E2" w:rsidR="00B277E2" w:rsidP="00B277E2" w:rsidRDefault="00B277E2" w14:paraId="5092D87D" w14:textId="77777777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Nijboer</w:t>
            </w:r>
          </w:p>
          <w:p w:rsidRPr="005B6417" w:rsidR="00B277E2" w:rsidP="00B277E2" w:rsidRDefault="00B277E2" w14:paraId="42219A3E" w14:textId="2C88010A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Stoffer</w:t>
            </w:r>
          </w:p>
        </w:tc>
        <w:tc>
          <w:tcPr>
            <w:tcW w:w="879" w:type="pct"/>
          </w:tcPr>
          <w:p w:rsidRPr="005B6417" w:rsidR="00B277E2" w:rsidP="00B277E2" w:rsidRDefault="00B277E2" w14:paraId="1E2722CE" w14:textId="789C9700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B277E2" w:rsidP="00B277E2" w:rsidRDefault="00B277E2" w14:paraId="5E6EE9FD" w14:textId="724A0075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Vervangt 35 026, nr. 32</w:t>
            </w:r>
          </w:p>
        </w:tc>
      </w:tr>
      <w:tr w:rsidRPr="00F31A42" w:rsidR="00B277E2" w:rsidTr="005A2EE4" w14:paraId="74E660C2" w14:textId="77777777">
        <w:tc>
          <w:tcPr>
            <w:tcW w:w="600" w:type="pct"/>
          </w:tcPr>
          <w:p w:rsidR="00B277E2" w:rsidP="00B277E2" w:rsidRDefault="00B277E2" w14:paraId="60650E8B" w14:textId="4990C9B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40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5B6417" w:rsidR="00B277E2" w:rsidP="00B277E2" w:rsidRDefault="00B277E2" w14:paraId="1FEBDA71" w14:textId="23D0A937">
            <w:pPr>
              <w:rPr>
                <w:rFonts w:cs="Arial"/>
                <w:sz w:val="16"/>
                <w:szCs w:val="16"/>
              </w:rPr>
            </w:pPr>
            <w:r w:rsidRPr="00B277E2">
              <w:rPr>
                <w:sz w:val="16"/>
              </w:rPr>
              <w:t>Overdrachtsbelasting voor de verkrijging van een eerste woning verlagen naar 0% om starters tegemoet te komen.</w:t>
            </w:r>
          </w:p>
        </w:tc>
        <w:tc>
          <w:tcPr>
            <w:tcW w:w="891" w:type="pct"/>
          </w:tcPr>
          <w:p w:rsidRPr="005B6417" w:rsidR="00B277E2" w:rsidP="00B277E2" w:rsidRDefault="00B277E2" w14:paraId="3627E2C4" w14:textId="16F87193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Nijboer</w:t>
            </w:r>
          </w:p>
        </w:tc>
        <w:tc>
          <w:tcPr>
            <w:tcW w:w="879" w:type="pct"/>
          </w:tcPr>
          <w:p w:rsidRPr="005B6417" w:rsidR="00B277E2" w:rsidP="00B277E2" w:rsidRDefault="00B277E2" w14:paraId="33333825" w14:textId="5429CD62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B277E2" w:rsidP="00B277E2" w:rsidRDefault="00B277E2" w14:paraId="4EFDAD18" w14:textId="262E114D">
            <w:pPr>
              <w:spacing w:line="276" w:lineRule="auto"/>
              <w:rPr>
                <w:sz w:val="16"/>
                <w:szCs w:val="16"/>
              </w:rPr>
            </w:pPr>
            <w:r w:rsidRPr="00B277E2">
              <w:rPr>
                <w:sz w:val="16"/>
                <w:szCs w:val="16"/>
              </w:rPr>
              <w:t>Vervangt 35 026, nr. 17</w:t>
            </w:r>
          </w:p>
        </w:tc>
      </w:tr>
      <w:tr w:rsidRPr="00F31A42" w:rsidR="00494AFF" w:rsidTr="005A2EE4" w14:paraId="52C390C2" w14:textId="77777777">
        <w:tc>
          <w:tcPr>
            <w:tcW w:w="600" w:type="pct"/>
          </w:tcPr>
          <w:p w:rsidR="00494AFF" w:rsidP="00B277E2" w:rsidRDefault="00494AFF" w14:paraId="0DF9D80D" w14:textId="144118B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42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B277E2" w:rsidR="00494AFF" w:rsidP="00EF0F8E" w:rsidRDefault="00494AFF" w14:paraId="44E23367" w14:textId="4881B0DE">
            <w:pPr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494AFF">
              <w:rPr>
                <w:rFonts w:cs="Arial"/>
                <w:sz w:val="16"/>
                <w:szCs w:val="16"/>
              </w:rPr>
              <w:t>e ZW-uitkering blijft meetellen als inkomen dat bepalend is voor de hoogte van de arbeidskorting en de IACK</w:t>
            </w:r>
          </w:p>
        </w:tc>
        <w:tc>
          <w:tcPr>
            <w:tcW w:w="891" w:type="pct"/>
          </w:tcPr>
          <w:p w:rsidR="00494AFF" w:rsidP="00B277E2" w:rsidRDefault="00494AFF" w14:paraId="4D7A727C" w14:textId="7777777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Nijboer</w:t>
            </w:r>
          </w:p>
          <w:p w:rsidR="00494AFF" w:rsidP="00B277E2" w:rsidRDefault="00494AFF" w14:paraId="34DAD79A" w14:textId="0AF1B06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Gijs van Dijk</w:t>
            </w:r>
          </w:p>
        </w:tc>
        <w:tc>
          <w:tcPr>
            <w:tcW w:w="879" w:type="pct"/>
          </w:tcPr>
          <w:p w:rsidRPr="00426FFF" w:rsidR="00494AFF" w:rsidP="00B277E2" w:rsidRDefault="00A07CE9" w14:paraId="4A8DF8F9" w14:textId="615B267D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A07CE9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B277E2" w:rsidR="00494AFF" w:rsidP="00B277E2" w:rsidRDefault="00494AFF" w14:paraId="439553FB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A07CE9" w:rsidR="00426FFF" w:rsidTr="005A2EE4" w14:paraId="14FC8B0B" w14:textId="77777777">
        <w:tc>
          <w:tcPr>
            <w:tcW w:w="600" w:type="pct"/>
          </w:tcPr>
          <w:p w:rsidRPr="00A07CE9" w:rsidR="00426FFF" w:rsidP="00B277E2" w:rsidRDefault="00426FFF" w14:paraId="3076D922" w14:textId="31E8E253">
            <w:pPr>
              <w:spacing w:line="276" w:lineRule="auto"/>
              <w:rPr>
                <w:b/>
                <w:sz w:val="16"/>
                <w:szCs w:val="16"/>
              </w:rPr>
            </w:pPr>
            <w:r w:rsidRPr="00A07CE9">
              <w:rPr>
                <w:b/>
                <w:sz w:val="16"/>
                <w:szCs w:val="16"/>
              </w:rPr>
              <w:t>35 026, nr. 43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A07CE9" w:rsidR="00426FFF" w:rsidP="00B277E2" w:rsidRDefault="00426FFF" w14:paraId="5A74AEB0" w14:textId="56A3D651">
            <w:pPr>
              <w:rPr>
                <w:rFonts w:cs="Arial"/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>De introductie van het tweeschijvenstelsel in de IB en de daarmee samenhangende tariefpercentages wordt tegengegaan.</w:t>
            </w:r>
          </w:p>
        </w:tc>
        <w:tc>
          <w:tcPr>
            <w:tcW w:w="891" w:type="pct"/>
          </w:tcPr>
          <w:p w:rsidRPr="00A07CE9" w:rsidR="00426FFF" w:rsidP="00426FFF" w:rsidRDefault="00426FFF" w14:paraId="271BB15D" w14:textId="77777777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A07CE9">
              <w:rPr>
                <w:sz w:val="16"/>
                <w:szCs w:val="16"/>
                <w:lang w:eastAsia="zh-CN" w:bidi="hi-IN"/>
              </w:rPr>
              <w:t>Snels</w:t>
            </w:r>
          </w:p>
          <w:p w:rsidRPr="00A07CE9" w:rsidR="00426FFF" w:rsidP="00426FFF" w:rsidRDefault="00426FFF" w14:paraId="6C70090F" w14:textId="77777777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A07CE9">
              <w:rPr>
                <w:sz w:val="16"/>
                <w:szCs w:val="16"/>
                <w:lang w:eastAsia="zh-CN" w:bidi="hi-IN"/>
              </w:rPr>
              <w:t>Leijten</w:t>
            </w:r>
          </w:p>
          <w:p w:rsidRPr="00A07CE9" w:rsidR="00426FFF" w:rsidP="00426FFF" w:rsidRDefault="00426FFF" w14:paraId="495E7EC3" w14:textId="21188135">
            <w:pPr>
              <w:spacing w:line="276" w:lineRule="auto"/>
              <w:rPr>
                <w:sz w:val="16"/>
                <w:szCs w:val="16"/>
              </w:rPr>
            </w:pPr>
            <w:r w:rsidRPr="00A07CE9">
              <w:rPr>
                <w:sz w:val="16"/>
                <w:szCs w:val="16"/>
                <w:lang w:eastAsia="zh-CN" w:bidi="hi-IN"/>
              </w:rPr>
              <w:t>Nijboer</w:t>
            </w:r>
          </w:p>
        </w:tc>
        <w:tc>
          <w:tcPr>
            <w:tcW w:w="879" w:type="pct"/>
          </w:tcPr>
          <w:p w:rsidRPr="00A07CE9" w:rsidR="00426FFF" w:rsidP="00B277E2" w:rsidRDefault="000013BA" w14:paraId="4931DD19" w14:textId="091598C3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0013BA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A07CE9" w:rsidR="00426FFF" w:rsidP="00B277E2" w:rsidRDefault="00426FFF" w14:paraId="18FBF541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A07CE9" w:rsidR="00BC7DCC" w:rsidTr="005A2EE4" w14:paraId="2992DE63" w14:textId="77777777">
        <w:tc>
          <w:tcPr>
            <w:tcW w:w="600" w:type="pct"/>
          </w:tcPr>
          <w:p w:rsidRPr="00A07CE9" w:rsidR="00BC7DCC" w:rsidP="00BC7DCC" w:rsidRDefault="00BC7DCC" w14:paraId="4297375A" w14:textId="762E9D25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44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A07CE9" w:rsidR="00BC7DCC" w:rsidP="00BC7DCC" w:rsidRDefault="00BC7DCC" w14:paraId="3E335834" w14:textId="6CA4F520">
            <w:pPr>
              <w:rPr>
                <w:sz w:val="16"/>
                <w:szCs w:val="16"/>
              </w:rPr>
            </w:pPr>
            <w:r w:rsidRPr="00EE25ED">
              <w:rPr>
                <w:sz w:val="16"/>
              </w:rPr>
              <w:t>Het amendement ziet op het per direct afschaffen van én de 30%-regeling voor ingekomen werknemers én het lage inkomensvoordeel (LIV).</w:t>
            </w:r>
          </w:p>
        </w:tc>
        <w:tc>
          <w:tcPr>
            <w:tcW w:w="891" w:type="pct"/>
          </w:tcPr>
          <w:p w:rsidRPr="00F31A42" w:rsidR="00BC7DCC" w:rsidP="00BC7DCC" w:rsidRDefault="00BC7DCC" w14:paraId="0F5CB0BC" w14:textId="7777777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Van Rooijen</w:t>
            </w:r>
          </w:p>
          <w:p w:rsidRPr="00A07CE9" w:rsidR="00BC7DCC" w:rsidP="00BC7DCC" w:rsidRDefault="00BC7DCC" w14:paraId="52CB9AEE" w14:textId="71F4C32F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F31A42">
              <w:rPr>
                <w:sz w:val="16"/>
                <w:szCs w:val="16"/>
              </w:rPr>
              <w:t xml:space="preserve">Van </w:t>
            </w:r>
            <w:proofErr w:type="spellStart"/>
            <w:r w:rsidRPr="00F31A42">
              <w:rPr>
                <w:sz w:val="16"/>
                <w:szCs w:val="16"/>
              </w:rPr>
              <w:t>Brenk</w:t>
            </w:r>
            <w:proofErr w:type="spellEnd"/>
          </w:p>
        </w:tc>
        <w:tc>
          <w:tcPr>
            <w:tcW w:w="879" w:type="pct"/>
          </w:tcPr>
          <w:p w:rsidRPr="000013BA" w:rsidR="00BC7DCC" w:rsidP="00BC7DCC" w:rsidRDefault="00BC7DCC" w14:paraId="680386B5" w14:textId="55F0C654">
            <w:pPr>
              <w:spacing w:line="276" w:lineRule="auto"/>
              <w:rPr>
                <w:sz w:val="16"/>
                <w:szCs w:val="16"/>
              </w:rPr>
            </w:pPr>
            <w:r w:rsidRPr="00EE25ED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A07CE9" w:rsidR="00BC7DCC" w:rsidP="00BC7DCC" w:rsidRDefault="00BC7DCC" w14:paraId="6A53BD52" w14:textId="49FCC43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35 026, nr. 19</w:t>
            </w:r>
          </w:p>
        </w:tc>
      </w:tr>
      <w:tr w:rsidRPr="00A07CE9" w:rsidR="000F19CB" w:rsidTr="005A2EE4" w14:paraId="6B02D9E9" w14:textId="77777777">
        <w:tc>
          <w:tcPr>
            <w:tcW w:w="600" w:type="pct"/>
          </w:tcPr>
          <w:p w:rsidR="000F19CB" w:rsidP="000F19CB" w:rsidRDefault="000F19CB" w14:paraId="3720DFF4" w14:textId="649D239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35 026, nr. 52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EE25ED" w:rsidR="000F19CB" w:rsidP="000F19CB" w:rsidRDefault="000F19CB" w14:paraId="033C646B" w14:textId="72A60A7C">
            <w:pPr>
              <w:rPr>
                <w:sz w:val="16"/>
              </w:rPr>
            </w:pPr>
            <w:r w:rsidRPr="005E7636">
              <w:rPr>
                <w:rFonts w:cs="Arial"/>
                <w:sz w:val="16"/>
                <w:szCs w:val="16"/>
              </w:rPr>
              <w:t xml:space="preserve">Gemeenten de mogelijkheid bieden voor bepaalde </w:t>
            </w:r>
            <w:proofErr w:type="spellStart"/>
            <w:r w:rsidRPr="005E7636">
              <w:rPr>
                <w:rFonts w:cs="Arial"/>
                <w:sz w:val="16"/>
                <w:szCs w:val="16"/>
              </w:rPr>
              <w:t>sbbi’s</w:t>
            </w:r>
            <w:proofErr w:type="spellEnd"/>
            <w:r w:rsidRPr="005E7636">
              <w:rPr>
                <w:rFonts w:cs="Arial"/>
                <w:sz w:val="16"/>
                <w:szCs w:val="16"/>
              </w:rPr>
              <w:t xml:space="preserve"> en </w:t>
            </w:r>
            <w:proofErr w:type="spellStart"/>
            <w:r w:rsidRPr="005E7636">
              <w:rPr>
                <w:rFonts w:cs="Arial"/>
                <w:sz w:val="16"/>
                <w:szCs w:val="16"/>
              </w:rPr>
              <w:t>anbi’s</w:t>
            </w:r>
            <w:proofErr w:type="spellEnd"/>
            <w:r w:rsidRPr="005E7636">
              <w:rPr>
                <w:rFonts w:cs="Arial"/>
                <w:sz w:val="16"/>
                <w:szCs w:val="16"/>
              </w:rPr>
              <w:t xml:space="preserve"> voor de onroerendezaakbelasting (OZB) het (veelal lagere) eigenaarstarief voor woningen vast te stellen, in plaats van het (veelal hogere) gebruikerstarief of eigenaarstarief voor niet-woningen.</w:t>
            </w:r>
          </w:p>
        </w:tc>
        <w:tc>
          <w:tcPr>
            <w:tcW w:w="891" w:type="pct"/>
          </w:tcPr>
          <w:p w:rsidRPr="005E7636" w:rsidR="000F19CB" w:rsidP="000F19CB" w:rsidRDefault="000F19CB" w14:paraId="66ED29AF" w14:textId="77777777">
            <w:pPr>
              <w:spacing w:line="276" w:lineRule="auto"/>
              <w:rPr>
                <w:sz w:val="16"/>
                <w:szCs w:val="16"/>
              </w:rPr>
            </w:pPr>
            <w:r w:rsidRPr="005E7636">
              <w:rPr>
                <w:sz w:val="16"/>
                <w:szCs w:val="16"/>
              </w:rPr>
              <w:t>Omtzigt</w:t>
            </w:r>
          </w:p>
          <w:p w:rsidRPr="005E7636" w:rsidR="000F19CB" w:rsidP="000F19CB" w:rsidRDefault="000F19CB" w14:paraId="33651B7B" w14:textId="77777777">
            <w:pPr>
              <w:spacing w:line="276" w:lineRule="auto"/>
              <w:rPr>
                <w:sz w:val="16"/>
                <w:szCs w:val="16"/>
              </w:rPr>
            </w:pPr>
            <w:r w:rsidRPr="005E7636">
              <w:rPr>
                <w:sz w:val="16"/>
                <w:szCs w:val="16"/>
              </w:rPr>
              <w:t>Bruins</w:t>
            </w:r>
          </w:p>
          <w:p w:rsidR="000F19CB" w:rsidP="000F19CB" w:rsidRDefault="000F19CB" w14:paraId="0EEBDE55" w14:textId="77777777">
            <w:pPr>
              <w:spacing w:line="276" w:lineRule="auto"/>
              <w:rPr>
                <w:sz w:val="16"/>
                <w:szCs w:val="16"/>
              </w:rPr>
            </w:pPr>
            <w:r w:rsidRPr="005E7636">
              <w:rPr>
                <w:sz w:val="16"/>
                <w:szCs w:val="16"/>
              </w:rPr>
              <w:t>Van Weyenberg</w:t>
            </w:r>
          </w:p>
          <w:p w:rsidRPr="00F31A42" w:rsidR="000F19CB" w:rsidP="000F19CB" w:rsidRDefault="000F19CB" w14:paraId="3EE50901" w14:textId="187790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Stoffer</w:t>
            </w:r>
          </w:p>
        </w:tc>
        <w:tc>
          <w:tcPr>
            <w:tcW w:w="879" w:type="pct"/>
          </w:tcPr>
          <w:p w:rsidRPr="00EE25ED" w:rsidR="000F19CB" w:rsidP="000F19CB" w:rsidRDefault="000F19CB" w14:paraId="739744AD" w14:textId="3D516EEE">
            <w:pPr>
              <w:spacing w:line="276" w:lineRule="auto"/>
              <w:rPr>
                <w:sz w:val="16"/>
                <w:szCs w:val="16"/>
              </w:rPr>
            </w:pPr>
            <w:r w:rsidRPr="005E7636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="000F19CB" w:rsidP="000F19CB" w:rsidRDefault="000F19CB" w14:paraId="0D32A579" w14:textId="000EC619">
            <w:pPr>
              <w:spacing w:line="276" w:lineRule="auto"/>
              <w:rPr>
                <w:sz w:val="16"/>
                <w:szCs w:val="16"/>
              </w:rPr>
            </w:pPr>
            <w:r w:rsidRPr="005E7636">
              <w:rPr>
                <w:sz w:val="16"/>
                <w:szCs w:val="16"/>
              </w:rPr>
              <w:t xml:space="preserve">Vervangt 35 026, nr. </w:t>
            </w:r>
            <w:r>
              <w:rPr>
                <w:sz w:val="16"/>
                <w:szCs w:val="16"/>
              </w:rPr>
              <w:t>41</w:t>
            </w:r>
          </w:p>
        </w:tc>
      </w:tr>
      <w:tr w:rsidRPr="00F31A42" w:rsidR="000F19CB" w:rsidTr="005A2EE4" w14:paraId="1506C001" w14:textId="77777777">
        <w:tc>
          <w:tcPr>
            <w:tcW w:w="600" w:type="pct"/>
          </w:tcPr>
          <w:p w:rsidR="000F19CB" w:rsidP="000F19CB" w:rsidRDefault="000F19CB" w14:paraId="21C812A5" w14:textId="549CC15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35 027, nr. 10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5B6417" w:rsidR="000F19CB" w:rsidP="00EF0F8E" w:rsidRDefault="000F19CB" w14:paraId="137FFE50" w14:textId="4EB9987B">
            <w:pPr>
              <w:rPr>
                <w:rFonts w:cs="Arial"/>
                <w:sz w:val="16"/>
                <w:szCs w:val="16"/>
              </w:rPr>
            </w:pPr>
            <w:r w:rsidRPr="005B6417">
              <w:rPr>
                <w:rFonts w:cs="Arial"/>
                <w:sz w:val="16"/>
                <w:szCs w:val="16"/>
              </w:rPr>
              <w:t>Het percentage van de S&amp;O-</w:t>
            </w:r>
            <w:r w:rsidR="00EF0F8E">
              <w:rPr>
                <w:rFonts w:cs="Arial"/>
                <w:sz w:val="16"/>
                <w:szCs w:val="16"/>
              </w:rPr>
              <w:t>regeling</w:t>
            </w:r>
            <w:r w:rsidRPr="005B6417">
              <w:rPr>
                <w:rFonts w:cs="Arial"/>
                <w:sz w:val="16"/>
                <w:szCs w:val="16"/>
              </w:rPr>
              <w:t xml:space="preserve"> verlagen tot nul en daarmee de aftrek feitelijk afschaffen.</w:t>
            </w:r>
          </w:p>
        </w:tc>
        <w:tc>
          <w:tcPr>
            <w:tcW w:w="891" w:type="pct"/>
          </w:tcPr>
          <w:p w:rsidRPr="005B6417" w:rsidR="000F19CB" w:rsidP="000F19CB" w:rsidRDefault="000F19CB" w14:paraId="304C09A5" w14:textId="6AA274B9">
            <w:pPr>
              <w:spacing w:line="276" w:lineRule="auto"/>
              <w:rPr>
                <w:sz w:val="16"/>
                <w:szCs w:val="16"/>
              </w:rPr>
            </w:pPr>
            <w:r w:rsidRPr="005B6417">
              <w:rPr>
                <w:sz w:val="16"/>
                <w:szCs w:val="16"/>
              </w:rPr>
              <w:t>Van Aalst</w:t>
            </w:r>
          </w:p>
        </w:tc>
        <w:tc>
          <w:tcPr>
            <w:tcW w:w="879" w:type="pct"/>
          </w:tcPr>
          <w:p w:rsidRPr="005B6417" w:rsidR="000F19CB" w:rsidP="000F19CB" w:rsidRDefault="000F19CB" w14:paraId="701ADCD3" w14:textId="7564DBE8">
            <w:pPr>
              <w:spacing w:line="276" w:lineRule="auto"/>
              <w:rPr>
                <w:sz w:val="16"/>
                <w:szCs w:val="16"/>
              </w:rPr>
            </w:pPr>
            <w:r w:rsidRPr="005B6417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0F19CB" w:rsidP="000F19CB" w:rsidRDefault="000F19CB" w14:paraId="51967B58" w14:textId="74A8763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35 027, nr. 8</w:t>
            </w:r>
          </w:p>
        </w:tc>
      </w:tr>
      <w:tr w:rsidRPr="00F31A42" w:rsidR="000F19CB" w:rsidTr="005A2EE4" w14:paraId="2A732D39" w14:textId="77777777">
        <w:tc>
          <w:tcPr>
            <w:tcW w:w="600" w:type="pct"/>
          </w:tcPr>
          <w:p w:rsidRPr="00F31A42" w:rsidR="000F19CB" w:rsidP="000F19CB" w:rsidRDefault="000F19CB" w14:paraId="44849345" w14:textId="6C4DCBF2">
            <w:pPr>
              <w:spacing w:line="276" w:lineRule="auto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t>35 028, nr. 6</w:t>
            </w:r>
          </w:p>
        </w:tc>
        <w:tc>
          <w:tcPr>
            <w:tcW w:w="1902" w:type="pct"/>
            <w:tcBorders>
              <w:bottom w:val="single" w:color="auto" w:sz="4" w:space="0"/>
            </w:tcBorders>
          </w:tcPr>
          <w:p w:rsidRPr="00F31A42" w:rsidR="000F19CB" w:rsidP="000F19CB" w:rsidRDefault="000F19CB" w14:paraId="2D12998E" w14:textId="2F488438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Afschaffing dividendbelasting ongedaan maken.</w:t>
            </w:r>
          </w:p>
        </w:tc>
        <w:tc>
          <w:tcPr>
            <w:tcW w:w="891" w:type="pct"/>
          </w:tcPr>
          <w:p w:rsidRPr="00F31A42" w:rsidR="000F19CB" w:rsidP="000F19CB" w:rsidRDefault="000F19CB" w14:paraId="3D99AE1C" w14:textId="50B93911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Azarkan</w:t>
            </w:r>
          </w:p>
        </w:tc>
        <w:tc>
          <w:tcPr>
            <w:tcW w:w="879" w:type="pct"/>
          </w:tcPr>
          <w:p w:rsidRPr="00D13CA7" w:rsidR="000F19CB" w:rsidP="000F19CB" w:rsidRDefault="00D13CA7" w14:paraId="4BB933A0" w14:textId="5A31876A">
            <w:pPr>
              <w:spacing w:line="276" w:lineRule="auto"/>
              <w:rPr>
                <w:i/>
                <w:sz w:val="16"/>
                <w:szCs w:val="16"/>
                <w:highlight w:val="yellow"/>
              </w:rPr>
            </w:pPr>
            <w:r w:rsidRPr="00D13CA7">
              <w:rPr>
                <w:i/>
                <w:sz w:val="16"/>
                <w:szCs w:val="16"/>
              </w:rPr>
              <w:t>Achterhaald</w:t>
            </w:r>
          </w:p>
        </w:tc>
        <w:tc>
          <w:tcPr>
            <w:tcW w:w="728" w:type="pct"/>
          </w:tcPr>
          <w:p w:rsidRPr="00F31A42" w:rsidR="000F19CB" w:rsidP="000F19CB" w:rsidRDefault="000F19CB" w14:paraId="1AFE5798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0F19CB" w:rsidTr="005A2EE4" w14:paraId="3EED4DD1" w14:textId="77777777">
        <w:tc>
          <w:tcPr>
            <w:tcW w:w="600" w:type="pct"/>
          </w:tcPr>
          <w:p w:rsidRPr="00F31A42" w:rsidR="000F19CB" w:rsidP="000F19CB" w:rsidRDefault="000F19CB" w14:paraId="0B55DEB7" w14:textId="6C4816A3">
            <w:pPr>
              <w:spacing w:line="276" w:lineRule="auto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lastRenderedPageBreak/>
              <w:t>35 028, nr. 19</w:t>
            </w:r>
          </w:p>
        </w:tc>
        <w:tc>
          <w:tcPr>
            <w:tcW w:w="1902" w:type="pct"/>
          </w:tcPr>
          <w:p w:rsidRPr="00F31A42" w:rsidR="000F19CB" w:rsidP="000F19CB" w:rsidRDefault="000F19CB" w14:paraId="784DBEAF" w14:textId="5B5256BE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rFonts w:cs="Arial"/>
                <w:sz w:val="16"/>
                <w:szCs w:val="16"/>
              </w:rPr>
              <w:t>Verhoging van het tarief in de tweede tariefschijf van de vennootschapsbelasting.</w:t>
            </w:r>
          </w:p>
        </w:tc>
        <w:tc>
          <w:tcPr>
            <w:tcW w:w="891" w:type="pct"/>
          </w:tcPr>
          <w:p w:rsidRPr="00F31A42" w:rsidR="000F19CB" w:rsidP="000F19CB" w:rsidRDefault="000F19CB" w14:paraId="59994638" w14:textId="1975331C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Nijboer</w:t>
            </w:r>
          </w:p>
        </w:tc>
        <w:tc>
          <w:tcPr>
            <w:tcW w:w="879" w:type="pct"/>
          </w:tcPr>
          <w:p w:rsidRPr="00F31A42" w:rsidR="000F19CB" w:rsidP="000F19CB" w:rsidRDefault="000F19CB" w14:paraId="6827BBEA" w14:textId="1126F3C2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0F19CB" w:rsidP="000F19CB" w:rsidRDefault="000F19CB" w14:paraId="3B79812B" w14:textId="247E6E1B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Vervangt 35 028, nr. 9.</w:t>
            </w:r>
          </w:p>
          <w:p w:rsidRPr="00F31A42" w:rsidR="000F19CB" w:rsidP="000F19CB" w:rsidRDefault="000F19CB" w14:paraId="5760FD96" w14:textId="643F474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0F19CB" w:rsidTr="005A2EE4" w14:paraId="557CEACF" w14:textId="77777777">
        <w:tc>
          <w:tcPr>
            <w:tcW w:w="600" w:type="pct"/>
          </w:tcPr>
          <w:p w:rsidRPr="00F31A42" w:rsidR="000F19CB" w:rsidP="000F19CB" w:rsidRDefault="000F19CB" w14:paraId="42FC353D" w14:textId="63409565">
            <w:pPr>
              <w:spacing w:line="276" w:lineRule="auto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t>35 028, nr. 20</w:t>
            </w:r>
          </w:p>
        </w:tc>
        <w:tc>
          <w:tcPr>
            <w:tcW w:w="1902" w:type="pct"/>
          </w:tcPr>
          <w:p w:rsidRPr="00F31A42" w:rsidR="000F19CB" w:rsidP="000F19CB" w:rsidRDefault="000F19CB" w14:paraId="609346F1" w14:textId="2D22C336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rFonts w:cs="Arial"/>
                <w:sz w:val="16"/>
                <w:szCs w:val="16"/>
              </w:rPr>
              <w:t>Het niet verlagen van de tarieven in de vennootschapsbelasting.</w:t>
            </w:r>
          </w:p>
        </w:tc>
        <w:tc>
          <w:tcPr>
            <w:tcW w:w="891" w:type="pct"/>
          </w:tcPr>
          <w:p w:rsidRPr="00F31A42" w:rsidR="000F19CB" w:rsidP="000F19CB" w:rsidRDefault="000F19CB" w14:paraId="0D1566F7" w14:textId="473496D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Van Rooijen</w:t>
            </w:r>
          </w:p>
        </w:tc>
        <w:tc>
          <w:tcPr>
            <w:tcW w:w="879" w:type="pct"/>
          </w:tcPr>
          <w:p w:rsidRPr="00F31A42" w:rsidR="000F19CB" w:rsidP="000F19CB" w:rsidRDefault="000F19CB" w14:paraId="091BDC4A" w14:textId="61E35CF1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0F19CB" w:rsidP="000F19CB" w:rsidRDefault="000F19CB" w14:paraId="0CDEAC19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0F19CB" w:rsidTr="005A2EE4" w14:paraId="65ED8639" w14:textId="77777777">
        <w:tc>
          <w:tcPr>
            <w:tcW w:w="600" w:type="pct"/>
          </w:tcPr>
          <w:p w:rsidRPr="00F31A42" w:rsidR="000F19CB" w:rsidP="000F19CB" w:rsidRDefault="000F19CB" w14:paraId="50ACB1A9" w14:textId="50ED6BC4">
            <w:pPr>
              <w:spacing w:line="276" w:lineRule="auto"/>
              <w:rPr>
                <w:b/>
                <w:sz w:val="16"/>
                <w:szCs w:val="16"/>
              </w:rPr>
            </w:pPr>
            <w:r w:rsidRPr="00F31A42">
              <w:rPr>
                <w:b/>
                <w:sz w:val="16"/>
                <w:szCs w:val="16"/>
              </w:rPr>
              <w:t>35 028, nr. 23</w:t>
            </w:r>
          </w:p>
        </w:tc>
        <w:tc>
          <w:tcPr>
            <w:tcW w:w="1902" w:type="pct"/>
          </w:tcPr>
          <w:p w:rsidRPr="00F31A42" w:rsidR="000F19CB" w:rsidP="000F19CB" w:rsidRDefault="000F19CB" w14:paraId="0C286EC6" w14:textId="1A546EF3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rFonts w:cs="Arial"/>
                <w:sz w:val="16"/>
                <w:szCs w:val="16"/>
              </w:rPr>
              <w:t xml:space="preserve">Verhoging van het hoge tarief van de vennootschapsbelasting. </w:t>
            </w:r>
          </w:p>
        </w:tc>
        <w:tc>
          <w:tcPr>
            <w:tcW w:w="891" w:type="pct"/>
          </w:tcPr>
          <w:p w:rsidRPr="00F31A42" w:rsidR="000F19CB" w:rsidP="000F19CB" w:rsidRDefault="000F19CB" w14:paraId="062E5542" w14:textId="33929AFE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Kwint</w:t>
            </w:r>
          </w:p>
        </w:tc>
        <w:tc>
          <w:tcPr>
            <w:tcW w:w="879" w:type="pct"/>
          </w:tcPr>
          <w:p w:rsidRPr="00F31A42" w:rsidR="000F19CB" w:rsidP="000F19CB" w:rsidRDefault="000F19CB" w14:paraId="3A8988B6" w14:textId="34BA711A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0F19CB" w:rsidP="000F19CB" w:rsidRDefault="000F19CB" w14:paraId="494E8FC0" w14:textId="19EB0559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Vervangt 35 028, nr. 12</w:t>
            </w:r>
          </w:p>
        </w:tc>
      </w:tr>
      <w:tr w:rsidRPr="00F31A42" w:rsidR="000F19CB" w:rsidTr="005A2EE4" w14:paraId="7601E8B7" w14:textId="77777777">
        <w:tc>
          <w:tcPr>
            <w:tcW w:w="600" w:type="pct"/>
          </w:tcPr>
          <w:p w:rsidR="000F19CB" w:rsidP="000F19CB" w:rsidRDefault="000F19CB" w14:paraId="2BABD833" w14:textId="222603B0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24</w:t>
            </w:r>
          </w:p>
        </w:tc>
        <w:tc>
          <w:tcPr>
            <w:tcW w:w="1902" w:type="pct"/>
          </w:tcPr>
          <w:p w:rsidRPr="00856952" w:rsidR="000F19CB" w:rsidP="000F19CB" w:rsidRDefault="000F19CB" w14:paraId="29E2C88C" w14:textId="77777777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856952">
              <w:rPr>
                <w:rFonts w:cs="Arial"/>
                <w:sz w:val="16"/>
                <w:szCs w:val="16"/>
              </w:rPr>
              <w:t>Verlaging tarief verhuurderheffing met 0,15%-punt</w:t>
            </w:r>
            <w:r w:rsidRPr="00856952">
              <w:rPr>
                <w:sz w:val="16"/>
                <w:szCs w:val="16"/>
              </w:rPr>
              <w:t>.</w:t>
            </w:r>
          </w:p>
          <w:p w:rsidRPr="00856952" w:rsidR="000F19CB" w:rsidP="000F19CB" w:rsidRDefault="000F19CB" w14:paraId="7A91DD0A" w14:textId="7C345C40">
            <w:pPr>
              <w:spacing w:line="276" w:lineRule="auto"/>
              <w:rPr>
                <w:sz w:val="16"/>
                <w:szCs w:val="16"/>
              </w:rPr>
            </w:pPr>
            <w:r w:rsidRPr="00856952">
              <w:rPr>
                <w:rFonts w:cs="Arial"/>
                <w:sz w:val="16"/>
                <w:szCs w:val="16"/>
              </w:rPr>
              <w:t xml:space="preserve">Dekking via verhoging </w:t>
            </w:r>
            <w:r w:rsidRPr="00856952">
              <w:rPr>
                <w:rFonts w:cs="Arial"/>
                <w:i/>
                <w:iCs/>
                <w:sz w:val="16"/>
                <w:szCs w:val="16"/>
              </w:rPr>
              <w:t xml:space="preserve">hoge </w:t>
            </w:r>
            <w:proofErr w:type="spellStart"/>
            <w:r w:rsidRPr="00856952">
              <w:rPr>
                <w:rFonts w:cs="Arial"/>
                <w:sz w:val="16"/>
                <w:szCs w:val="16"/>
              </w:rPr>
              <w:t>vpb</w:t>
            </w:r>
            <w:proofErr w:type="spellEnd"/>
            <w:r w:rsidRPr="00856952">
              <w:rPr>
                <w:rFonts w:cs="Arial"/>
                <w:sz w:val="16"/>
                <w:szCs w:val="16"/>
              </w:rPr>
              <w:t>-tarief met 1%-punt.</w:t>
            </w:r>
          </w:p>
        </w:tc>
        <w:tc>
          <w:tcPr>
            <w:tcW w:w="891" w:type="pct"/>
          </w:tcPr>
          <w:p w:rsidRPr="00F31A42" w:rsidR="000F19CB" w:rsidP="000F19CB" w:rsidRDefault="000F19CB" w14:paraId="61CACE43" w14:textId="7777777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Beckerman</w:t>
            </w:r>
          </w:p>
          <w:p w:rsidRPr="00F31A42" w:rsidR="000F19CB" w:rsidP="000F19CB" w:rsidRDefault="000F19CB" w14:paraId="48D9B188" w14:textId="3C57CFFC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EF1255" w:rsidR="000F19CB" w:rsidP="000F19CB" w:rsidRDefault="000F19CB" w14:paraId="627C93A2" w14:textId="0FD2C2C1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856952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0F19CB" w:rsidP="000F19CB" w:rsidRDefault="000F19CB" w14:paraId="603896E6" w14:textId="284361C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35 028, nr. 10</w:t>
            </w:r>
          </w:p>
        </w:tc>
      </w:tr>
      <w:tr w:rsidRPr="00F31A42" w:rsidR="000F19CB" w:rsidTr="005A2EE4" w14:paraId="1F40B3BE" w14:textId="77777777">
        <w:tc>
          <w:tcPr>
            <w:tcW w:w="600" w:type="pct"/>
          </w:tcPr>
          <w:p w:rsidR="000F19CB" w:rsidP="000F19CB" w:rsidRDefault="000F19CB" w14:paraId="1B7AE449" w14:textId="7CA8C03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27</w:t>
            </w:r>
          </w:p>
        </w:tc>
        <w:tc>
          <w:tcPr>
            <w:tcW w:w="1902" w:type="pct"/>
          </w:tcPr>
          <w:p w:rsidRPr="007E00C0" w:rsidR="000F19CB" w:rsidP="000F19CB" w:rsidRDefault="000F19CB" w14:paraId="549495D1" w14:textId="7D932092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Dit amendement regelt dat fiscale beleggingsinstellingen niet meer mogen investeren in Nederlands vastgoed.</w:t>
            </w:r>
          </w:p>
        </w:tc>
        <w:tc>
          <w:tcPr>
            <w:tcW w:w="891" w:type="pct"/>
          </w:tcPr>
          <w:p w:rsidRPr="007E00C0" w:rsidR="000F19CB" w:rsidP="000F19CB" w:rsidRDefault="000F19CB" w14:paraId="41F914F1" w14:textId="77777777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Leijten</w:t>
            </w:r>
          </w:p>
          <w:p w:rsidRPr="007E00C0" w:rsidR="000F19CB" w:rsidP="000F19CB" w:rsidRDefault="000F19CB" w14:paraId="63444FD6" w14:textId="1F4C887C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Beckerman</w:t>
            </w:r>
          </w:p>
        </w:tc>
        <w:tc>
          <w:tcPr>
            <w:tcW w:w="879" w:type="pct"/>
          </w:tcPr>
          <w:p w:rsidRPr="007E00C0" w:rsidR="000F19CB" w:rsidP="000F19CB" w:rsidRDefault="000F19CB" w14:paraId="4EB7A792" w14:textId="5E95EB92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Ontraden</w:t>
            </w:r>
          </w:p>
        </w:tc>
        <w:tc>
          <w:tcPr>
            <w:tcW w:w="728" w:type="pct"/>
          </w:tcPr>
          <w:p w:rsidRPr="007E00C0" w:rsidR="000F19CB" w:rsidP="000F19CB" w:rsidRDefault="000F19CB" w14:paraId="76A47C47" w14:textId="387B17EE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Vervangt 35 028, nr. 25</w:t>
            </w:r>
          </w:p>
        </w:tc>
      </w:tr>
      <w:tr w:rsidRPr="00F31A42" w:rsidR="000F19CB" w:rsidTr="005A2EE4" w14:paraId="54BBA7FF" w14:textId="77777777">
        <w:tc>
          <w:tcPr>
            <w:tcW w:w="600" w:type="pct"/>
          </w:tcPr>
          <w:p w:rsidR="000F19CB" w:rsidP="000F19CB" w:rsidRDefault="000F19CB" w14:paraId="2C589CAB" w14:textId="2D79E08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28</w:t>
            </w:r>
          </w:p>
        </w:tc>
        <w:tc>
          <w:tcPr>
            <w:tcW w:w="1902" w:type="pct"/>
          </w:tcPr>
          <w:p w:rsidRPr="007E00C0" w:rsidR="000F19CB" w:rsidP="000F19CB" w:rsidRDefault="000F19CB" w14:paraId="5E7F24D6" w14:textId="6AF595B9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rFonts w:cs="Arial"/>
                <w:sz w:val="16"/>
                <w:szCs w:val="16"/>
              </w:rPr>
              <w:t>Het niet verlagen van de tarieven in de vennootschapsbelasting.</w:t>
            </w:r>
          </w:p>
        </w:tc>
        <w:tc>
          <w:tcPr>
            <w:tcW w:w="891" w:type="pct"/>
          </w:tcPr>
          <w:p w:rsidRPr="007E00C0" w:rsidR="000F19CB" w:rsidP="000F19CB" w:rsidRDefault="000F19CB" w14:paraId="6A7DCE45" w14:textId="77777777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Snels</w:t>
            </w:r>
          </w:p>
          <w:p w:rsidRPr="007E00C0" w:rsidR="000F19CB" w:rsidP="000F19CB" w:rsidRDefault="000F19CB" w14:paraId="775F14D7" w14:textId="77777777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Leijten</w:t>
            </w:r>
          </w:p>
          <w:p w:rsidRPr="007E00C0" w:rsidR="000F19CB" w:rsidP="000F19CB" w:rsidRDefault="000F19CB" w14:paraId="4EB501FA" w14:textId="15AF6BE7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Nijboer</w:t>
            </w:r>
          </w:p>
        </w:tc>
        <w:tc>
          <w:tcPr>
            <w:tcW w:w="879" w:type="pct"/>
          </w:tcPr>
          <w:p w:rsidRPr="007E00C0" w:rsidR="000F19CB" w:rsidP="000F19CB" w:rsidRDefault="000F19CB" w14:paraId="1119C4AA" w14:textId="05CB30B3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Ontraden</w:t>
            </w:r>
          </w:p>
        </w:tc>
        <w:tc>
          <w:tcPr>
            <w:tcW w:w="728" w:type="pct"/>
          </w:tcPr>
          <w:p w:rsidRPr="007E00C0" w:rsidR="000F19CB" w:rsidP="000F19CB" w:rsidRDefault="000F19CB" w14:paraId="249A765E" w14:textId="5F17E3D8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Vervangt 35 028, nr. 15</w:t>
            </w:r>
          </w:p>
        </w:tc>
      </w:tr>
      <w:tr w:rsidRPr="00F31A42" w:rsidR="000F19CB" w:rsidTr="005A2EE4" w14:paraId="0F24C411" w14:textId="77777777">
        <w:tc>
          <w:tcPr>
            <w:tcW w:w="600" w:type="pct"/>
          </w:tcPr>
          <w:p w:rsidR="000F19CB" w:rsidP="000F19CB" w:rsidRDefault="000F19CB" w14:paraId="67E027A4" w14:textId="699C3F0A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29</w:t>
            </w:r>
          </w:p>
        </w:tc>
        <w:tc>
          <w:tcPr>
            <w:tcW w:w="1902" w:type="pct"/>
          </w:tcPr>
          <w:p w:rsidRPr="007E00C0" w:rsidR="000F19CB" w:rsidP="000F19CB" w:rsidRDefault="000F19CB" w14:paraId="1D5DAE26" w14:textId="36F6E7CB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rFonts w:cs="Arial"/>
                <w:sz w:val="16"/>
                <w:szCs w:val="16"/>
              </w:rPr>
              <w:t>Verhoging van het tarief van de innovatiebox van 7% naar 10%.</w:t>
            </w:r>
          </w:p>
        </w:tc>
        <w:tc>
          <w:tcPr>
            <w:tcW w:w="891" w:type="pct"/>
          </w:tcPr>
          <w:p w:rsidRPr="007E00C0" w:rsidR="000F19CB" w:rsidP="000F19CB" w:rsidRDefault="000F19CB" w14:paraId="7CF32D9F" w14:textId="77777777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Snels</w:t>
            </w:r>
          </w:p>
          <w:p w:rsidRPr="007E00C0" w:rsidR="000F19CB" w:rsidP="000F19CB" w:rsidRDefault="000F19CB" w14:paraId="2DEEAD0A" w14:textId="182A36DB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Nijboer</w:t>
            </w:r>
          </w:p>
        </w:tc>
        <w:tc>
          <w:tcPr>
            <w:tcW w:w="879" w:type="pct"/>
          </w:tcPr>
          <w:p w:rsidRPr="007E00C0" w:rsidR="000F19CB" w:rsidP="000F19CB" w:rsidRDefault="000F19CB" w14:paraId="38712C2E" w14:textId="26874068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Ontraden</w:t>
            </w:r>
          </w:p>
        </w:tc>
        <w:tc>
          <w:tcPr>
            <w:tcW w:w="728" w:type="pct"/>
          </w:tcPr>
          <w:p w:rsidRPr="007E00C0" w:rsidR="000F19CB" w:rsidP="000F19CB" w:rsidRDefault="000F19CB" w14:paraId="68B8A87D" w14:textId="6C9BE26E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Vervangt 35 028, nr. 16</w:t>
            </w:r>
          </w:p>
        </w:tc>
      </w:tr>
      <w:tr w:rsidRPr="00F31A42" w:rsidR="005A2EE4" w:rsidTr="005A2EE4" w14:paraId="062C91B6" w14:textId="77777777">
        <w:tc>
          <w:tcPr>
            <w:tcW w:w="600" w:type="pct"/>
          </w:tcPr>
          <w:p w:rsidR="005A2EE4" w:rsidP="005A2EE4" w:rsidRDefault="005A2EE4" w14:paraId="6D5FD14E" w14:textId="155AACB9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30</w:t>
            </w:r>
          </w:p>
        </w:tc>
        <w:tc>
          <w:tcPr>
            <w:tcW w:w="1902" w:type="pct"/>
          </w:tcPr>
          <w:p w:rsidRPr="007E00C0" w:rsidR="005A2EE4" w:rsidP="005A2EE4" w:rsidRDefault="005A2EE4" w14:paraId="0FED9BBE" w14:textId="610AED7F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Dit amendement regelt dat fiscale beleggingsinstellingen niet meer mogen investeren in Nederlands vastgoed.</w:t>
            </w:r>
          </w:p>
        </w:tc>
        <w:tc>
          <w:tcPr>
            <w:tcW w:w="891" w:type="pct"/>
          </w:tcPr>
          <w:p w:rsidRPr="007E00C0" w:rsidR="005A2EE4" w:rsidP="005A2EE4" w:rsidRDefault="005A2EE4" w14:paraId="7B45FB80" w14:textId="77777777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Leijten</w:t>
            </w:r>
          </w:p>
          <w:p w:rsidRPr="007E00C0" w:rsidR="005A2EE4" w:rsidP="005A2EE4" w:rsidRDefault="005A2EE4" w14:paraId="297C8BFC" w14:textId="46CE450D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</w:rPr>
              <w:t>Beckerman</w:t>
            </w:r>
          </w:p>
        </w:tc>
        <w:tc>
          <w:tcPr>
            <w:tcW w:w="879" w:type="pct"/>
          </w:tcPr>
          <w:p w:rsidRPr="007E00C0" w:rsidR="005A2EE4" w:rsidP="005A2EE4" w:rsidRDefault="005A2EE4" w14:paraId="2A1312B9" w14:textId="723BDEC2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Ontraden</w:t>
            </w:r>
          </w:p>
        </w:tc>
        <w:tc>
          <w:tcPr>
            <w:tcW w:w="728" w:type="pct"/>
          </w:tcPr>
          <w:p w:rsidR="005A2EE4" w:rsidP="005A2EE4" w:rsidRDefault="005A2EE4" w14:paraId="0410BBF9" w14:textId="35A03920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Vervangt 35 028, nr. 25</w:t>
            </w:r>
            <w:r>
              <w:rPr>
                <w:sz w:val="16"/>
                <w:szCs w:val="16"/>
                <w:lang w:eastAsia="zh-CN" w:bidi="hi-IN"/>
              </w:rPr>
              <w:t>.</w:t>
            </w:r>
          </w:p>
          <w:p w:rsidRPr="007E00C0" w:rsidR="005A2EE4" w:rsidP="005A2EE4" w:rsidRDefault="005A2EE4" w14:paraId="38C20452" w14:textId="01D3CE5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 w:bidi="hi-IN"/>
              </w:rPr>
              <w:t>Dubbel met 35 028, nr. 27</w:t>
            </w:r>
          </w:p>
        </w:tc>
      </w:tr>
      <w:tr w:rsidRPr="00F31A42" w:rsidR="005A2EE4" w:rsidTr="005A2EE4" w14:paraId="0C6115E3" w14:textId="77777777">
        <w:tc>
          <w:tcPr>
            <w:tcW w:w="600" w:type="pct"/>
          </w:tcPr>
          <w:p w:rsidR="005A2EE4" w:rsidP="005A2EE4" w:rsidRDefault="005A2EE4" w14:paraId="2396D999" w14:textId="2D4AF5B0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35 028, nr. 31</w:t>
            </w:r>
          </w:p>
        </w:tc>
        <w:tc>
          <w:tcPr>
            <w:tcW w:w="1902" w:type="pct"/>
          </w:tcPr>
          <w:p w:rsidRPr="00A07CE9" w:rsidR="005A2EE4" w:rsidP="005A2EE4" w:rsidRDefault="005A2EE4" w14:paraId="6D269AD8" w14:textId="106BB73E">
            <w:pPr>
              <w:tabs>
                <w:tab w:val="left" w:pos="87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A07CE9">
              <w:rPr>
                <w:sz w:val="16"/>
                <w:szCs w:val="16"/>
              </w:rPr>
              <w:t xml:space="preserve">Verhoging 25%-tarief Vpb </w:t>
            </w:r>
            <w:r w:rsidRPr="00A07CE9">
              <w:rPr>
                <w:rFonts w:cs="Arial"/>
                <w:sz w:val="16"/>
                <w:szCs w:val="16"/>
              </w:rPr>
              <w:t>met 0,24%-punt.</w:t>
            </w:r>
          </w:p>
        </w:tc>
        <w:tc>
          <w:tcPr>
            <w:tcW w:w="891" w:type="pct"/>
          </w:tcPr>
          <w:p w:rsidR="005A2EE4" w:rsidP="005A2EE4" w:rsidRDefault="005A2EE4" w14:paraId="4AD2F1A8" w14:textId="7777777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Nijboer</w:t>
            </w:r>
          </w:p>
          <w:p w:rsidRPr="007E00C0" w:rsidR="005A2EE4" w:rsidP="005A2EE4" w:rsidRDefault="005A2EE4" w14:paraId="7D0F4F9E" w14:textId="198D917A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>
              <w:rPr>
                <w:sz w:val="16"/>
                <w:szCs w:val="16"/>
              </w:rPr>
              <w:t>Gijs van Dijk</w:t>
            </w:r>
          </w:p>
        </w:tc>
        <w:tc>
          <w:tcPr>
            <w:tcW w:w="879" w:type="pct"/>
          </w:tcPr>
          <w:p w:rsidRPr="007E00C0" w:rsidR="005A2EE4" w:rsidP="005A2EE4" w:rsidRDefault="005A2EE4" w14:paraId="4F6E6A0B" w14:textId="4D79A8DE">
            <w:pPr>
              <w:spacing w:line="276" w:lineRule="auto"/>
              <w:rPr>
                <w:sz w:val="16"/>
                <w:szCs w:val="16"/>
                <w:lang w:eastAsia="zh-CN" w:bidi="hi-IN"/>
              </w:rPr>
            </w:pPr>
            <w:r w:rsidRPr="00A07CE9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7E00C0" w:rsidR="005A2EE4" w:rsidP="005A2EE4" w:rsidRDefault="005A2EE4" w14:paraId="59E6F565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28762422" w14:textId="77777777">
        <w:tc>
          <w:tcPr>
            <w:tcW w:w="600" w:type="pct"/>
          </w:tcPr>
          <w:p w:rsidRPr="00F31A42" w:rsidR="005A2EE4" w:rsidP="005A2EE4" w:rsidRDefault="005A2EE4" w14:paraId="6F034458" w14:textId="5EABDB7C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35 029, nr. 11</w:t>
            </w:r>
          </w:p>
        </w:tc>
        <w:tc>
          <w:tcPr>
            <w:tcW w:w="1902" w:type="pct"/>
          </w:tcPr>
          <w:p w:rsidRPr="00F31A42" w:rsidR="005A2EE4" w:rsidP="005A2EE4" w:rsidRDefault="005A2EE4" w14:paraId="6B61CF57" w14:textId="4E4444A7">
            <w:pPr>
              <w:spacing w:line="276" w:lineRule="auto"/>
              <w:rPr>
                <w:sz w:val="16"/>
                <w:szCs w:val="16"/>
              </w:rPr>
            </w:pPr>
            <w:r w:rsidRPr="00804F24">
              <w:rPr>
                <w:sz w:val="16"/>
                <w:szCs w:val="16"/>
              </w:rPr>
              <w:t>Regelt dat de belasting op leidingwater komt te vervallen.</w:t>
            </w:r>
          </w:p>
        </w:tc>
        <w:tc>
          <w:tcPr>
            <w:tcW w:w="891" w:type="pct"/>
          </w:tcPr>
          <w:p w:rsidRPr="00942035" w:rsidR="005A2EE4" w:rsidP="005A2EE4" w:rsidRDefault="005A2EE4" w14:paraId="23512E30" w14:textId="77777777">
            <w:pPr>
              <w:rPr>
                <w:sz w:val="16"/>
              </w:rPr>
            </w:pPr>
            <w:r w:rsidRPr="00942035">
              <w:rPr>
                <w:sz w:val="16"/>
              </w:rPr>
              <w:t>Van Rooijen</w:t>
            </w:r>
          </w:p>
          <w:p w:rsidRPr="00942035" w:rsidR="005A2EE4" w:rsidP="005A2EE4" w:rsidRDefault="005A2EE4" w14:paraId="225C21B0" w14:textId="52547085">
            <w:pPr>
              <w:rPr>
                <w:sz w:val="16"/>
              </w:rPr>
            </w:pPr>
            <w:r w:rsidRPr="00942035">
              <w:rPr>
                <w:sz w:val="16"/>
              </w:rPr>
              <w:t xml:space="preserve">Van </w:t>
            </w:r>
            <w:proofErr w:type="spellStart"/>
            <w:r w:rsidRPr="00942035">
              <w:rPr>
                <w:sz w:val="16"/>
              </w:rPr>
              <w:t>Brenk</w:t>
            </w:r>
            <w:proofErr w:type="spellEnd"/>
          </w:p>
        </w:tc>
        <w:tc>
          <w:tcPr>
            <w:tcW w:w="879" w:type="pct"/>
          </w:tcPr>
          <w:p w:rsidRPr="00F31A42" w:rsidR="005A2EE4" w:rsidP="005A2EE4" w:rsidRDefault="005A2EE4" w14:paraId="438511C3" w14:textId="7CF9156A">
            <w:pPr>
              <w:spacing w:line="276" w:lineRule="auto"/>
              <w:rPr>
                <w:sz w:val="16"/>
                <w:szCs w:val="16"/>
              </w:rPr>
            </w:pPr>
            <w:r w:rsidRPr="00EE25ED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630741DA" w14:textId="3E1E083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35 029, nr. 10</w:t>
            </w:r>
          </w:p>
        </w:tc>
      </w:tr>
      <w:tr w:rsidRPr="00F31A42" w:rsidR="005A2EE4" w:rsidTr="005A2EE4" w14:paraId="2C6D8FB9" w14:textId="77777777">
        <w:tc>
          <w:tcPr>
            <w:tcW w:w="600" w:type="pct"/>
          </w:tcPr>
          <w:p w:rsidRPr="00F31A42" w:rsidR="005A2EE4" w:rsidP="005A2EE4" w:rsidRDefault="005A2EE4" w14:paraId="76BCD6DA" w14:textId="643B3334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35 029, nr. 12</w:t>
            </w:r>
          </w:p>
        </w:tc>
        <w:tc>
          <w:tcPr>
            <w:tcW w:w="1902" w:type="pct"/>
          </w:tcPr>
          <w:p w:rsidRPr="00EE25ED" w:rsidR="005A2EE4" w:rsidP="005A2EE4" w:rsidRDefault="005A2EE4" w14:paraId="458B6CEB" w14:textId="33F83A21">
            <w:pPr>
              <w:spacing w:line="276" w:lineRule="auto"/>
              <w:rPr>
                <w:sz w:val="16"/>
                <w:szCs w:val="16"/>
              </w:rPr>
            </w:pPr>
            <w:r w:rsidRPr="00EE25ED">
              <w:rPr>
                <w:rFonts w:cs="Arial"/>
                <w:sz w:val="16"/>
                <w:szCs w:val="16"/>
              </w:rPr>
              <w:t>De verlaging van de belastingvermindering in de energiebelasting (EB) met € 51 gaat niet door.</w:t>
            </w:r>
          </w:p>
        </w:tc>
        <w:tc>
          <w:tcPr>
            <w:tcW w:w="891" w:type="pct"/>
          </w:tcPr>
          <w:p w:rsidRPr="00F31A42" w:rsidR="005A2EE4" w:rsidP="005A2EE4" w:rsidRDefault="005A2EE4" w14:paraId="10DE59CD" w14:textId="602ACCB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Snels</w:t>
            </w:r>
          </w:p>
        </w:tc>
        <w:tc>
          <w:tcPr>
            <w:tcW w:w="879" w:type="pct"/>
          </w:tcPr>
          <w:p w:rsidRPr="00F31A42" w:rsidR="005A2EE4" w:rsidP="005A2EE4" w:rsidRDefault="005A2EE4" w14:paraId="3D27CC90" w14:textId="74BDB280">
            <w:pPr>
              <w:spacing w:line="276" w:lineRule="auto"/>
              <w:rPr>
                <w:sz w:val="16"/>
                <w:szCs w:val="16"/>
              </w:rPr>
            </w:pPr>
            <w:r w:rsidRPr="00EE25ED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3ADF87E8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19D92F97" w14:textId="77777777">
        <w:tc>
          <w:tcPr>
            <w:tcW w:w="600" w:type="pct"/>
          </w:tcPr>
          <w:p w:rsidRPr="00F31A42" w:rsidR="005A2EE4" w:rsidP="005A2EE4" w:rsidRDefault="005A2EE4" w14:paraId="661A94B5" w14:textId="300A36C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35 029, nr. 14</w:t>
            </w:r>
          </w:p>
        </w:tc>
        <w:tc>
          <w:tcPr>
            <w:tcW w:w="1902" w:type="pct"/>
          </w:tcPr>
          <w:p w:rsidRPr="00F31A42" w:rsidR="005A2EE4" w:rsidP="005A2EE4" w:rsidRDefault="005A2EE4" w14:paraId="24C7BE92" w14:textId="074BC65C">
            <w:pPr>
              <w:spacing w:line="276" w:lineRule="auto"/>
              <w:rPr>
                <w:sz w:val="16"/>
                <w:szCs w:val="16"/>
              </w:rPr>
            </w:pPr>
            <w:r w:rsidRPr="00B502F2">
              <w:rPr>
                <w:rFonts w:cs="Arial"/>
                <w:sz w:val="16"/>
                <w:szCs w:val="16"/>
              </w:rPr>
              <w:t>De verlaging van de belastingvermindering in de energiebelasting (EB) met € 51 gaat niet door.</w:t>
            </w:r>
          </w:p>
        </w:tc>
        <w:tc>
          <w:tcPr>
            <w:tcW w:w="891" w:type="pct"/>
          </w:tcPr>
          <w:p w:rsidRPr="00942035" w:rsidR="005A2EE4" w:rsidP="005A2EE4" w:rsidRDefault="005A2EE4" w14:paraId="01057C83" w14:textId="77777777">
            <w:pPr>
              <w:rPr>
                <w:sz w:val="16"/>
              </w:rPr>
            </w:pPr>
            <w:r w:rsidRPr="00942035">
              <w:rPr>
                <w:sz w:val="16"/>
              </w:rPr>
              <w:t>Leijten</w:t>
            </w:r>
          </w:p>
          <w:p w:rsidRPr="00F31A42" w:rsidR="005A2EE4" w:rsidP="005A2EE4" w:rsidRDefault="005A2EE4" w14:paraId="1DE6A036" w14:textId="4A864CD6">
            <w:pPr>
              <w:spacing w:line="276" w:lineRule="auto"/>
              <w:rPr>
                <w:sz w:val="16"/>
                <w:szCs w:val="16"/>
              </w:rPr>
            </w:pPr>
            <w:r w:rsidRPr="00942035">
              <w:rPr>
                <w:sz w:val="16"/>
              </w:rPr>
              <w:t>Beckerman</w:t>
            </w:r>
          </w:p>
        </w:tc>
        <w:tc>
          <w:tcPr>
            <w:tcW w:w="879" w:type="pct"/>
          </w:tcPr>
          <w:p w:rsidRPr="00F31A42" w:rsidR="005A2EE4" w:rsidP="005A2EE4" w:rsidRDefault="005A2EE4" w14:paraId="339D01CC" w14:textId="1D3E7DC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295AC235" w14:textId="53208D7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35 029, nr. 13</w:t>
            </w:r>
          </w:p>
        </w:tc>
      </w:tr>
      <w:tr w:rsidRPr="00F31A42" w:rsidR="005A2EE4" w:rsidTr="005A2EE4" w14:paraId="18AFB4E2" w14:textId="77777777">
        <w:tc>
          <w:tcPr>
            <w:tcW w:w="600" w:type="pct"/>
          </w:tcPr>
          <w:p w:rsidR="005A2EE4" w:rsidP="005A2EE4" w:rsidRDefault="005A2EE4" w14:paraId="4D31B03D" w14:textId="237A41E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35 029, nr. 18</w:t>
            </w:r>
          </w:p>
        </w:tc>
        <w:tc>
          <w:tcPr>
            <w:tcW w:w="1902" w:type="pct"/>
          </w:tcPr>
          <w:p w:rsidRPr="00024CE9" w:rsidR="005A2EE4" w:rsidP="005A2EE4" w:rsidRDefault="005A2EE4" w14:paraId="0642EA2F" w14:textId="704E1E1E">
            <w:pPr>
              <w:spacing w:line="276" w:lineRule="auto"/>
              <w:rPr>
                <w:rFonts w:cs="Arial"/>
                <w:sz w:val="16"/>
                <w:szCs w:val="16"/>
                <w:highlight w:val="yellow"/>
              </w:rPr>
            </w:pPr>
            <w:r w:rsidRPr="00A07CE9">
              <w:rPr>
                <w:rFonts w:cs="Arial"/>
                <w:sz w:val="16"/>
                <w:szCs w:val="16"/>
              </w:rPr>
              <w:t xml:space="preserve">Vrijstelling van afvalstoffenbelasting voor afzonderlijk aangeboden asbestafval van daken die t/m 2024 nog moeten worden gesaneerd (ca. 80 miljoen </w:t>
            </w:r>
            <w:r w:rsidRPr="00A07CE9">
              <w:rPr>
                <w:sz w:val="16"/>
                <w:szCs w:val="16"/>
              </w:rPr>
              <w:t>m</w:t>
            </w:r>
            <w:r w:rsidRPr="00A07CE9">
              <w:rPr>
                <w:sz w:val="16"/>
                <w:szCs w:val="16"/>
                <w:vertAlign w:val="superscript"/>
              </w:rPr>
              <w:t>2</w:t>
            </w:r>
            <w:r w:rsidRPr="00A07CE9">
              <w:rPr>
                <w:rFonts w:cs="Arial"/>
                <w:sz w:val="16"/>
                <w:szCs w:val="16"/>
              </w:rPr>
              <w:t>).</w:t>
            </w:r>
          </w:p>
        </w:tc>
        <w:tc>
          <w:tcPr>
            <w:tcW w:w="891" w:type="pct"/>
          </w:tcPr>
          <w:p w:rsidR="005A2EE4" w:rsidP="005A2EE4" w:rsidRDefault="005A2EE4" w14:paraId="7DC90B04" w14:textId="77777777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Stoffer</w:t>
            </w:r>
          </w:p>
          <w:p w:rsidR="005A2EE4" w:rsidP="005A2EE4" w:rsidRDefault="005A2EE4" w14:paraId="544B1A2D" w14:textId="77777777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Omtzigt</w:t>
            </w:r>
          </w:p>
          <w:p w:rsidRPr="00F31A42" w:rsidR="005A2EE4" w:rsidP="005A2EE4" w:rsidRDefault="005A2EE4" w14:paraId="501EAE44" w14:textId="6028C25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Ziengs</w:t>
            </w:r>
          </w:p>
        </w:tc>
        <w:tc>
          <w:tcPr>
            <w:tcW w:w="879" w:type="pct"/>
          </w:tcPr>
          <w:p w:rsidRPr="00024CE9" w:rsidR="005A2EE4" w:rsidP="005A2EE4" w:rsidRDefault="005A2EE4" w14:paraId="44105273" w14:textId="45346305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A07CE9">
              <w:rPr>
                <w:sz w:val="16"/>
                <w:szCs w:val="16"/>
              </w:rPr>
              <w:t>Oordeel Kamer</w:t>
            </w:r>
          </w:p>
        </w:tc>
        <w:tc>
          <w:tcPr>
            <w:tcW w:w="728" w:type="pct"/>
          </w:tcPr>
          <w:p w:rsidR="005A2EE4" w:rsidP="005A2EE4" w:rsidRDefault="005A2EE4" w14:paraId="4137E742" w14:textId="23F09EC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35 029, nr. 16</w:t>
            </w:r>
          </w:p>
        </w:tc>
      </w:tr>
      <w:tr w:rsidRPr="00F31A42" w:rsidR="005A2EE4" w:rsidTr="005A2EE4" w14:paraId="266DCDC7" w14:textId="77777777">
        <w:tc>
          <w:tcPr>
            <w:tcW w:w="600" w:type="pct"/>
          </w:tcPr>
          <w:p w:rsidR="005A2EE4" w:rsidP="005A2EE4" w:rsidRDefault="005A2EE4" w14:paraId="51E05AD1" w14:textId="7DE70A1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35 029, nr. 19</w:t>
            </w:r>
          </w:p>
        </w:tc>
        <w:tc>
          <w:tcPr>
            <w:tcW w:w="1902" w:type="pct"/>
          </w:tcPr>
          <w:p w:rsidRPr="00A07CE9" w:rsidR="005A2EE4" w:rsidP="005A2EE4" w:rsidRDefault="005A2EE4" w14:paraId="2708D84C" w14:textId="52C954AB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400DD3">
              <w:rPr>
                <w:sz w:val="16"/>
                <w:szCs w:val="16"/>
                <w:lang w:eastAsia="zh-CN" w:bidi="hi-IN"/>
              </w:rPr>
              <w:t xml:space="preserve">Het amendement beoogt de afschaffing van de BPM-teruggaafregeling voor taxi- en openbaar vervoer voertuigen </w:t>
            </w:r>
            <w:r w:rsidRPr="00E52160">
              <w:rPr>
                <w:sz w:val="16"/>
                <w:szCs w:val="16"/>
                <w:lang w:eastAsia="zh-CN" w:bidi="hi-IN"/>
              </w:rPr>
              <w:t>niet</w:t>
            </w:r>
            <w:r w:rsidRPr="00400DD3">
              <w:rPr>
                <w:sz w:val="16"/>
                <w:szCs w:val="16"/>
                <w:lang w:eastAsia="zh-CN" w:bidi="hi-IN"/>
              </w:rPr>
              <w:t xml:space="preserve"> te laten doorgaan.</w:t>
            </w:r>
          </w:p>
        </w:tc>
        <w:tc>
          <w:tcPr>
            <w:tcW w:w="891" w:type="pct"/>
          </w:tcPr>
          <w:p w:rsidRPr="00400DD3" w:rsidR="005A2EE4" w:rsidP="005A2EE4" w:rsidRDefault="005A2EE4" w14:paraId="10C20CB9" w14:textId="77777777">
            <w:pPr>
              <w:spacing w:line="276" w:lineRule="auto"/>
              <w:rPr>
                <w:sz w:val="16"/>
                <w:szCs w:val="16"/>
              </w:rPr>
            </w:pPr>
            <w:r w:rsidRPr="00400DD3">
              <w:rPr>
                <w:sz w:val="16"/>
                <w:szCs w:val="16"/>
              </w:rPr>
              <w:t xml:space="preserve">Leijten </w:t>
            </w:r>
          </w:p>
          <w:p w:rsidR="005A2EE4" w:rsidP="005A2EE4" w:rsidRDefault="005A042B" w14:paraId="195EA352" w14:textId="69ECC007">
            <w:pPr>
              <w:spacing w:line="276" w:lineRule="auto"/>
              <w:rPr>
                <w:sz w:val="16"/>
              </w:rPr>
            </w:pPr>
            <w:proofErr w:type="spellStart"/>
            <w:r w:rsidRPr="008D63C3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>ç</w:t>
            </w:r>
            <w:r w:rsidRPr="008D63C3">
              <w:rPr>
                <w:sz w:val="16"/>
                <w:szCs w:val="16"/>
              </w:rPr>
              <w:t>in</w:t>
            </w:r>
            <w:proofErr w:type="spellEnd"/>
          </w:p>
        </w:tc>
        <w:tc>
          <w:tcPr>
            <w:tcW w:w="879" w:type="pct"/>
          </w:tcPr>
          <w:p w:rsidRPr="00A07CE9" w:rsidR="005A2EE4" w:rsidP="005A2EE4" w:rsidRDefault="005A2EE4" w14:paraId="5EAC2DBF" w14:textId="5B5D0D7B">
            <w:pPr>
              <w:spacing w:line="276" w:lineRule="auto"/>
              <w:rPr>
                <w:sz w:val="16"/>
                <w:szCs w:val="16"/>
              </w:rPr>
            </w:pPr>
            <w:r w:rsidRPr="00400DD3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="005A2EE4" w:rsidP="005A2EE4" w:rsidRDefault="005A2EE4" w14:paraId="0E63D1A1" w14:textId="448EB2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Vervangt 35 029, nr. 17</w:t>
            </w:r>
          </w:p>
        </w:tc>
      </w:tr>
      <w:tr w:rsidRPr="00F31A42" w:rsidR="005A2EE4" w:rsidTr="005A2EE4" w14:paraId="1957613C" w14:textId="77777777">
        <w:tc>
          <w:tcPr>
            <w:tcW w:w="600" w:type="pct"/>
          </w:tcPr>
          <w:p w:rsidRPr="001A38F1" w:rsidR="005A2EE4" w:rsidP="005A2EE4" w:rsidRDefault="005A2EE4" w14:paraId="0251CB35" w14:textId="6E913E41">
            <w:pPr>
              <w:spacing w:line="276" w:lineRule="auto"/>
              <w:rPr>
                <w:b/>
                <w:sz w:val="16"/>
                <w:szCs w:val="16"/>
              </w:rPr>
            </w:pPr>
            <w:r w:rsidRPr="001A38F1">
              <w:rPr>
                <w:b/>
                <w:sz w:val="16"/>
                <w:szCs w:val="16"/>
              </w:rPr>
              <w:t>35 030, nr. 5</w:t>
            </w:r>
          </w:p>
        </w:tc>
        <w:tc>
          <w:tcPr>
            <w:tcW w:w="1902" w:type="pct"/>
          </w:tcPr>
          <w:p w:rsidRPr="001A38F1" w:rsidR="005A2EE4" w:rsidP="005A2EE4" w:rsidRDefault="005A2EE4" w14:paraId="16ED5E56" w14:textId="17580978">
            <w:pPr>
              <w:spacing w:line="276" w:lineRule="auto"/>
              <w:rPr>
                <w:sz w:val="16"/>
                <w:szCs w:val="16"/>
                <w:highlight w:val="yellow"/>
              </w:rPr>
            </w:pPr>
            <w:r w:rsidRPr="001A38F1">
              <w:rPr>
                <w:rFonts w:cs="Arial"/>
                <w:sz w:val="16"/>
                <w:szCs w:val="16"/>
              </w:rPr>
              <w:t xml:space="preserve">Het opnemen van een uitzondering voor woningbouwcorporaties in de </w:t>
            </w:r>
            <w:proofErr w:type="spellStart"/>
            <w:r w:rsidRPr="001A38F1">
              <w:rPr>
                <w:rFonts w:cs="Arial"/>
                <w:sz w:val="16"/>
                <w:szCs w:val="16"/>
              </w:rPr>
              <w:t>earningsstrippingmaatregel</w:t>
            </w:r>
            <w:proofErr w:type="spellEnd"/>
            <w:r w:rsidRPr="001A38F1">
              <w:rPr>
                <w:rFonts w:cs="Arial"/>
                <w:sz w:val="16"/>
                <w:szCs w:val="16"/>
              </w:rPr>
              <w:t xml:space="preserve"> uit ATAD1.</w:t>
            </w:r>
          </w:p>
        </w:tc>
        <w:tc>
          <w:tcPr>
            <w:tcW w:w="891" w:type="pct"/>
          </w:tcPr>
          <w:p w:rsidRPr="00F31A42" w:rsidR="005A2EE4" w:rsidP="005A2EE4" w:rsidRDefault="005A2EE4" w14:paraId="66EF1587" w14:textId="7777777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Beckerman</w:t>
            </w:r>
          </w:p>
          <w:p w:rsidRPr="00F31A42" w:rsidR="005A2EE4" w:rsidP="005A2EE4" w:rsidRDefault="005A2EE4" w14:paraId="2B48D7EC" w14:textId="73082EF7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F31A42" w:rsidR="005A2EE4" w:rsidP="005A2EE4" w:rsidRDefault="005A2EE4" w14:paraId="24903893" w14:textId="66439841">
            <w:pPr>
              <w:spacing w:line="276" w:lineRule="auto"/>
              <w:rPr>
                <w:sz w:val="16"/>
                <w:szCs w:val="16"/>
              </w:rPr>
            </w:pPr>
            <w:r w:rsidRPr="001A38F1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4BD72FF3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1CF0A8EC" w14:textId="77777777">
        <w:tc>
          <w:tcPr>
            <w:tcW w:w="600" w:type="pct"/>
          </w:tcPr>
          <w:p w:rsidRPr="00F31A42" w:rsidR="005A2EE4" w:rsidP="005A2EE4" w:rsidRDefault="005A2EE4" w14:paraId="4839FA1C" w14:textId="3530B60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35 030, nr. 10</w:t>
            </w:r>
          </w:p>
        </w:tc>
        <w:tc>
          <w:tcPr>
            <w:tcW w:w="1902" w:type="pct"/>
          </w:tcPr>
          <w:p w:rsidRPr="00F31A42" w:rsidR="005A2EE4" w:rsidP="005A2EE4" w:rsidRDefault="005A2EE4" w14:paraId="733CF0AA" w14:textId="1DA0714E">
            <w:pPr>
              <w:spacing w:line="276" w:lineRule="auto"/>
              <w:rPr>
                <w:sz w:val="16"/>
                <w:szCs w:val="16"/>
              </w:rPr>
            </w:pPr>
            <w:r w:rsidRPr="00942035">
              <w:rPr>
                <w:sz w:val="16"/>
                <w:szCs w:val="16"/>
              </w:rPr>
              <w:t>Het voorgestelde tarief van 7% bij de beoordeling of sprake is van een laagbelastende staat wordt verhoo</w:t>
            </w:r>
            <w:r>
              <w:rPr>
                <w:sz w:val="16"/>
                <w:szCs w:val="16"/>
              </w:rPr>
              <w:t>gd</w:t>
            </w:r>
            <w:r w:rsidRPr="00942035">
              <w:rPr>
                <w:sz w:val="16"/>
                <w:szCs w:val="16"/>
              </w:rPr>
              <w:t xml:space="preserve"> naar 9%.</w:t>
            </w:r>
          </w:p>
        </w:tc>
        <w:tc>
          <w:tcPr>
            <w:tcW w:w="891" w:type="pct"/>
          </w:tcPr>
          <w:p w:rsidRPr="00942035" w:rsidR="005A2EE4" w:rsidP="005A2EE4" w:rsidRDefault="005A2EE4" w14:paraId="0D56C98F" w14:textId="77777777">
            <w:pPr>
              <w:rPr>
                <w:sz w:val="16"/>
              </w:rPr>
            </w:pPr>
            <w:r w:rsidRPr="00942035">
              <w:rPr>
                <w:sz w:val="16"/>
              </w:rPr>
              <w:t>Van Weyenberg</w:t>
            </w:r>
          </w:p>
          <w:p w:rsidRPr="00942035" w:rsidR="005A2EE4" w:rsidP="005A2EE4" w:rsidRDefault="005A2EE4" w14:paraId="557F1C3C" w14:textId="77777777">
            <w:pPr>
              <w:rPr>
                <w:sz w:val="16"/>
              </w:rPr>
            </w:pPr>
            <w:r w:rsidRPr="00942035">
              <w:rPr>
                <w:sz w:val="16"/>
              </w:rPr>
              <w:t>Omtzigt</w:t>
            </w:r>
          </w:p>
          <w:p w:rsidRPr="00942035" w:rsidR="005A2EE4" w:rsidP="005A2EE4" w:rsidRDefault="005A2EE4" w14:paraId="086B06DD" w14:textId="77777777">
            <w:pPr>
              <w:rPr>
                <w:sz w:val="16"/>
              </w:rPr>
            </w:pPr>
            <w:r w:rsidRPr="00942035">
              <w:rPr>
                <w:sz w:val="16"/>
              </w:rPr>
              <w:t>Bruins</w:t>
            </w:r>
          </w:p>
          <w:p w:rsidRPr="00942035" w:rsidR="005A2EE4" w:rsidP="005A2EE4" w:rsidRDefault="005A2EE4" w14:paraId="03E9AA90" w14:textId="4C461E81">
            <w:r w:rsidRPr="00942035">
              <w:rPr>
                <w:sz w:val="16"/>
              </w:rPr>
              <w:t>Snels</w:t>
            </w:r>
          </w:p>
        </w:tc>
        <w:tc>
          <w:tcPr>
            <w:tcW w:w="879" w:type="pct"/>
          </w:tcPr>
          <w:p w:rsidRPr="00F31A42" w:rsidR="005A2EE4" w:rsidP="005A2EE4" w:rsidRDefault="005A2EE4" w14:paraId="36411315" w14:textId="7FEB2A8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Oordeel Kamer</w:t>
            </w:r>
          </w:p>
        </w:tc>
        <w:tc>
          <w:tcPr>
            <w:tcW w:w="728" w:type="pct"/>
          </w:tcPr>
          <w:p w:rsidRPr="00F31A42" w:rsidR="005A2EE4" w:rsidP="005A2EE4" w:rsidRDefault="005A2EE4" w14:paraId="7985CC04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5FD3EE60" w14:textId="77777777">
        <w:tc>
          <w:tcPr>
            <w:tcW w:w="600" w:type="pct"/>
          </w:tcPr>
          <w:p w:rsidRPr="00F31A42" w:rsidR="005A2EE4" w:rsidP="005A2EE4" w:rsidRDefault="005A2EE4" w14:paraId="578D15C3" w14:textId="6D82D5F5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35 030, nr. 12</w:t>
            </w:r>
          </w:p>
        </w:tc>
        <w:tc>
          <w:tcPr>
            <w:tcW w:w="1902" w:type="pct"/>
          </w:tcPr>
          <w:p w:rsidRPr="00B638AA" w:rsidR="005A2EE4" w:rsidP="005A2EE4" w:rsidRDefault="005A2EE4" w14:paraId="5A88C43D" w14:textId="630AE0CB">
            <w:pPr>
              <w:spacing w:line="276" w:lineRule="auto"/>
              <w:rPr>
                <w:sz w:val="16"/>
                <w:szCs w:val="16"/>
              </w:rPr>
            </w:pPr>
            <w:r w:rsidRPr="00B638AA">
              <w:rPr>
                <w:rFonts w:cs="Arial"/>
                <w:sz w:val="16"/>
                <w:szCs w:val="16"/>
              </w:rPr>
              <w:t xml:space="preserve">Dit amendement verruimt het toepassingsbereik van de aanvullende CFC-maatregel door de uitzondering voor </w:t>
            </w:r>
            <w:proofErr w:type="spellStart"/>
            <w:r w:rsidRPr="00B638AA">
              <w:rPr>
                <w:rFonts w:cs="Arial"/>
                <w:sz w:val="16"/>
                <w:szCs w:val="16"/>
              </w:rPr>
              <w:t>CFCs</w:t>
            </w:r>
            <w:proofErr w:type="spellEnd"/>
            <w:r w:rsidRPr="00B638AA">
              <w:rPr>
                <w:rFonts w:cs="Arial"/>
                <w:sz w:val="16"/>
                <w:szCs w:val="16"/>
              </w:rPr>
              <w:t xml:space="preserve"> met ‘wezenlijke economische activiteiten’ te laten vervallen.</w:t>
            </w:r>
          </w:p>
        </w:tc>
        <w:tc>
          <w:tcPr>
            <w:tcW w:w="891" w:type="pct"/>
          </w:tcPr>
          <w:p w:rsidRPr="00F31A42" w:rsidR="005A2EE4" w:rsidP="005A2EE4" w:rsidRDefault="005A2EE4" w14:paraId="4BDD2F4D" w14:textId="51023F72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F31A42" w:rsidR="005A2EE4" w:rsidP="005A2EE4" w:rsidRDefault="005A2EE4" w14:paraId="7F6C8053" w14:textId="7DBECA62">
            <w:pPr>
              <w:spacing w:line="276" w:lineRule="auto"/>
              <w:rPr>
                <w:sz w:val="16"/>
                <w:szCs w:val="16"/>
              </w:rPr>
            </w:pPr>
            <w:r w:rsidRPr="001A38F1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0083EAD0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1B2234EA" w14:textId="77777777">
        <w:tc>
          <w:tcPr>
            <w:tcW w:w="600" w:type="pct"/>
          </w:tcPr>
          <w:p w:rsidRPr="00B638AA" w:rsidR="005A2EE4" w:rsidP="005A2EE4" w:rsidRDefault="005A2EE4" w14:paraId="606CB749" w14:textId="79398EF7">
            <w:pPr>
              <w:spacing w:line="276" w:lineRule="auto"/>
              <w:rPr>
                <w:b/>
                <w:sz w:val="16"/>
                <w:szCs w:val="16"/>
              </w:rPr>
            </w:pPr>
            <w:r w:rsidRPr="00B638AA">
              <w:rPr>
                <w:b/>
                <w:sz w:val="16"/>
                <w:szCs w:val="16"/>
              </w:rPr>
              <w:t>35 030, nr. 13</w:t>
            </w:r>
          </w:p>
        </w:tc>
        <w:tc>
          <w:tcPr>
            <w:tcW w:w="1902" w:type="pct"/>
          </w:tcPr>
          <w:p w:rsidRPr="00B638AA" w:rsidR="005A2EE4" w:rsidP="005A2EE4" w:rsidRDefault="005A2EE4" w14:paraId="45C04BBA" w14:textId="6E890ADC">
            <w:pPr>
              <w:rPr>
                <w:rFonts w:cs="Arial"/>
                <w:sz w:val="16"/>
                <w:szCs w:val="16"/>
              </w:rPr>
            </w:pPr>
            <w:r w:rsidRPr="00B638AA">
              <w:rPr>
                <w:rFonts w:cs="Arial"/>
                <w:sz w:val="16"/>
                <w:szCs w:val="16"/>
              </w:rPr>
              <w:t xml:space="preserve">De </w:t>
            </w:r>
            <w:proofErr w:type="spellStart"/>
            <w:r w:rsidRPr="00B638AA">
              <w:rPr>
                <w:rFonts w:cs="Arial"/>
                <w:sz w:val="16"/>
                <w:szCs w:val="16"/>
              </w:rPr>
              <w:t>earningsstrippingmaatregel</w:t>
            </w:r>
            <w:proofErr w:type="spellEnd"/>
            <w:r w:rsidRPr="00B638AA">
              <w:rPr>
                <w:rFonts w:cs="Arial"/>
                <w:sz w:val="16"/>
                <w:szCs w:val="16"/>
              </w:rPr>
              <w:t xml:space="preserve"> beperkt de aftrekbaarheid van het saldo aan rente tot 30% van de fiscale EBITDA. Met dit amendement wordt dit </w:t>
            </w:r>
            <w:r w:rsidRPr="00B638AA">
              <w:rPr>
                <w:rFonts w:cs="Arial"/>
                <w:sz w:val="16"/>
                <w:szCs w:val="16"/>
              </w:rPr>
              <w:lastRenderedPageBreak/>
              <w:t>percentage verlaagd van 30% tot 10%, waardoor minder rente aftrekbaar is.</w:t>
            </w:r>
          </w:p>
        </w:tc>
        <w:tc>
          <w:tcPr>
            <w:tcW w:w="891" w:type="pct"/>
          </w:tcPr>
          <w:p w:rsidRPr="00F31A42" w:rsidR="005A2EE4" w:rsidP="005A2EE4" w:rsidRDefault="005A2EE4" w14:paraId="7D260119" w14:textId="30AE0E1B">
            <w:pPr>
              <w:spacing w:line="276" w:lineRule="auto"/>
              <w:rPr>
                <w:sz w:val="16"/>
                <w:szCs w:val="16"/>
              </w:rPr>
            </w:pPr>
            <w:r w:rsidRPr="00F31A42">
              <w:rPr>
                <w:sz w:val="16"/>
                <w:szCs w:val="16"/>
              </w:rPr>
              <w:lastRenderedPageBreak/>
              <w:t>Leijten</w:t>
            </w:r>
          </w:p>
        </w:tc>
        <w:tc>
          <w:tcPr>
            <w:tcW w:w="879" w:type="pct"/>
          </w:tcPr>
          <w:p w:rsidRPr="00F31A42" w:rsidR="005A2EE4" w:rsidP="005A2EE4" w:rsidRDefault="005A2EE4" w14:paraId="360516D1" w14:textId="048A9C8F">
            <w:pPr>
              <w:spacing w:line="276" w:lineRule="auto"/>
              <w:rPr>
                <w:sz w:val="16"/>
                <w:szCs w:val="16"/>
              </w:rPr>
            </w:pPr>
            <w:r w:rsidRPr="001A38F1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7C4917C7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0634E8A6" w14:textId="77777777">
        <w:tc>
          <w:tcPr>
            <w:tcW w:w="600" w:type="pct"/>
          </w:tcPr>
          <w:p w:rsidRPr="007E00C0" w:rsidR="005A2EE4" w:rsidP="005A2EE4" w:rsidRDefault="005A2EE4" w14:paraId="0A54C629" w14:textId="4592B95B">
            <w:pPr>
              <w:spacing w:line="276" w:lineRule="auto"/>
              <w:rPr>
                <w:b/>
                <w:sz w:val="16"/>
                <w:szCs w:val="16"/>
              </w:rPr>
            </w:pPr>
            <w:r w:rsidRPr="007E00C0">
              <w:rPr>
                <w:b/>
                <w:sz w:val="16"/>
                <w:szCs w:val="16"/>
              </w:rPr>
              <w:t>35 030, nr. 15</w:t>
            </w:r>
          </w:p>
        </w:tc>
        <w:tc>
          <w:tcPr>
            <w:tcW w:w="1902" w:type="pct"/>
          </w:tcPr>
          <w:p w:rsidRPr="007E00C0" w:rsidR="005A2EE4" w:rsidP="005A2EE4" w:rsidRDefault="005A2EE4" w14:paraId="7142BB81" w14:textId="7998784D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rFonts w:cs="Arial"/>
                <w:sz w:val="16"/>
                <w:szCs w:val="16"/>
              </w:rPr>
              <w:t>Het tarief van 7% bij de beoordeling of sprake is van een laagbelastende staat te verhogen naar 10%.</w:t>
            </w:r>
          </w:p>
        </w:tc>
        <w:tc>
          <w:tcPr>
            <w:tcW w:w="891" w:type="pct"/>
          </w:tcPr>
          <w:p w:rsidR="005A2EE4" w:rsidP="005A2EE4" w:rsidRDefault="005A2EE4" w14:paraId="1E8BDDA5" w14:textId="7777777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Nijboer</w:t>
            </w:r>
          </w:p>
          <w:p w:rsidRPr="00F31A42" w:rsidR="005A2EE4" w:rsidP="005A2EE4" w:rsidRDefault="005A2EE4" w14:paraId="28202EF0" w14:textId="3643809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Leijten</w:t>
            </w:r>
          </w:p>
        </w:tc>
        <w:tc>
          <w:tcPr>
            <w:tcW w:w="879" w:type="pct"/>
          </w:tcPr>
          <w:p w:rsidRPr="00F31A42" w:rsidR="005A2EE4" w:rsidP="005A2EE4" w:rsidRDefault="005A2EE4" w14:paraId="75B57664" w14:textId="1627790B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F31A42" w:rsidR="005A2EE4" w:rsidP="005A2EE4" w:rsidRDefault="005A2EE4" w14:paraId="4D8BC5ED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F31A42" w:rsidR="005A2EE4" w:rsidTr="005A2EE4" w14:paraId="0A7972B8" w14:textId="77777777">
        <w:tc>
          <w:tcPr>
            <w:tcW w:w="600" w:type="pct"/>
          </w:tcPr>
          <w:p w:rsidRPr="007E00C0" w:rsidR="005A2EE4" w:rsidP="005A2EE4" w:rsidRDefault="005A2EE4" w14:paraId="55B56294" w14:textId="0735A304">
            <w:pPr>
              <w:spacing w:line="276" w:lineRule="auto"/>
              <w:rPr>
                <w:b/>
                <w:sz w:val="16"/>
                <w:szCs w:val="16"/>
              </w:rPr>
            </w:pPr>
            <w:r w:rsidRPr="007E00C0">
              <w:rPr>
                <w:b/>
                <w:sz w:val="16"/>
                <w:szCs w:val="16"/>
              </w:rPr>
              <w:t>35 030, nr. 17</w:t>
            </w:r>
          </w:p>
        </w:tc>
        <w:tc>
          <w:tcPr>
            <w:tcW w:w="1902" w:type="pct"/>
          </w:tcPr>
          <w:p w:rsidRPr="007E00C0" w:rsidR="005A2EE4" w:rsidP="005A2EE4" w:rsidRDefault="005A2EE4" w14:paraId="2A939B03" w14:textId="1E09DB5F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7E00C0">
              <w:rPr>
                <w:rFonts w:cs="Arial"/>
                <w:sz w:val="16"/>
                <w:szCs w:val="16"/>
              </w:rPr>
              <w:t>In beginsel alle (in)directe dochters van een NL belastingplichtige aanmerken als CFC (ongeacht vestigingsland of van toepassing zijnde tarief) en is de aanvullende CFC-maatregel alleen niet van toepassing als de CFC een ‘</w:t>
            </w:r>
            <w:r w:rsidRPr="007E00C0">
              <w:rPr>
                <w:rFonts w:cs="Arial"/>
                <w:i/>
                <w:sz w:val="16"/>
                <w:szCs w:val="16"/>
              </w:rPr>
              <w:t>wezenlijke economische activiteiten</w:t>
            </w:r>
            <w:r w:rsidRPr="007E00C0">
              <w:rPr>
                <w:rFonts w:cs="Arial"/>
                <w:sz w:val="16"/>
                <w:szCs w:val="16"/>
              </w:rPr>
              <w:t>’ uitoefent.</w:t>
            </w:r>
          </w:p>
        </w:tc>
        <w:tc>
          <w:tcPr>
            <w:tcW w:w="891" w:type="pct"/>
          </w:tcPr>
          <w:p w:rsidRPr="005A042B" w:rsidR="005A2EE4" w:rsidP="005A2EE4" w:rsidRDefault="005A2EE4" w14:paraId="15126D6A" w14:textId="77777777">
            <w:pPr>
              <w:rPr>
                <w:sz w:val="16"/>
                <w:szCs w:val="16"/>
              </w:rPr>
            </w:pPr>
            <w:r w:rsidRPr="005A042B">
              <w:rPr>
                <w:sz w:val="16"/>
                <w:szCs w:val="16"/>
              </w:rPr>
              <w:t>Leijten</w:t>
            </w:r>
          </w:p>
          <w:p w:rsidRPr="005A042B" w:rsidR="005A2EE4" w:rsidP="005A2EE4" w:rsidRDefault="005A2EE4" w14:paraId="7EFC2BC2" w14:textId="77777777">
            <w:pPr>
              <w:rPr>
                <w:sz w:val="16"/>
                <w:szCs w:val="16"/>
              </w:rPr>
            </w:pPr>
            <w:r w:rsidRPr="005A042B">
              <w:rPr>
                <w:sz w:val="16"/>
                <w:szCs w:val="16"/>
              </w:rPr>
              <w:t xml:space="preserve">Snels </w:t>
            </w:r>
          </w:p>
          <w:p w:rsidR="005A2EE4" w:rsidP="005A2EE4" w:rsidRDefault="005A2EE4" w14:paraId="7BAE945C" w14:textId="2B27B0C8">
            <w:pPr>
              <w:spacing w:line="276" w:lineRule="auto"/>
              <w:rPr>
                <w:sz w:val="16"/>
                <w:szCs w:val="16"/>
              </w:rPr>
            </w:pPr>
            <w:r w:rsidRPr="005A042B">
              <w:rPr>
                <w:sz w:val="16"/>
                <w:szCs w:val="16"/>
              </w:rPr>
              <w:t>Nijboer</w:t>
            </w:r>
          </w:p>
        </w:tc>
        <w:tc>
          <w:tcPr>
            <w:tcW w:w="879" w:type="pct"/>
          </w:tcPr>
          <w:p w:rsidRPr="007E00C0" w:rsidR="005A2EE4" w:rsidP="005A2EE4" w:rsidRDefault="005A2EE4" w14:paraId="737E7831" w14:textId="0E1F3A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Ontraden</w:t>
            </w:r>
          </w:p>
        </w:tc>
        <w:tc>
          <w:tcPr>
            <w:tcW w:w="728" w:type="pct"/>
          </w:tcPr>
          <w:p w:rsidRPr="007E00C0" w:rsidR="005A2EE4" w:rsidP="005A2EE4" w:rsidRDefault="005A2EE4" w14:paraId="55D5E9DC" w14:textId="5F1914B2">
            <w:pPr>
              <w:spacing w:line="276" w:lineRule="auto"/>
              <w:rPr>
                <w:sz w:val="16"/>
                <w:szCs w:val="16"/>
              </w:rPr>
            </w:pPr>
            <w:r w:rsidRPr="007E00C0">
              <w:rPr>
                <w:sz w:val="16"/>
                <w:szCs w:val="16"/>
                <w:lang w:eastAsia="zh-CN" w:bidi="hi-IN"/>
              </w:rPr>
              <w:t>Vervangt 35 030, nr. 11</w:t>
            </w:r>
          </w:p>
        </w:tc>
      </w:tr>
    </w:tbl>
    <w:p w:rsidRPr="00F31A42" w:rsidR="001F7CE4" w:rsidP="00F31A42" w:rsidRDefault="001F7CE4" w14:paraId="16221366" w14:textId="77777777">
      <w:pPr>
        <w:spacing w:line="276" w:lineRule="auto"/>
        <w:rPr>
          <w:sz w:val="16"/>
          <w:szCs w:val="16"/>
          <w:lang w:eastAsia="zh-CN" w:bidi="hi-IN"/>
        </w:rPr>
      </w:pPr>
    </w:p>
    <w:p w:rsidRPr="00F31A42" w:rsidR="001F7CE4" w:rsidP="00F31A42" w:rsidRDefault="001F7CE4" w14:paraId="344EE5EE" w14:textId="77777777">
      <w:pPr>
        <w:spacing w:line="276" w:lineRule="auto"/>
        <w:rPr>
          <w:sz w:val="16"/>
          <w:szCs w:val="16"/>
          <w:lang w:eastAsia="zh-CN" w:bidi="hi-IN"/>
        </w:rPr>
      </w:pPr>
    </w:p>
    <w:p w:rsidRPr="00F31A42" w:rsidR="001F7CE4" w:rsidP="00F31A42" w:rsidRDefault="001F7CE4" w14:paraId="51D7A5F0" w14:textId="77777777">
      <w:pPr>
        <w:spacing w:line="276" w:lineRule="auto"/>
        <w:rPr>
          <w:sz w:val="16"/>
          <w:szCs w:val="16"/>
          <w:lang w:eastAsia="zh-CN" w:bidi="hi-IN"/>
        </w:rPr>
      </w:pPr>
    </w:p>
    <w:p w:rsidRPr="00F31A42" w:rsidR="001F7CE4" w:rsidP="00F31A42" w:rsidRDefault="001F7CE4" w14:paraId="5905D728" w14:textId="77777777">
      <w:pPr>
        <w:spacing w:after="200" w:line="276" w:lineRule="auto"/>
        <w:rPr>
          <w:b/>
          <w:sz w:val="16"/>
          <w:szCs w:val="16"/>
        </w:rPr>
      </w:pPr>
      <w:r w:rsidRPr="00F31A42">
        <w:rPr>
          <w:b/>
          <w:sz w:val="16"/>
          <w:szCs w:val="16"/>
        </w:rPr>
        <w:br w:type="page"/>
      </w:r>
    </w:p>
    <w:p w:rsidRPr="006D0706" w:rsidR="001F7CE4" w:rsidP="00F31A42" w:rsidRDefault="001F7CE4" w14:paraId="501BF3BF" w14:textId="52B10B65">
      <w:pPr>
        <w:spacing w:line="276" w:lineRule="auto"/>
        <w:rPr>
          <w:b/>
          <w:sz w:val="16"/>
          <w:szCs w:val="16"/>
        </w:rPr>
      </w:pPr>
      <w:r w:rsidRPr="006D0706">
        <w:rPr>
          <w:b/>
          <w:sz w:val="16"/>
          <w:szCs w:val="16"/>
        </w:rPr>
        <w:lastRenderedPageBreak/>
        <w:t>Overzicht oordeel moties pakket Belastingplan 201</w:t>
      </w:r>
      <w:r w:rsidRPr="006D0706" w:rsidR="00FC0E2E">
        <w:rPr>
          <w:b/>
          <w:sz w:val="16"/>
          <w:szCs w:val="16"/>
        </w:rPr>
        <w:t>9</w:t>
      </w:r>
      <w:r w:rsidRPr="006D0706">
        <w:rPr>
          <w:b/>
          <w:sz w:val="16"/>
          <w:szCs w:val="16"/>
        </w:rPr>
        <w:t xml:space="preserve"> en </w:t>
      </w:r>
      <w:r w:rsidRPr="006D0706" w:rsidR="00AB22A1">
        <w:rPr>
          <w:b/>
          <w:sz w:val="16"/>
          <w:szCs w:val="16"/>
        </w:rPr>
        <w:t xml:space="preserve">het </w:t>
      </w:r>
      <w:r w:rsidRPr="006D0706" w:rsidR="005256EA">
        <w:rPr>
          <w:b/>
          <w:sz w:val="16"/>
          <w:szCs w:val="16"/>
        </w:rPr>
        <w:t xml:space="preserve">wetsvoorstel </w:t>
      </w:r>
      <w:r w:rsidRPr="006D0706" w:rsidR="00AB22A1">
        <w:rPr>
          <w:b/>
          <w:sz w:val="16"/>
          <w:szCs w:val="16"/>
        </w:rPr>
        <w:t xml:space="preserve">Wet </w:t>
      </w:r>
      <w:r w:rsidRPr="006D0706" w:rsidR="005256EA">
        <w:rPr>
          <w:b/>
          <w:sz w:val="16"/>
          <w:szCs w:val="16"/>
        </w:rPr>
        <w:t>implementatie van de eerste EU-richtlijn antibelastingontwijking</w:t>
      </w:r>
    </w:p>
    <w:p w:rsidRPr="0099648D" w:rsidR="0099648D" w:rsidP="00F31A42" w:rsidRDefault="0099648D" w14:paraId="6D0EF2D6" w14:textId="77777777">
      <w:pPr>
        <w:spacing w:line="276" w:lineRule="auto"/>
        <w:rPr>
          <w:b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55"/>
        <w:gridCol w:w="4491"/>
        <w:gridCol w:w="1673"/>
        <w:gridCol w:w="1643"/>
      </w:tblGrid>
      <w:tr w:rsidR="00AB22A1" w:rsidTr="00AB22A1" w14:paraId="5775EB7D" w14:textId="77777777">
        <w:tc>
          <w:tcPr>
            <w:tcW w:w="1255" w:type="dxa"/>
            <w:shd w:val="clear" w:color="auto" w:fill="DDD9C3" w:themeFill="background2" w:themeFillShade="E6"/>
          </w:tcPr>
          <w:p w:rsidRPr="00641A47" w:rsidR="00AB22A1" w:rsidP="001246E6" w:rsidRDefault="00AB22A1" w14:paraId="048A7DC1" w14:textId="77777777">
            <w:pPr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4491" w:type="dxa"/>
            <w:shd w:val="clear" w:color="auto" w:fill="DDD9C3" w:themeFill="background2" w:themeFillShade="E6"/>
          </w:tcPr>
          <w:p w:rsidRPr="00641A47" w:rsidR="00AB22A1" w:rsidP="001246E6" w:rsidRDefault="00AB22A1" w14:paraId="5007018C" w14:textId="77777777">
            <w:pPr>
              <w:rPr>
                <w:b/>
              </w:rPr>
            </w:pPr>
            <w:r w:rsidRPr="00641A47">
              <w:rPr>
                <w:b/>
              </w:rPr>
              <w:t>Korte omschrijving motie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:rsidRPr="00641A47" w:rsidR="00AB22A1" w:rsidP="001246E6" w:rsidRDefault="00AB22A1" w14:paraId="37D326AF" w14:textId="77777777">
            <w:pPr>
              <w:rPr>
                <w:b/>
              </w:rPr>
            </w:pPr>
            <w:r w:rsidRPr="00641A47">
              <w:rPr>
                <w:b/>
              </w:rPr>
              <w:t>Indiener(s)</w:t>
            </w:r>
          </w:p>
        </w:tc>
        <w:tc>
          <w:tcPr>
            <w:tcW w:w="1643" w:type="dxa"/>
            <w:shd w:val="clear" w:color="auto" w:fill="DDD9C3" w:themeFill="background2" w:themeFillShade="E6"/>
          </w:tcPr>
          <w:p w:rsidRPr="00641A47" w:rsidR="00AB22A1" w:rsidP="001246E6" w:rsidRDefault="00AB22A1" w14:paraId="3A7FE4B6" w14:textId="77777777">
            <w:pPr>
              <w:rPr>
                <w:b/>
              </w:rPr>
            </w:pPr>
            <w:r w:rsidRPr="00641A47">
              <w:rPr>
                <w:b/>
              </w:rPr>
              <w:t>Oordeel</w:t>
            </w:r>
          </w:p>
        </w:tc>
      </w:tr>
      <w:tr w:rsidRPr="000379AF" w:rsidR="00AB22A1" w:rsidTr="00AB22A1" w14:paraId="05193266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61D7FE4A" w14:textId="77777777">
            <w:pPr>
              <w:rPr>
                <w:b/>
              </w:rPr>
            </w:pPr>
            <w:r w:rsidRPr="00B7551A">
              <w:rPr>
                <w:b/>
              </w:rPr>
              <w:t>35026, nr. 45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36433B98" w14:textId="77777777">
            <w:r>
              <w:t>Over terugdraaien van de btw-verhoging op boodschappen</w:t>
            </w:r>
          </w:p>
        </w:tc>
        <w:tc>
          <w:tcPr>
            <w:tcW w:w="1673" w:type="dxa"/>
            <w:shd w:val="clear" w:color="auto" w:fill="FFFFFF" w:themeFill="background1"/>
          </w:tcPr>
          <w:p w:rsidRPr="00131972" w:rsidR="00AB22A1" w:rsidP="001246E6" w:rsidRDefault="00AB22A1" w14:paraId="4C520079" w14:textId="77777777">
            <w:r>
              <w:t xml:space="preserve">Mulder </w:t>
            </w:r>
          </w:p>
        </w:tc>
        <w:tc>
          <w:tcPr>
            <w:tcW w:w="1643" w:type="dxa"/>
            <w:shd w:val="clear" w:color="auto" w:fill="FFFFFF" w:themeFill="background1"/>
          </w:tcPr>
          <w:p w:rsidRPr="00131972" w:rsidR="00AB22A1" w:rsidP="001246E6" w:rsidRDefault="00AB22A1" w14:paraId="00E8FC06" w14:textId="77777777">
            <w:r>
              <w:t>Ontraden</w:t>
            </w:r>
          </w:p>
        </w:tc>
      </w:tr>
      <w:tr w:rsidRPr="00131972" w:rsidR="00AB22A1" w:rsidTr="00AB22A1" w14:paraId="1EC3D4E5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32AF19B8" w14:textId="77777777">
            <w:pPr>
              <w:rPr>
                <w:b/>
              </w:rPr>
            </w:pPr>
            <w:r w:rsidRPr="00B7551A">
              <w:rPr>
                <w:b/>
              </w:rPr>
              <w:t>35026, nr. 46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027A82B2" w14:textId="77777777">
            <w:r>
              <w:t>Over het afschaffen van de expatregeling</w:t>
            </w:r>
          </w:p>
        </w:tc>
        <w:tc>
          <w:tcPr>
            <w:tcW w:w="1673" w:type="dxa"/>
            <w:shd w:val="clear" w:color="auto" w:fill="FFFFFF" w:themeFill="background1"/>
          </w:tcPr>
          <w:p w:rsidRPr="00131972" w:rsidR="00AB22A1" w:rsidP="001246E6" w:rsidRDefault="00AB22A1" w14:paraId="30F4887F" w14:textId="77777777">
            <w:r>
              <w:t xml:space="preserve">Mulder </w:t>
            </w:r>
          </w:p>
        </w:tc>
        <w:tc>
          <w:tcPr>
            <w:tcW w:w="1643" w:type="dxa"/>
            <w:shd w:val="clear" w:color="auto" w:fill="FFFFFF" w:themeFill="background1"/>
          </w:tcPr>
          <w:p w:rsidRPr="00131972" w:rsidR="00AB22A1" w:rsidP="001246E6" w:rsidRDefault="00AB22A1" w14:paraId="30253736" w14:textId="77777777">
            <w:r>
              <w:t>Ontraden</w:t>
            </w:r>
          </w:p>
        </w:tc>
      </w:tr>
      <w:tr w:rsidRPr="000379AF" w:rsidR="00AB22A1" w:rsidTr="00AB22A1" w14:paraId="7E854731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59CB0ED9" w14:textId="77777777">
            <w:pPr>
              <w:rPr>
                <w:b/>
              </w:rPr>
            </w:pPr>
            <w:r w:rsidRPr="00B7551A">
              <w:rPr>
                <w:b/>
              </w:rPr>
              <w:t>35026,</w:t>
            </w:r>
          </w:p>
          <w:p w:rsidRPr="00B7551A" w:rsidR="00AB22A1" w:rsidP="001246E6" w:rsidRDefault="00AB22A1" w14:paraId="5E057F1F" w14:textId="77777777">
            <w:pPr>
              <w:rPr>
                <w:b/>
              </w:rPr>
            </w:pPr>
            <w:r w:rsidRPr="00B7551A">
              <w:rPr>
                <w:b/>
              </w:rPr>
              <w:t>nr. 47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13EABA28" w14:textId="77777777">
            <w:r>
              <w:t xml:space="preserve">Over het intrekken van de ANBI-status van islamitische organisaties </w:t>
            </w:r>
          </w:p>
        </w:tc>
        <w:tc>
          <w:tcPr>
            <w:tcW w:w="1673" w:type="dxa"/>
            <w:shd w:val="clear" w:color="auto" w:fill="FFFFFF" w:themeFill="background1"/>
          </w:tcPr>
          <w:p w:rsidRPr="00131972" w:rsidR="00AB22A1" w:rsidP="001246E6" w:rsidRDefault="00AB22A1" w14:paraId="2EF4479B" w14:textId="77777777">
            <w:r>
              <w:t>Mulder</w:t>
            </w:r>
          </w:p>
        </w:tc>
        <w:tc>
          <w:tcPr>
            <w:tcW w:w="1643" w:type="dxa"/>
            <w:shd w:val="clear" w:color="auto" w:fill="FFFFFF" w:themeFill="background1"/>
          </w:tcPr>
          <w:p w:rsidRPr="00131972" w:rsidR="00AB22A1" w:rsidP="001246E6" w:rsidRDefault="00AB22A1" w14:paraId="6C6BCC30" w14:textId="77777777">
            <w:r>
              <w:t>Ontraden</w:t>
            </w:r>
          </w:p>
        </w:tc>
      </w:tr>
      <w:tr w:rsidR="00AB22A1" w:rsidTr="00AB22A1" w14:paraId="52324A20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5A092972" w14:textId="77777777">
            <w:pPr>
              <w:rPr>
                <w:b/>
              </w:rPr>
            </w:pPr>
            <w:r w:rsidRPr="00B7551A">
              <w:rPr>
                <w:b/>
              </w:rPr>
              <w:t xml:space="preserve">35026, nr. 48 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2C87E3FD" w14:textId="77777777">
            <w:r>
              <w:t>Over het onderzoeken van de mogelijkheid om de IACK zo vorm te geven dat er meer evenwicht komt tussen een- en tweeverdieners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74423820" w14:textId="77777777">
            <w:r>
              <w:t>Snels</w:t>
            </w:r>
          </w:p>
          <w:p w:rsidRPr="00641A47" w:rsidR="00AB22A1" w:rsidP="001246E6" w:rsidRDefault="00AB22A1" w14:paraId="2B700DF3" w14:textId="77777777">
            <w:r>
              <w:t>Stoffer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04D3F388" w14:textId="77777777">
            <w:r>
              <w:t>Ontraden</w:t>
            </w:r>
          </w:p>
        </w:tc>
      </w:tr>
      <w:tr w:rsidRPr="00641A47" w:rsidR="00AB22A1" w:rsidTr="00AB22A1" w14:paraId="6DE026BF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6E527D6C" w14:textId="77777777">
            <w:pPr>
              <w:rPr>
                <w:b/>
              </w:rPr>
            </w:pPr>
            <w:r w:rsidRPr="00B7551A">
              <w:rPr>
                <w:b/>
              </w:rPr>
              <w:t>35026, nr. 49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6DA2833B" w14:textId="77777777">
            <w:r>
              <w:t>Over het verzoek om het in Handboek loonheffingen naar werkgevers op te nemen welke mogelijkheden er zijn om een studietoelage te verstrekken aan de studerende kinderen van werknemers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0E9156F6" w14:textId="77777777">
            <w:r>
              <w:t>Omtzigt</w:t>
            </w:r>
          </w:p>
          <w:p w:rsidRPr="00641A47" w:rsidR="00AB22A1" w:rsidP="001246E6" w:rsidRDefault="00AB22A1" w14:paraId="78C1DDD3" w14:textId="77777777">
            <w:r>
              <w:t>Bruins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4067EC47" w14:textId="77777777">
            <w:r>
              <w:t>Oordeel Kamer</w:t>
            </w:r>
          </w:p>
        </w:tc>
      </w:tr>
      <w:tr w:rsidRPr="00641A47" w:rsidR="00AB22A1" w:rsidTr="00AB22A1" w14:paraId="504F0BF7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4B3B6E1D" w14:textId="77777777">
            <w:pPr>
              <w:rPr>
                <w:b/>
              </w:rPr>
            </w:pPr>
            <w:r w:rsidRPr="00B7551A">
              <w:rPr>
                <w:b/>
              </w:rPr>
              <w:t>35026, nr. 50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41FC2AC6" w14:textId="77777777">
            <w:r>
              <w:t>Over het verzoek om in overleg te treden met gemeenten en commerciële sportuitbaters en ze één jaar te geven om oplossingen in hun organisatie te vinden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0201B86A" w14:textId="77777777">
            <w:proofErr w:type="spellStart"/>
            <w:r>
              <w:t>Leijten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170C5CC1" w14:textId="77777777">
            <w:r>
              <w:t>Ontraden</w:t>
            </w:r>
          </w:p>
        </w:tc>
      </w:tr>
      <w:tr w:rsidRPr="00641A47" w:rsidR="00AB22A1" w:rsidTr="00AB22A1" w14:paraId="57903F9D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038AE7E3" w14:textId="77777777">
            <w:pPr>
              <w:rPr>
                <w:b/>
              </w:rPr>
            </w:pPr>
            <w:r w:rsidRPr="00B7551A">
              <w:rPr>
                <w:b/>
              </w:rPr>
              <w:t>35026, nr. 51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02EEAB30" w14:textId="77777777">
            <w:r>
              <w:t>Over het om met ingang van volgend jaar zo veel mogelijk fiscale wetten gespreid over het jaar in te dienen.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1929FB00" w14:textId="77777777">
            <w:r>
              <w:t>Nijboer</w:t>
            </w:r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7A8EE912" w14:textId="77777777">
            <w:r>
              <w:t>Oordeel Kamer</w:t>
            </w:r>
          </w:p>
        </w:tc>
      </w:tr>
      <w:tr w:rsidRPr="00641A47" w:rsidR="00AB22A1" w:rsidTr="00AB22A1" w14:paraId="45916766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53E54F6A" w14:textId="77777777">
            <w:pPr>
              <w:rPr>
                <w:b/>
              </w:rPr>
            </w:pPr>
            <w:r w:rsidRPr="00B7551A">
              <w:rPr>
                <w:b/>
              </w:rPr>
              <w:t>35026, nr. 53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1F246622" w14:textId="77777777">
            <w:r>
              <w:t>Over het verzoek om de algemene heffingskorting voor gepensioneerden en die voor werkenden gelijk te trekken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526EEAE9" w14:textId="77777777">
            <w:r>
              <w:t>Van Rooijen</w:t>
            </w:r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0436CE35" w14:textId="77777777">
            <w:r>
              <w:t>Ontraden</w:t>
            </w:r>
          </w:p>
        </w:tc>
      </w:tr>
      <w:tr w:rsidRPr="0013620D" w:rsidR="00AB22A1" w:rsidTr="00AB22A1" w14:paraId="787FC419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76388AF8" w14:textId="77777777">
            <w:pPr>
              <w:rPr>
                <w:b/>
              </w:rPr>
            </w:pPr>
            <w:r w:rsidRPr="00B7551A">
              <w:rPr>
                <w:b/>
              </w:rPr>
              <w:t xml:space="preserve">35026, </w:t>
            </w:r>
            <w:r w:rsidRPr="00B7551A">
              <w:rPr>
                <w:b/>
              </w:rPr>
              <w:br/>
              <w:t>nr. 54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723840E7" w14:textId="77777777">
            <w:r>
              <w:t>Over het verzoek om het afbouwpercentage van de ouderenkorting van 15% naar 5% te verlagen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731EE503" w14:textId="77777777">
            <w:r>
              <w:t>Van Rooijen</w:t>
            </w:r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0344911D" w14:textId="77777777">
            <w:r>
              <w:t>Ontraden</w:t>
            </w:r>
          </w:p>
        </w:tc>
      </w:tr>
      <w:tr w:rsidRPr="00641A47" w:rsidR="00AB22A1" w:rsidTr="00AB22A1" w14:paraId="5AAFBE0C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5892E69F" w14:textId="77777777">
            <w:pPr>
              <w:rPr>
                <w:b/>
                <w:highlight w:val="yellow"/>
              </w:rPr>
            </w:pPr>
            <w:r w:rsidRPr="00B7551A">
              <w:rPr>
                <w:b/>
              </w:rPr>
              <w:t xml:space="preserve">35026, </w:t>
            </w:r>
            <w:r w:rsidRPr="00B7551A">
              <w:rPr>
                <w:b/>
              </w:rPr>
              <w:br/>
              <w:t>nr. 55</w:t>
            </w:r>
          </w:p>
        </w:tc>
        <w:tc>
          <w:tcPr>
            <w:tcW w:w="4491" w:type="dxa"/>
            <w:shd w:val="clear" w:color="auto" w:fill="FFFFFF" w:themeFill="background1"/>
          </w:tcPr>
          <w:p w:rsidRPr="00700E90" w:rsidR="00AB22A1" w:rsidP="001246E6" w:rsidRDefault="00AB22A1" w14:paraId="16A65621" w14:textId="77777777">
            <w:pPr>
              <w:rPr>
                <w:highlight w:val="yellow"/>
              </w:rPr>
            </w:pPr>
            <w:r>
              <w:t xml:space="preserve">Over het verzoek </w:t>
            </w:r>
            <w:r w:rsidRPr="00D27CD0">
              <w:t>een poging te doen om in kaart te brengen hoeveel mensen bij benadering een letsels</w:t>
            </w:r>
            <w:r>
              <w:t xml:space="preserve">chadevergoeding hebben, wat het financiële beslag is op het moment dat </w:t>
            </w:r>
            <w:r w:rsidRPr="00D27CD0">
              <w:t>letselschadevergoedingen uitgezonderd worden van de vermogensbelasting en op welke wijze deze vergoedingen buiten de vermogensbelasting gehouden zouden kunnen worden en de uitvoerbaarheid van de B</w:t>
            </w:r>
            <w:r>
              <w:t>elastingdienst</w:t>
            </w:r>
            <w:r w:rsidRPr="00D27CD0">
              <w:t xml:space="preserve"> in kaart te brengen.</w:t>
            </w:r>
          </w:p>
        </w:tc>
        <w:tc>
          <w:tcPr>
            <w:tcW w:w="1673" w:type="dxa"/>
            <w:shd w:val="clear" w:color="auto" w:fill="FFFFFF" w:themeFill="background1"/>
          </w:tcPr>
          <w:p w:rsidRPr="00D27CD0" w:rsidR="00AB22A1" w:rsidP="001246E6" w:rsidRDefault="00AB22A1" w14:paraId="0642E6D7" w14:textId="77777777">
            <w:proofErr w:type="spellStart"/>
            <w:r w:rsidRPr="00D27CD0">
              <w:t>Leijten</w:t>
            </w:r>
            <w:proofErr w:type="spellEnd"/>
          </w:p>
          <w:p w:rsidRPr="00700E90" w:rsidR="00AB22A1" w:rsidP="001246E6" w:rsidRDefault="00AB22A1" w14:paraId="4F9E7815" w14:textId="77777777">
            <w:pPr>
              <w:rPr>
                <w:highlight w:val="yellow"/>
              </w:rPr>
            </w:pPr>
            <w:r w:rsidRPr="00D27CD0">
              <w:t>Lodders</w:t>
            </w:r>
          </w:p>
        </w:tc>
        <w:tc>
          <w:tcPr>
            <w:tcW w:w="1643" w:type="dxa"/>
            <w:shd w:val="clear" w:color="auto" w:fill="FFFFFF" w:themeFill="background1"/>
          </w:tcPr>
          <w:p w:rsidRPr="00700E90" w:rsidR="00AB22A1" w:rsidP="001246E6" w:rsidRDefault="00AB22A1" w14:paraId="0D719D64" w14:textId="77777777">
            <w:pPr>
              <w:rPr>
                <w:highlight w:val="yellow"/>
              </w:rPr>
            </w:pPr>
            <w:r w:rsidRPr="006D4D0C">
              <w:t>Ontraden</w:t>
            </w:r>
          </w:p>
        </w:tc>
      </w:tr>
      <w:tr w:rsidR="00AB22A1" w:rsidTr="00AB22A1" w14:paraId="13BB9F2B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231ABF75" w14:textId="77777777">
            <w:pPr>
              <w:rPr>
                <w:b/>
              </w:rPr>
            </w:pPr>
            <w:r w:rsidRPr="00B7551A">
              <w:rPr>
                <w:b/>
              </w:rPr>
              <w:t>35027, nr. 11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542FB0F6" w14:textId="77777777">
            <w:r>
              <w:t xml:space="preserve">Over het verzoek aan de regering om binnen een half jaar met </w:t>
            </w:r>
            <w:r w:rsidRPr="00641A47">
              <w:t xml:space="preserve">een voorstel te komen om zowel de registratieplicht </w:t>
            </w:r>
            <w:r>
              <w:t xml:space="preserve">te handhaven </w:t>
            </w:r>
            <w:r w:rsidRPr="00641A47">
              <w:t>als wanbetal</w:t>
            </w:r>
            <w:r>
              <w:t>ers met een buitenlands kenteken op te sporen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44A4B5D1" w14:textId="77777777">
            <w:r>
              <w:t>Omtzigt</w:t>
            </w:r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7DDFF4B4" w14:textId="77777777">
            <w:r>
              <w:t>Oordeel Kamer</w:t>
            </w:r>
          </w:p>
        </w:tc>
      </w:tr>
      <w:tr w:rsidRPr="00641A47" w:rsidR="00AB22A1" w:rsidTr="00AB22A1" w14:paraId="0F7ED7A2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1FD5FF2D" w14:textId="77777777">
            <w:pPr>
              <w:rPr>
                <w:b/>
              </w:rPr>
            </w:pPr>
            <w:r w:rsidRPr="00B7551A">
              <w:rPr>
                <w:b/>
              </w:rPr>
              <w:t>35028, nr. 32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6FAB30EB" w14:textId="77777777">
            <w:r>
              <w:t>Over het verzoek om bij bedrijven die niet aan hun wettelijke fiscale verplichtingen voldoen zo veel als mogelijk de te weinig afgedragen belasting terug te vorderen</w:t>
            </w:r>
          </w:p>
        </w:tc>
        <w:tc>
          <w:tcPr>
            <w:tcW w:w="1673" w:type="dxa"/>
            <w:shd w:val="clear" w:color="auto" w:fill="FFFFFF" w:themeFill="background1"/>
          </w:tcPr>
          <w:p w:rsidRPr="00641A47" w:rsidR="00AB22A1" w:rsidP="001246E6" w:rsidRDefault="00AB22A1" w14:paraId="1580A3D4" w14:textId="77777777">
            <w:r>
              <w:t xml:space="preserve">Van </w:t>
            </w:r>
            <w:proofErr w:type="spellStart"/>
            <w:r>
              <w:t>Raan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0319CA9F" w14:textId="77777777">
            <w:r>
              <w:t>Ontraden</w:t>
            </w:r>
          </w:p>
        </w:tc>
      </w:tr>
      <w:tr w:rsidRPr="0099717C" w:rsidR="00AB22A1" w:rsidTr="00AB22A1" w14:paraId="0C404157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1023193B" w14:textId="77777777">
            <w:pPr>
              <w:rPr>
                <w:b/>
              </w:rPr>
            </w:pPr>
            <w:r w:rsidRPr="00B7551A">
              <w:rPr>
                <w:b/>
              </w:rPr>
              <w:t xml:space="preserve">35029, </w:t>
            </w:r>
            <w:r w:rsidRPr="00B7551A">
              <w:rPr>
                <w:b/>
              </w:rPr>
              <w:br/>
              <w:t>nr. 20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2D8B9978" w14:textId="77777777">
            <w:r>
              <w:t xml:space="preserve">Over het ontwikkelen van een voorstel waarmee zonnepanelen buiten de OZB gehouden worden en het onderzoeken hoe vormen van verduurzaming in de toekomst </w:t>
            </w:r>
            <w:r>
              <w:lastRenderedPageBreak/>
              <w:t>niet ontmoedigd worden door middel van hogere lokale lasten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5F8B4A70" w14:textId="77777777">
            <w:r w:rsidRPr="00641A47">
              <w:lastRenderedPageBreak/>
              <w:t>Lodders</w:t>
            </w:r>
          </w:p>
          <w:p w:rsidRPr="00641A47" w:rsidR="00AB22A1" w:rsidP="001246E6" w:rsidRDefault="00AB22A1" w14:paraId="7DB38D37" w14:textId="77777777">
            <w:r>
              <w:t>Van Weyenberg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6C3D71B6" w14:textId="77777777">
            <w:r w:rsidRPr="00641A47">
              <w:t>Oordeel Kamer</w:t>
            </w:r>
          </w:p>
        </w:tc>
      </w:tr>
      <w:tr w:rsidRPr="00641A47" w:rsidR="00AB22A1" w:rsidTr="00AB22A1" w14:paraId="2859E918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18176194" w14:textId="77777777">
            <w:pPr>
              <w:rPr>
                <w:b/>
              </w:rPr>
            </w:pPr>
            <w:r w:rsidRPr="00B7551A">
              <w:rPr>
                <w:b/>
              </w:rPr>
              <w:t>35029, nr. 21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54071C5E" w14:textId="77777777">
            <w:r>
              <w:t>Over het verzoek om de afschaffing van de teruggaafregeling in de bpm bij autobrief III of later opnieuw aan de uw Kamer aan te bieden.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2FD8256E" w14:textId="77777777">
            <w:proofErr w:type="spellStart"/>
            <w:r>
              <w:t>Leijten</w:t>
            </w:r>
            <w:proofErr w:type="spellEnd"/>
          </w:p>
          <w:p w:rsidR="00AB22A1" w:rsidP="001246E6" w:rsidRDefault="00AB22A1" w14:paraId="1220BA4A" w14:textId="77777777">
            <w:proofErr w:type="spellStart"/>
            <w:r>
              <w:t>Laçin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0C976DBF" w14:textId="77777777">
            <w:r>
              <w:t>Ontraden</w:t>
            </w:r>
          </w:p>
        </w:tc>
      </w:tr>
      <w:tr w:rsidRPr="00641A47" w:rsidR="00AB22A1" w:rsidTr="00AB22A1" w14:paraId="2A1C8662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1C4FF3BF" w14:textId="77777777">
            <w:pPr>
              <w:rPr>
                <w:b/>
              </w:rPr>
            </w:pPr>
            <w:r w:rsidRPr="00B7551A">
              <w:rPr>
                <w:b/>
              </w:rPr>
              <w:t>35029, nr. 22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42469870" w14:textId="77777777">
            <w:r>
              <w:t>Over het monitoren van de beschikbaarheid van zeer zuinige of emissievrije voertuigen in het zorg- en doelgroepenvervoer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2952E76A" w14:textId="77777777">
            <w:r>
              <w:t>Van Weyenberg</w:t>
            </w:r>
          </w:p>
          <w:p w:rsidR="00AB22A1" w:rsidP="001246E6" w:rsidRDefault="00AB22A1" w14:paraId="6C84A878" w14:textId="77777777">
            <w:r>
              <w:t>Lodders</w:t>
            </w:r>
          </w:p>
          <w:p w:rsidR="00AB22A1" w:rsidP="001246E6" w:rsidRDefault="00AB22A1" w14:paraId="383FF111" w14:textId="77777777">
            <w:r>
              <w:t>Omtzigt</w:t>
            </w:r>
          </w:p>
          <w:p w:rsidR="00AB22A1" w:rsidP="001246E6" w:rsidRDefault="00AB22A1" w14:paraId="080FDB31" w14:textId="77777777">
            <w:r>
              <w:t>Bruins</w:t>
            </w:r>
          </w:p>
          <w:p w:rsidR="00AB22A1" w:rsidP="001246E6" w:rsidRDefault="00AB22A1" w14:paraId="63589B40" w14:textId="77777777">
            <w:r>
              <w:t>Snels</w:t>
            </w:r>
          </w:p>
          <w:p w:rsidR="00AB22A1" w:rsidP="001246E6" w:rsidRDefault="00AB22A1" w14:paraId="5948C5C8" w14:textId="77777777">
            <w:r>
              <w:t>Nijboer</w:t>
            </w:r>
          </w:p>
          <w:p w:rsidR="00AB22A1" w:rsidP="001246E6" w:rsidRDefault="00AB22A1" w14:paraId="57D87A33" w14:textId="77777777">
            <w:r>
              <w:t>Stoffer</w:t>
            </w:r>
          </w:p>
          <w:p w:rsidR="00AB22A1" w:rsidP="001246E6" w:rsidRDefault="00AB22A1" w14:paraId="26D4C9A0" w14:textId="77777777">
            <w:r>
              <w:t>Azarkan</w:t>
            </w:r>
          </w:p>
          <w:p w:rsidR="00AB22A1" w:rsidP="001246E6" w:rsidRDefault="00AB22A1" w14:paraId="4C47C376" w14:textId="77777777">
            <w:r>
              <w:t>Van Rooijen</w:t>
            </w:r>
          </w:p>
          <w:p w:rsidRPr="00641A47" w:rsidR="00AB22A1" w:rsidP="001246E6" w:rsidRDefault="00AB22A1" w14:paraId="78225284" w14:textId="77777777">
            <w:r>
              <w:t xml:space="preserve">Van </w:t>
            </w:r>
            <w:proofErr w:type="spellStart"/>
            <w:r>
              <w:t>Raan</w:t>
            </w:r>
            <w:proofErr w:type="spellEnd"/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57C48B30" w14:textId="77777777">
            <w:r>
              <w:t>Oordeel Kamer</w:t>
            </w:r>
          </w:p>
        </w:tc>
      </w:tr>
      <w:tr w:rsidR="00AB22A1" w:rsidTr="00AB22A1" w14:paraId="1DD0859A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235C1E31" w14:textId="77777777">
            <w:pPr>
              <w:rPr>
                <w:b/>
              </w:rPr>
            </w:pPr>
            <w:r w:rsidRPr="00B7551A">
              <w:rPr>
                <w:b/>
              </w:rPr>
              <w:t>35030, nr. 18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1FFF074F" w14:textId="77777777">
            <w:r>
              <w:t>Over het monitoren en evalueren van de effecten van de maatregelen van ATAD1 en hierover uiterlijk in 2024 aan uw Kamer te rapporteren</w:t>
            </w:r>
          </w:p>
        </w:tc>
        <w:tc>
          <w:tcPr>
            <w:tcW w:w="1673" w:type="dxa"/>
            <w:shd w:val="clear" w:color="auto" w:fill="FFFFFF" w:themeFill="background1"/>
          </w:tcPr>
          <w:p w:rsidRPr="00641A47" w:rsidR="00AB22A1" w:rsidP="001246E6" w:rsidRDefault="00AB22A1" w14:paraId="15C81C72" w14:textId="77777777">
            <w:r>
              <w:t>Lodders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38F8047A" w14:textId="77777777">
            <w:r>
              <w:t>Oordeel Kamer</w:t>
            </w:r>
          </w:p>
        </w:tc>
      </w:tr>
      <w:tr w:rsidRPr="00641A47" w:rsidR="00AB22A1" w:rsidTr="00AB22A1" w14:paraId="7D96201C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63A23125" w14:textId="77777777">
            <w:pPr>
              <w:rPr>
                <w:b/>
              </w:rPr>
            </w:pPr>
            <w:r w:rsidRPr="00B7551A">
              <w:rPr>
                <w:b/>
              </w:rPr>
              <w:t>35030, nr. 19</w:t>
            </w:r>
          </w:p>
        </w:tc>
        <w:tc>
          <w:tcPr>
            <w:tcW w:w="4491" w:type="dxa"/>
            <w:shd w:val="clear" w:color="auto" w:fill="FFFFFF" w:themeFill="background1"/>
          </w:tcPr>
          <w:p w:rsidRPr="00B240FF" w:rsidR="00AB22A1" w:rsidP="001246E6" w:rsidRDefault="00AB22A1" w14:paraId="60444E3A" w14:textId="77777777">
            <w:r>
              <w:t xml:space="preserve">Over het verzoek om een vervolgonderzoek te laten uitvoeren om te kijken of meer inzicht gegeven kan worden in andere </w:t>
            </w:r>
            <w:r w:rsidRPr="00B240FF">
              <w:t>geldstromen en belastingconstructies, en zo mogelijk daar nulmetingen uit te voeren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3779F597" w14:textId="77777777">
            <w:proofErr w:type="spellStart"/>
            <w:r>
              <w:t>Leijten</w:t>
            </w:r>
            <w:proofErr w:type="spellEnd"/>
          </w:p>
          <w:p w:rsidRPr="00641A47" w:rsidR="00AB22A1" w:rsidP="001246E6" w:rsidRDefault="00AB22A1" w14:paraId="5CCF789F" w14:textId="77777777">
            <w:r>
              <w:t>Van Weyenberg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1E5352A4" w14:textId="77777777">
            <w:r>
              <w:t>Oordeel Kamer</w:t>
            </w:r>
          </w:p>
        </w:tc>
      </w:tr>
      <w:tr w:rsidRPr="00641A47" w:rsidR="00AB22A1" w:rsidTr="00AB22A1" w14:paraId="56EADF5D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035ADDC4" w14:textId="77777777">
            <w:pPr>
              <w:rPr>
                <w:b/>
              </w:rPr>
            </w:pPr>
            <w:r w:rsidRPr="00B7551A">
              <w:rPr>
                <w:b/>
              </w:rPr>
              <w:t>35031, nr. 7</w:t>
            </w:r>
          </w:p>
        </w:tc>
        <w:tc>
          <w:tcPr>
            <w:tcW w:w="4491" w:type="dxa"/>
            <w:shd w:val="clear" w:color="auto" w:fill="FFFFFF" w:themeFill="background1"/>
          </w:tcPr>
          <w:p w:rsidR="00AB22A1" w:rsidP="001246E6" w:rsidRDefault="00AB22A1" w14:paraId="4FFA6AF7" w14:textId="77777777">
            <w:r>
              <w:t>Over het verzoek om de Wet aanpassing kansspelbelasting voor sportweddenschappen met één jaar uit te stellen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54E65980" w14:textId="77777777">
            <w:r>
              <w:t>Van Rooijen</w:t>
            </w:r>
          </w:p>
        </w:tc>
        <w:tc>
          <w:tcPr>
            <w:tcW w:w="1643" w:type="dxa"/>
            <w:shd w:val="clear" w:color="auto" w:fill="FFFFFF" w:themeFill="background1"/>
          </w:tcPr>
          <w:p w:rsidR="00AB22A1" w:rsidP="001246E6" w:rsidRDefault="00AB22A1" w14:paraId="24046030" w14:textId="77777777">
            <w:r>
              <w:t>Ontraden</w:t>
            </w:r>
          </w:p>
        </w:tc>
      </w:tr>
      <w:tr w:rsidRPr="0099717C" w:rsidR="00AB22A1" w:rsidTr="00AB22A1" w14:paraId="17E9C198" w14:textId="77777777">
        <w:tc>
          <w:tcPr>
            <w:tcW w:w="1255" w:type="dxa"/>
            <w:shd w:val="clear" w:color="auto" w:fill="FFFFFF" w:themeFill="background1"/>
          </w:tcPr>
          <w:p w:rsidRPr="00B7551A" w:rsidR="00AB22A1" w:rsidP="001246E6" w:rsidRDefault="00AB22A1" w14:paraId="0B87C908" w14:textId="77777777">
            <w:pPr>
              <w:rPr>
                <w:b/>
              </w:rPr>
            </w:pPr>
            <w:r w:rsidRPr="00B7551A">
              <w:rPr>
                <w:b/>
              </w:rPr>
              <w:t>35033,</w:t>
            </w:r>
          </w:p>
          <w:p w:rsidRPr="00B7551A" w:rsidR="00AB22A1" w:rsidP="001246E6" w:rsidRDefault="00AB22A1" w14:paraId="7337EE00" w14:textId="77777777">
            <w:pPr>
              <w:rPr>
                <w:b/>
              </w:rPr>
            </w:pPr>
            <w:r w:rsidRPr="00B7551A">
              <w:rPr>
                <w:b/>
              </w:rPr>
              <w:t>nr. 8</w:t>
            </w:r>
          </w:p>
        </w:tc>
        <w:tc>
          <w:tcPr>
            <w:tcW w:w="4491" w:type="dxa"/>
            <w:shd w:val="clear" w:color="auto" w:fill="FFFFFF" w:themeFill="background1"/>
          </w:tcPr>
          <w:p w:rsidRPr="00641A47" w:rsidR="00AB22A1" w:rsidP="001246E6" w:rsidRDefault="00AB22A1" w14:paraId="43B27BBF" w14:textId="77777777">
            <w:r>
              <w:t>Over de mogelijkheid tot het handhaven van de jaaraangifte voor kleine ondernemers/natuurlijke personen en samenwerkingsverbanden</w:t>
            </w:r>
          </w:p>
        </w:tc>
        <w:tc>
          <w:tcPr>
            <w:tcW w:w="1673" w:type="dxa"/>
            <w:shd w:val="clear" w:color="auto" w:fill="FFFFFF" w:themeFill="background1"/>
          </w:tcPr>
          <w:p w:rsidR="00AB22A1" w:rsidP="001246E6" w:rsidRDefault="00AB22A1" w14:paraId="31423112" w14:textId="77777777">
            <w:r>
              <w:t>Lodders</w:t>
            </w:r>
          </w:p>
          <w:p w:rsidR="00AB22A1" w:rsidP="001246E6" w:rsidRDefault="00AB22A1" w14:paraId="53613B7B" w14:textId="77777777">
            <w:r>
              <w:t>Omtzigt</w:t>
            </w:r>
          </w:p>
          <w:p w:rsidRPr="00641A47" w:rsidR="00AB22A1" w:rsidP="001246E6" w:rsidRDefault="00AB22A1" w14:paraId="5433C383" w14:textId="77777777">
            <w:r>
              <w:t>Bruins</w:t>
            </w:r>
          </w:p>
        </w:tc>
        <w:tc>
          <w:tcPr>
            <w:tcW w:w="1643" w:type="dxa"/>
            <w:shd w:val="clear" w:color="auto" w:fill="FFFFFF" w:themeFill="background1"/>
          </w:tcPr>
          <w:p w:rsidRPr="00641A47" w:rsidR="00AB22A1" w:rsidP="001246E6" w:rsidRDefault="00AB22A1" w14:paraId="60E04CA8" w14:textId="77777777">
            <w:r>
              <w:t>Oordeel Kamer</w:t>
            </w:r>
          </w:p>
        </w:tc>
      </w:tr>
    </w:tbl>
    <w:p w:rsidRPr="00641A47" w:rsidR="00AB22A1" w:rsidP="00AB22A1" w:rsidRDefault="00AB22A1" w14:paraId="7DB4A1A8" w14:textId="77777777"/>
    <w:p w:rsidRPr="006D4D0C" w:rsidR="00AB22A1" w:rsidP="00AB22A1" w:rsidRDefault="00AB22A1" w14:paraId="15AAA823" w14:textId="77777777"/>
    <w:p w:rsidR="00AB22A1" w:rsidP="00F31A42" w:rsidRDefault="00AB22A1" w14:paraId="1C228197" w14:textId="77777777">
      <w:pPr>
        <w:spacing w:line="276" w:lineRule="auto"/>
        <w:rPr>
          <w:sz w:val="16"/>
          <w:szCs w:val="16"/>
          <w:lang w:eastAsia="zh-CN" w:bidi="hi-IN"/>
        </w:rPr>
      </w:pPr>
    </w:p>
    <w:p w:rsidR="003848DC" w:rsidP="00F31A42" w:rsidRDefault="003848DC" w14:paraId="56854EB2" w14:textId="5328DB27">
      <w:pPr>
        <w:spacing w:line="276" w:lineRule="auto"/>
        <w:rPr>
          <w:sz w:val="16"/>
          <w:szCs w:val="16"/>
          <w:lang w:eastAsia="zh-CN" w:bidi="hi-IN"/>
        </w:rPr>
      </w:pPr>
    </w:p>
    <w:p w:rsidRPr="00F31A42" w:rsidR="003848DC" w:rsidP="00F31A42" w:rsidRDefault="003848DC" w14:paraId="659C2030" w14:textId="1F078DC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Pr="00F31A42" w:rsidR="003848DC" w:rsidSect="00502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49D5" w14:textId="77777777" w:rsidR="001F7CE4" w:rsidRDefault="001F7CE4" w:rsidP="001F7CE4">
      <w:pPr>
        <w:spacing w:line="240" w:lineRule="auto"/>
      </w:pPr>
      <w:r>
        <w:separator/>
      </w:r>
    </w:p>
  </w:endnote>
  <w:endnote w:type="continuationSeparator" w:id="0">
    <w:p w14:paraId="49028A0C" w14:textId="77777777" w:rsidR="001F7CE4" w:rsidRDefault="001F7CE4" w:rsidP="001F7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C8F7" w14:textId="77777777" w:rsidR="001F7CE4" w:rsidRDefault="001F7C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CCD1" w14:textId="77777777" w:rsidR="001F7CE4" w:rsidRDefault="001F7C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AF77C" w14:textId="77777777" w:rsidR="001F7CE4" w:rsidRDefault="001F7C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AC02" w14:textId="77777777" w:rsidR="001F7CE4" w:rsidRDefault="001F7CE4" w:rsidP="001F7CE4">
      <w:pPr>
        <w:spacing w:line="240" w:lineRule="auto"/>
      </w:pPr>
      <w:r>
        <w:separator/>
      </w:r>
    </w:p>
  </w:footnote>
  <w:footnote w:type="continuationSeparator" w:id="0">
    <w:p w14:paraId="496D8045" w14:textId="77777777" w:rsidR="001F7CE4" w:rsidRDefault="001F7CE4" w:rsidP="001F7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44498" w14:textId="77777777" w:rsidR="001F7CE4" w:rsidRDefault="001F7C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1036" w14:textId="77777777" w:rsidR="001F7CE4" w:rsidRDefault="001F7C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45B57" w14:textId="77777777" w:rsidR="001F7CE4" w:rsidRDefault="001F7C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6A7"/>
    <w:multiLevelType w:val="hybridMultilevel"/>
    <w:tmpl w:val="3EA804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4"/>
    <w:rsid w:val="000013BA"/>
    <w:rsid w:val="00024CE9"/>
    <w:rsid w:val="00031752"/>
    <w:rsid w:val="00074EA0"/>
    <w:rsid w:val="000B759D"/>
    <w:rsid w:val="000F19CB"/>
    <w:rsid w:val="00134BB4"/>
    <w:rsid w:val="00182123"/>
    <w:rsid w:val="001A38F1"/>
    <w:rsid w:val="001A632E"/>
    <w:rsid w:val="001B38E0"/>
    <w:rsid w:val="001F1E12"/>
    <w:rsid w:val="001F7CE4"/>
    <w:rsid w:val="00211FFE"/>
    <w:rsid w:val="00266CDB"/>
    <w:rsid w:val="002D07AE"/>
    <w:rsid w:val="002E6EEE"/>
    <w:rsid w:val="003848DC"/>
    <w:rsid w:val="003B3EA3"/>
    <w:rsid w:val="003C7C6D"/>
    <w:rsid w:val="00400DD3"/>
    <w:rsid w:val="0041392D"/>
    <w:rsid w:val="00426FFF"/>
    <w:rsid w:val="0048588E"/>
    <w:rsid w:val="00494AFF"/>
    <w:rsid w:val="00494C1A"/>
    <w:rsid w:val="004A1D87"/>
    <w:rsid w:val="00502860"/>
    <w:rsid w:val="005256EA"/>
    <w:rsid w:val="005A042B"/>
    <w:rsid w:val="005A2EE4"/>
    <w:rsid w:val="005B6417"/>
    <w:rsid w:val="005E2B1F"/>
    <w:rsid w:val="005E7636"/>
    <w:rsid w:val="00697310"/>
    <w:rsid w:val="006B5866"/>
    <w:rsid w:val="006C13C7"/>
    <w:rsid w:val="006D0706"/>
    <w:rsid w:val="0070225B"/>
    <w:rsid w:val="00711D2F"/>
    <w:rsid w:val="0071764D"/>
    <w:rsid w:val="00747590"/>
    <w:rsid w:val="00756389"/>
    <w:rsid w:val="007E00C0"/>
    <w:rsid w:val="00803D29"/>
    <w:rsid w:val="00804F24"/>
    <w:rsid w:val="0085608C"/>
    <w:rsid w:val="00856952"/>
    <w:rsid w:val="008D63C3"/>
    <w:rsid w:val="008F5EB7"/>
    <w:rsid w:val="00905545"/>
    <w:rsid w:val="00930FA4"/>
    <w:rsid w:val="00942035"/>
    <w:rsid w:val="0094562D"/>
    <w:rsid w:val="009929FC"/>
    <w:rsid w:val="0099648D"/>
    <w:rsid w:val="009B4218"/>
    <w:rsid w:val="009C2759"/>
    <w:rsid w:val="00A07026"/>
    <w:rsid w:val="00A076EA"/>
    <w:rsid w:val="00A07CE9"/>
    <w:rsid w:val="00A105BF"/>
    <w:rsid w:val="00A17C6E"/>
    <w:rsid w:val="00AB22A1"/>
    <w:rsid w:val="00AE39E6"/>
    <w:rsid w:val="00AE61C1"/>
    <w:rsid w:val="00AF2124"/>
    <w:rsid w:val="00AF25B3"/>
    <w:rsid w:val="00B277E2"/>
    <w:rsid w:val="00B502F2"/>
    <w:rsid w:val="00B638AA"/>
    <w:rsid w:val="00B81144"/>
    <w:rsid w:val="00B836D1"/>
    <w:rsid w:val="00B9596C"/>
    <w:rsid w:val="00BC367E"/>
    <w:rsid w:val="00BC7DCC"/>
    <w:rsid w:val="00BD1187"/>
    <w:rsid w:val="00BD643C"/>
    <w:rsid w:val="00BF62C2"/>
    <w:rsid w:val="00C2132C"/>
    <w:rsid w:val="00C26005"/>
    <w:rsid w:val="00C40FA3"/>
    <w:rsid w:val="00CD2411"/>
    <w:rsid w:val="00D04A73"/>
    <w:rsid w:val="00D13CA7"/>
    <w:rsid w:val="00D51FB6"/>
    <w:rsid w:val="00D83BA3"/>
    <w:rsid w:val="00D90ACF"/>
    <w:rsid w:val="00DB5563"/>
    <w:rsid w:val="00DB6FCD"/>
    <w:rsid w:val="00DE6764"/>
    <w:rsid w:val="00E0267D"/>
    <w:rsid w:val="00E17568"/>
    <w:rsid w:val="00E3493E"/>
    <w:rsid w:val="00E52160"/>
    <w:rsid w:val="00E93029"/>
    <w:rsid w:val="00EE25ED"/>
    <w:rsid w:val="00EF0F8E"/>
    <w:rsid w:val="00EF1255"/>
    <w:rsid w:val="00F22CDC"/>
    <w:rsid w:val="00F31A42"/>
    <w:rsid w:val="00F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87DBED"/>
  <w15:docId w15:val="{51352193-1A25-41D8-8693-69080BA5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7CE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1F7CE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F7CE4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F7CE4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7CE4"/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1F7CE4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aliases w:val="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1F7CE4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aliases w:val="Voetnoottekst Char2 Char Char,Voetnoottekst Char1 Char Char Char,Voetnoottekst Char3 Char Char Char Char,Voetnoottekst Char2 Char Char Char Char Char,Voetnoottekst Char1 Char Char Char Char Char Char,Voetnoottekst Char2 Char1"/>
    <w:basedOn w:val="Standaardalinea-lettertype"/>
    <w:link w:val="Voetnoottekst"/>
    <w:uiPriority w:val="99"/>
    <w:rsid w:val="001F7CE4"/>
    <w:rPr>
      <w:rFonts w:ascii="Verdana" w:eastAsia="Times New Roman" w:hAnsi="Verdana" w:cs="Times New Roman"/>
      <w:sz w:val="13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F7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7C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7C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7CE4"/>
    <w:rPr>
      <w:rFonts w:ascii="Verdana" w:eastAsia="Times New Roman" w:hAnsi="Verdan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CE4"/>
    <w:rPr>
      <w:rFonts w:ascii="Tahoma" w:eastAsia="Times New Roman" w:hAnsi="Tahoma" w:cs="Tahoma"/>
      <w:sz w:val="16"/>
      <w:szCs w:val="16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60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600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Dokument1">
    <w:name w:val="Dokument 1"/>
    <w:rsid w:val="00BF62C2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EE25ED"/>
    <w:pPr>
      <w:suppressAutoHyphens/>
      <w:spacing w:line="360" w:lineRule="auto"/>
      <w:ind w:left="720"/>
      <w:contextualSpacing/>
    </w:pPr>
    <w:rPr>
      <w:rFonts w:ascii="Arial" w:hAnsi="Arial"/>
      <w:sz w:val="20"/>
      <w:szCs w:val="20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856952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1494</ap:Words>
  <ap:Characters>8220</ap:Characters>
  <ap:DocSecurity>0</ap:DocSecurity>
  <ap:Lines>68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2018-11-15T08:56:00.0000000Z</lastPrinted>
  <dcterms:created xsi:type="dcterms:W3CDTF">2018-11-15T10:35:00.0000000Z</dcterms:created>
  <dcterms:modified xsi:type="dcterms:W3CDTF">2018-11-15T10:36:00.0000000Z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0x010100025F4A64E39C6A46836C2F520FC42556</vt:lpwstr>
  </property>
</Properties>
</file>