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97C59" w:rsidR="00697C59" w:rsidP="000D0DF5" w:rsidRDefault="00697C59">
            <w:pPr>
              <w:tabs>
                <w:tab w:val="left" w:pos="-1440"/>
                <w:tab w:val="left" w:pos="-720"/>
              </w:tabs>
              <w:suppressAutoHyphens/>
              <w:rPr>
                <w:rFonts w:ascii="Times New Roman" w:hAnsi="Times New Roman"/>
              </w:rPr>
            </w:pPr>
            <w:r w:rsidRPr="00697C59">
              <w:rPr>
                <w:rFonts w:ascii="Times New Roman" w:hAnsi="Times New Roman"/>
              </w:rPr>
              <w:t>De Tweede Kamer der Staten-</w:t>
            </w:r>
            <w:r w:rsidRPr="00697C59">
              <w:rPr>
                <w:rFonts w:ascii="Times New Roman" w:hAnsi="Times New Roman"/>
              </w:rPr>
              <w:fldChar w:fldCharType="begin"/>
            </w:r>
            <w:r w:rsidRPr="00697C59">
              <w:rPr>
                <w:rFonts w:ascii="Times New Roman" w:hAnsi="Times New Roman"/>
              </w:rPr>
              <w:instrText xml:space="preserve">PRIVATE </w:instrText>
            </w:r>
            <w:r w:rsidRPr="00697C59">
              <w:rPr>
                <w:rFonts w:ascii="Times New Roman" w:hAnsi="Times New Roman"/>
              </w:rPr>
              <w:fldChar w:fldCharType="end"/>
            </w:r>
          </w:p>
          <w:p w:rsidRPr="00697C59" w:rsidR="00697C59" w:rsidP="000D0DF5" w:rsidRDefault="00697C59">
            <w:pPr>
              <w:tabs>
                <w:tab w:val="left" w:pos="-1440"/>
                <w:tab w:val="left" w:pos="-720"/>
              </w:tabs>
              <w:suppressAutoHyphens/>
              <w:rPr>
                <w:rFonts w:ascii="Times New Roman" w:hAnsi="Times New Roman"/>
              </w:rPr>
            </w:pPr>
            <w:r w:rsidRPr="00697C59">
              <w:rPr>
                <w:rFonts w:ascii="Times New Roman" w:hAnsi="Times New Roman"/>
              </w:rPr>
              <w:t>Generaal zendt bijgaand door</w:t>
            </w:r>
          </w:p>
          <w:p w:rsidRPr="00697C59" w:rsidR="00697C59" w:rsidP="000D0DF5" w:rsidRDefault="00697C59">
            <w:pPr>
              <w:tabs>
                <w:tab w:val="left" w:pos="-1440"/>
                <w:tab w:val="left" w:pos="-720"/>
              </w:tabs>
              <w:suppressAutoHyphens/>
              <w:rPr>
                <w:rFonts w:ascii="Times New Roman" w:hAnsi="Times New Roman"/>
              </w:rPr>
            </w:pPr>
            <w:r w:rsidRPr="00697C59">
              <w:rPr>
                <w:rFonts w:ascii="Times New Roman" w:hAnsi="Times New Roman"/>
              </w:rPr>
              <w:t>haar aangenomen wetsvoorstel</w:t>
            </w:r>
          </w:p>
          <w:p w:rsidRPr="00697C59" w:rsidR="00697C59" w:rsidP="000D0DF5" w:rsidRDefault="00697C59">
            <w:pPr>
              <w:tabs>
                <w:tab w:val="left" w:pos="-1440"/>
                <w:tab w:val="left" w:pos="-720"/>
              </w:tabs>
              <w:suppressAutoHyphens/>
              <w:rPr>
                <w:rFonts w:ascii="Times New Roman" w:hAnsi="Times New Roman"/>
              </w:rPr>
            </w:pPr>
            <w:r w:rsidRPr="00697C59">
              <w:rPr>
                <w:rFonts w:ascii="Times New Roman" w:hAnsi="Times New Roman"/>
              </w:rPr>
              <w:t>aan de Eerste Kamer.</w:t>
            </w:r>
          </w:p>
          <w:p w:rsidRPr="00697C59" w:rsidR="00697C59" w:rsidP="000D0DF5" w:rsidRDefault="00697C59">
            <w:pPr>
              <w:tabs>
                <w:tab w:val="left" w:pos="-1440"/>
                <w:tab w:val="left" w:pos="-720"/>
              </w:tabs>
              <w:suppressAutoHyphens/>
              <w:rPr>
                <w:rFonts w:ascii="Times New Roman" w:hAnsi="Times New Roman"/>
              </w:rPr>
            </w:pPr>
          </w:p>
          <w:p w:rsidRPr="00697C59" w:rsidR="00697C59" w:rsidP="000D0DF5" w:rsidRDefault="00697C59">
            <w:pPr>
              <w:tabs>
                <w:tab w:val="left" w:pos="-1440"/>
                <w:tab w:val="left" w:pos="-720"/>
              </w:tabs>
              <w:suppressAutoHyphens/>
              <w:rPr>
                <w:rFonts w:ascii="Times New Roman" w:hAnsi="Times New Roman"/>
              </w:rPr>
            </w:pPr>
            <w:r w:rsidRPr="00697C59">
              <w:rPr>
                <w:rFonts w:ascii="Times New Roman" w:hAnsi="Times New Roman"/>
              </w:rPr>
              <w:t>De Voorzitter,</w:t>
            </w:r>
          </w:p>
          <w:p w:rsidRPr="00697C59" w:rsidR="00697C59" w:rsidP="000D0DF5" w:rsidRDefault="00697C59">
            <w:pPr>
              <w:tabs>
                <w:tab w:val="left" w:pos="-1440"/>
                <w:tab w:val="left" w:pos="-720"/>
              </w:tabs>
              <w:suppressAutoHyphens/>
              <w:rPr>
                <w:rFonts w:ascii="Times New Roman" w:hAnsi="Times New Roman"/>
              </w:rPr>
            </w:pPr>
          </w:p>
          <w:p w:rsidRPr="00697C59" w:rsidR="00697C59" w:rsidP="000D0DF5" w:rsidRDefault="00697C59">
            <w:pPr>
              <w:tabs>
                <w:tab w:val="left" w:pos="-1440"/>
                <w:tab w:val="left" w:pos="-720"/>
              </w:tabs>
              <w:suppressAutoHyphens/>
              <w:rPr>
                <w:rFonts w:ascii="Times New Roman" w:hAnsi="Times New Roman"/>
              </w:rPr>
            </w:pPr>
          </w:p>
          <w:p w:rsidRPr="00697C59" w:rsidR="00697C59" w:rsidP="000D0DF5" w:rsidRDefault="00697C59">
            <w:pPr>
              <w:tabs>
                <w:tab w:val="left" w:pos="-1440"/>
                <w:tab w:val="left" w:pos="-720"/>
              </w:tabs>
              <w:suppressAutoHyphens/>
              <w:rPr>
                <w:rFonts w:ascii="Times New Roman" w:hAnsi="Times New Roman"/>
              </w:rPr>
            </w:pPr>
          </w:p>
          <w:p w:rsidRPr="00697C59" w:rsidR="00697C59" w:rsidP="000D0DF5" w:rsidRDefault="00697C59">
            <w:pPr>
              <w:tabs>
                <w:tab w:val="left" w:pos="-1440"/>
                <w:tab w:val="left" w:pos="-720"/>
              </w:tabs>
              <w:suppressAutoHyphens/>
              <w:rPr>
                <w:rFonts w:ascii="Times New Roman" w:hAnsi="Times New Roman"/>
              </w:rPr>
            </w:pPr>
          </w:p>
          <w:p w:rsidRPr="00697C59" w:rsidR="00697C59" w:rsidP="000D0DF5" w:rsidRDefault="00697C59">
            <w:pPr>
              <w:tabs>
                <w:tab w:val="left" w:pos="-1440"/>
                <w:tab w:val="left" w:pos="-720"/>
              </w:tabs>
              <w:suppressAutoHyphens/>
              <w:rPr>
                <w:rFonts w:ascii="Times New Roman" w:hAnsi="Times New Roman"/>
              </w:rPr>
            </w:pPr>
          </w:p>
          <w:p w:rsidRPr="00697C59" w:rsidR="00697C59" w:rsidP="000D0DF5" w:rsidRDefault="00697C59">
            <w:pPr>
              <w:tabs>
                <w:tab w:val="left" w:pos="-1440"/>
                <w:tab w:val="left" w:pos="-720"/>
              </w:tabs>
              <w:suppressAutoHyphens/>
              <w:rPr>
                <w:rFonts w:ascii="Times New Roman" w:hAnsi="Times New Roman"/>
              </w:rPr>
            </w:pPr>
          </w:p>
          <w:p w:rsidRPr="00697C59" w:rsidR="00697C59" w:rsidP="000D0DF5" w:rsidRDefault="00697C59">
            <w:pPr>
              <w:tabs>
                <w:tab w:val="left" w:pos="-1440"/>
                <w:tab w:val="left" w:pos="-720"/>
              </w:tabs>
              <w:suppressAutoHyphens/>
              <w:rPr>
                <w:rFonts w:ascii="Times New Roman" w:hAnsi="Times New Roman"/>
              </w:rPr>
            </w:pPr>
          </w:p>
          <w:p w:rsidRPr="00697C59" w:rsidR="00697C59" w:rsidP="000D0DF5" w:rsidRDefault="00697C59">
            <w:pPr>
              <w:tabs>
                <w:tab w:val="left" w:pos="-1440"/>
                <w:tab w:val="left" w:pos="-720"/>
              </w:tabs>
              <w:suppressAutoHyphens/>
              <w:rPr>
                <w:rFonts w:ascii="Times New Roman" w:hAnsi="Times New Roman"/>
              </w:rPr>
            </w:pPr>
          </w:p>
          <w:p w:rsidRPr="00697C59" w:rsidR="00697C59" w:rsidP="000D0DF5" w:rsidRDefault="00697C59">
            <w:pPr>
              <w:rPr>
                <w:rFonts w:ascii="Times New Roman" w:hAnsi="Times New Roman"/>
              </w:rPr>
            </w:pPr>
          </w:p>
          <w:p w:rsidRPr="00BE10DF" w:rsidR="00CB3578" w:rsidP="006E1153" w:rsidRDefault="00697C59">
            <w:pPr>
              <w:pStyle w:val="Amendement"/>
              <w:rPr>
                <w:rFonts w:ascii="Times New Roman" w:hAnsi="Times New Roman" w:cs="Times New Roman"/>
                <w:b w:val="0"/>
              </w:rPr>
            </w:pPr>
            <w:r w:rsidRPr="00697C59">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C435B" w:rsidTr="001B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65AC1" w:rsidR="007C435B" w:rsidP="00602217" w:rsidRDefault="007C435B">
            <w:pPr>
              <w:rPr>
                <w:rFonts w:ascii="Times New Roman" w:hAnsi="Times New Roman"/>
                <w:b/>
                <w:sz w:val="24"/>
              </w:rPr>
            </w:pPr>
            <w:r w:rsidRPr="00602217">
              <w:rPr>
                <w:rFonts w:ascii="Times New Roman" w:hAnsi="Times New Roman"/>
                <w:b/>
                <w:sz w:val="24"/>
              </w:rPr>
              <w:t>Vaststelling van de begrotingsstaten van het Ministerie van Binnenlandse Zaken en Koninkrijksrelaties (VII)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C435B" w:rsidTr="0024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C435B" w:rsidRDefault="007C435B">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Wij Willem-Alexander, bij de gratie Gods, Koning der Nederlanden, Prins van Oranje-Nassau, enz. enz. enz.</w:t>
      </w:r>
    </w:p>
    <w:p w:rsidRPr="00765AC1" w:rsidR="00765AC1" w:rsidP="00765AC1" w:rsidRDefault="00765AC1">
      <w:pPr>
        <w:pStyle w:val="Basis"/>
        <w:ind w:firstLine="284"/>
        <w:rPr>
          <w:rFonts w:ascii="Times New Roman" w:hAnsi="Times New Roman" w:cs="Times New Roman"/>
          <w:sz w:val="24"/>
          <w:szCs w:val="24"/>
        </w:rPr>
      </w:pPr>
    </w:p>
    <w:p w:rsidRPr="00765AC1"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Allen, die deze zullen zien of horen lezen, saluut! doen te weten:</w:t>
      </w:r>
    </w:p>
    <w:p w:rsidRPr="00765AC1"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in artikel 2.1 van de Comptabiliteitswet 2016 wordt bepaald welke begrotingen tot die van het Rijk behoren;</w:t>
      </w:r>
    </w:p>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765AC1" w:rsidR="00765AC1" w:rsidP="00765AC1" w:rsidRDefault="00765AC1">
      <w:pPr>
        <w:pStyle w:val="Basis"/>
        <w:ind w:firstLine="284"/>
        <w:rPr>
          <w:rFonts w:ascii="Times New Roman" w:hAnsi="Times New Roman" w:cs="Times New Roman"/>
          <w:sz w:val="24"/>
          <w:szCs w:val="24"/>
        </w:rPr>
      </w:pPr>
    </w:p>
    <w:p w:rsidR="00765AC1" w:rsidP="00765AC1" w:rsidRDefault="00765AC1">
      <w:pPr>
        <w:pStyle w:val="Basis"/>
        <w:rPr>
          <w:rFonts w:ascii="Times New Roman" w:hAnsi="Times New Roman" w:cs="Times New Roman"/>
          <w:b/>
          <w:sz w:val="24"/>
          <w:szCs w:val="24"/>
        </w:rPr>
      </w:pPr>
      <w:r w:rsidRPr="00765AC1">
        <w:rPr>
          <w:rFonts w:ascii="Times New Roman" w:hAnsi="Times New Roman" w:cs="Times New Roman"/>
          <w:b/>
          <w:sz w:val="24"/>
          <w:szCs w:val="24"/>
        </w:rPr>
        <w:t xml:space="preserve">Artikel 1 </w:t>
      </w:r>
    </w:p>
    <w:p w:rsidRPr="00765AC1" w:rsidR="00765AC1" w:rsidP="00765AC1" w:rsidRDefault="00765AC1">
      <w:pPr>
        <w:pStyle w:val="Basis"/>
        <w:rPr>
          <w:rFonts w:ascii="Times New Roman" w:hAnsi="Times New Roman" w:cs="Times New Roman"/>
          <w:b/>
          <w:sz w:val="24"/>
          <w:szCs w:val="24"/>
        </w:rPr>
      </w:pPr>
    </w:p>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De bij deze wet behorende departementale begrotingsstaat voor het jaar 2019 wordt vastgesteld.</w:t>
      </w:r>
    </w:p>
    <w:p w:rsidRPr="00765AC1"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b/>
          <w:sz w:val="24"/>
          <w:szCs w:val="24"/>
        </w:rPr>
      </w:pPr>
      <w:r w:rsidRPr="00765AC1">
        <w:rPr>
          <w:rFonts w:ascii="Times New Roman" w:hAnsi="Times New Roman" w:cs="Times New Roman"/>
          <w:b/>
          <w:sz w:val="24"/>
          <w:szCs w:val="24"/>
        </w:rPr>
        <w:t xml:space="preserve">Artikel 2 </w:t>
      </w:r>
    </w:p>
    <w:p w:rsidRPr="00765AC1" w:rsidR="00765AC1" w:rsidP="00765AC1" w:rsidRDefault="00765AC1">
      <w:pPr>
        <w:pStyle w:val="Basis"/>
        <w:rPr>
          <w:rFonts w:ascii="Times New Roman" w:hAnsi="Times New Roman" w:cs="Times New Roman"/>
          <w:b/>
          <w:sz w:val="24"/>
          <w:szCs w:val="24"/>
        </w:rPr>
      </w:pPr>
    </w:p>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De bij deze wet behorende begrotingsstaat inzake de agentschappen voor het jaar 2019 wordt vastgesteld.</w:t>
      </w:r>
    </w:p>
    <w:p w:rsidRPr="00765AC1"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b/>
          <w:sz w:val="24"/>
          <w:szCs w:val="24"/>
        </w:rPr>
      </w:pPr>
      <w:r w:rsidRPr="00765AC1">
        <w:rPr>
          <w:rFonts w:ascii="Times New Roman" w:hAnsi="Times New Roman" w:cs="Times New Roman"/>
          <w:b/>
          <w:sz w:val="24"/>
          <w:szCs w:val="24"/>
        </w:rPr>
        <w:t xml:space="preserve">Artikel 3 </w:t>
      </w:r>
    </w:p>
    <w:p w:rsidRPr="00765AC1" w:rsidR="00765AC1" w:rsidP="00765AC1" w:rsidRDefault="00765AC1">
      <w:pPr>
        <w:pStyle w:val="Basis"/>
        <w:rPr>
          <w:rFonts w:ascii="Times New Roman" w:hAnsi="Times New Roman" w:cs="Times New Roman"/>
          <w:b/>
          <w:sz w:val="24"/>
          <w:szCs w:val="24"/>
        </w:rPr>
      </w:pPr>
    </w:p>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De vaststelling van de begrotingsstaten geschiedt in duizenden euro’s.</w:t>
      </w:r>
    </w:p>
    <w:p w:rsidRPr="00765AC1"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b/>
          <w:sz w:val="24"/>
          <w:szCs w:val="24"/>
        </w:rPr>
      </w:pPr>
      <w:r w:rsidRPr="00765AC1">
        <w:rPr>
          <w:rFonts w:ascii="Times New Roman" w:hAnsi="Times New Roman" w:cs="Times New Roman"/>
          <w:b/>
          <w:sz w:val="24"/>
          <w:szCs w:val="24"/>
        </w:rPr>
        <w:t xml:space="preserve">Artikel 4 </w:t>
      </w:r>
    </w:p>
    <w:p w:rsidRPr="00765AC1" w:rsidR="00765AC1" w:rsidP="00765AC1" w:rsidRDefault="00765AC1">
      <w:pPr>
        <w:pStyle w:val="Basis"/>
        <w:rPr>
          <w:rFonts w:ascii="Times New Roman" w:hAnsi="Times New Roman" w:cs="Times New Roman"/>
          <w:b/>
          <w:sz w:val="24"/>
          <w:szCs w:val="24"/>
        </w:rPr>
      </w:pPr>
    </w:p>
    <w:p w:rsidR="00765AC1" w:rsidP="002A5F22"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lastRenderedPageBreak/>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2A5F22" w:rsidP="002A5F22" w:rsidRDefault="002A5F22">
      <w:pPr>
        <w:pStyle w:val="Basis"/>
        <w:ind w:firstLine="284"/>
        <w:rPr>
          <w:rFonts w:ascii="Times New Roman" w:hAnsi="Times New Roman" w:cs="Times New Roman"/>
          <w:sz w:val="24"/>
          <w:szCs w:val="24"/>
        </w:rPr>
      </w:pPr>
    </w:p>
    <w:p w:rsidR="002A5F22" w:rsidP="002A5F22" w:rsidRDefault="002A5F22">
      <w:pPr>
        <w:pStyle w:val="Basis"/>
        <w:ind w:firstLine="284"/>
        <w:rPr>
          <w:rFonts w:ascii="Times New Roman" w:hAnsi="Times New Roman" w:cs="Times New Roman"/>
          <w:sz w:val="24"/>
          <w:szCs w:val="24"/>
        </w:rPr>
      </w:pPr>
    </w:p>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765AC1"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r w:rsidRPr="00765AC1">
        <w:rPr>
          <w:rFonts w:ascii="Times New Roman" w:hAnsi="Times New Roman" w:cs="Times New Roman"/>
          <w:sz w:val="24"/>
          <w:szCs w:val="24"/>
        </w:rPr>
        <w:t>Gegeven</w:t>
      </w: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Pr="00765AC1" w:rsidR="00765AC1" w:rsidP="00765AC1" w:rsidRDefault="00765AC1">
      <w:pPr>
        <w:pStyle w:val="Basis"/>
        <w:rPr>
          <w:rFonts w:ascii="Times New Roman" w:hAnsi="Times New Roman" w:cs="Times New Roman"/>
          <w:sz w:val="24"/>
          <w:szCs w:val="24"/>
        </w:rPr>
      </w:pPr>
    </w:p>
    <w:p w:rsidRPr="00765AC1" w:rsidR="00765AC1" w:rsidP="00765AC1" w:rsidRDefault="00765AC1">
      <w:pPr>
        <w:pStyle w:val="Basis"/>
        <w:rPr>
          <w:rFonts w:ascii="Times New Roman" w:hAnsi="Times New Roman" w:cs="Times New Roman"/>
          <w:sz w:val="24"/>
          <w:szCs w:val="24"/>
        </w:rPr>
      </w:pPr>
      <w:r w:rsidRPr="00765AC1">
        <w:rPr>
          <w:rFonts w:ascii="Times New Roman" w:hAnsi="Times New Roman" w:cs="Times New Roman"/>
          <w:sz w:val="24"/>
          <w:szCs w:val="24"/>
        </w:rPr>
        <w:t>De Minister van Binnenlandse Zaken en Koninkrijksrelaties,</w:t>
      </w:r>
    </w:p>
    <w:p w:rsidR="00765AC1" w:rsidP="00765AC1" w:rsidRDefault="00765AC1">
      <w:pPr>
        <w:rPr>
          <w:rFonts w:ascii="Times New Roman" w:hAnsi="Times New Roman"/>
          <w:sz w:val="24"/>
        </w:rPr>
      </w:pPr>
    </w:p>
    <w:p w:rsidR="00421938" w:rsidP="00765AC1" w:rsidRDefault="00421938">
      <w:pPr>
        <w:rPr>
          <w:rFonts w:ascii="Times New Roman" w:hAnsi="Times New Roman"/>
          <w:sz w:val="24"/>
        </w:rPr>
      </w:pPr>
    </w:p>
    <w:p w:rsidR="00421938" w:rsidP="00765AC1" w:rsidRDefault="00421938">
      <w:pPr>
        <w:rPr>
          <w:rFonts w:ascii="Times New Roman" w:hAnsi="Times New Roman"/>
          <w:sz w:val="24"/>
        </w:rPr>
      </w:pPr>
    </w:p>
    <w:p w:rsidR="00421938" w:rsidP="00765AC1" w:rsidRDefault="00421938">
      <w:pPr>
        <w:rPr>
          <w:rFonts w:ascii="Times New Roman" w:hAnsi="Times New Roman"/>
          <w:sz w:val="24"/>
        </w:rPr>
      </w:pPr>
    </w:p>
    <w:p w:rsidR="00421938" w:rsidP="00765AC1" w:rsidRDefault="00421938">
      <w:pPr>
        <w:rPr>
          <w:rFonts w:ascii="Times New Roman" w:hAnsi="Times New Roman"/>
          <w:sz w:val="24"/>
        </w:rPr>
      </w:pPr>
    </w:p>
    <w:p w:rsidR="00421938" w:rsidP="00765AC1" w:rsidRDefault="00421938">
      <w:pPr>
        <w:rPr>
          <w:rFonts w:ascii="Times New Roman" w:hAnsi="Times New Roman"/>
          <w:sz w:val="24"/>
        </w:rPr>
      </w:pPr>
    </w:p>
    <w:p w:rsidR="00421938" w:rsidP="00765AC1" w:rsidRDefault="00421938">
      <w:pPr>
        <w:rPr>
          <w:rFonts w:ascii="Times New Roman" w:hAnsi="Times New Roman"/>
          <w:sz w:val="24"/>
        </w:rPr>
      </w:pPr>
    </w:p>
    <w:p w:rsidR="00421938" w:rsidP="00765AC1" w:rsidRDefault="00421938">
      <w:pPr>
        <w:rPr>
          <w:rFonts w:ascii="Times New Roman" w:hAnsi="Times New Roman"/>
          <w:sz w:val="24"/>
        </w:rPr>
      </w:pPr>
    </w:p>
    <w:p w:rsidR="00421938" w:rsidP="00765AC1" w:rsidRDefault="00421938">
      <w:pPr>
        <w:rPr>
          <w:rFonts w:ascii="Times New Roman" w:hAnsi="Times New Roman"/>
          <w:sz w:val="24"/>
        </w:rPr>
      </w:pPr>
    </w:p>
    <w:p w:rsidRPr="00765AC1" w:rsidR="00421938" w:rsidP="00421938" w:rsidRDefault="00421938">
      <w:pPr>
        <w:pStyle w:val="Basis"/>
        <w:rPr>
          <w:rFonts w:ascii="Times New Roman" w:hAnsi="Times New Roman" w:cs="Times New Roman"/>
          <w:sz w:val="24"/>
          <w:szCs w:val="24"/>
        </w:rPr>
      </w:pPr>
      <w:r w:rsidRPr="00765AC1">
        <w:rPr>
          <w:rFonts w:ascii="Times New Roman" w:hAnsi="Times New Roman" w:cs="Times New Roman"/>
          <w:sz w:val="24"/>
          <w:szCs w:val="24"/>
        </w:rPr>
        <w:t>De Minister van Binnenlandse Zaken en Koninkrijksrelaties,</w:t>
      </w:r>
    </w:p>
    <w:p w:rsidR="00421938" w:rsidP="00765AC1" w:rsidRDefault="00421938">
      <w:pPr>
        <w:rPr>
          <w:rFonts w:ascii="Times New Roman" w:hAnsi="Times New Roman"/>
          <w:sz w:val="24"/>
        </w:rPr>
      </w:pPr>
      <w:bookmarkStart w:name="_GoBack" w:id="0"/>
      <w:bookmarkEnd w:id="0"/>
    </w:p>
    <w:p w:rsidR="00E023D9" w:rsidP="00765AC1" w:rsidRDefault="00E023D9">
      <w:pPr>
        <w:rPr>
          <w:rFonts w:ascii="Times New Roman" w:hAnsi="Times New Roman"/>
          <w:sz w:val="24"/>
        </w:rPr>
      </w:pPr>
    </w:p>
    <w:p w:rsidR="00E023D9" w:rsidP="00765AC1" w:rsidRDefault="00E023D9">
      <w:pPr>
        <w:rPr>
          <w:rFonts w:ascii="Times New Roman" w:hAnsi="Times New Roman"/>
          <w:sz w:val="24"/>
        </w:rPr>
      </w:pPr>
    </w:p>
    <w:p w:rsidR="00E023D9" w:rsidP="00765AC1" w:rsidRDefault="00E023D9">
      <w:pPr>
        <w:rPr>
          <w:rFonts w:ascii="Times New Roman" w:hAnsi="Times New Roman"/>
          <w:sz w:val="24"/>
        </w:rPr>
      </w:pPr>
    </w:p>
    <w:p w:rsidR="00E023D9" w:rsidP="00765AC1" w:rsidRDefault="00E023D9">
      <w:pPr>
        <w:rPr>
          <w:rFonts w:ascii="Times New Roman" w:hAnsi="Times New Roman"/>
          <w:sz w:val="24"/>
        </w:rPr>
      </w:pPr>
    </w:p>
    <w:p w:rsidR="00E023D9" w:rsidP="00765AC1" w:rsidRDefault="00E023D9">
      <w:pPr>
        <w:rPr>
          <w:rFonts w:ascii="Times New Roman" w:hAnsi="Times New Roman"/>
          <w:sz w:val="24"/>
        </w:rPr>
      </w:pPr>
    </w:p>
    <w:p w:rsidR="00E023D9" w:rsidP="00765AC1" w:rsidRDefault="00E023D9">
      <w:pPr>
        <w:rPr>
          <w:rFonts w:ascii="Times New Roman" w:hAnsi="Times New Roman"/>
          <w:sz w:val="24"/>
        </w:rPr>
      </w:pPr>
    </w:p>
    <w:p w:rsidR="00E023D9" w:rsidP="00765AC1" w:rsidRDefault="00E023D9">
      <w:pPr>
        <w:rPr>
          <w:rFonts w:ascii="Times New Roman" w:hAnsi="Times New Roman"/>
          <w:sz w:val="24"/>
        </w:rPr>
      </w:pPr>
    </w:p>
    <w:p w:rsidR="00E023D9" w:rsidP="00765AC1" w:rsidRDefault="00E023D9">
      <w:pPr>
        <w:rPr>
          <w:rFonts w:ascii="Times New Roman" w:hAnsi="Times New Roman"/>
          <w:sz w:val="24"/>
        </w:rPr>
      </w:pPr>
    </w:p>
    <w:p w:rsidR="00E023D9" w:rsidP="00765AC1" w:rsidRDefault="00E023D9">
      <w:pPr>
        <w:rPr>
          <w:rFonts w:ascii="Times New Roman" w:hAnsi="Times New Roman"/>
          <w:sz w:val="24"/>
        </w:rPr>
      </w:pPr>
    </w:p>
    <w:p w:rsidRPr="00E023D9" w:rsidR="00E023D9" w:rsidP="00765AC1" w:rsidRDefault="00E023D9">
      <w:pPr>
        <w:rPr>
          <w:rFonts w:ascii="Times New Roman" w:hAnsi="Times New Roman"/>
          <w:sz w:val="24"/>
        </w:rPr>
      </w:pPr>
    </w:p>
    <w:p w:rsidR="007C435B" w:rsidP="00765AC1" w:rsidRDefault="007C435B">
      <w:pPr>
        <w:rPr>
          <w:sz w:val="18"/>
        </w:rPr>
      </w:pPr>
    </w:p>
    <w:p w:rsidR="007C435B" w:rsidP="00765AC1" w:rsidRDefault="007C435B">
      <w:pPr>
        <w:rPr>
          <w:sz w:val="18"/>
        </w:rPr>
      </w:pPr>
    </w:p>
    <w:p w:rsidR="007C435B" w:rsidP="00765AC1" w:rsidRDefault="007C435B">
      <w:pPr>
        <w:rPr>
          <w:sz w:val="18"/>
        </w:rPr>
      </w:pPr>
    </w:p>
    <w:p w:rsidR="007C435B" w:rsidP="00765AC1" w:rsidRDefault="007C435B">
      <w:pPr>
        <w:rPr>
          <w:sz w:val="18"/>
        </w:rPr>
      </w:pPr>
    </w:p>
    <w:p w:rsidR="007C435B" w:rsidP="00765AC1" w:rsidRDefault="007C435B">
      <w:pPr>
        <w:rPr>
          <w:sz w:val="18"/>
        </w:rPr>
      </w:pPr>
    </w:p>
    <w:p w:rsidR="007C435B" w:rsidP="00765AC1" w:rsidRDefault="007C435B">
      <w:pPr>
        <w:rPr>
          <w:sz w:val="18"/>
        </w:rPr>
      </w:pPr>
    </w:p>
    <w:p w:rsidR="007C435B" w:rsidP="00765AC1" w:rsidRDefault="007C435B">
      <w:pPr>
        <w:rPr>
          <w:sz w:val="18"/>
        </w:rPr>
      </w:pPr>
    </w:p>
    <w:p w:rsidR="007C435B" w:rsidP="00765AC1" w:rsidRDefault="007C435B">
      <w:pPr>
        <w:rPr>
          <w:sz w:val="18"/>
        </w:rPr>
      </w:pPr>
    </w:p>
    <w:p w:rsidR="007C435B" w:rsidP="00765AC1" w:rsidRDefault="007C435B">
      <w:pPr>
        <w:rPr>
          <w:vanish/>
          <w:sz w:val="18"/>
        </w:rPr>
      </w:pPr>
    </w:p>
    <w:p w:rsidR="00765AC1" w:rsidP="001B4864" w:rsidRDefault="00765AC1">
      <w:pPr>
        <w:pStyle w:val="Basis"/>
        <w:keepNext/>
        <w:rPr>
          <w:rFonts w:ascii="Times New Roman" w:hAnsi="Times New Roman" w:cs="Times New Roman"/>
          <w:b/>
          <w:sz w:val="24"/>
          <w:szCs w:val="24"/>
        </w:rPr>
        <w:sectPr w:rsidR="00765AC1" w:rsidSect="00A11E73">
          <w:footerReference w:type="even" r:id="rId7"/>
          <w:footerReference w:type="default" r:id="rId8"/>
          <w:pgSz w:w="11906" w:h="16838"/>
          <w:pgMar w:top="1418" w:right="1418" w:bottom="1418" w:left="1418" w:header="357" w:footer="1440" w:gutter="0"/>
          <w:pgNumType w:start="1"/>
          <w:cols w:space="708"/>
          <w:noEndnote/>
        </w:sectPr>
      </w:pPr>
    </w:p>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lastRenderedPageBreak/>
        <w:t>(Bedragen x € 1.000)</w:t>
      </w:r>
    </w:p>
    <w:tbl>
      <w:tblPr>
        <w:tblW w:w="0" w:type="auto"/>
        <w:tblInd w:w="70" w:type="dxa"/>
        <w:tblCellMar>
          <w:left w:w="70" w:type="dxa"/>
          <w:right w:w="70" w:type="dxa"/>
        </w:tblCellMar>
        <w:tblLook w:val="04A0" w:firstRow="1" w:lastRow="0" w:firstColumn="1" w:lastColumn="0" w:noHBand="0" w:noVBand="1"/>
      </w:tblPr>
      <w:tblGrid>
        <w:gridCol w:w="1256"/>
        <w:gridCol w:w="5783"/>
        <w:gridCol w:w="2404"/>
        <w:gridCol w:w="1580"/>
        <w:gridCol w:w="2078"/>
      </w:tblGrid>
      <w:tr w:rsidRPr="007C435B" w:rsidR="006E1153" w:rsidTr="00A76463">
        <w:trPr>
          <w:trHeight w:val="300"/>
        </w:trPr>
        <w:tc>
          <w:tcPr>
            <w:tcW w:w="0" w:type="auto"/>
            <w:gridSpan w:val="5"/>
            <w:tcBorders>
              <w:top w:val="nil"/>
              <w:left w:val="nil"/>
              <w:bottom w:val="nil"/>
              <w:right w:val="nil"/>
            </w:tcBorders>
            <w:shd w:val="clear" w:color="auto" w:fill="auto"/>
            <w:noWrap/>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Vaststelling van de begrotingsstaat van het Ministerie van Binnenlandse Zaken en Koninkrijksrelaties (VII) voor het jaar 2019</w:t>
            </w:r>
          </w:p>
        </w:tc>
      </w:tr>
      <w:tr w:rsidRPr="007C435B" w:rsidR="006E1153" w:rsidTr="00A76463">
        <w:trPr>
          <w:trHeight w:val="300"/>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Artikel</w:t>
            </w:r>
          </w:p>
        </w:tc>
        <w:tc>
          <w:tcPr>
            <w:tcW w:w="0" w:type="auto"/>
            <w:tcBorders>
              <w:top w:val="single" w:color="auto" w:sz="4" w:space="0"/>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Omschrijving</w:t>
            </w:r>
          </w:p>
        </w:tc>
        <w:tc>
          <w:tcPr>
            <w:tcW w:w="0" w:type="auto"/>
            <w:tcBorders>
              <w:top w:val="single" w:color="auto" w:sz="4" w:space="0"/>
              <w:left w:val="nil"/>
              <w:bottom w:val="single" w:color="auto" w:sz="4" w:space="0"/>
              <w:right w:val="single" w:color="auto" w:sz="4" w:space="0"/>
            </w:tcBorders>
            <w:shd w:val="clear" w:color="auto" w:fill="auto"/>
            <w:noWrap/>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Verplichtingen</w:t>
            </w:r>
          </w:p>
        </w:tc>
        <w:tc>
          <w:tcPr>
            <w:tcW w:w="0" w:type="auto"/>
            <w:tcBorders>
              <w:top w:val="single" w:color="auto" w:sz="4" w:space="0"/>
              <w:left w:val="nil"/>
              <w:bottom w:val="single" w:color="auto" w:sz="4" w:space="0"/>
              <w:right w:val="single" w:color="auto" w:sz="4" w:space="0"/>
            </w:tcBorders>
            <w:shd w:val="clear" w:color="auto" w:fill="auto"/>
            <w:noWrap/>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Uitgaven</w:t>
            </w:r>
          </w:p>
        </w:tc>
        <w:tc>
          <w:tcPr>
            <w:tcW w:w="0" w:type="auto"/>
            <w:tcBorders>
              <w:top w:val="single" w:color="auto" w:sz="4" w:space="0"/>
              <w:left w:val="nil"/>
              <w:bottom w:val="single" w:color="auto" w:sz="4" w:space="0"/>
              <w:right w:val="single" w:color="auto" w:sz="4" w:space="0"/>
            </w:tcBorders>
            <w:shd w:val="clear" w:color="auto" w:fill="auto"/>
            <w:noWrap/>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Ontvangsten</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w:t>
            </w:r>
          </w:p>
        </w:tc>
        <w:tc>
          <w:tcPr>
            <w:tcW w:w="0" w:type="auto"/>
            <w:tcBorders>
              <w:top w:val="nil"/>
              <w:left w:val="nil"/>
              <w:bottom w:val="single" w:color="auto" w:sz="4" w:space="0"/>
              <w:right w:val="single" w:color="auto" w:sz="4" w:space="0"/>
            </w:tcBorders>
            <w:shd w:val="clear" w:color="auto" w:fill="auto"/>
            <w:noWrap/>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w:t>
            </w:r>
          </w:p>
        </w:tc>
        <w:tc>
          <w:tcPr>
            <w:tcW w:w="0" w:type="auto"/>
            <w:tcBorders>
              <w:top w:val="nil"/>
              <w:left w:val="nil"/>
              <w:bottom w:val="nil"/>
              <w:right w:val="nil"/>
            </w:tcBorders>
            <w:shd w:val="clear" w:color="auto" w:fill="auto"/>
            <w:noWrap/>
            <w:vAlign w:val="bottom"/>
            <w:hideMark/>
          </w:tcPr>
          <w:p w:rsidRPr="007C435B" w:rsidR="006E1153" w:rsidP="006E1153" w:rsidRDefault="006E1153">
            <w:pPr>
              <w:tabs>
                <w:tab w:val="left" w:pos="284"/>
              </w:tabs>
              <w:rPr>
                <w:rFonts w:ascii="Times New Roman" w:hAnsi="Times New Roman"/>
                <w:sz w:val="24"/>
              </w:rPr>
            </w:pPr>
          </w:p>
        </w:tc>
        <w:tc>
          <w:tcPr>
            <w:tcW w:w="0" w:type="auto"/>
            <w:tcBorders>
              <w:top w:val="nil"/>
              <w:left w:val="nil"/>
              <w:bottom w:val="nil"/>
              <w:right w:val="nil"/>
            </w:tcBorders>
            <w:shd w:val="clear" w:color="auto" w:fill="auto"/>
            <w:noWrap/>
            <w:vAlign w:val="bottom"/>
            <w:hideMark/>
          </w:tcPr>
          <w:p w:rsidRPr="007C435B" w:rsidR="006E1153" w:rsidP="006E1153" w:rsidRDefault="006E1153">
            <w:pPr>
              <w:tabs>
                <w:tab w:val="left" w:pos="284"/>
              </w:tabs>
              <w:rPr>
                <w:rFonts w:ascii="Times New Roman" w:hAnsi="Times New Roman"/>
                <w:sz w:val="24"/>
              </w:rPr>
            </w:pPr>
          </w:p>
        </w:tc>
        <w:tc>
          <w:tcPr>
            <w:tcW w:w="0" w:type="auto"/>
            <w:tcBorders>
              <w:top w:val="nil"/>
              <w:left w:val="nil"/>
              <w:bottom w:val="nil"/>
              <w:right w:val="nil"/>
            </w:tcBorders>
            <w:shd w:val="clear" w:color="auto" w:fill="auto"/>
            <w:noWrap/>
            <w:vAlign w:val="bottom"/>
            <w:hideMark/>
          </w:tcPr>
          <w:p w:rsidRPr="007C435B" w:rsidR="006E1153" w:rsidP="006E1153" w:rsidRDefault="006E1153">
            <w:pPr>
              <w:tabs>
                <w:tab w:val="left" w:pos="284"/>
              </w:tabs>
              <w:rPr>
                <w:rFonts w:ascii="Times New Roman" w:hAnsi="Times New Roman"/>
                <w:sz w:val="24"/>
              </w:rPr>
            </w:pP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Totaal</w:t>
            </w:r>
          </w:p>
        </w:tc>
        <w:tc>
          <w:tcPr>
            <w:tcW w:w="0" w:type="auto"/>
            <w:tcBorders>
              <w:top w:val="single" w:color="auto" w:sz="4" w:space="0"/>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5.421.259</w:t>
            </w:r>
          </w:p>
        </w:tc>
        <w:tc>
          <w:tcPr>
            <w:tcW w:w="0" w:type="auto"/>
            <w:tcBorders>
              <w:top w:val="single" w:color="auto" w:sz="4" w:space="0"/>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5.560.406</w:t>
            </w:r>
          </w:p>
        </w:tc>
        <w:tc>
          <w:tcPr>
            <w:tcW w:w="0" w:type="auto"/>
            <w:tcBorders>
              <w:top w:val="single" w:color="auto" w:sz="4" w:space="0"/>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679.437</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 </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w:t>
            </w:r>
          </w:p>
        </w:tc>
        <w:tc>
          <w:tcPr>
            <w:tcW w:w="0" w:type="auto"/>
            <w:tcBorders>
              <w:top w:val="nil"/>
              <w:left w:val="nil"/>
              <w:bottom w:val="single" w:color="auto" w:sz="4" w:space="0"/>
              <w:right w:val="single" w:color="auto" w:sz="4" w:space="0"/>
            </w:tcBorders>
            <w:shd w:val="clear" w:color="auto" w:fill="auto"/>
            <w:noWrap/>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Beleidsartikelen</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 </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Openbaar bestuur en democratie</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59.323</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59.323</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21.965</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2</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Nationale veiligheid</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274.253</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274.253</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13.214</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3</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Woningmarkt</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4.104.088</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4.104.213</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521.000</w:t>
            </w:r>
          </w:p>
        </w:tc>
      </w:tr>
      <w:tr w:rsidRPr="007C435B" w:rsidR="006E1153" w:rsidTr="00A76463">
        <w:trPr>
          <w:trHeight w:val="465"/>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4</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xml:space="preserve">Energietransitie gebouwde omgeving en bouwkwaliteit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155.508</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286.508</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91</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5</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Ruimtelijke ordening en Omgevingswet</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94.897</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102.919</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3.824</w:t>
            </w:r>
          </w:p>
        </w:tc>
      </w:tr>
      <w:tr w:rsidRPr="007C435B" w:rsidR="006E1153" w:rsidTr="00A76463">
        <w:trPr>
          <w:trHeight w:val="465"/>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6</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Overheidsdienstverlening en informatiesamenleving</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174.479</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174.479</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1.609</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7</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xml:space="preserve">Werkgevers- en </w:t>
            </w:r>
            <w:proofErr w:type="spellStart"/>
            <w:r w:rsidRPr="007C435B">
              <w:rPr>
                <w:rFonts w:ascii="Times New Roman" w:hAnsi="Times New Roman"/>
                <w:sz w:val="24"/>
              </w:rPr>
              <w:t>bedrijfsvoeringsbeleid</w:t>
            </w:r>
            <w:proofErr w:type="spellEnd"/>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33.427</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33.427</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520</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8</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Kwaliteit Rijksdienst</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0</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0</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0</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9</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Uitvoering Rijksvastgoedbeleid</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117.329</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117.329</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99.782</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w:t>
            </w:r>
          </w:p>
        </w:tc>
        <w:tc>
          <w:tcPr>
            <w:tcW w:w="0" w:type="auto"/>
            <w:tcBorders>
              <w:top w:val="nil"/>
              <w:left w:val="nil"/>
              <w:bottom w:val="single" w:color="auto" w:sz="4" w:space="0"/>
              <w:right w:val="single" w:color="auto" w:sz="4" w:space="0"/>
            </w:tcBorders>
            <w:shd w:val="clear" w:color="auto" w:fill="auto"/>
            <w:noWrap/>
            <w:vAlign w:val="bottom"/>
            <w:hideMark/>
          </w:tcPr>
          <w:p w:rsidRPr="007C435B" w:rsidR="006E1153" w:rsidP="006E1153" w:rsidRDefault="006E1153">
            <w:pPr>
              <w:tabs>
                <w:tab w:val="left" w:pos="284"/>
              </w:tabs>
              <w:rPr>
                <w:rFonts w:ascii="Times New Roman" w:hAnsi="Times New Roman"/>
                <w:b/>
                <w:bCs/>
                <w:sz w:val="24"/>
              </w:rPr>
            </w:pPr>
            <w:r w:rsidRPr="007C435B">
              <w:rPr>
                <w:rFonts w:ascii="Times New Roman" w:hAnsi="Times New Roman"/>
                <w:b/>
                <w:bCs/>
                <w:sz w:val="24"/>
              </w:rPr>
              <w:t>Niet-beleidsartikelen</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 </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11</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Centraal apparaat</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401.397</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401.397</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17.432</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12</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Algemeen</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6.558</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6.558</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0</w:t>
            </w:r>
          </w:p>
        </w:tc>
      </w:tr>
      <w:tr w:rsidRPr="007C435B"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13</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Nog onverdeeld</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0</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0</w:t>
            </w:r>
          </w:p>
        </w:tc>
        <w:tc>
          <w:tcPr>
            <w:tcW w:w="0" w:type="auto"/>
            <w:tcBorders>
              <w:top w:val="nil"/>
              <w:left w:val="nil"/>
              <w:bottom w:val="single" w:color="auto" w:sz="4" w:space="0"/>
              <w:right w:val="single" w:color="auto" w:sz="4" w:space="0"/>
            </w:tcBorders>
            <w:shd w:val="clear" w:color="auto" w:fill="auto"/>
            <w:vAlign w:val="bottom"/>
            <w:hideMark/>
          </w:tcPr>
          <w:p w:rsidRPr="007C435B" w:rsidR="006E1153" w:rsidP="006E1153" w:rsidRDefault="006E1153">
            <w:pPr>
              <w:tabs>
                <w:tab w:val="left" w:pos="284"/>
              </w:tabs>
              <w:rPr>
                <w:rFonts w:ascii="Times New Roman" w:hAnsi="Times New Roman"/>
                <w:sz w:val="24"/>
              </w:rPr>
            </w:pPr>
            <w:r w:rsidRPr="007C435B">
              <w:rPr>
                <w:rFonts w:ascii="Times New Roman" w:hAnsi="Times New Roman"/>
                <w:sz w:val="24"/>
              </w:rPr>
              <w:t>0</w:t>
            </w:r>
          </w:p>
        </w:tc>
      </w:tr>
    </w:tbl>
    <w:p w:rsidR="00765AC1" w:rsidP="00765AC1" w:rsidRDefault="00765AC1"/>
    <w:p w:rsidR="00D64F0D" w:rsidRDefault="00D64F0D">
      <w:r>
        <w:br w:type="page"/>
      </w:r>
    </w:p>
    <w:p w:rsidRPr="00BA4C20" w:rsidR="00D64F0D" w:rsidP="00D64F0D" w:rsidRDefault="00D64F0D">
      <w:pPr>
        <w:spacing w:line="240" w:lineRule="atLeast"/>
        <w:rPr>
          <w:rFonts w:ascii="Times New Roman" w:hAnsi="Times New Roman"/>
          <w:sz w:val="24"/>
        </w:rPr>
      </w:pPr>
      <w:r w:rsidRPr="00BA4C20">
        <w:rPr>
          <w:rFonts w:ascii="Times New Roman" w:hAnsi="Times New Roman"/>
          <w:sz w:val="24"/>
        </w:rPr>
        <w:lastRenderedPageBreak/>
        <w:t>(Bedragen x € 1.000)</w:t>
      </w:r>
    </w:p>
    <w:tbl>
      <w:tblPr>
        <w:tblW w:w="13178" w:type="dxa"/>
        <w:tblInd w:w="75" w:type="dxa"/>
        <w:tblCellMar>
          <w:left w:w="70" w:type="dxa"/>
          <w:right w:w="70" w:type="dxa"/>
        </w:tblCellMar>
        <w:tblLook w:val="04A0" w:firstRow="1" w:lastRow="0" w:firstColumn="1" w:lastColumn="0" w:noHBand="0" w:noVBand="1"/>
      </w:tblPr>
      <w:tblGrid>
        <w:gridCol w:w="4815"/>
        <w:gridCol w:w="3402"/>
        <w:gridCol w:w="2693"/>
        <w:gridCol w:w="2268"/>
      </w:tblGrid>
      <w:tr w:rsidRPr="00BA4C20" w:rsidR="00D64F0D" w:rsidTr="00BA4C20">
        <w:trPr>
          <w:trHeight w:val="296"/>
        </w:trPr>
        <w:tc>
          <w:tcPr>
            <w:tcW w:w="4815" w:type="dxa"/>
            <w:tcBorders>
              <w:top w:val="single" w:color="auto" w:sz="4" w:space="0"/>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b/>
                <w:bCs/>
                <w:sz w:val="24"/>
              </w:rPr>
            </w:pPr>
            <w:r w:rsidRPr="00BA4C20">
              <w:rPr>
                <w:rFonts w:ascii="Times New Roman" w:hAnsi="Times New Roman"/>
                <w:b/>
                <w:bCs/>
                <w:sz w:val="24"/>
              </w:rPr>
              <w:t>Naam baten-lastenagentschap</w:t>
            </w:r>
          </w:p>
        </w:tc>
        <w:tc>
          <w:tcPr>
            <w:tcW w:w="3402" w:type="dxa"/>
            <w:tcBorders>
              <w:top w:val="single" w:color="auto" w:sz="4" w:space="0"/>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
                <w:bCs/>
                <w:sz w:val="24"/>
              </w:rPr>
            </w:pPr>
            <w:r w:rsidRPr="00BA4C20">
              <w:rPr>
                <w:rFonts w:ascii="Times New Roman" w:hAnsi="Times New Roman"/>
                <w:b/>
                <w:bCs/>
                <w:sz w:val="24"/>
              </w:rPr>
              <w:t>Baten</w:t>
            </w:r>
          </w:p>
        </w:tc>
        <w:tc>
          <w:tcPr>
            <w:tcW w:w="2693" w:type="dxa"/>
            <w:tcBorders>
              <w:top w:val="single" w:color="auto" w:sz="4" w:space="0"/>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
                <w:bCs/>
                <w:sz w:val="24"/>
              </w:rPr>
            </w:pPr>
            <w:r w:rsidRPr="00BA4C20">
              <w:rPr>
                <w:rFonts w:ascii="Times New Roman" w:hAnsi="Times New Roman"/>
                <w:b/>
                <w:bCs/>
                <w:sz w:val="24"/>
              </w:rPr>
              <w:t>Lasten</w:t>
            </w:r>
          </w:p>
        </w:tc>
        <w:tc>
          <w:tcPr>
            <w:tcW w:w="2268" w:type="dxa"/>
            <w:tcBorders>
              <w:top w:val="single" w:color="auto" w:sz="4" w:space="0"/>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
                <w:bCs/>
                <w:sz w:val="24"/>
              </w:rPr>
            </w:pPr>
            <w:r w:rsidRPr="00BA4C20">
              <w:rPr>
                <w:rFonts w:ascii="Times New Roman" w:hAnsi="Times New Roman"/>
                <w:b/>
                <w:bCs/>
                <w:sz w:val="24"/>
              </w:rPr>
              <w:t>Saldo baten en lasten</w:t>
            </w:r>
          </w:p>
        </w:tc>
      </w:tr>
      <w:tr w:rsidRPr="00BA4C20" w:rsidR="00D64F0D" w:rsidTr="00BA4C20">
        <w:trPr>
          <w:trHeight w:val="29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Rijksdienst voor Identiteitsgegevens (</w:t>
            </w:r>
            <w:proofErr w:type="spellStart"/>
            <w:r w:rsidRPr="00BA4C20">
              <w:rPr>
                <w:rFonts w:ascii="Times New Roman" w:hAnsi="Times New Roman"/>
                <w:sz w:val="24"/>
              </w:rPr>
              <w:t>RvIG</w:t>
            </w:r>
            <w:proofErr w:type="spellEnd"/>
            <w:r w:rsidRPr="00BA4C20">
              <w:rPr>
                <w:rFonts w:ascii="Times New Roman" w:hAnsi="Times New Roman"/>
                <w:sz w:val="24"/>
              </w:rPr>
              <w:t>)</w:t>
            </w:r>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93.691</w:t>
            </w:r>
          </w:p>
        </w:tc>
        <w:tc>
          <w:tcPr>
            <w:tcW w:w="2693"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93.691</w:t>
            </w:r>
          </w:p>
        </w:tc>
        <w:tc>
          <w:tcPr>
            <w:tcW w:w="2268"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0</w:t>
            </w:r>
          </w:p>
        </w:tc>
      </w:tr>
      <w:tr w:rsidRPr="00BA4C20" w:rsidR="00D64F0D" w:rsidTr="00BA4C20">
        <w:trPr>
          <w:trHeight w:val="29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proofErr w:type="spellStart"/>
            <w:r w:rsidRPr="00BA4C20">
              <w:rPr>
                <w:rFonts w:ascii="Times New Roman" w:hAnsi="Times New Roman"/>
                <w:sz w:val="24"/>
              </w:rPr>
              <w:t>Logius</w:t>
            </w:r>
            <w:proofErr w:type="spellEnd"/>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228.779</w:t>
            </w:r>
          </w:p>
        </w:tc>
        <w:tc>
          <w:tcPr>
            <w:tcW w:w="2693"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228.779</w:t>
            </w:r>
          </w:p>
        </w:tc>
        <w:tc>
          <w:tcPr>
            <w:tcW w:w="2268"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0</w:t>
            </w:r>
          </w:p>
        </w:tc>
      </w:tr>
      <w:tr w:rsidRPr="00BA4C20" w:rsidR="00D64F0D" w:rsidTr="00BA4C20">
        <w:trPr>
          <w:trHeight w:val="29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P-</w:t>
            </w:r>
            <w:proofErr w:type="spellStart"/>
            <w:r w:rsidRPr="00BA4C20">
              <w:rPr>
                <w:rFonts w:ascii="Times New Roman" w:hAnsi="Times New Roman"/>
                <w:sz w:val="24"/>
              </w:rPr>
              <w:t>Direkt</w:t>
            </w:r>
            <w:proofErr w:type="spellEnd"/>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98.656</w:t>
            </w:r>
          </w:p>
        </w:tc>
        <w:tc>
          <w:tcPr>
            <w:tcW w:w="2693"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98.656</w:t>
            </w:r>
          </w:p>
        </w:tc>
        <w:tc>
          <w:tcPr>
            <w:tcW w:w="2268"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0</w:t>
            </w:r>
          </w:p>
        </w:tc>
      </w:tr>
      <w:tr w:rsidRPr="00BA4C20" w:rsidR="00D64F0D" w:rsidTr="00BA4C20">
        <w:trPr>
          <w:trHeight w:val="29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Uitvoeringorganisatie Bedrijfsvoering Rijk (UBR)</w:t>
            </w:r>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235.286</w:t>
            </w:r>
          </w:p>
        </w:tc>
        <w:tc>
          <w:tcPr>
            <w:tcW w:w="2693"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235.286</w:t>
            </w:r>
          </w:p>
        </w:tc>
        <w:tc>
          <w:tcPr>
            <w:tcW w:w="2268"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0</w:t>
            </w:r>
          </w:p>
        </w:tc>
      </w:tr>
      <w:tr w:rsidRPr="00BA4C20" w:rsidR="00D64F0D" w:rsidTr="00BA4C20">
        <w:trPr>
          <w:trHeight w:val="29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proofErr w:type="spellStart"/>
            <w:r w:rsidRPr="00BA4C20">
              <w:rPr>
                <w:rFonts w:ascii="Times New Roman" w:hAnsi="Times New Roman"/>
                <w:sz w:val="24"/>
              </w:rPr>
              <w:t>FMHaaglanden</w:t>
            </w:r>
            <w:proofErr w:type="spellEnd"/>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122.438</w:t>
            </w:r>
          </w:p>
        </w:tc>
        <w:tc>
          <w:tcPr>
            <w:tcW w:w="2693"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122.438</w:t>
            </w:r>
          </w:p>
        </w:tc>
        <w:tc>
          <w:tcPr>
            <w:tcW w:w="2268"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0</w:t>
            </w:r>
          </w:p>
        </w:tc>
      </w:tr>
      <w:tr w:rsidRPr="00BA4C20" w:rsidR="00D64F0D" w:rsidTr="00BA4C20">
        <w:trPr>
          <w:trHeight w:val="29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SSC ICT</w:t>
            </w:r>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318.791</w:t>
            </w:r>
          </w:p>
        </w:tc>
        <w:tc>
          <w:tcPr>
            <w:tcW w:w="2693"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318.791</w:t>
            </w:r>
          </w:p>
        </w:tc>
        <w:tc>
          <w:tcPr>
            <w:tcW w:w="2268"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0</w:t>
            </w:r>
          </w:p>
        </w:tc>
      </w:tr>
      <w:tr w:rsidRPr="00BA4C20" w:rsidR="00D64F0D" w:rsidTr="00BA4C20">
        <w:trPr>
          <w:trHeight w:val="29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Rijksvastgoedbedrijf (RVB)</w:t>
            </w:r>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1.185.175</w:t>
            </w:r>
          </w:p>
        </w:tc>
        <w:tc>
          <w:tcPr>
            <w:tcW w:w="2693"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1.185.175</w:t>
            </w:r>
          </w:p>
        </w:tc>
        <w:tc>
          <w:tcPr>
            <w:tcW w:w="2268"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0</w:t>
            </w:r>
          </w:p>
        </w:tc>
      </w:tr>
      <w:tr w:rsidRPr="00BA4C20" w:rsidR="00D64F0D" w:rsidTr="00BA4C20">
        <w:trPr>
          <w:trHeight w:val="29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Dienst van de Huurcommissie (DHC)</w:t>
            </w:r>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12.630</w:t>
            </w:r>
          </w:p>
        </w:tc>
        <w:tc>
          <w:tcPr>
            <w:tcW w:w="2693"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12.630</w:t>
            </w:r>
          </w:p>
        </w:tc>
        <w:tc>
          <w:tcPr>
            <w:tcW w:w="2268"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sz w:val="24"/>
              </w:rPr>
            </w:pPr>
            <w:r w:rsidRPr="00BA4C20">
              <w:rPr>
                <w:rFonts w:ascii="Times New Roman" w:hAnsi="Times New Roman"/>
                <w:sz w:val="24"/>
              </w:rPr>
              <w:t>0</w:t>
            </w:r>
          </w:p>
        </w:tc>
      </w:tr>
      <w:tr w:rsidRPr="00BA4C20" w:rsidR="00D64F0D" w:rsidTr="00BA4C20">
        <w:trPr>
          <w:trHeight w:val="29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b/>
                <w:bCs/>
                <w:sz w:val="24"/>
              </w:rPr>
            </w:pPr>
            <w:r w:rsidRPr="00BA4C20">
              <w:rPr>
                <w:rFonts w:ascii="Times New Roman" w:hAnsi="Times New Roman"/>
                <w:b/>
                <w:bCs/>
                <w:sz w:val="24"/>
              </w:rPr>
              <w:t>Totaal</w:t>
            </w:r>
          </w:p>
        </w:tc>
        <w:tc>
          <w:tcPr>
            <w:tcW w:w="3402" w:type="dxa"/>
            <w:tcBorders>
              <w:top w:val="nil"/>
              <w:left w:val="nil"/>
              <w:bottom w:val="single" w:color="auto" w:sz="4" w:space="0"/>
              <w:right w:val="single" w:color="auto" w:sz="4" w:space="0"/>
            </w:tcBorders>
            <w:shd w:val="clear" w:color="auto" w:fill="auto"/>
            <w:noWrap/>
            <w:vAlign w:val="bottom"/>
            <w:hideMark/>
          </w:tcPr>
          <w:p w:rsidRPr="00BA4C20" w:rsidR="00D64F0D" w:rsidP="00D64F0D" w:rsidRDefault="00D64F0D">
            <w:pPr>
              <w:jc w:val="right"/>
              <w:rPr>
                <w:rFonts w:ascii="Times New Roman" w:hAnsi="Times New Roman"/>
                <w:b/>
                <w:bCs/>
                <w:color w:val="000000"/>
                <w:sz w:val="24"/>
              </w:rPr>
            </w:pPr>
            <w:r w:rsidRPr="00BA4C20">
              <w:rPr>
                <w:rFonts w:ascii="Times New Roman" w:hAnsi="Times New Roman"/>
                <w:b/>
                <w:bCs/>
                <w:color w:val="000000"/>
                <w:sz w:val="24"/>
              </w:rPr>
              <w:t>2.295.446</w:t>
            </w:r>
          </w:p>
        </w:tc>
        <w:tc>
          <w:tcPr>
            <w:tcW w:w="2693" w:type="dxa"/>
            <w:tcBorders>
              <w:top w:val="nil"/>
              <w:left w:val="nil"/>
              <w:bottom w:val="single" w:color="auto" w:sz="4" w:space="0"/>
              <w:right w:val="single" w:color="auto" w:sz="4" w:space="0"/>
            </w:tcBorders>
            <w:shd w:val="clear" w:color="auto" w:fill="auto"/>
            <w:noWrap/>
            <w:vAlign w:val="bottom"/>
            <w:hideMark/>
          </w:tcPr>
          <w:p w:rsidRPr="00BA4C20" w:rsidR="00D64F0D" w:rsidP="00D64F0D" w:rsidRDefault="00D64F0D">
            <w:pPr>
              <w:jc w:val="right"/>
              <w:rPr>
                <w:rFonts w:ascii="Times New Roman" w:hAnsi="Times New Roman"/>
                <w:b/>
                <w:bCs/>
                <w:color w:val="000000"/>
                <w:sz w:val="24"/>
              </w:rPr>
            </w:pPr>
            <w:r w:rsidRPr="00BA4C20">
              <w:rPr>
                <w:rFonts w:ascii="Times New Roman" w:hAnsi="Times New Roman"/>
                <w:b/>
                <w:bCs/>
                <w:color w:val="000000"/>
                <w:sz w:val="24"/>
              </w:rPr>
              <w:t>2.295.446</w:t>
            </w:r>
          </w:p>
        </w:tc>
        <w:tc>
          <w:tcPr>
            <w:tcW w:w="2268" w:type="dxa"/>
            <w:tcBorders>
              <w:top w:val="nil"/>
              <w:left w:val="nil"/>
              <w:bottom w:val="single" w:color="auto" w:sz="4" w:space="0"/>
              <w:right w:val="single" w:color="auto" w:sz="4" w:space="0"/>
            </w:tcBorders>
            <w:shd w:val="clear" w:color="auto" w:fill="auto"/>
            <w:noWrap/>
            <w:vAlign w:val="bottom"/>
            <w:hideMark/>
          </w:tcPr>
          <w:p w:rsidRPr="00BA4C20" w:rsidR="00D64F0D" w:rsidP="00D64F0D" w:rsidRDefault="00D64F0D">
            <w:pPr>
              <w:jc w:val="right"/>
              <w:rPr>
                <w:rFonts w:ascii="Times New Roman" w:hAnsi="Times New Roman"/>
                <w:b/>
                <w:bCs/>
                <w:color w:val="000000"/>
                <w:sz w:val="24"/>
              </w:rPr>
            </w:pPr>
            <w:r w:rsidRPr="00BA4C20">
              <w:rPr>
                <w:rFonts w:ascii="Times New Roman" w:hAnsi="Times New Roman"/>
                <w:b/>
                <w:bCs/>
                <w:color w:val="000000"/>
                <w:sz w:val="24"/>
              </w:rPr>
              <w:t>0</w:t>
            </w:r>
          </w:p>
        </w:tc>
      </w:tr>
    </w:tbl>
    <w:p w:rsidRPr="00BA4C20" w:rsidR="00D64F0D" w:rsidP="00D64F0D" w:rsidRDefault="00D64F0D">
      <w:pPr>
        <w:spacing w:line="240" w:lineRule="atLeast"/>
        <w:rPr>
          <w:rFonts w:ascii="Times New Roman" w:hAnsi="Times New Roman"/>
          <w:sz w:val="24"/>
        </w:rPr>
      </w:pPr>
    </w:p>
    <w:p w:rsidRPr="00BA4C20" w:rsidR="00D64F0D" w:rsidP="00D64F0D" w:rsidRDefault="00D64F0D">
      <w:pPr>
        <w:spacing w:line="240" w:lineRule="atLeast"/>
        <w:rPr>
          <w:rFonts w:ascii="Times New Roman" w:hAnsi="Times New Roman"/>
          <w:sz w:val="24"/>
        </w:rPr>
      </w:pPr>
    </w:p>
    <w:tbl>
      <w:tblPr>
        <w:tblW w:w="13178" w:type="dxa"/>
        <w:tblInd w:w="75" w:type="dxa"/>
        <w:tblCellMar>
          <w:left w:w="70" w:type="dxa"/>
          <w:right w:w="70" w:type="dxa"/>
        </w:tblCellMar>
        <w:tblLook w:val="04A0" w:firstRow="1" w:lastRow="0" w:firstColumn="1" w:lastColumn="0" w:noHBand="0" w:noVBand="1"/>
      </w:tblPr>
      <w:tblGrid>
        <w:gridCol w:w="4815"/>
        <w:gridCol w:w="3402"/>
        <w:gridCol w:w="4961"/>
      </w:tblGrid>
      <w:tr w:rsidRPr="00BA4C20" w:rsidR="00D64F0D" w:rsidTr="00BA4C20">
        <w:trPr>
          <w:trHeight w:val="286"/>
        </w:trPr>
        <w:tc>
          <w:tcPr>
            <w:tcW w:w="4815" w:type="dxa"/>
            <w:tcBorders>
              <w:top w:val="single" w:color="auto" w:sz="4" w:space="0"/>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b/>
                <w:bCs/>
                <w:sz w:val="24"/>
              </w:rPr>
            </w:pPr>
            <w:r w:rsidRPr="00BA4C20">
              <w:rPr>
                <w:rFonts w:ascii="Times New Roman" w:hAnsi="Times New Roman"/>
                <w:b/>
                <w:bCs/>
                <w:sz w:val="24"/>
              </w:rPr>
              <w:t>Naam baten-lastenagentschap</w:t>
            </w:r>
          </w:p>
        </w:tc>
        <w:tc>
          <w:tcPr>
            <w:tcW w:w="3402" w:type="dxa"/>
            <w:tcBorders>
              <w:top w:val="single" w:color="auto" w:sz="4" w:space="0"/>
              <w:left w:val="nil"/>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b/>
                <w:bCs/>
                <w:sz w:val="24"/>
              </w:rPr>
            </w:pPr>
            <w:r w:rsidRPr="00BA4C20">
              <w:rPr>
                <w:rFonts w:ascii="Times New Roman" w:hAnsi="Times New Roman"/>
                <w:b/>
                <w:bCs/>
                <w:sz w:val="24"/>
              </w:rPr>
              <w:t>Totaal kapitaaluitgaven</w:t>
            </w:r>
          </w:p>
        </w:tc>
        <w:tc>
          <w:tcPr>
            <w:tcW w:w="4961" w:type="dxa"/>
            <w:tcBorders>
              <w:top w:val="single" w:color="auto" w:sz="4" w:space="0"/>
              <w:left w:val="nil"/>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b/>
                <w:bCs/>
                <w:sz w:val="24"/>
              </w:rPr>
            </w:pPr>
            <w:r w:rsidRPr="00BA4C20">
              <w:rPr>
                <w:rFonts w:ascii="Times New Roman" w:hAnsi="Times New Roman"/>
                <w:b/>
                <w:bCs/>
                <w:sz w:val="24"/>
              </w:rPr>
              <w:t>Totaal kapitaalontvangsten</w:t>
            </w:r>
          </w:p>
        </w:tc>
      </w:tr>
      <w:tr w:rsidRPr="00BA4C20" w:rsidR="00D64F0D" w:rsidTr="00BA4C20">
        <w:trPr>
          <w:trHeight w:val="28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Rijksdienst voor Identiteitsgegevens (</w:t>
            </w:r>
            <w:proofErr w:type="spellStart"/>
            <w:r w:rsidRPr="00BA4C20">
              <w:rPr>
                <w:rFonts w:ascii="Times New Roman" w:hAnsi="Times New Roman"/>
                <w:sz w:val="24"/>
              </w:rPr>
              <w:t>RvIG</w:t>
            </w:r>
            <w:proofErr w:type="spellEnd"/>
            <w:r w:rsidRPr="00BA4C20">
              <w:rPr>
                <w:rFonts w:ascii="Times New Roman" w:hAnsi="Times New Roman"/>
                <w:sz w:val="24"/>
              </w:rPr>
              <w:t>)</w:t>
            </w:r>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4.000</w:t>
            </w:r>
          </w:p>
        </w:tc>
        <w:tc>
          <w:tcPr>
            <w:tcW w:w="4961"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2.000</w:t>
            </w:r>
          </w:p>
        </w:tc>
      </w:tr>
      <w:tr w:rsidRPr="00BA4C20" w:rsidR="00D64F0D" w:rsidTr="00BA4C20">
        <w:trPr>
          <w:trHeight w:val="28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proofErr w:type="spellStart"/>
            <w:r w:rsidRPr="00BA4C20">
              <w:rPr>
                <w:rFonts w:ascii="Times New Roman" w:hAnsi="Times New Roman"/>
                <w:sz w:val="24"/>
              </w:rPr>
              <w:t>Logius</w:t>
            </w:r>
            <w:proofErr w:type="spellEnd"/>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400</w:t>
            </w:r>
          </w:p>
        </w:tc>
        <w:tc>
          <w:tcPr>
            <w:tcW w:w="4961"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0</w:t>
            </w:r>
          </w:p>
        </w:tc>
      </w:tr>
      <w:tr w:rsidRPr="00BA4C20" w:rsidR="00D64F0D" w:rsidTr="00BA4C20">
        <w:trPr>
          <w:trHeight w:val="28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P-</w:t>
            </w:r>
            <w:proofErr w:type="spellStart"/>
            <w:r w:rsidRPr="00BA4C20">
              <w:rPr>
                <w:rFonts w:ascii="Times New Roman" w:hAnsi="Times New Roman"/>
                <w:sz w:val="24"/>
              </w:rPr>
              <w:t>Direkt</w:t>
            </w:r>
            <w:proofErr w:type="spellEnd"/>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18.317</w:t>
            </w:r>
          </w:p>
        </w:tc>
        <w:tc>
          <w:tcPr>
            <w:tcW w:w="4961"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8.000</w:t>
            </w:r>
          </w:p>
        </w:tc>
      </w:tr>
      <w:tr w:rsidRPr="00BA4C20" w:rsidR="00D64F0D" w:rsidTr="00BA4C20">
        <w:trPr>
          <w:trHeight w:val="28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Uitvoeringorganisatie Bedrijfsvoering Rijk (UBR)</w:t>
            </w:r>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1.727</w:t>
            </w:r>
          </w:p>
        </w:tc>
        <w:tc>
          <w:tcPr>
            <w:tcW w:w="4961"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1.000</w:t>
            </w:r>
          </w:p>
        </w:tc>
      </w:tr>
      <w:tr w:rsidRPr="00BA4C20" w:rsidR="00D64F0D" w:rsidTr="00BA4C20">
        <w:trPr>
          <w:trHeight w:val="28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proofErr w:type="spellStart"/>
            <w:r w:rsidRPr="00BA4C20">
              <w:rPr>
                <w:rFonts w:ascii="Times New Roman" w:hAnsi="Times New Roman"/>
                <w:sz w:val="24"/>
              </w:rPr>
              <w:t>FMHaaglanden</w:t>
            </w:r>
            <w:proofErr w:type="spellEnd"/>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16.062</w:t>
            </w:r>
          </w:p>
        </w:tc>
        <w:tc>
          <w:tcPr>
            <w:tcW w:w="4961"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9.100</w:t>
            </w:r>
          </w:p>
        </w:tc>
      </w:tr>
      <w:tr w:rsidRPr="00BA4C20" w:rsidR="00D64F0D" w:rsidTr="00BA4C20">
        <w:trPr>
          <w:trHeight w:val="28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SSC ICT</w:t>
            </w:r>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116.833</w:t>
            </w:r>
          </w:p>
        </w:tc>
        <w:tc>
          <w:tcPr>
            <w:tcW w:w="4961"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47.118</w:t>
            </w:r>
          </w:p>
        </w:tc>
      </w:tr>
      <w:tr w:rsidRPr="00BA4C20" w:rsidR="00D64F0D" w:rsidTr="00BA4C20">
        <w:trPr>
          <w:trHeight w:val="28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Rijksvastgoedbedrijf (RVB)</w:t>
            </w:r>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1.032.105</w:t>
            </w:r>
          </w:p>
        </w:tc>
        <w:tc>
          <w:tcPr>
            <w:tcW w:w="4961"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701.000</w:t>
            </w:r>
          </w:p>
        </w:tc>
      </w:tr>
      <w:tr w:rsidRPr="00BA4C20" w:rsidR="00D64F0D" w:rsidTr="00BA4C20">
        <w:trPr>
          <w:trHeight w:val="286"/>
        </w:trPr>
        <w:tc>
          <w:tcPr>
            <w:tcW w:w="4815" w:type="dxa"/>
            <w:tcBorders>
              <w:top w:val="nil"/>
              <w:left w:val="single" w:color="auto" w:sz="4" w:space="0"/>
              <w:bottom w:val="single" w:color="auto" w:sz="4" w:space="0"/>
              <w:right w:val="single" w:color="auto" w:sz="4" w:space="0"/>
            </w:tcBorders>
            <w:shd w:val="clear" w:color="auto" w:fill="auto"/>
            <w:hideMark/>
          </w:tcPr>
          <w:p w:rsidRPr="00BA4C20" w:rsidR="00D64F0D" w:rsidP="00D64F0D" w:rsidRDefault="00D64F0D">
            <w:pPr>
              <w:rPr>
                <w:rFonts w:ascii="Times New Roman" w:hAnsi="Times New Roman"/>
                <w:sz w:val="24"/>
              </w:rPr>
            </w:pPr>
            <w:r w:rsidRPr="00BA4C20">
              <w:rPr>
                <w:rFonts w:ascii="Times New Roman" w:hAnsi="Times New Roman"/>
                <w:sz w:val="24"/>
              </w:rPr>
              <w:t>Dienst van de Huurcommissie (DHC)</w:t>
            </w:r>
          </w:p>
        </w:tc>
        <w:tc>
          <w:tcPr>
            <w:tcW w:w="3402"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0</w:t>
            </w:r>
          </w:p>
        </w:tc>
        <w:tc>
          <w:tcPr>
            <w:tcW w:w="4961" w:type="dxa"/>
            <w:tcBorders>
              <w:top w:val="nil"/>
              <w:left w:val="nil"/>
              <w:bottom w:val="single" w:color="auto" w:sz="4" w:space="0"/>
              <w:right w:val="single" w:color="auto" w:sz="4" w:space="0"/>
            </w:tcBorders>
            <w:shd w:val="clear" w:color="auto" w:fill="auto"/>
            <w:hideMark/>
          </w:tcPr>
          <w:p w:rsidRPr="00BA4C20" w:rsidR="00D64F0D" w:rsidP="00D64F0D" w:rsidRDefault="00D64F0D">
            <w:pPr>
              <w:jc w:val="right"/>
              <w:rPr>
                <w:rFonts w:ascii="Times New Roman" w:hAnsi="Times New Roman"/>
                <w:bCs/>
                <w:sz w:val="24"/>
              </w:rPr>
            </w:pPr>
            <w:r w:rsidRPr="00BA4C20">
              <w:rPr>
                <w:rFonts w:ascii="Times New Roman" w:hAnsi="Times New Roman"/>
                <w:bCs/>
                <w:sz w:val="24"/>
              </w:rPr>
              <w:t>0</w:t>
            </w:r>
          </w:p>
        </w:tc>
      </w:tr>
      <w:tr w:rsidRPr="00BA4C20" w:rsidR="00D64F0D" w:rsidTr="00BA4C20">
        <w:trPr>
          <w:trHeight w:val="286"/>
        </w:trPr>
        <w:tc>
          <w:tcPr>
            <w:tcW w:w="4815" w:type="dxa"/>
            <w:tcBorders>
              <w:top w:val="nil"/>
              <w:left w:val="single" w:color="auto" w:sz="4" w:space="0"/>
              <w:bottom w:val="single" w:color="auto" w:sz="4" w:space="0"/>
              <w:right w:val="single" w:color="auto" w:sz="4" w:space="0"/>
            </w:tcBorders>
            <w:shd w:val="clear" w:color="auto" w:fill="auto"/>
            <w:noWrap/>
            <w:vAlign w:val="bottom"/>
            <w:hideMark/>
          </w:tcPr>
          <w:p w:rsidRPr="00BA4C20" w:rsidR="00D64F0D" w:rsidP="00D64F0D" w:rsidRDefault="00D64F0D">
            <w:pPr>
              <w:rPr>
                <w:rFonts w:ascii="Times New Roman" w:hAnsi="Times New Roman"/>
                <w:b/>
                <w:bCs/>
                <w:color w:val="000000"/>
                <w:sz w:val="24"/>
              </w:rPr>
            </w:pPr>
            <w:r w:rsidRPr="00BA4C20">
              <w:rPr>
                <w:rFonts w:ascii="Times New Roman" w:hAnsi="Times New Roman"/>
                <w:b/>
                <w:bCs/>
                <w:color w:val="000000"/>
                <w:sz w:val="24"/>
              </w:rPr>
              <w:t>Totaal</w:t>
            </w:r>
          </w:p>
        </w:tc>
        <w:tc>
          <w:tcPr>
            <w:tcW w:w="3402" w:type="dxa"/>
            <w:tcBorders>
              <w:top w:val="nil"/>
              <w:left w:val="nil"/>
              <w:bottom w:val="single" w:color="auto" w:sz="4" w:space="0"/>
              <w:right w:val="single" w:color="auto" w:sz="4" w:space="0"/>
            </w:tcBorders>
            <w:shd w:val="clear" w:color="auto" w:fill="auto"/>
            <w:noWrap/>
            <w:vAlign w:val="bottom"/>
            <w:hideMark/>
          </w:tcPr>
          <w:p w:rsidRPr="00BA4C20" w:rsidR="00D64F0D" w:rsidP="00D64F0D" w:rsidRDefault="00D64F0D">
            <w:pPr>
              <w:jc w:val="right"/>
              <w:rPr>
                <w:rFonts w:ascii="Times New Roman" w:hAnsi="Times New Roman"/>
                <w:b/>
                <w:bCs/>
                <w:color w:val="000000"/>
                <w:sz w:val="24"/>
              </w:rPr>
            </w:pPr>
            <w:r w:rsidRPr="00BA4C20">
              <w:rPr>
                <w:rFonts w:ascii="Times New Roman" w:hAnsi="Times New Roman"/>
                <w:b/>
                <w:bCs/>
                <w:color w:val="000000"/>
                <w:sz w:val="24"/>
              </w:rPr>
              <w:t>1.189.444</w:t>
            </w:r>
          </w:p>
        </w:tc>
        <w:tc>
          <w:tcPr>
            <w:tcW w:w="4961" w:type="dxa"/>
            <w:tcBorders>
              <w:top w:val="nil"/>
              <w:left w:val="nil"/>
              <w:bottom w:val="single" w:color="auto" w:sz="4" w:space="0"/>
              <w:right w:val="single" w:color="auto" w:sz="4" w:space="0"/>
            </w:tcBorders>
            <w:shd w:val="clear" w:color="auto" w:fill="auto"/>
            <w:noWrap/>
            <w:vAlign w:val="bottom"/>
            <w:hideMark/>
          </w:tcPr>
          <w:p w:rsidRPr="00BA4C20" w:rsidR="00D64F0D" w:rsidP="00D64F0D" w:rsidRDefault="00D64F0D">
            <w:pPr>
              <w:jc w:val="right"/>
              <w:rPr>
                <w:rFonts w:ascii="Times New Roman" w:hAnsi="Times New Roman"/>
                <w:b/>
                <w:bCs/>
                <w:color w:val="000000"/>
                <w:sz w:val="24"/>
              </w:rPr>
            </w:pPr>
            <w:r w:rsidRPr="00BA4C20">
              <w:rPr>
                <w:rFonts w:ascii="Times New Roman" w:hAnsi="Times New Roman"/>
                <w:b/>
                <w:bCs/>
                <w:color w:val="000000"/>
                <w:sz w:val="24"/>
              </w:rPr>
              <w:t>768.218</w:t>
            </w:r>
          </w:p>
        </w:tc>
      </w:tr>
    </w:tbl>
    <w:p w:rsidRPr="00BA4C20" w:rsidR="00D64F0D" w:rsidP="00D64F0D" w:rsidRDefault="00D64F0D">
      <w:pPr>
        <w:spacing w:line="240" w:lineRule="atLeast"/>
        <w:rPr>
          <w:rFonts w:ascii="Times New Roman" w:hAnsi="Times New Roman"/>
          <w:sz w:val="24"/>
        </w:rPr>
      </w:pPr>
    </w:p>
    <w:p w:rsidR="00D64F0D" w:rsidP="00765AC1" w:rsidRDefault="00D64F0D">
      <w:pPr>
        <w:rPr>
          <w:vanish/>
        </w:rPr>
      </w:pPr>
    </w:p>
    <w:p w:rsidR="00765AC1" w:rsidP="00765AC1" w:rsidRDefault="00765AC1">
      <w:pPr>
        <w:rPr>
          <w:vanish/>
        </w:rPr>
      </w:pPr>
      <w:r>
        <w:br w:type="page"/>
      </w:r>
    </w:p>
    <w:sectPr w:rsidR="00765AC1" w:rsidSect="00765AC1">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AC1" w:rsidRDefault="00765AC1">
      <w:pPr>
        <w:spacing w:line="20" w:lineRule="exact"/>
      </w:pPr>
    </w:p>
  </w:endnote>
  <w:endnote w:type="continuationSeparator" w:id="0">
    <w:p w:rsidR="00765AC1" w:rsidRDefault="00765AC1">
      <w:pPr>
        <w:pStyle w:val="Amendement"/>
      </w:pPr>
      <w:r>
        <w:rPr>
          <w:b w:val="0"/>
          <w:bCs w:val="0"/>
        </w:rPr>
        <w:t xml:space="preserve"> </w:t>
      </w:r>
    </w:p>
  </w:endnote>
  <w:endnote w:type="continuationNotice" w:id="1">
    <w:p w:rsidR="00765AC1" w:rsidRDefault="00765AC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21938">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AC1" w:rsidRDefault="00765AC1">
      <w:pPr>
        <w:pStyle w:val="Amendement"/>
      </w:pPr>
      <w:r>
        <w:rPr>
          <w:b w:val="0"/>
          <w:bCs w:val="0"/>
        </w:rPr>
        <w:separator/>
      </w:r>
    </w:p>
  </w:footnote>
  <w:footnote w:type="continuationSeparator" w:id="0">
    <w:p w:rsidR="00765AC1" w:rsidRDefault="00765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C1"/>
    <w:rsid w:val="00012DBE"/>
    <w:rsid w:val="000A1D81"/>
    <w:rsid w:val="00111ED3"/>
    <w:rsid w:val="001C190E"/>
    <w:rsid w:val="002168F4"/>
    <w:rsid w:val="002A5F22"/>
    <w:rsid w:val="002A727C"/>
    <w:rsid w:val="00421938"/>
    <w:rsid w:val="005D2707"/>
    <w:rsid w:val="00602079"/>
    <w:rsid w:val="00602217"/>
    <w:rsid w:val="00606255"/>
    <w:rsid w:val="00697C59"/>
    <w:rsid w:val="006B607A"/>
    <w:rsid w:val="006E1153"/>
    <w:rsid w:val="00765AC1"/>
    <w:rsid w:val="007C435B"/>
    <w:rsid w:val="007D451C"/>
    <w:rsid w:val="00801C80"/>
    <w:rsid w:val="00826224"/>
    <w:rsid w:val="00857070"/>
    <w:rsid w:val="00930A23"/>
    <w:rsid w:val="009C7354"/>
    <w:rsid w:val="009E6D7F"/>
    <w:rsid w:val="00A11E73"/>
    <w:rsid w:val="00A2521E"/>
    <w:rsid w:val="00AE436A"/>
    <w:rsid w:val="00BA4C20"/>
    <w:rsid w:val="00BE10DF"/>
    <w:rsid w:val="00C073C3"/>
    <w:rsid w:val="00C135B1"/>
    <w:rsid w:val="00C92DF8"/>
    <w:rsid w:val="00CB3578"/>
    <w:rsid w:val="00D20AFA"/>
    <w:rsid w:val="00D55648"/>
    <w:rsid w:val="00D64F0D"/>
    <w:rsid w:val="00E023D9"/>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765AC1"/>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65AC1"/>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65AC1"/>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697C59"/>
  </w:style>
  <w:style w:type="paragraph" w:styleId="Ballontekst">
    <w:name w:val="Balloon Text"/>
    <w:basedOn w:val="Standaard"/>
    <w:link w:val="BallontekstChar"/>
    <w:rsid w:val="00857070"/>
    <w:rPr>
      <w:rFonts w:ascii="Tahoma" w:hAnsi="Tahoma" w:cs="Tahoma"/>
      <w:sz w:val="16"/>
      <w:szCs w:val="16"/>
    </w:rPr>
  </w:style>
  <w:style w:type="character" w:customStyle="1" w:styleId="BallontekstChar">
    <w:name w:val="Ballontekst Char"/>
    <w:basedOn w:val="Standaardalinea-lettertype"/>
    <w:link w:val="Ballontekst"/>
    <w:rsid w:val="008570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765AC1"/>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65AC1"/>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65AC1"/>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697C59"/>
  </w:style>
  <w:style w:type="paragraph" w:styleId="Ballontekst">
    <w:name w:val="Balloon Text"/>
    <w:basedOn w:val="Standaard"/>
    <w:link w:val="BallontekstChar"/>
    <w:rsid w:val="00857070"/>
    <w:rPr>
      <w:rFonts w:ascii="Tahoma" w:hAnsi="Tahoma" w:cs="Tahoma"/>
      <w:sz w:val="16"/>
      <w:szCs w:val="16"/>
    </w:rPr>
  </w:style>
  <w:style w:type="character" w:customStyle="1" w:styleId="BallontekstChar">
    <w:name w:val="Ballontekst Char"/>
    <w:basedOn w:val="Standaardalinea-lettertype"/>
    <w:link w:val="Ballontekst"/>
    <w:rsid w:val="00857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583</ap:Words>
  <ap:Characters>3211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2018-12-11T11:48:00.0000000Z</lastPrinted>
  <dcterms:created xsi:type="dcterms:W3CDTF">2018-12-07T09:38:00.0000000Z</dcterms:created>
  <dcterms:modified xsi:type="dcterms:W3CDTF">2019-01-07T15:54:00.0000000Z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0x010100379EE58794EC354A949AE814925C98A5</vt:lpwstr>
  </property>
</Properties>
</file>