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EE" w:rsidP="00EF1300" w:rsidRDefault="009C38EE" w14:paraId="4847DF95" w14:textId="77777777">
      <w:pPr>
        <w:rPr>
          <w:bCs/>
        </w:rPr>
      </w:pPr>
      <w:r>
        <w:rPr>
          <w:b/>
          <w:bCs/>
        </w:rPr>
        <w:t>Voorstel PvdD Ronde Tafelgesprek Ratificatiewet CETA</w:t>
      </w:r>
    </w:p>
    <w:p w:rsidR="009C38EE" w:rsidP="00EF1300" w:rsidRDefault="009C38EE" w14:paraId="6230FAD2" w14:textId="77777777">
      <w:pPr>
        <w:rPr>
          <w:bCs/>
        </w:rPr>
      </w:pPr>
    </w:p>
    <w:p w:rsidR="009C38EE" w:rsidP="00EF1300" w:rsidRDefault="00EF1300" w14:paraId="50D76A03" w14:textId="59A93058">
      <w:pPr>
        <w:rPr>
          <w:bCs/>
        </w:rPr>
      </w:pPr>
      <w:r>
        <w:rPr>
          <w:bCs/>
        </w:rPr>
        <w:t>In</w:t>
      </w:r>
      <w:r w:rsidR="002764C7">
        <w:rPr>
          <w:bCs/>
        </w:rPr>
        <w:t xml:space="preserve"> september 2017 is CETA voorwaardelijk in werking</w:t>
      </w:r>
      <w:r>
        <w:rPr>
          <w:bCs/>
        </w:rPr>
        <w:t xml:space="preserve"> getreden</w:t>
      </w:r>
      <w:r w:rsidR="002764C7">
        <w:rPr>
          <w:bCs/>
        </w:rPr>
        <w:t>. Dat betekent dat de h</w:t>
      </w:r>
      <w:r w:rsidR="00277F1A">
        <w:rPr>
          <w:bCs/>
        </w:rPr>
        <w:t>andelsafspraken uit het verdrag</w:t>
      </w:r>
      <w:r w:rsidR="002839E3">
        <w:rPr>
          <w:bCs/>
        </w:rPr>
        <w:t xml:space="preserve"> feitelijk</w:t>
      </w:r>
      <w:r>
        <w:rPr>
          <w:bCs/>
        </w:rPr>
        <w:t xml:space="preserve"> in werking zijn getreden. </w:t>
      </w:r>
      <w:r w:rsidR="002764C7">
        <w:rPr>
          <w:bCs/>
        </w:rPr>
        <w:t xml:space="preserve">Er is tot nu toe nog geen Ronde Tafel </w:t>
      </w:r>
      <w:r w:rsidR="009A6A45">
        <w:rPr>
          <w:bCs/>
        </w:rPr>
        <w:t xml:space="preserve">door de Tweede Kamer </w:t>
      </w:r>
      <w:r w:rsidR="002839E3">
        <w:rPr>
          <w:bCs/>
        </w:rPr>
        <w:t xml:space="preserve">over CETA </w:t>
      </w:r>
      <w:r w:rsidR="009A6A45">
        <w:rPr>
          <w:bCs/>
        </w:rPr>
        <w:t>georganiseerd</w:t>
      </w:r>
      <w:r>
        <w:rPr>
          <w:bCs/>
        </w:rPr>
        <w:t xml:space="preserve">. In maart </w:t>
      </w:r>
      <w:r w:rsidR="002764C7">
        <w:rPr>
          <w:bCs/>
        </w:rPr>
        <w:t xml:space="preserve">2019 </w:t>
      </w:r>
      <w:r>
        <w:rPr>
          <w:bCs/>
        </w:rPr>
        <w:t xml:space="preserve">is de commissie </w:t>
      </w:r>
      <w:r w:rsidR="002764C7">
        <w:rPr>
          <w:bCs/>
          <w:i/>
        </w:rPr>
        <w:t>gebriefd</w:t>
      </w:r>
      <w:r w:rsidR="002764C7">
        <w:rPr>
          <w:bCs/>
        </w:rPr>
        <w:t xml:space="preserve"> door ambtenaren van het ministerie.</w:t>
      </w:r>
    </w:p>
    <w:p w:rsidR="006E080C" w:rsidP="00EF1300" w:rsidRDefault="006E080C" w14:paraId="3814046D" w14:textId="77777777">
      <w:pPr>
        <w:rPr>
          <w:bCs/>
        </w:rPr>
      </w:pPr>
    </w:p>
    <w:p w:rsidR="002764C7" w:rsidP="00EF1300" w:rsidRDefault="002764C7" w14:paraId="2F078545" w14:textId="3D7C95C4">
      <w:pPr>
        <w:rPr>
          <w:bCs/>
        </w:rPr>
      </w:pPr>
      <w:r>
        <w:rPr>
          <w:bCs/>
        </w:rPr>
        <w:t>Doordat CETA twee jaar</w:t>
      </w:r>
      <w:r w:rsidR="002B27A5">
        <w:rPr>
          <w:bCs/>
        </w:rPr>
        <w:t xml:space="preserve"> geleden</w:t>
      </w:r>
      <w:r>
        <w:rPr>
          <w:bCs/>
        </w:rPr>
        <w:t xml:space="preserve"> voorlopig in werking is getreden, zijn er nu meer gegevens besch</w:t>
      </w:r>
      <w:r w:rsidR="00663E4C">
        <w:rPr>
          <w:bCs/>
        </w:rPr>
        <w:t>ikbaar over de gevolgen van de al dan niet veranderde handelsst</w:t>
      </w:r>
      <w:r w:rsidR="006E080C">
        <w:rPr>
          <w:bCs/>
        </w:rPr>
        <w:t xml:space="preserve">romen voor bedrijven, agrariërs, </w:t>
      </w:r>
      <w:r w:rsidR="00663E4C">
        <w:rPr>
          <w:bCs/>
        </w:rPr>
        <w:t>werknemers</w:t>
      </w:r>
      <w:r w:rsidR="006E080C">
        <w:rPr>
          <w:bCs/>
        </w:rPr>
        <w:t xml:space="preserve"> en het milieu. Daarnaast heeft het Europese Hof afgelopen voorjaar uitspraak gedaan over het geschillenbeslechtingsmechanisme</w:t>
      </w:r>
      <w:r w:rsidR="002B27A5">
        <w:rPr>
          <w:bCs/>
        </w:rPr>
        <w:t xml:space="preserve"> dat onderdeel is van CETA.</w:t>
      </w:r>
    </w:p>
    <w:p w:rsidR="006E080C" w:rsidP="00EF1300" w:rsidRDefault="006E080C" w14:paraId="038DB69E" w14:textId="6EA38FA8">
      <w:pPr>
        <w:rPr>
          <w:bCs/>
        </w:rPr>
      </w:pPr>
    </w:p>
    <w:p w:rsidR="006E080C" w:rsidP="006E080C" w:rsidRDefault="006E080C" w14:paraId="6F9B3268" w14:textId="31D3953C">
      <w:pPr>
        <w:rPr>
          <w:bCs/>
        </w:rPr>
      </w:pPr>
      <w:r>
        <w:rPr>
          <w:bCs/>
        </w:rPr>
        <w:t xml:space="preserve">Om de Kamercommissie de mogelijkheid te geven zich te laten informeren over de gevolgen van CETA </w:t>
      </w:r>
      <w:r w:rsidR="002B27A5">
        <w:rPr>
          <w:bCs/>
        </w:rPr>
        <w:t>voor de verschillende groepen</w:t>
      </w:r>
      <w:r w:rsidRPr="00A17628" w:rsidR="00A17628">
        <w:rPr>
          <w:bCs/>
        </w:rPr>
        <w:t xml:space="preserve"> </w:t>
      </w:r>
      <w:r w:rsidR="00A17628">
        <w:rPr>
          <w:bCs/>
        </w:rPr>
        <w:t>in de praktijk</w:t>
      </w:r>
      <w:r w:rsidR="005F6401">
        <w:rPr>
          <w:bCs/>
        </w:rPr>
        <w:t xml:space="preserve"> </w:t>
      </w:r>
      <w:r w:rsidR="00A17628">
        <w:rPr>
          <w:bCs/>
        </w:rPr>
        <w:t xml:space="preserve">en </w:t>
      </w:r>
      <w:r w:rsidR="002B27A5">
        <w:rPr>
          <w:bCs/>
        </w:rPr>
        <w:t xml:space="preserve">over </w:t>
      </w:r>
      <w:r>
        <w:rPr>
          <w:bCs/>
        </w:rPr>
        <w:t>de uitspraak van het Europese Hof, stelt de PvdD de volgende organisaties en sprekers voor.</w:t>
      </w:r>
    </w:p>
    <w:p w:rsidR="002764C7" w:rsidP="00EF1300" w:rsidRDefault="002764C7" w14:paraId="14E38059" w14:textId="77777777">
      <w:pPr>
        <w:rPr>
          <w:bCs/>
        </w:rPr>
      </w:pPr>
    </w:p>
    <w:p w:rsidR="00EF1300" w:rsidP="00EF1300" w:rsidRDefault="00EF1300" w14:paraId="36A93530" w14:textId="4B0BF7D5">
      <w:pPr>
        <w:rPr>
          <w:bCs/>
        </w:rPr>
      </w:pPr>
      <w:r>
        <w:rPr>
          <w:bCs/>
        </w:rPr>
        <w:t>In het voorstel is getracht rekening te houden met een evenwichtige verdeling van sprekers.</w:t>
      </w:r>
      <w:r w:rsidR="00663E4C">
        <w:rPr>
          <w:bCs/>
        </w:rPr>
        <w:t xml:space="preserve"> De </w:t>
      </w:r>
      <w:r w:rsidR="009A6A45">
        <w:rPr>
          <w:bCs/>
        </w:rPr>
        <w:t>Ronde Tafel</w:t>
      </w:r>
      <w:r w:rsidR="00663E4C">
        <w:rPr>
          <w:bCs/>
        </w:rPr>
        <w:t xml:space="preserve"> dient in ieder geval plaats te vinden voor de plenaire behandeling van de </w:t>
      </w:r>
      <w:r w:rsidR="00277F1A">
        <w:rPr>
          <w:bCs/>
        </w:rPr>
        <w:t>R</w:t>
      </w:r>
      <w:r w:rsidR="00663E4C">
        <w:rPr>
          <w:bCs/>
        </w:rPr>
        <w:t xml:space="preserve">atificatiewet. </w:t>
      </w:r>
      <w:r w:rsidR="002B27A5">
        <w:rPr>
          <w:bCs/>
        </w:rPr>
        <w:t>De</w:t>
      </w:r>
      <w:r w:rsidR="00B41575">
        <w:rPr>
          <w:bCs/>
        </w:rPr>
        <w:t xml:space="preserve"> Ronde Tafel</w:t>
      </w:r>
      <w:r w:rsidR="002B27A5">
        <w:rPr>
          <w:bCs/>
        </w:rPr>
        <w:t xml:space="preserve"> zou idealiter</w:t>
      </w:r>
      <w:r w:rsidR="00B41575">
        <w:rPr>
          <w:bCs/>
        </w:rPr>
        <w:t xml:space="preserve"> in de</w:t>
      </w:r>
      <w:r w:rsidR="00663E4C">
        <w:rPr>
          <w:bCs/>
        </w:rPr>
        <w:t xml:space="preserve"> eerste week na het herfstreces (de week van 28 oktober) moeten plaatsvinden. </w:t>
      </w:r>
      <w:r w:rsidR="005F6401">
        <w:rPr>
          <w:bCs/>
        </w:rPr>
        <w:t>Voorwaarde is hierbij wel dat er geen vertr</w:t>
      </w:r>
      <w:r w:rsidR="00277F1A">
        <w:rPr>
          <w:bCs/>
        </w:rPr>
        <w:t>aging in de behandeling van de R</w:t>
      </w:r>
      <w:r w:rsidR="005F6401">
        <w:rPr>
          <w:bCs/>
        </w:rPr>
        <w:t xml:space="preserve">atificatiewet optreedt. </w:t>
      </w:r>
      <w:r w:rsidR="00DC1E75">
        <w:rPr>
          <w:bCs/>
        </w:rPr>
        <w:t xml:space="preserve">Per blok zal </w:t>
      </w:r>
      <w:r w:rsidR="005F6401">
        <w:rPr>
          <w:bCs/>
        </w:rPr>
        <w:t>50 minuten moeten volstaa</w:t>
      </w:r>
      <w:r w:rsidR="00A17628">
        <w:rPr>
          <w:bCs/>
        </w:rPr>
        <w:t>t. De totale duur van de Ronde T</w:t>
      </w:r>
      <w:r w:rsidR="005F6401">
        <w:rPr>
          <w:bCs/>
        </w:rPr>
        <w:t>afel zal dan op 2,5 uur uitkomen.</w:t>
      </w:r>
    </w:p>
    <w:p w:rsidR="00DC1E75" w:rsidP="00EF1300" w:rsidRDefault="00DC1E75" w14:paraId="1BC40AC8" w14:textId="4ADE4CB5">
      <w:pPr>
        <w:rPr>
          <w:bCs/>
        </w:rPr>
      </w:pP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A51E53" w:rsidTr="0023662D" w14:paraId="0CE47FFD" w14:textId="77777777">
        <w:tc>
          <w:tcPr>
            <w:tcW w:w="9062" w:type="dxa"/>
            <w:gridSpan w:val="2"/>
            <w:shd w:val="clear" w:color="auto" w:fill="auto"/>
          </w:tcPr>
          <w:p w:rsidR="00A51E53" w:rsidRDefault="00A51E53" w14:paraId="04535B5C" w14:textId="78A2CB1B">
            <w:pPr>
              <w:rPr>
                <w:b/>
                <w:bCs/>
              </w:rPr>
            </w:pPr>
            <w:r>
              <w:rPr>
                <w:b/>
                <w:bCs/>
              </w:rPr>
              <w:t>Voorstel PvdD Ronde Tafelgesprek Ratificatiewet CETA</w:t>
            </w:r>
          </w:p>
        </w:tc>
      </w:tr>
      <w:tr w:rsidR="00A51E53" w:rsidTr="00A51E53" w14:paraId="608AE200" w14:textId="77777777">
        <w:tc>
          <w:tcPr>
            <w:tcW w:w="4532" w:type="dxa"/>
            <w:shd w:val="clear" w:color="auto" w:fill="auto"/>
          </w:tcPr>
          <w:p w:rsidR="00A51E53" w:rsidP="00A51E53" w:rsidRDefault="00A51E53" w14:paraId="594A458B" w14:textId="77777777">
            <w:pPr>
              <w:rPr>
                <w:b/>
                <w:bCs/>
              </w:rPr>
            </w:pPr>
          </w:p>
        </w:tc>
        <w:tc>
          <w:tcPr>
            <w:tcW w:w="4530" w:type="dxa"/>
            <w:shd w:val="clear" w:color="auto" w:fill="auto"/>
          </w:tcPr>
          <w:p w:rsidR="00A51E53" w:rsidRDefault="00A51E53" w14:paraId="115AB97E" w14:textId="77777777">
            <w:pPr>
              <w:rPr>
                <w:b/>
                <w:bCs/>
              </w:rPr>
            </w:pPr>
          </w:p>
        </w:tc>
      </w:tr>
      <w:tr w:rsidR="00A51E53" w:rsidTr="00A51E53" w14:paraId="50973ED8" w14:textId="77777777">
        <w:tc>
          <w:tcPr>
            <w:tcW w:w="4532" w:type="dxa"/>
            <w:shd w:val="clear" w:color="auto" w:fill="auto"/>
          </w:tcPr>
          <w:p w:rsidR="00A51E53" w:rsidP="00A51E53" w:rsidRDefault="00A51E53" w14:paraId="704679C8" w14:textId="506CC8CF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Organisatie</w:t>
            </w: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5ABAF008" w14:textId="78609B4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Vertegenwoordiger</w:t>
            </w:r>
          </w:p>
        </w:tc>
      </w:tr>
      <w:tr w:rsidR="00A51E53" w:rsidTr="00A51E53" w14:paraId="2ED0BE1D" w14:textId="77777777">
        <w:tc>
          <w:tcPr>
            <w:tcW w:w="4532" w:type="dxa"/>
            <w:shd w:val="clear" w:color="auto" w:fill="auto"/>
          </w:tcPr>
          <w:p w:rsidR="00A51E53" w:rsidP="00A51E53" w:rsidRDefault="00A51E53" w14:paraId="33D810A4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03034091" w14:textId="77777777">
            <w:pPr>
              <w:rPr>
                <w:b/>
                <w:bCs/>
                <w:szCs w:val="20"/>
              </w:rPr>
            </w:pPr>
          </w:p>
        </w:tc>
      </w:tr>
      <w:tr w:rsidR="00A51E53" w:rsidTr="00A51E53" w14:paraId="2E1BD6DB" w14:textId="77777777">
        <w:tc>
          <w:tcPr>
            <w:tcW w:w="4532" w:type="dxa"/>
            <w:shd w:val="clear" w:color="auto" w:fill="auto"/>
          </w:tcPr>
          <w:p w:rsidR="00A51E53" w:rsidP="00DC1E75" w:rsidRDefault="00A51E53" w14:paraId="350EBCCA" w14:textId="60C1200C">
            <w:pPr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Bedrijfsleven en vakbonden</w:t>
            </w:r>
            <w:r w:rsidR="00DC1E75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116D6DD9" w14:textId="77777777">
            <w:pPr>
              <w:rPr>
                <w:bCs/>
                <w:szCs w:val="20"/>
              </w:rPr>
            </w:pPr>
          </w:p>
        </w:tc>
      </w:tr>
      <w:tr w:rsidR="00A51E53" w:rsidTr="00A51E53" w14:paraId="246A393A" w14:textId="6EB599DE">
        <w:tc>
          <w:tcPr>
            <w:tcW w:w="4532" w:type="dxa"/>
            <w:shd w:val="clear" w:color="auto" w:fill="auto"/>
          </w:tcPr>
          <w:p w:rsidR="00A51E53" w:rsidP="00A51E53" w:rsidRDefault="00A51E53" w14:paraId="7D0E4BCC" w14:textId="1A7C16B9">
            <w:pPr>
              <w:rPr>
                <w:szCs w:val="20"/>
              </w:rPr>
            </w:pPr>
            <w:r>
              <w:rPr>
                <w:bCs/>
                <w:szCs w:val="20"/>
              </w:rPr>
              <w:t>VNO-NCW</w:t>
            </w: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287ED2D0" w14:textId="52F8728A">
            <w:pPr>
              <w:rPr>
                <w:b/>
                <w:bCs/>
                <w:szCs w:val="20"/>
              </w:rPr>
            </w:pPr>
            <w:proofErr w:type="spellStart"/>
            <w:r>
              <w:t>Marhijn</w:t>
            </w:r>
            <w:proofErr w:type="spellEnd"/>
            <w:r>
              <w:t xml:space="preserve"> Visser</w:t>
            </w:r>
          </w:p>
        </w:tc>
      </w:tr>
      <w:tr w:rsidR="00A51E53" w:rsidTr="00A51E53" w14:paraId="0FF18499" w14:textId="1543F8EF">
        <w:tc>
          <w:tcPr>
            <w:tcW w:w="4532" w:type="dxa"/>
            <w:shd w:val="clear" w:color="auto" w:fill="auto"/>
          </w:tcPr>
          <w:p w:rsidR="00A51E53" w:rsidP="00A51E53" w:rsidRDefault="00A51E53" w14:paraId="1A221A5F" w14:textId="258089DB">
            <w:pPr>
              <w:rPr>
                <w:b/>
                <w:bCs/>
                <w:szCs w:val="20"/>
              </w:rPr>
            </w:pPr>
            <w:r w:rsidRPr="00F71564">
              <w:rPr>
                <w:bCs/>
                <w:szCs w:val="20"/>
              </w:rPr>
              <w:t>FNV</w:t>
            </w:r>
          </w:p>
        </w:tc>
        <w:tc>
          <w:tcPr>
            <w:tcW w:w="4530" w:type="dxa"/>
            <w:shd w:val="clear" w:color="auto" w:fill="auto"/>
          </w:tcPr>
          <w:p w:rsidRPr="00F71564" w:rsidR="00A51E53" w:rsidP="00A51E53" w:rsidRDefault="00A51E53" w14:paraId="295A801C" w14:textId="194CF60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Tuur Elzinga</w:t>
            </w:r>
          </w:p>
        </w:tc>
      </w:tr>
      <w:tr w:rsidR="00A51E53" w:rsidTr="00A51E53" w14:paraId="1F3D4B96" w14:textId="38885F9D">
        <w:tc>
          <w:tcPr>
            <w:tcW w:w="4532" w:type="dxa"/>
            <w:shd w:val="clear" w:color="auto" w:fill="auto"/>
          </w:tcPr>
          <w:p w:rsidRPr="00593401" w:rsidR="00A51E53" w:rsidP="00A51E53" w:rsidRDefault="00A51E53" w14:paraId="3F788D91" w14:textId="3C740F4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Canadese multinational</w:t>
            </w:r>
          </w:p>
        </w:tc>
        <w:tc>
          <w:tcPr>
            <w:tcW w:w="4530" w:type="dxa"/>
            <w:shd w:val="clear" w:color="auto" w:fill="auto"/>
          </w:tcPr>
          <w:p w:rsidRPr="00F71564" w:rsidR="00A51E53" w:rsidP="00A51E53" w:rsidRDefault="00A51E53" w14:paraId="0EDBBF0F" w14:textId="4C572287">
            <w:pPr>
              <w:rPr>
                <w:bCs/>
                <w:szCs w:val="20"/>
              </w:rPr>
            </w:pPr>
            <w:proofErr w:type="spellStart"/>
            <w:r w:rsidRPr="00593401">
              <w:rPr>
                <w:bCs/>
                <w:szCs w:val="20"/>
              </w:rPr>
              <w:t>Vermilion</w:t>
            </w:r>
            <w:proofErr w:type="spellEnd"/>
          </w:p>
        </w:tc>
      </w:tr>
      <w:tr w:rsidR="00A51E53" w:rsidTr="00A51E53" w14:paraId="04B4D540" w14:textId="77777777">
        <w:tc>
          <w:tcPr>
            <w:tcW w:w="4532" w:type="dxa"/>
            <w:shd w:val="clear" w:color="auto" w:fill="auto"/>
          </w:tcPr>
          <w:p w:rsidR="00A51E53" w:rsidP="00A51E53" w:rsidRDefault="00A51E53" w14:paraId="0D89889F" w14:textId="77777777">
            <w:pPr>
              <w:rPr>
                <w:b/>
                <w:bCs/>
              </w:rPr>
            </w:pP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704AE80B" w14:textId="77777777">
            <w:pPr>
              <w:rPr>
                <w:b/>
                <w:bCs/>
                <w:szCs w:val="20"/>
              </w:rPr>
            </w:pPr>
          </w:p>
        </w:tc>
      </w:tr>
      <w:tr w:rsidR="00A51E53" w:rsidTr="00A51E53" w14:paraId="121F3ADC" w14:textId="77777777">
        <w:tc>
          <w:tcPr>
            <w:tcW w:w="4532" w:type="dxa"/>
            <w:shd w:val="clear" w:color="auto" w:fill="auto"/>
          </w:tcPr>
          <w:p w:rsidR="00A51E53" w:rsidP="00A51E53" w:rsidRDefault="00A51E53" w14:paraId="2865B76B" w14:textId="026EB38F">
            <w:pPr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Boerenorganisaties</w:t>
            </w:r>
            <w:r w:rsidR="00DC1E75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613A3C11" w14:textId="77777777">
            <w:pPr>
              <w:rPr>
                <w:b/>
                <w:bCs/>
                <w:szCs w:val="20"/>
              </w:rPr>
            </w:pPr>
          </w:p>
        </w:tc>
      </w:tr>
      <w:tr w:rsidR="00A51E53" w:rsidTr="00A51E53" w14:paraId="7E554D9A" w14:textId="77777777">
        <w:tc>
          <w:tcPr>
            <w:tcW w:w="4532" w:type="dxa"/>
            <w:shd w:val="clear" w:color="auto" w:fill="auto"/>
          </w:tcPr>
          <w:p w:rsidR="00A51E53" w:rsidP="00A51E53" w:rsidRDefault="00A51E53" w14:paraId="5321C5DD" w14:textId="79412B3F">
            <w:pPr>
              <w:rPr>
                <w:bCs/>
              </w:rPr>
            </w:pPr>
            <w:r>
              <w:rPr>
                <w:bCs/>
              </w:rPr>
              <w:t>Nederlandse Akkerbouwers Vakbond</w:t>
            </w: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51B0951D" w14:textId="1A2470A7">
            <w:pPr>
              <w:rPr>
                <w:bCs/>
              </w:rPr>
            </w:pPr>
            <w:proofErr w:type="spellStart"/>
            <w:r w:rsidRPr="00A51E53">
              <w:rPr>
                <w:bCs/>
              </w:rPr>
              <w:t>Keimpe</w:t>
            </w:r>
            <w:proofErr w:type="spellEnd"/>
            <w:r w:rsidRPr="00A51E53">
              <w:rPr>
                <w:bCs/>
              </w:rPr>
              <w:t xml:space="preserve"> van der Heide</w:t>
            </w:r>
          </w:p>
        </w:tc>
      </w:tr>
      <w:tr w:rsidR="00A51E53" w:rsidTr="00A51E53" w14:paraId="31299CBC" w14:textId="77777777">
        <w:tc>
          <w:tcPr>
            <w:tcW w:w="4532" w:type="dxa"/>
            <w:shd w:val="clear" w:color="auto" w:fill="auto"/>
          </w:tcPr>
          <w:p w:rsidR="00A51E53" w:rsidP="00A51E53" w:rsidRDefault="00A51E53" w14:paraId="298F0582" w14:textId="299CDA12">
            <w:pPr>
              <w:rPr>
                <w:bCs/>
              </w:rPr>
            </w:pPr>
            <w:r>
              <w:rPr>
                <w:bCs/>
                <w:szCs w:val="20"/>
              </w:rPr>
              <w:t xml:space="preserve">Boer Bewust </w:t>
            </w: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6ED309BD" w14:textId="6D5D49B4">
            <w:pPr>
              <w:rPr>
                <w:bCs/>
              </w:rPr>
            </w:pPr>
            <w:r>
              <w:rPr>
                <w:bCs/>
                <w:szCs w:val="20"/>
              </w:rPr>
              <w:t xml:space="preserve">Mark </w:t>
            </w:r>
            <w:proofErr w:type="spellStart"/>
            <w:r>
              <w:rPr>
                <w:bCs/>
                <w:szCs w:val="20"/>
              </w:rPr>
              <w:t>Brantjes</w:t>
            </w:r>
            <w:proofErr w:type="spellEnd"/>
          </w:p>
        </w:tc>
      </w:tr>
      <w:tr w:rsidR="00A51E53" w:rsidTr="00A51E53" w14:paraId="28293819" w14:textId="77777777">
        <w:tc>
          <w:tcPr>
            <w:tcW w:w="4532" w:type="dxa"/>
            <w:shd w:val="clear" w:color="auto" w:fill="auto"/>
          </w:tcPr>
          <w:p w:rsidRPr="00B27082" w:rsidR="00A51E53" w:rsidP="00A51E53" w:rsidRDefault="00A51E53" w14:paraId="246EA28E" w14:textId="7BA8487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Team Agro NL</w:t>
            </w: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435ED549" w14:textId="2EE168DD">
            <w:pPr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>Caroline van der Plas</w:t>
            </w:r>
          </w:p>
        </w:tc>
      </w:tr>
      <w:tr w:rsidR="00A51E53" w:rsidTr="00A51E53" w14:paraId="065C36DF" w14:textId="77777777">
        <w:tc>
          <w:tcPr>
            <w:tcW w:w="4532" w:type="dxa"/>
            <w:shd w:val="clear" w:color="auto" w:fill="auto"/>
          </w:tcPr>
          <w:p w:rsidR="00A51E53" w:rsidP="00A51E53" w:rsidRDefault="00A51E53" w14:paraId="5059E41C" w14:textId="759ACD95">
            <w:pPr>
              <w:rPr>
                <w:b/>
                <w:bCs/>
                <w:szCs w:val="20"/>
              </w:rPr>
            </w:pP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2390D586" w14:textId="77777777">
            <w:pPr>
              <w:rPr>
                <w:b/>
                <w:bCs/>
                <w:szCs w:val="20"/>
              </w:rPr>
            </w:pPr>
          </w:p>
        </w:tc>
      </w:tr>
      <w:tr w:rsidR="00A51E53" w:rsidTr="00A51E53" w14:paraId="1DA69E7D" w14:textId="77777777">
        <w:tc>
          <w:tcPr>
            <w:tcW w:w="4532" w:type="dxa"/>
            <w:shd w:val="clear" w:color="auto" w:fill="auto"/>
          </w:tcPr>
          <w:p w:rsidR="00A51E53" w:rsidP="00A51E53" w:rsidRDefault="00A51E53" w14:paraId="1AB1BD8A" w14:textId="77777777">
            <w:pPr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Wetenschappers/juristen</w:t>
            </w: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2FC11746" w14:textId="77777777">
            <w:pPr>
              <w:rPr>
                <w:b/>
                <w:bCs/>
                <w:szCs w:val="20"/>
              </w:rPr>
            </w:pPr>
          </w:p>
        </w:tc>
      </w:tr>
      <w:tr w:rsidR="00A51E53" w:rsidTr="00A51E53" w14:paraId="69E0E96A" w14:textId="77777777">
        <w:tc>
          <w:tcPr>
            <w:tcW w:w="4532" w:type="dxa"/>
            <w:shd w:val="clear" w:color="auto" w:fill="auto"/>
          </w:tcPr>
          <w:p w:rsidR="00A51E53" w:rsidP="00A51E53" w:rsidRDefault="00A51E53" w14:paraId="1C1AF4E2" w14:textId="5C824D11">
            <w:pPr>
              <w:rPr>
                <w:bCs/>
              </w:rPr>
            </w:pPr>
            <w:r>
              <w:rPr>
                <w:bCs/>
                <w:szCs w:val="20"/>
              </w:rPr>
              <w:t xml:space="preserve">Specialist over de Joint </w:t>
            </w:r>
            <w:proofErr w:type="spellStart"/>
            <w:r>
              <w:rPr>
                <w:bCs/>
                <w:szCs w:val="20"/>
              </w:rPr>
              <w:t>Committees</w:t>
            </w:r>
            <w:proofErr w:type="spellEnd"/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513142EA" w14:textId="6B140AD9">
            <w:pPr>
              <w:rPr>
                <w:bCs/>
              </w:rPr>
            </w:pPr>
            <w:r>
              <w:rPr>
                <w:bCs/>
                <w:szCs w:val="20"/>
              </w:rPr>
              <w:t xml:space="preserve">Wolfgang </w:t>
            </w:r>
            <w:proofErr w:type="spellStart"/>
            <w:r>
              <w:rPr>
                <w:bCs/>
                <w:szCs w:val="20"/>
              </w:rPr>
              <w:t>Weiss</w:t>
            </w:r>
            <w:proofErr w:type="spellEnd"/>
            <w:r>
              <w:rPr>
                <w:bCs/>
                <w:szCs w:val="20"/>
              </w:rPr>
              <w:t xml:space="preserve"> of </w:t>
            </w:r>
            <w:r>
              <w:rPr>
                <w:szCs w:val="20"/>
              </w:rPr>
              <w:t xml:space="preserve">Thomas </w:t>
            </w:r>
            <w:proofErr w:type="spellStart"/>
            <w:r>
              <w:rPr>
                <w:szCs w:val="20"/>
              </w:rPr>
              <w:t>Köller</w:t>
            </w:r>
            <w:proofErr w:type="spellEnd"/>
          </w:p>
        </w:tc>
      </w:tr>
      <w:tr w:rsidR="00A51E53" w:rsidTr="00A51E53" w14:paraId="2E65585C" w14:textId="77777777">
        <w:tc>
          <w:tcPr>
            <w:tcW w:w="4532" w:type="dxa"/>
            <w:shd w:val="clear" w:color="auto" w:fill="auto"/>
          </w:tcPr>
          <w:p w:rsidR="00A51E53" w:rsidP="00A51E53" w:rsidRDefault="00A51E53" w14:paraId="7467829D" w14:textId="19B4E12D">
            <w:pPr>
              <w:rPr>
                <w:szCs w:val="20"/>
              </w:rPr>
            </w:pPr>
            <w:r>
              <w:rPr>
                <w:bCs/>
                <w:szCs w:val="20"/>
              </w:rPr>
              <w:t>E</w:t>
            </w:r>
            <w:r w:rsidR="00B41575">
              <w:rPr>
                <w:bCs/>
                <w:szCs w:val="20"/>
              </w:rPr>
              <w:t>uropees publiekrecht</w:t>
            </w:r>
          </w:p>
        </w:tc>
        <w:tc>
          <w:tcPr>
            <w:tcW w:w="4530" w:type="dxa"/>
            <w:shd w:val="clear" w:color="auto" w:fill="auto"/>
          </w:tcPr>
          <w:p w:rsidR="00A51E53" w:rsidP="00A51E53" w:rsidRDefault="002B27A5" w14:paraId="420AAB95" w14:textId="3EA654E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UHD </w:t>
            </w:r>
            <w:r w:rsidR="00A51E53">
              <w:rPr>
                <w:bCs/>
                <w:szCs w:val="20"/>
              </w:rPr>
              <w:t>L</w:t>
            </w:r>
            <w:r w:rsidR="00B41575">
              <w:rPr>
                <w:bCs/>
                <w:szCs w:val="20"/>
              </w:rPr>
              <w:t>aurens Ankersmit, UVA</w:t>
            </w:r>
          </w:p>
        </w:tc>
      </w:tr>
      <w:tr w:rsidR="00A51E53" w:rsidTr="00A51E53" w14:paraId="68011B43" w14:textId="77777777">
        <w:tc>
          <w:tcPr>
            <w:tcW w:w="4532" w:type="dxa"/>
            <w:shd w:val="clear" w:color="auto" w:fill="auto"/>
          </w:tcPr>
          <w:p w:rsidR="00A51E53" w:rsidP="009C38EE" w:rsidRDefault="002B27A5" w14:paraId="00FB841D" w14:textId="47A699E0">
            <w:pPr>
              <w:rPr>
                <w:szCs w:val="20"/>
              </w:rPr>
            </w:pPr>
            <w:r w:rsidRPr="002B27A5">
              <w:rPr>
                <w:szCs w:val="20"/>
              </w:rPr>
              <w:t xml:space="preserve">Int. Trade </w:t>
            </w:r>
            <w:proofErr w:type="spellStart"/>
            <w:r w:rsidRPr="002B27A5">
              <w:rPr>
                <w:szCs w:val="20"/>
              </w:rPr>
              <w:t>and</w:t>
            </w:r>
            <w:proofErr w:type="spellEnd"/>
            <w:r w:rsidRPr="002B27A5">
              <w:rPr>
                <w:szCs w:val="20"/>
              </w:rPr>
              <w:t xml:space="preserve"> Investment </w:t>
            </w:r>
            <w:proofErr w:type="spellStart"/>
            <w:r w:rsidRPr="002B27A5">
              <w:rPr>
                <w:szCs w:val="20"/>
              </w:rPr>
              <w:t>Law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:rsidR="00A51E53" w:rsidP="006F73B7" w:rsidRDefault="002B27A5" w14:paraId="4C07F2F9" w14:textId="6CD7596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UHD Erik </w:t>
            </w:r>
            <w:proofErr w:type="spellStart"/>
            <w:r>
              <w:rPr>
                <w:bCs/>
                <w:szCs w:val="20"/>
              </w:rPr>
              <w:t>Den</w:t>
            </w:r>
            <w:r w:rsidR="006F73B7">
              <w:rPr>
                <w:bCs/>
                <w:szCs w:val="20"/>
              </w:rPr>
              <w:t>t</w:t>
            </w:r>
            <w:r>
              <w:rPr>
                <w:bCs/>
                <w:szCs w:val="20"/>
              </w:rPr>
              <w:t>ers</w:t>
            </w:r>
            <w:proofErr w:type="spellEnd"/>
            <w:r>
              <w:rPr>
                <w:bCs/>
                <w:szCs w:val="20"/>
              </w:rPr>
              <w:t>, VU</w:t>
            </w:r>
          </w:p>
        </w:tc>
      </w:tr>
      <w:tr w:rsidR="00A51E53" w:rsidTr="00A51E53" w14:paraId="79A4583E" w14:textId="77777777">
        <w:tc>
          <w:tcPr>
            <w:tcW w:w="4532" w:type="dxa"/>
            <w:shd w:val="clear" w:color="auto" w:fill="auto"/>
          </w:tcPr>
          <w:p w:rsidR="00A51E53" w:rsidP="00A51E53" w:rsidRDefault="00A51E53" w14:paraId="2A6607EC" w14:textId="77777777">
            <w:pPr>
              <w:rPr>
                <w:bCs/>
                <w:szCs w:val="20"/>
              </w:rPr>
            </w:pPr>
          </w:p>
        </w:tc>
        <w:tc>
          <w:tcPr>
            <w:tcW w:w="4530" w:type="dxa"/>
            <w:shd w:val="clear" w:color="auto" w:fill="auto"/>
          </w:tcPr>
          <w:p w:rsidR="00A51E53" w:rsidP="00A51E53" w:rsidRDefault="00A51E53" w14:paraId="274ABF94" w14:textId="77777777">
            <w:pPr>
              <w:rPr>
                <w:bCs/>
                <w:szCs w:val="20"/>
              </w:rPr>
            </w:pPr>
          </w:p>
        </w:tc>
      </w:tr>
    </w:tbl>
    <w:p w:rsidRPr="009C38EE" w:rsidR="00396DB8" w:rsidRDefault="00396DB8" w14:paraId="43988172" w14:textId="40CB9EC7">
      <w:pPr>
        <w:rPr>
          <w:i/>
        </w:rPr>
      </w:pPr>
      <w:bookmarkStart w:name="_GoBack" w:id="0"/>
      <w:bookmarkEnd w:id="0"/>
    </w:p>
    <w:sectPr w:rsidRPr="009C38EE" w:rsidR="00396DB8">
      <w:pgSz w:w="11906" w:h="16838"/>
      <w:pgMar w:top="1417" w:right="1417" w:bottom="1417" w:left="1417" w:header="0" w:footer="0" w:gutter="0"/>
      <w:cols w:space="708"/>
      <w:formProt w:val="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B8"/>
    <w:rsid w:val="002764C7"/>
    <w:rsid w:val="00277F1A"/>
    <w:rsid w:val="002839E3"/>
    <w:rsid w:val="002B27A5"/>
    <w:rsid w:val="00396DB8"/>
    <w:rsid w:val="003A065F"/>
    <w:rsid w:val="00432324"/>
    <w:rsid w:val="00593401"/>
    <w:rsid w:val="005F1214"/>
    <w:rsid w:val="005F6401"/>
    <w:rsid w:val="00663E4C"/>
    <w:rsid w:val="006E080C"/>
    <w:rsid w:val="006F73B7"/>
    <w:rsid w:val="00882EC6"/>
    <w:rsid w:val="009A6A45"/>
    <w:rsid w:val="009C38EE"/>
    <w:rsid w:val="00A17628"/>
    <w:rsid w:val="00A51E53"/>
    <w:rsid w:val="00B27082"/>
    <w:rsid w:val="00B41575"/>
    <w:rsid w:val="00CA4887"/>
    <w:rsid w:val="00DC1E75"/>
    <w:rsid w:val="00EF1300"/>
    <w:rsid w:val="00EF3003"/>
    <w:rsid w:val="00F37987"/>
    <w:rsid w:val="00F7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351B"/>
  <w15:docId w15:val="{DBAA24A9-6E8C-49C2-916D-2F684FFC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787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table" w:styleId="Tabelraster">
    <w:name w:val="Table Grid"/>
    <w:basedOn w:val="Standaardtabel"/>
    <w:rsid w:val="00FC787D"/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imes New Roman" w:eastAsia="Times New Roman" w:hAnsi="Times New Roman" w:cs="Times New Roman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156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1564"/>
    <w:rPr>
      <w:rFonts w:ascii="Segoe UI" w:eastAsia="Times New Roman" w:hAnsi="Segoe UI" w:cs="Segoe UI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2E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82EC6"/>
    <w:rPr>
      <w:rFonts w:ascii="Times New Roman" w:eastAsia="Times New Roman" w:hAnsi="Times New Roman" w:cs="Times New Roman"/>
      <w:b/>
      <w:bCs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311</ap:Words>
  <ap:Characters>1712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>------------------------</dc:description>
  <lastModifiedBy/>
  <revision/>
  <lastPrinted>2019-09-09T07:53:00.0000000Z</lastPrinted>
  <dcterms:created xsi:type="dcterms:W3CDTF">2019-09-09T09:38:00.0000000Z</dcterms:created>
  <dcterms:modified xsi:type="dcterms:W3CDTF">2019-09-09T09:38:00.0000000Z</dcterms:modified>
  <dc:language>en-US</dc:language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Tweede Kamer der Staten-Generaal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0x01010076E1F884A119F145AF1D341CC0FAED89</vt:lpwstr>
  </property>
</Properties>
</file>