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W04.20.0015/I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22 april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76095A" w:rsidRDefault="007A6E7E">
              <w:r>
                <w:t>Bij Kabinetsmissive van 24 januari 2020, no.2020000149, heeft Uwe Majesteit, op voordracht van de Minister van Binnenlandse Zaken en Koninkrijksrelaties, bij de Afdeling advisering van de Raad van State ter overweging aanhangig gemaakt het voorstel van wet tot wijziging van de Wet gemeenschappelijke regelingen en enige andere wetten in verband met het versterken van de democratische legitimatie van gemeenschappelijke regelingen,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554689944"/>
              </w:sdtPr>
              <w:sdtEndPr/>
              <w:sdtContent>
                <w:sdt>
                  <w:sdtPr>
                    <w:alias w:val="VrijeTekst1"/>
                    <w:tag w:val="VrijeTekst1"/>
                    <w:id w:val="-1964800674"/>
                  </w:sdtPr>
                  <w:sdtEndPr/>
                  <w:sdtContent>
                    <w:sdt>
                      <w:sdtPr>
                        <w:alias w:val="VrijeTekst1"/>
                        <w:tag w:val="VrijeTekst1"/>
                        <w:id w:val="-786350062"/>
                      </w:sdtPr>
                      <w:sdtEndPr/>
                      <w:sdtContent>
                        <w:sdt>
                          <w:sdtPr>
                            <w:alias w:val="VrijeTekst1"/>
                            <w:tag w:val="VrijeTekst1"/>
                            <w:id w:val="-2096629279"/>
                          </w:sdtPr>
                          <w:sdtEndPr/>
                          <w:sdtContent>
                            <w:sdt>
                              <w:sdtPr>
                                <w:alias w:val="VrijeTekst1"/>
                                <w:tag w:val="VrijeTekst1"/>
                                <w:id w:val="233897764"/>
                              </w:sdtPr>
                              <w:sdtEndPr/>
                              <w:sdtContent>
                                <w:sdt>
                                  <w:sdtPr>
                                    <w:alias w:val="VrijeTekst1"/>
                                    <w:tag w:val="VrijeTekst1"/>
                                    <w:id w:val="1835490798"/>
                                  </w:sdtPr>
                                  <w:sdtEndPr/>
                                  <w:sdtContent>
                                    <w:p w:rsidR="00C16A9F" w:rsidP="00C16A9F" w:rsidRDefault="007A6E7E">
                                      <w:r>
                                        <w:t xml:space="preserve">Het wetsvoorstel beoogt de democratische legitimatie van gemeenschappelijke regelingen te versterken. Het gaat daarbij om de </w:t>
                                      </w:r>
                                      <w:proofErr w:type="spellStart"/>
                                      <w:r>
                                        <w:t>kaderstellende</w:t>
                                      </w:r>
                                      <w:proofErr w:type="spellEnd"/>
                                      <w:r>
                                        <w:t xml:space="preserve"> en controlerende rol van met name gemeenteraden, maar ook van provinciale staten en algemene besturen van waterschappen bij de uitvoering van taken in gemeenschappelijke regelingen. Om de gewenste versterking te bereiken, introduceert het wetsvoorstel een aantal aanpassingen van en aanvullingen op bestaande instrumenten van de volksvertegenwoordiging. Daarnaast richt het wetsvoorstel zich </w:t>
                                      </w:r>
                                      <w:r>
                                        <w:rPr>
                                          <w:rFonts w:cstheme="minorHAnsi"/>
                                        </w:rPr>
                                        <w:t>op het vergroten van participatiemogelijkheden van burgers en belanghebbenden bij de besluitvorming in gemeenschappelijke regelingen.</w:t>
                                      </w:r>
                                    </w:p>
                                    <w:p w:rsidR="00C16A9F" w:rsidP="00C16A9F" w:rsidRDefault="001E59B9"/>
                                    <w:p w:rsidR="00C16A9F" w:rsidP="00C16A9F" w:rsidRDefault="007A6E7E">
                                      <w:pPr>
                                        <w:rPr>
                                          <w:rFonts w:cstheme="minorHAnsi"/>
                                        </w:rPr>
                                      </w:pPr>
                                      <w:r>
                                        <w:rPr>
                                          <w:rFonts w:cstheme="minorHAnsi"/>
                                        </w:rPr>
                                        <w:t>D</w:t>
                                      </w:r>
                                      <w:r w:rsidRPr="000B5E16">
                                        <w:rPr>
                                          <w:rFonts w:cstheme="minorHAnsi"/>
                                        </w:rPr>
                                        <w:t xml:space="preserve">e Afdeling </w:t>
                                      </w:r>
                                      <w:r>
                                        <w:rPr>
                                          <w:rFonts w:cstheme="minorHAnsi"/>
                                        </w:rPr>
                                        <w:t xml:space="preserve">advisering van de Raad van State </w:t>
                                      </w:r>
                                      <w:r w:rsidRPr="000B5E16">
                                        <w:rPr>
                                          <w:rFonts w:cstheme="minorHAnsi"/>
                                        </w:rPr>
                                        <w:t xml:space="preserve">heeft een aantal opmerkingen bij het </w:t>
                                      </w:r>
                                      <w:r>
                                        <w:rPr>
                                          <w:rFonts w:cstheme="minorHAnsi"/>
                                        </w:rPr>
                                        <w:t>wets</w:t>
                                      </w:r>
                                      <w:r w:rsidRPr="000B5E16">
                                        <w:rPr>
                                          <w:rFonts w:cstheme="minorHAnsi"/>
                                        </w:rPr>
                                        <w:t>voorstel</w:t>
                                      </w:r>
                                      <w:r>
                                        <w:rPr>
                                          <w:rFonts w:cstheme="minorHAnsi"/>
                                        </w:rPr>
                                        <w:t>. Deze hebben onder andere betrekking op de rollen die de verschillende bestuursorganen binnen – met name – de gemeente hebben te vervullen en de uitvoerbaarheid van het voorstel.</w:t>
                                      </w:r>
                                      <w:r>
                                        <w:rPr>
                                          <w:rStyle w:val="Voetnootmarkering"/>
                                          <w:rFonts w:cstheme="minorHAnsi"/>
                                        </w:rPr>
                                        <w:footnoteReference w:id="1"/>
                                      </w:r>
                                      <w:r>
                                        <w:rPr>
                                          <w:rFonts w:cstheme="minorHAnsi"/>
                                        </w:rPr>
                                        <w:t xml:space="preserve"> Ook adviseert de Afdeling om </w:t>
                                      </w:r>
                                      <w:r w:rsidRPr="00C649A8">
                                        <w:rPr>
                                          <w:rFonts w:cstheme="minorHAnsi"/>
                                        </w:rPr>
                                        <w:t xml:space="preserve">op een meer fundamentele wijze te bezien op welke wijze de democratie op lokaal en regionaal niveau structureel kan worden versterkt. </w:t>
                                      </w:r>
                                      <w:r w:rsidRPr="00C42A6A">
                                        <w:rPr>
                                          <w:rFonts w:cstheme="minorHAnsi"/>
                                        </w:rPr>
                                        <w:t>In verband daarmee is enige aanpassing van het voorstel en de toelichting wenselijk</w:t>
                                      </w:r>
                                      <w:r>
                                        <w:rPr>
                                          <w:rFonts w:cstheme="minorHAnsi"/>
                                        </w:rPr>
                                        <w:t>.</w:t>
                                      </w:r>
                                    </w:p>
                                    <w:p w:rsidR="00841770" w:rsidP="00C16A9F" w:rsidRDefault="001E59B9">
                                      <w:pPr>
                                        <w:rPr>
                                          <w:rFonts w:cstheme="minorHAnsi"/>
                                        </w:rPr>
                                      </w:pPr>
                                    </w:p>
                                    <w:p w:rsidR="00C16A9F" w:rsidP="00C16A9F" w:rsidRDefault="007A6E7E">
                                      <w:r>
                                        <w:t>1.</w:t>
                                      </w:r>
                                      <w:r>
                                        <w:tab/>
                                      </w:r>
                                      <w:r w:rsidRPr="00320B56">
                                        <w:rPr>
                                          <w:u w:val="single"/>
                                        </w:rPr>
                                        <w:t>Inhoud en achtergrond van het wetsvoorstel</w:t>
                                      </w:r>
                                    </w:p>
                                    <w:p w:rsidR="00C16A9F" w:rsidP="00C16A9F" w:rsidRDefault="001E59B9"/>
                                    <w:p w:rsidR="00C16A9F" w:rsidP="00C16A9F" w:rsidRDefault="007A6E7E">
                                      <w:pPr>
                                        <w:rPr>
                                          <w:rFonts w:cstheme="minorHAnsi"/>
                                        </w:rPr>
                                      </w:pPr>
                                      <w:r>
                                        <w:rPr>
                                          <w:rFonts w:cstheme="minorHAnsi"/>
                                        </w:rPr>
                                        <w:t>Overheden werken op verschillende niveaus en manieren met elkaar samen om maatschappelijke opgaven te realiseren, onder andere door middel van gemeenschappelijke regelingen. Het bestuur van gemeenschappelijke regelingen heeft geen rechtstreekse democratische legitimatie. De controle op het bestuur geschiedt door de afzonderlijke deelnemers. Daarmee is de legitimatie van gemeenschappelijke regelingen direct gekoppeld aan de mogelijkheden die de betreffende vertegenwoordigende organen hebben om controle uit te oefenen op, en kaders te stellen bij, het samenwerkingsverband waaraan zij deelnemen.</w:t>
                                      </w:r>
                                      <w:r>
                                        <w:rPr>
                                          <w:rStyle w:val="Voetnootmarkering"/>
                                          <w:rFonts w:cstheme="minorHAnsi"/>
                                        </w:rPr>
                                        <w:footnoteReference w:id="2"/>
                                      </w:r>
                                      <w:r>
                                        <w:rPr>
                                          <w:rFonts w:cstheme="minorHAnsi"/>
                                        </w:rPr>
                                        <w:t xml:space="preserve"> </w:t>
                                      </w:r>
                                    </w:p>
                                    <w:p w:rsidR="00C16A9F" w:rsidP="00C16A9F" w:rsidRDefault="001E59B9">
                                      <w:pPr>
                                        <w:rPr>
                                          <w:rFonts w:cstheme="minorHAnsi"/>
                                        </w:rPr>
                                      </w:pPr>
                                    </w:p>
                                    <w:p w:rsidR="00C16A9F" w:rsidP="00C16A9F" w:rsidRDefault="007A6E7E">
                                      <w:pPr>
                                        <w:rPr>
                                          <w:rFonts w:cstheme="minorHAnsi"/>
                                        </w:rPr>
                                      </w:pPr>
                                      <w:r>
                                        <w:rPr>
                                          <w:rFonts w:cstheme="minorHAnsi"/>
                                        </w:rPr>
                                        <w:t xml:space="preserve">De regering stelt dat gemeenteraden deze controlerende en </w:t>
                                      </w:r>
                                      <w:proofErr w:type="spellStart"/>
                                      <w:r>
                                        <w:rPr>
                                          <w:rFonts w:cstheme="minorHAnsi"/>
                                        </w:rPr>
                                        <w:t>kaderstellende</w:t>
                                      </w:r>
                                      <w:proofErr w:type="spellEnd"/>
                                      <w:r>
                                        <w:rPr>
                                          <w:rFonts w:cstheme="minorHAnsi"/>
                                        </w:rPr>
                                        <w:t xml:space="preserve"> rol onvoldoende kunnen waarmaken. Dat is problematisch, aangezien gemeenten steeds meer samenwerken om de maatschappelijke opgaven het hoofd te bieden. In het regeerakkoord is daarom afgesproken dat de Wet gemeenschappelijke </w:t>
                                      </w:r>
                                      <w:r>
                                        <w:rPr>
                                          <w:rFonts w:cstheme="minorHAnsi"/>
                                        </w:rPr>
                                        <w:lastRenderedPageBreak/>
                                        <w:t xml:space="preserve">regelingen (hierna: </w:t>
                                      </w:r>
                                      <w:proofErr w:type="spellStart"/>
                                      <w:r>
                                        <w:rPr>
                                          <w:rFonts w:cstheme="minorHAnsi"/>
                                        </w:rPr>
                                        <w:t>Wgr</w:t>
                                      </w:r>
                                      <w:proofErr w:type="spellEnd"/>
                                      <w:r>
                                        <w:rPr>
                                          <w:rFonts w:cstheme="minorHAnsi"/>
                                        </w:rPr>
                                        <w:t xml:space="preserve">) wordt aangepast </w:t>
                                      </w:r>
                                      <w:r w:rsidRPr="00FD3D58">
                                        <w:rPr>
                                          <w:rFonts w:cstheme="minorHAnsi"/>
                                        </w:rPr>
                                        <w:t>om de politieke verantwoording over gemeentelijke samenwerking te verbeteren</w:t>
                                      </w:r>
                                      <w:r>
                                        <w:rPr>
                                          <w:rFonts w:cstheme="minorHAnsi"/>
                                        </w:rPr>
                                        <w:t xml:space="preserve"> en gemeenteraden in staat te stellen hun controlerende rol beter uit te voeren.</w:t>
                                      </w:r>
                                      <w:r>
                                        <w:rPr>
                                          <w:rStyle w:val="Voetnootmarkering"/>
                                          <w:rFonts w:cstheme="minorHAnsi"/>
                                        </w:rPr>
                                        <w:footnoteReference w:id="3"/>
                                      </w:r>
                                      <w:r>
                                        <w:rPr>
                                          <w:rFonts w:cstheme="minorHAnsi"/>
                                        </w:rPr>
                                        <w:t xml:space="preserve"> Dit wetsvoorstel geeft invulling aan die afspraak.</w:t>
                                      </w:r>
                                    </w:p>
                                    <w:p w:rsidR="00C16A9F" w:rsidP="00C16A9F" w:rsidRDefault="001E59B9">
                                      <w:pPr>
                                        <w:rPr>
                                          <w:rFonts w:cstheme="minorHAnsi"/>
                                        </w:rPr>
                                      </w:pPr>
                                    </w:p>
                                    <w:p w:rsidR="00C16A9F" w:rsidP="00C16A9F" w:rsidRDefault="007A6E7E">
                                      <w:r>
                                        <w:rPr>
                                          <w:rFonts w:cstheme="minorHAnsi"/>
                                        </w:rPr>
                                        <w:t xml:space="preserve">Het wetsvoorstel voorziet onder andere in verruiming van de zienswijzeprocedure en de introductie van gemeenschappelijke advies- en onderzoekscommissies. </w:t>
                                      </w:r>
                                    </w:p>
                                    <w:p w:rsidR="00C16A9F" w:rsidP="00C16A9F" w:rsidRDefault="007A6E7E">
                                      <w:r>
                                        <w:t>Naast de instrumenten in het wetsvoorstel – waarvan sommige facultatief zijn – neemt de regering ook diverse maatregelen ter ondersteuning van raadsleden en griffiers op het gebied van regionale samenwerking.</w:t>
                                      </w:r>
                                      <w:r>
                                        <w:rPr>
                                          <w:rStyle w:val="Voetnootmarkering"/>
                                        </w:rPr>
                                        <w:footnoteReference w:id="4"/>
                                      </w:r>
                                      <w:r>
                                        <w:t xml:space="preserve"> </w:t>
                                      </w:r>
                                    </w:p>
                                    <w:p w:rsidR="00C16A9F" w:rsidP="00C16A9F" w:rsidRDefault="001E59B9"/>
                                    <w:p w:rsidR="00C16A9F" w:rsidP="00C16A9F" w:rsidRDefault="007A6E7E">
                                      <w:r>
                                        <w:t xml:space="preserve">De Afdeling onderschrijft het belang van controlerende en </w:t>
                                      </w:r>
                                      <w:proofErr w:type="spellStart"/>
                                      <w:r>
                                        <w:t>kaderstellende</w:t>
                                      </w:r>
                                      <w:proofErr w:type="spellEnd"/>
                                      <w:r>
                                        <w:t xml:space="preserve"> taken van gemeenteraden in gemeenschappelijke regelingen. Het beginsel van ‘verlengd lokaal bestuur’ brengt met zich dat gemeenten greep willen houden op de samenwerkingsverbanden waaraan zij deelnemen. Het gaat immers om gemeentelijke taken die samen met andere gemeenten worden uitgevoerd. De Afdeling betwijfelt echter of de instrumenten in dit wetsvoorstel hieraan een wezenlijke bijdrage zullen leveren.</w:t>
                                      </w:r>
                                    </w:p>
                                    <w:p w:rsidR="00C16A9F" w:rsidP="00C16A9F" w:rsidRDefault="001E59B9"/>
                                    <w:p w:rsidR="00C16A9F" w:rsidP="00C16A9F" w:rsidRDefault="007A6E7E">
                                      <w:r>
                                        <w:t>Dit neemt niet weg dat de Afdeling – met de regering – onderkent dat er een spanningsveld bestaat tussen de schaal van de maatschappelijke opgaven en de schaal waarop veel gemeenten (en gemeenteraden) werken. De Afdeling wees hier eerder op.</w:t>
                                      </w:r>
                                      <w:r>
                                        <w:rPr>
                                          <w:rStyle w:val="Voetnootmarkering"/>
                                        </w:rPr>
                                        <w:footnoteReference w:id="5"/>
                                      </w:r>
                                      <w:r>
                                        <w:t xml:space="preserve"> Dit spanningsveld bestaat al jaren en is met de overheveling van rijkstaken aan gemeenten de laatste jaren alleen maar pregnanter geworden. Daarom acht de Afdeling het van groot belang dat de komende tijd </w:t>
                                      </w:r>
                                      <w:r w:rsidRPr="005E4DE0">
                                        <w:t xml:space="preserve">fundamenteel </w:t>
                                      </w:r>
                                      <w:r w:rsidRPr="00174DCB">
                                        <w:t>wordt bezien op welke</w:t>
                                      </w:r>
                                      <w:r w:rsidRPr="000542C3">
                                        <w:t xml:space="preserve"> wijze </w:t>
                                      </w:r>
                                      <w:r w:rsidRPr="00174DCB">
                                        <w:t>d</w:t>
                                      </w:r>
                                      <w:r w:rsidRPr="000542C3">
                                        <w:t>e democratie op lokaal en regionaal niveau structureel kan worden versterkt</w:t>
                                      </w:r>
                                      <w:r w:rsidRPr="002818DD">
                                        <w:t xml:space="preserve">. </w:t>
                                      </w:r>
                                      <w:r>
                                        <w:t>De Afdeling gaat hier onder punt 6 van dit advies nader op in. Eerst bespreekt dit advies de werking van de instrumenten in het wetsvoorstel (punten 2 tot en met 5).</w:t>
                                      </w:r>
                                    </w:p>
                                    <w:p w:rsidR="00C16A9F" w:rsidP="00C16A9F" w:rsidRDefault="001E59B9"/>
                                    <w:p w:rsidR="00C16A9F" w:rsidP="00C16A9F" w:rsidRDefault="007A6E7E">
                                      <w:r>
                                        <w:t>2.</w:t>
                                      </w:r>
                                      <w:r>
                                        <w:tab/>
                                      </w:r>
                                      <w:r>
                                        <w:rPr>
                                          <w:u w:val="single"/>
                                        </w:rPr>
                                        <w:t>Kaderstelling en controle</w:t>
                                      </w:r>
                                    </w:p>
                                    <w:p w:rsidR="00C16A9F" w:rsidP="00C16A9F" w:rsidRDefault="001E59B9"/>
                                    <w:p w:rsidRPr="00FE1EAB" w:rsidR="00C16A9F" w:rsidP="00C16A9F" w:rsidRDefault="007A6E7E">
                                      <w:pPr>
                                        <w:rPr>
                                          <w:i/>
                                          <w:iCs/>
                                        </w:rPr>
                                      </w:pPr>
                                      <w:r w:rsidRPr="00FE1EAB">
                                        <w:t>a</w:t>
                                      </w:r>
                                      <w:r>
                                        <w:rPr>
                                          <w:i/>
                                          <w:iCs/>
                                        </w:rPr>
                                        <w:t>.</w:t>
                                      </w:r>
                                      <w:r>
                                        <w:rPr>
                                          <w:i/>
                                          <w:iCs/>
                                        </w:rPr>
                                        <w:tab/>
                                        <w:t>Nieuwe instrumenten</w:t>
                                      </w:r>
                                    </w:p>
                                    <w:p w:rsidR="00C16A9F" w:rsidP="00C16A9F" w:rsidRDefault="007A6E7E">
                                      <w:r>
                                        <w:t>Het wetsvoorstel voorziet in een uitbreiding van de zienswijzeprocedure.</w:t>
                                      </w:r>
                                      <w:r>
                                        <w:rPr>
                                          <w:rStyle w:val="Voetnootmarkering"/>
                                        </w:rPr>
                                        <w:footnoteReference w:id="6"/>
                                      </w:r>
                                      <w:r>
                                        <w:t xml:space="preserve"> </w:t>
                                      </w:r>
                                    </w:p>
                                    <w:p w:rsidR="00C16A9F" w:rsidP="00C16A9F" w:rsidRDefault="007A6E7E">
                                      <w:r>
                                        <w:t xml:space="preserve">Wanneer in een gemeenschappelijke regeling is opgenomen dat voor het nemen van een bepaald besluit een zienswijzeprocedure moet worden gevolgd, kan de raad van een deelnemende gemeente bij het dagelijks bestuur een zienswijze </w:t>
                                      </w:r>
                                      <w:r>
                                        <w:lastRenderedPageBreak/>
                                        <w:t>indienen. Het dagelijks bestuur moet daar vervolgens schriftelijk en inhoudelijk op reageren.</w:t>
                                      </w:r>
                                      <w:r>
                                        <w:rPr>
                                          <w:rStyle w:val="Voetnootmarkering"/>
                                        </w:rPr>
                                        <w:footnoteReference w:id="7"/>
                                      </w:r>
                                      <w:r>
                                        <w:t xml:space="preserve"> </w:t>
                                      </w:r>
                                    </w:p>
                                    <w:p w:rsidR="00C16A9F" w:rsidP="00C16A9F" w:rsidRDefault="001E59B9"/>
                                    <w:p w:rsidR="00C16A9F" w:rsidP="00C16A9F" w:rsidRDefault="007A6E7E">
                                      <w:r>
                                        <w:t>Daarnaast voorziet het wetsvoorstel in de mogelijkheid een gemeenschappelijke adviescommissie in te stellen.</w:t>
                                      </w:r>
                                      <w:r>
                                        <w:rPr>
                                          <w:rStyle w:val="Voetnootmarkering"/>
                                        </w:rPr>
                                        <w:footnoteReference w:id="8"/>
                                      </w:r>
                                      <w:r>
                                        <w:t xml:space="preserve"> In die commissie hebben raadsleden van deelnemende gemeenten zitting. Zij volgen een gemeenschappelijke regeling en geven advies aan het bestuur van een samenwerkingsverband en aan de gemeenteraden van de deelnemende gemeenten. Ook kan deze commissie zienswijzen van de raden met betrekking tot de gemeenschappelijke regeling voorbereiden. </w:t>
                                      </w:r>
                                    </w:p>
                                    <w:p w:rsidR="00C16A9F" w:rsidP="00C16A9F" w:rsidRDefault="001E59B9"/>
                                    <w:p w:rsidR="00C16A9F" w:rsidP="00C16A9F" w:rsidRDefault="007A6E7E">
                                      <w:r>
                                        <w:t>Verder wordt een ‘actieve informatieplicht’ van gemeenschappelijke regelingen naar de betrokken gemeenteraden voorgesteld.</w:t>
                                      </w:r>
                                      <w:r>
                                        <w:rPr>
                                          <w:rStyle w:val="Voetnootmarkering"/>
                                        </w:rPr>
                                        <w:footnoteReference w:id="9"/>
                                      </w:r>
                                      <w:r>
                                        <w:t xml:space="preserve"> Tussen het bestuur van een gemeenschappelijke regeling en de gemeenteraad ontstaat daardoor op dit punt een vergelijkbare verhouding als die van het college van burgemeester en wethouders (hierna: college) tot de gemeenteraad. </w:t>
                                      </w:r>
                                    </w:p>
                                    <w:p w:rsidR="00C16A9F" w:rsidP="00C16A9F" w:rsidRDefault="001E59B9"/>
                                    <w:p w:rsidRPr="00F14A8A" w:rsidR="00C16A9F" w:rsidP="00C16A9F" w:rsidRDefault="007A6E7E">
                                      <w:pPr>
                                        <w:rPr>
                                          <w:i/>
                                          <w:iCs/>
                                        </w:rPr>
                                      </w:pPr>
                                      <w:r w:rsidRPr="00FE1EAB">
                                        <w:t>b.</w:t>
                                      </w:r>
                                      <w:r>
                                        <w:rPr>
                                          <w:i/>
                                          <w:iCs/>
                                        </w:rPr>
                                        <w:tab/>
                                        <w:t>Bestaande verantwoordings- en informatieplichten</w:t>
                                      </w:r>
                                    </w:p>
                                    <w:p w:rsidR="00C16A9F" w:rsidP="00C16A9F" w:rsidRDefault="007A6E7E">
                                      <w:r>
                                        <w:t xml:space="preserve">De Afdeling zet vraagtekens bij de introductie van deze instrumenten in het licht van het uitgangspunt dat aan de </w:t>
                                      </w:r>
                                      <w:proofErr w:type="spellStart"/>
                                      <w:r>
                                        <w:t>Wgr</w:t>
                                      </w:r>
                                      <w:proofErr w:type="spellEnd"/>
                                      <w:r>
                                        <w:t xml:space="preserve"> ten grondslag ligt. Dat uitgangspunt is verlengd lokaal bestuur. Hierbij vervullen de gemeenteraden hun </w:t>
                                      </w:r>
                                      <w:proofErr w:type="spellStart"/>
                                      <w:r>
                                        <w:t>kaderstellende</w:t>
                                      </w:r>
                                      <w:proofErr w:type="spellEnd"/>
                                      <w:r>
                                        <w:t xml:space="preserve"> en controlerende rol in beginsel door het aansturen en controleren van de eigen gemeentelijke vertegenwoordiger(s) in het algemeen bestuur van de betreffende gemeenschappelijke regeling. Wie die vertegenwoordiger is, hangt af van het soort regeling op grond van de </w:t>
                                      </w:r>
                                      <w:proofErr w:type="spellStart"/>
                                      <w:r>
                                        <w:t>Wgr</w:t>
                                      </w:r>
                                      <w:proofErr w:type="spellEnd"/>
                                      <w:r>
                                        <w:t>: een raadsregeling, collegeregeling, burgemeestersregeling of een gemengde regeling. Aangezien in de praktijk de collegeregeling – dat wil zeggen met collegeleden in het algemeen bestuur – verreweg het meest voorkomt, gaat de Afdeling daarop in het navolgende verder in.</w:t>
                                      </w:r>
                                      <w:r>
                                        <w:rPr>
                                          <w:rStyle w:val="Voetnootmarkering"/>
                                        </w:rPr>
                                        <w:footnoteReference w:id="10"/>
                                      </w:r>
                                    </w:p>
                                    <w:p w:rsidR="00C16A9F" w:rsidP="00C16A9F" w:rsidRDefault="001E59B9"/>
                                    <w:p w:rsidR="00C16A9F" w:rsidP="00C16A9F" w:rsidRDefault="007A6E7E">
                                      <w:r>
                                        <w:t>Bij een collegeregeling geldt dat de leden van het algemeen bestuur van de gemeenschappelijke regeling inlichtingen verschaffen en verantwoording afleggen aan het college dat hen heeft aangewezen.</w:t>
                                      </w:r>
                                      <w:r>
                                        <w:rPr>
                                          <w:rStyle w:val="Voetnootmarkering"/>
                                        </w:rPr>
                                        <w:footnoteReference w:id="11"/>
                                      </w:r>
                                      <w:r>
                                        <w:t xml:space="preserve"> Verder zijn de leden van het algemeen bestuur inlichtingen en verantwoording verschuldigd aan (de leden van) de raden in de gemeente waaruit zij afkomstig zijn.</w:t>
                                      </w:r>
                                      <w:r>
                                        <w:rPr>
                                          <w:rStyle w:val="Voetnootmarkering"/>
                                        </w:rPr>
                                        <w:footnoteReference w:id="12"/>
                                      </w:r>
                                      <w:r>
                                        <w:t xml:space="preserve"> Daarnáást zijn deze leden van het algemeen bestuur in hun hoedanigheid van lid van het college aan de gemeenteraad verantwoording verschuldigd en geven zij de raad alle inlichtingen die hij voor de uitoefening van zijn taak nodig heeft.</w:t>
                                      </w:r>
                                      <w:r>
                                        <w:rPr>
                                          <w:rStyle w:val="Voetnootmarkering"/>
                                        </w:rPr>
                                        <w:footnoteReference w:id="13"/>
                                      </w:r>
                                    </w:p>
                                    <w:p w:rsidR="00C16A9F" w:rsidP="00C16A9F" w:rsidRDefault="001E59B9"/>
                                    <w:p w:rsidR="00C16A9F" w:rsidP="00C16A9F" w:rsidRDefault="007A6E7E">
                                      <w:r>
                                        <w:t xml:space="preserve">Het </w:t>
                                      </w:r>
                                      <w:r w:rsidRPr="003956ED">
                                        <w:rPr>
                                          <w:i/>
                                          <w:iCs/>
                                        </w:rPr>
                                        <w:t>dagelijks</w:t>
                                      </w:r>
                                      <w:r>
                                        <w:t xml:space="preserve"> bestuur van een gemeenschappelijke regeling – dat wordt gekozen door en uit de leden van het algemeen bestuur – legt slechts aan het algemeen bestuur verantwoording af.</w:t>
                                      </w:r>
                                    </w:p>
                                    <w:p w:rsidR="00C16A9F" w:rsidP="00C16A9F" w:rsidRDefault="001E59B9"/>
                                    <w:p w:rsidR="00C16A9F" w:rsidP="00C16A9F" w:rsidRDefault="007A6E7E">
                                      <w:r>
                                        <w:t xml:space="preserve">Al met al bestaat er dus een </w:t>
                                      </w:r>
                                      <w:r w:rsidRPr="000F2FFA">
                                        <w:rPr>
                                          <w:i/>
                                          <w:iCs/>
                                        </w:rPr>
                                        <w:t>directe</w:t>
                                      </w:r>
                                      <w:r>
                                        <w:t xml:space="preserve"> informatie- en verantwoordingsplicht van leden van het algemeen bestuur van een collegeregeling jegens gemeenteraadsleden (op grond van de </w:t>
                                      </w:r>
                                      <w:proofErr w:type="spellStart"/>
                                      <w:r>
                                        <w:t>Wgr</w:t>
                                      </w:r>
                                      <w:proofErr w:type="spellEnd"/>
                                      <w:r>
                                        <w:t xml:space="preserve">). Daarnaast is er een </w:t>
                                      </w:r>
                                      <w:r w:rsidRPr="000F2FFA">
                                        <w:rPr>
                                          <w:i/>
                                          <w:iCs/>
                                        </w:rPr>
                                        <w:t>indirecte</w:t>
                                      </w:r>
                                      <w:r>
                                        <w:t xml:space="preserve"> informatie- en verantwoordingsplicht via de colleges waarvan de leden van het algemeen bestuur deel uitmaken (op grond van de Gemeentewet). Dit zorgt ervoor dat kaderstelling en controle door de gemeenteraad in de praktijk nu al ingewikkeld kunnen zijn. Dat heeft te maken met de rolverdeling tussen de gemeenteraad enerzijds en het college en het bestuur van de gemeenschappelijke regeling – die beide bestaan uit collegeleden, maar wel in een andere hoedanigheid – anderzijds. De Afdeling ziet een risico van nog meer rolonduidelijkheid als gevolg van de nieuwe instrumenten in dit wetsvoorstel.</w:t>
                                      </w:r>
                                    </w:p>
                                    <w:p w:rsidR="00C16A9F" w:rsidP="00C16A9F" w:rsidRDefault="001E59B9"/>
                                    <w:p w:rsidRPr="00F14A8A" w:rsidR="00C16A9F" w:rsidP="00C16A9F" w:rsidRDefault="007A6E7E">
                                      <w:pPr>
                                        <w:rPr>
                                          <w:i/>
                                          <w:iCs/>
                                        </w:rPr>
                                      </w:pPr>
                                      <w:r>
                                        <w:t>c.</w:t>
                                      </w:r>
                                      <w:r>
                                        <w:tab/>
                                      </w:r>
                                      <w:r>
                                        <w:rPr>
                                          <w:i/>
                                          <w:iCs/>
                                        </w:rPr>
                                        <w:t>Risico van rolonduidelijkheid</w:t>
                                      </w:r>
                                    </w:p>
                                    <w:p w:rsidR="00940EC5" w:rsidP="00C16A9F" w:rsidRDefault="007A6E7E">
                                      <w:r>
                                        <w:t xml:space="preserve">De voorgestelde zienswijzeprocedure maakt het mogelijk dat gemeenteraden rechtstreeks betrokken raken bij het </w:t>
                                      </w:r>
                                      <w:r w:rsidRPr="00F14A8A">
                                        <w:rPr>
                                          <w:i/>
                                          <w:iCs/>
                                        </w:rPr>
                                        <w:t>dagelijks</w:t>
                                      </w:r>
                                      <w:r>
                                        <w:t xml:space="preserve"> bestuur van een gemeenschappelijke regeling. Zienswijzen worden door gemeenteraden gegeven aan het dagelijks bestuur dat daarop ook moet reageren. Dit leidt er in de eerste plaats toe dat raadsleden te maken krijgen met een ‘nieuwe’ verhouding. N</w:t>
                                      </w:r>
                                      <w:r w:rsidRPr="00B858D5">
                                        <w:t>aast de rechtstreekse relatie tussen dagelijks bestuur en algemeen bestuur, wordt nu een rechtstreekse relatie tussen dagelijks bestuur en gemeenteraden geïntroduceerd</w:t>
                                      </w:r>
                                      <w:r>
                                        <w:t xml:space="preserve">. </w:t>
                                      </w:r>
                                    </w:p>
                                    <w:p w:rsidR="00940EC5" w:rsidP="00C16A9F" w:rsidRDefault="001E59B9"/>
                                    <w:p w:rsidR="00D52579" w:rsidP="00C16A9F" w:rsidRDefault="007A6E7E">
                                      <w:r>
                                        <w:t>In de tweede plaats brengt de zienswijzeprocedure met zich dat raadsleden zich rechtstreeks inhoudelijk kunnen mengen in besluiten van een gemeenschappelijke regeling. Dit raakt aan de beleidsmatige bevoegdheden van de colleges.</w:t>
                                      </w:r>
                                      <w:r w:rsidRPr="004259BC">
                                        <w:t xml:space="preserve"> </w:t>
                                      </w:r>
                                      <w:r>
                                        <w:t>De Vereniging Nederlandse Gemeenten (VNG) wijst hier ook op in haar reactie op de consultatieversie van het wetsvoorstel.</w:t>
                                      </w:r>
                                      <w:r>
                                        <w:rPr>
                                          <w:rStyle w:val="Voetnootmarkering"/>
                                        </w:rPr>
                                        <w:footnoteReference w:id="14"/>
                                      </w:r>
                                      <w:r>
                                        <w:t xml:space="preserve"> Hierdoor ontstaat het risico dat de rolverdeling tussen raad, college en het bestuur van een gemeenschappelijke regeling nog onduidelijker wordt. </w:t>
                                      </w:r>
                                    </w:p>
                                    <w:p w:rsidR="00D52579" w:rsidP="00C16A9F" w:rsidRDefault="001E59B9"/>
                                    <w:p w:rsidR="00C16A9F" w:rsidP="00C16A9F" w:rsidRDefault="007A6E7E">
                                      <w:r>
                                        <w:t xml:space="preserve">Dat geldt tevens ten aanzien van de introductie van de adviescommissie, die niet alleen het </w:t>
                                      </w:r>
                                      <w:r w:rsidRPr="003956ED">
                                        <w:rPr>
                                          <w:i/>
                                          <w:iCs/>
                                        </w:rPr>
                                        <w:t>algemeen</w:t>
                                      </w:r>
                                      <w:r>
                                        <w:t xml:space="preserve"> bestuur van een gemeenschappelijke regeling van advies kan voorzien, maar bijvoorbeeld ook gemeenteraden kan bijstaan bij het opstellen van zienswijzen die aan het </w:t>
                                      </w:r>
                                      <w:r w:rsidRPr="003956ED">
                                        <w:rPr>
                                          <w:i/>
                                          <w:iCs/>
                                        </w:rPr>
                                        <w:t>dagelijks</w:t>
                                      </w:r>
                                      <w:r>
                                        <w:t xml:space="preserve"> bestuur worden gegeven. Vergroting van de rolonduidelijkheid wringt te meer omdat uit de onderzoeken die ter voorbereiding van het wetsvoorstel zijn uitgevoerd, juist naar voren komt dat velen ‘onduidelijkheid ten aanzien van taken en verantwoordelijkheden’ nu reeds als knelpunt zien. </w:t>
                                      </w:r>
                                    </w:p>
                                    <w:p w:rsidR="00C16A9F" w:rsidP="00C16A9F" w:rsidRDefault="001E59B9"/>
                                    <w:p w:rsidR="00C16A9F" w:rsidP="00C16A9F" w:rsidRDefault="007A6E7E">
                                      <w:r>
                                        <w:lastRenderedPageBreak/>
                                        <w:t xml:space="preserve">De actieve informatieplicht leidt ertoe dat het bestuur van een gemeenschappelijke regeling – dat wil zeggen het </w:t>
                                      </w:r>
                                      <w:r w:rsidRPr="00A44C9F">
                                        <w:t xml:space="preserve">algemeen bestuur, </w:t>
                                      </w:r>
                                      <w:r>
                                        <w:t xml:space="preserve">het </w:t>
                                      </w:r>
                                      <w:r w:rsidRPr="00A44C9F">
                                        <w:t xml:space="preserve">dagelijks bestuur </w:t>
                                      </w:r>
                                      <w:r>
                                        <w:t>é</w:t>
                                      </w:r>
                                      <w:r w:rsidRPr="00A44C9F">
                                        <w:t xml:space="preserve">n </w:t>
                                      </w:r>
                                      <w:r>
                                        <w:t>de voorzitter</w:t>
                                      </w:r>
                                      <w:r>
                                        <w:rPr>
                                          <w:rStyle w:val="Voetnootmarkering"/>
                                        </w:rPr>
                                        <w:footnoteReference w:id="15"/>
                                      </w:r>
                                      <w:r>
                                        <w:t xml:space="preserve"> – een actieve informatieplicht heeft jegens de gemeenteraden van deelnemende gemeenten.</w:t>
                                      </w:r>
                                      <w:r>
                                        <w:rPr>
                                          <w:rStyle w:val="Voetnootmarkering"/>
                                        </w:rPr>
                                        <w:footnoteReference w:id="16"/>
                                      </w:r>
                                      <w:r>
                                        <w:t xml:space="preserve"> Ook hiervan kan </w:t>
                                      </w:r>
                                      <w:r w:rsidRPr="00443F71">
                                        <w:t>het gevolg zijn dat rol</w:t>
                                      </w:r>
                                      <w:r>
                                        <w:t>onduidelijkheid</w:t>
                                      </w:r>
                                      <w:r w:rsidRPr="00443F71">
                                        <w:t xml:space="preserve"> optreedt tussen het bestuur van een gemeenschappelijke regeling en het college in hun verhouding tot gemeenteraden</w:t>
                                      </w:r>
                                      <w:r>
                                        <w:t>.</w:t>
                                      </w:r>
                                      <w:r w:rsidRPr="00443F71">
                                        <w:t xml:space="preserve"> </w:t>
                                      </w:r>
                                      <w:r>
                                        <w:t>N</w:t>
                                      </w:r>
                                      <w:r w:rsidRPr="00443F71">
                                        <w:t xml:space="preserve">iet duidelijk is </w:t>
                                      </w:r>
                                      <w:r>
                                        <w:t xml:space="preserve">namelijk </w:t>
                                      </w:r>
                                      <w:r w:rsidRPr="00443F71">
                                        <w:t>hoe de actieve informatieplicht zich tot de reeds bestaande inlichtingenplicht verhoudt.</w:t>
                                      </w:r>
                                      <w:r w:rsidRPr="00F14A8A">
                                        <w:t xml:space="preserve"> </w:t>
                                      </w:r>
                                      <w:r>
                                        <w:t xml:space="preserve">Evenmin is duidelijk hoe de actieve informatieplicht de verhouding tussen gemeenteraden en het dagelijks bestuur en de voorzitter van een gemeenschappelijke regeling beïnvloedt. </w:t>
                                      </w:r>
                                      <w:r w:rsidRPr="00F14A8A">
                                        <w:t>In</w:t>
                                      </w:r>
                                      <w:r w:rsidRPr="00443F71">
                                        <w:t xml:space="preserve"> praktische zin kan </w:t>
                                      </w:r>
                                      <w:r>
                                        <w:t xml:space="preserve">de </w:t>
                                      </w:r>
                                      <w:r w:rsidRPr="00443F71">
                                        <w:t>actieve informatieplicht bovendien moeilijk werkbaar blijken</w:t>
                                      </w:r>
                                      <w:r>
                                        <w:t xml:space="preserve"> voor een bestuur van een gemeenschappelijke regeling, zeker wanneer een gemeenschappelijke regeling veel deelnemers heeft. </w:t>
                                      </w:r>
                                    </w:p>
                                    <w:p w:rsidR="00C16A9F" w:rsidP="00C16A9F" w:rsidRDefault="001E59B9"/>
                                    <w:p w:rsidR="00C16A9F" w:rsidP="00C16A9F" w:rsidRDefault="007A6E7E">
                                      <w:r>
                                        <w:t xml:space="preserve">De Afdeling adviseert nader te bezien of de voorgestelde instrumenten </w:t>
                                      </w:r>
                                    </w:p>
                                    <w:p w:rsidR="00C16A9F" w:rsidP="00C16A9F" w:rsidRDefault="007A6E7E">
                                      <w:r>
                                        <w:t xml:space="preserve">aansluiten bij het hiervoor genoemde uitgangspunt, namelijk dat kaderstelling en controle in het kader van verlengd lokaal bestuur, primair plaatsvindt door de eigen gemeentelijke, bestuurlijke kring. De Afdeling adviseert ook om nader te bezien of de voorgestelde instrumenten bijdragen aan het verduidelijken van taken en verantwoordelijkheden van de betrokken actoren </w:t>
                                      </w:r>
                                      <w:r w:rsidRPr="00B858D5">
                                        <w:t>en aan een betere werkwijze</w:t>
                                      </w:r>
                                      <w:r>
                                        <w:t>. Als deze aansluiting en bijdrage niet worden bereikt, adviseert de Afdeling het voorstel aan te passen.</w:t>
                                      </w:r>
                                    </w:p>
                                    <w:p w:rsidR="00C16A9F" w:rsidP="00C16A9F" w:rsidRDefault="001E59B9"/>
                                    <w:p w:rsidR="00C16A9F" w:rsidP="003B4792" w:rsidRDefault="007A6E7E">
                                      <w:pPr>
                                        <w:keepNext/>
                                      </w:pPr>
                                      <w:r>
                                        <w:t>3.</w:t>
                                      </w:r>
                                      <w:r>
                                        <w:tab/>
                                      </w:r>
                                      <w:r>
                                        <w:rPr>
                                          <w:u w:val="single"/>
                                        </w:rPr>
                                        <w:t>Mogelijke vertraging van de besluitvorming</w:t>
                                      </w:r>
                                    </w:p>
                                    <w:p w:rsidR="00C16A9F" w:rsidP="003B4792" w:rsidRDefault="001E59B9">
                                      <w:pPr>
                                        <w:keepNext/>
                                      </w:pPr>
                                    </w:p>
                                    <w:p w:rsidR="00C16A9F" w:rsidP="00C16A9F" w:rsidRDefault="007A6E7E">
                                      <w:r>
                                        <w:t>De Afdeling constateert dat het aanvragen, voorbereiden en indienen van zienswijzen of het adviseren door de gemeenschappelijke adviescommissie, zoals in het wetsvoorstel is voorzien, de nodige tijd</w:t>
                                      </w:r>
                                      <w:r w:rsidRPr="005138C0">
                                        <w:t xml:space="preserve"> </w:t>
                                      </w:r>
                                      <w:r>
                                        <w:t>kost.</w:t>
                                      </w:r>
                                      <w:r>
                                        <w:rPr>
                                          <w:rStyle w:val="Voetnootmarkering"/>
                                        </w:rPr>
                                        <w:footnoteReference w:id="17"/>
                                      </w:r>
                                      <w:r>
                                        <w:t xml:space="preserve"> Die tijd zal nog langer zijn wanneer deelnemende raden tegengestelde zienswijzen hebben en nader overleg nodig is. De voorgestelde zienswijzeprocedure en de adviescommissie kunnen aldus leiden tot aanzienlijke vertraging in de besluitvorming van een gemeenschappelijke regeling. </w:t>
                                      </w:r>
                                    </w:p>
                                    <w:p w:rsidR="00C16A9F" w:rsidP="00C16A9F" w:rsidRDefault="001E59B9"/>
                                    <w:p w:rsidR="00C16A9F" w:rsidP="00C16A9F" w:rsidRDefault="007A6E7E">
                                      <w:r>
                                        <w:t xml:space="preserve">Het risico dat het dagelijks bestuur zijn slagkracht verliest, is daarmee niet denkbeeldig. Vertraging kan problematisch zijn bij urgente besluiten. Juist in die gevallen ligt het voor de hand dat de gemeenteraden zich hierover willen uitspreken. Als gevolg van deze vertraging en een gebrek aan slagkracht bij het bestuur van de gemeenschappelijke regeling, komt het behalen van de gewenste </w:t>
                                      </w:r>
                                      <w:r>
                                        <w:lastRenderedPageBreak/>
                                        <w:t>maatschappelijke resultaten mogelijk onder druk te staan. De vraag is of de op zichzelf positief te duiden versterking van de inbreng van gemeenteraden die dit voorstel beoogt, daartegen opweegt. Uiteindelijk gaat het om de verhoging van de democratische legitimiteit als geheel en het vinden van een goede balans. Hier maken maatschappelijke resultaten ook deel van uit.</w:t>
                                      </w:r>
                                      <w:r>
                                        <w:rPr>
                                          <w:rStyle w:val="Voetnootmarkering"/>
                                        </w:rPr>
                                        <w:footnoteReference w:id="18"/>
                                      </w:r>
                                      <w:r>
                                        <w:t xml:space="preserve"> Uit de toelichting blijkt niet hoe deze afweging is gemaakt.</w:t>
                                      </w:r>
                                    </w:p>
                                    <w:p w:rsidR="00C16A9F" w:rsidP="00C16A9F" w:rsidRDefault="001E59B9"/>
                                    <w:p w:rsidR="00C16A9F" w:rsidP="00C16A9F" w:rsidRDefault="007A6E7E">
                                      <w:r>
                                        <w:t xml:space="preserve">De Afdeling adviseert de toelichting op dit punt aan te vullen en zo nodig het wetsvoorstel aan te passen. </w:t>
                                      </w:r>
                                    </w:p>
                                    <w:p w:rsidR="00C16A9F" w:rsidP="00C16A9F" w:rsidRDefault="001E59B9"/>
                                    <w:p w:rsidRPr="00174DCB" w:rsidR="00C16A9F" w:rsidP="00C16A9F" w:rsidRDefault="007A6E7E">
                                      <w:pPr>
                                        <w:rPr>
                                          <w:u w:val="single"/>
                                        </w:rPr>
                                      </w:pPr>
                                      <w:r>
                                        <w:t>4.</w:t>
                                      </w:r>
                                      <w:r>
                                        <w:tab/>
                                      </w:r>
                                      <w:r>
                                        <w:rPr>
                                          <w:u w:val="single"/>
                                        </w:rPr>
                                        <w:t>Praktische uitvoerbaarheid</w:t>
                                      </w:r>
                                    </w:p>
                                    <w:p w:rsidR="00C16A9F" w:rsidP="00C16A9F" w:rsidRDefault="001E59B9"/>
                                    <w:p w:rsidR="00C16A9F" w:rsidP="00C16A9F" w:rsidRDefault="007A6E7E">
                                      <w:r>
                                        <w:t>Een effectieve inzet van het zienswijze-instrument en de regionale adviescommissie staat of valt met de capaciteit bij gemeenteraden om die voor te bereiden. Weliswaar vermeldt de toelichting dat diverse maatregelen zullen worden genomen ter versterking van de toerusting en ondersteuning van raadsleden en griffiers, maar of dit ook voldoende zal zijn, is de vraag. Gemeenteraadsleden zijn nu al zwaar belast.</w:t>
                                      </w:r>
                                      <w:r>
                                        <w:rPr>
                                          <w:rStyle w:val="Voetnootmarkering"/>
                                        </w:rPr>
                                        <w:footnoteReference w:id="19"/>
                                      </w:r>
                                      <w:r>
                                        <w:t xml:space="preserve"> De vraag rijst daarom of de voorgestelde, nieuwe instrumenten in de praktijk daadwerkelijk zullen worden ingezet. Ze zijn immers facultatief. Ook is de vraag in hoeverre de inzet daarvan ten koste zal gaan van andere zaken. </w:t>
                                      </w:r>
                                    </w:p>
                                    <w:p w:rsidR="00C16A9F" w:rsidP="00C16A9F" w:rsidRDefault="001E59B9"/>
                                    <w:p w:rsidR="00C16A9F" w:rsidP="00C16A9F" w:rsidRDefault="007A6E7E">
                                      <w:r>
                                        <w:t>Verder wijst de Afdeling op de toenemende politieke fragmentatie van gemeenteraden. Deze maakt het proces voor de gemeenteraden om regionaal tot overeenstemming te komen ingewikkelder. De politieke wil en mogelijkheden van de gemeenteraden om samen te werken vormen een belangrijke randvoorwaarde om instrumenten als de zienswijze effectief te kunnen inzetten. De vraag rijst hoe groot de kans is dat in de praktijk aan die voorwaarde wordt voldaan. Indien het de raden van de deelnemende gemeenten niet lukt om tot een eensgezinde zienswijze te komen, bestaat het risico dat het algemeen bestuur van de gemeenschappelijke regeling de afwijkende wensen van een raad makkelijk terzijde schuift. Het algemeen bestuur functioneert immers met een meerderheidssysteem.</w:t>
                                      </w:r>
                                      <w:r>
                                        <w:rPr>
                                          <w:rStyle w:val="Voetnootmarkering"/>
                                        </w:rPr>
                                        <w:footnoteReference w:id="20"/>
                                      </w:r>
                                      <w:r>
                                        <w:t xml:space="preserve"> Dit kan tot gevolg hebben dat gemeenteraden op voorhand afzien van een dergelijke tijdsinvestering. Ook kan dit het draagvlak voor intergemeentelijke samenwerking verminderen, terwijl de noodzaak daartoe steeds groter wordt. </w:t>
                                      </w:r>
                                    </w:p>
                                    <w:p w:rsidR="00BC3F22" w:rsidP="00C16A9F" w:rsidRDefault="001E59B9"/>
                                    <w:p w:rsidR="00C16A9F" w:rsidP="00C16A9F" w:rsidRDefault="007A6E7E">
                                      <w:r>
                                        <w:t xml:space="preserve">De Afdeling adviseert aan de genoemde uitvoerbaarheidskwestie in de toelichting aandacht te besteden en zo nodig het wetsvoorstel aan te passen. </w:t>
                                      </w:r>
                                    </w:p>
                                    <w:p w:rsidR="00C16A9F" w:rsidP="00C16A9F" w:rsidRDefault="001E59B9"/>
                                    <w:p w:rsidR="00C16A9F" w:rsidP="00C16A9F" w:rsidRDefault="007A6E7E">
                                      <w:r>
                                        <w:lastRenderedPageBreak/>
                                        <w:t>5.</w:t>
                                      </w:r>
                                      <w:r>
                                        <w:tab/>
                                      </w:r>
                                      <w:r>
                                        <w:rPr>
                                          <w:u w:val="single"/>
                                        </w:rPr>
                                        <w:t>Evaluatie</w:t>
                                      </w:r>
                                      <w:r>
                                        <w:t xml:space="preserve"> </w:t>
                                      </w:r>
                                    </w:p>
                                    <w:p w:rsidR="00C16A9F" w:rsidP="00C16A9F" w:rsidRDefault="001E59B9"/>
                                    <w:p w:rsidR="00C16A9F" w:rsidP="00C16A9F" w:rsidRDefault="007A6E7E">
                                      <w:pPr>
                                        <w:rPr>
                                          <w:rFonts w:eastAsia="DejaVu Sans" w:cstheme="minorHAnsi"/>
                                          <w:color w:val="000000"/>
                                        </w:rPr>
                                      </w:pPr>
                                      <w:r>
                                        <w:rPr>
                                          <w:rFonts w:eastAsia="DejaVu Sans" w:cstheme="minorHAnsi"/>
                                          <w:color w:val="000000"/>
                                        </w:rPr>
                                        <w:t xml:space="preserve">Hoewel de instrumenten waarin het wetsvoorstel voorziet volgens de regering zullen bijdragen aan een versterking van de democratische legitimatie van gemeenschappelijke regelingen, vermeldt de toelichting óók dat uit de voorbereidende gesprekken is gebleken dat er binnen de huidige kaders van de </w:t>
                                      </w:r>
                                      <w:proofErr w:type="spellStart"/>
                                      <w:r>
                                        <w:rPr>
                                          <w:rFonts w:eastAsia="DejaVu Sans" w:cstheme="minorHAnsi"/>
                                          <w:color w:val="000000"/>
                                        </w:rPr>
                                        <w:t>Wgr</w:t>
                                      </w:r>
                                      <w:proofErr w:type="spellEnd"/>
                                      <w:r>
                                        <w:rPr>
                                          <w:rFonts w:eastAsia="DejaVu Sans" w:cstheme="minorHAnsi"/>
                                          <w:color w:val="000000"/>
                                        </w:rPr>
                                        <w:t xml:space="preserve"> al veel mogelijkheden zijn om invloed en controle uit te oefenen op het bestuur van gemeenschappelijke regelingen: het zou veeleer gaan om het vinden van goede manieren om daar gebruik van te maken.</w:t>
                                      </w:r>
                                      <w:r>
                                        <w:rPr>
                                          <w:rStyle w:val="Voetnootmarkering"/>
                                          <w:rFonts w:eastAsia="DejaVu Sans" w:cstheme="minorHAnsi"/>
                                          <w:color w:val="000000"/>
                                        </w:rPr>
                                        <w:footnoteReference w:id="21"/>
                                      </w:r>
                                      <w:r>
                                        <w:rPr>
                                          <w:rFonts w:eastAsia="DejaVu Sans" w:cstheme="minorHAnsi"/>
                                          <w:color w:val="000000"/>
                                        </w:rPr>
                                        <w:t xml:space="preserve"> </w:t>
                                      </w:r>
                                    </w:p>
                                    <w:p w:rsidR="00C16A9F" w:rsidP="00C16A9F" w:rsidRDefault="001E59B9">
                                      <w:pPr>
                                        <w:rPr>
                                          <w:rFonts w:eastAsia="DejaVu Sans" w:cstheme="minorHAnsi"/>
                                          <w:color w:val="000000"/>
                                        </w:rPr>
                                      </w:pPr>
                                    </w:p>
                                    <w:p w:rsidR="00C16A9F" w:rsidP="00C16A9F" w:rsidRDefault="007A6E7E">
                                      <w:r>
                                        <w:rPr>
                                          <w:rFonts w:eastAsia="DejaVu Sans" w:cstheme="minorHAnsi"/>
                                          <w:color w:val="000000"/>
                                        </w:rPr>
                                        <w:t xml:space="preserve">Gelet hierop, en gezien de hiervoor gemaakte opmerkingen van meer fundamentele aard en die over de uitvoerbaarheid van de instrumenten, adviseert de Afdeling om te voorzien in een deugdelijke evaluatie van de werking van de nieuwe instrumenten in de praktijk. </w:t>
                                      </w:r>
                                    </w:p>
                                    <w:p w:rsidR="00C16A9F" w:rsidP="00C16A9F" w:rsidRDefault="001E59B9"/>
                                    <w:p w:rsidRPr="00320B56" w:rsidR="00C16A9F" w:rsidP="00C16A9F" w:rsidRDefault="007A6E7E">
                                      <w:pPr>
                                        <w:rPr>
                                          <w:u w:val="single"/>
                                        </w:rPr>
                                      </w:pPr>
                                      <w:r>
                                        <w:t>6</w:t>
                                      </w:r>
                                      <w:r w:rsidRPr="00D201A1">
                                        <w:t xml:space="preserve">. </w:t>
                                      </w:r>
                                      <w:r w:rsidRPr="00D201A1">
                                        <w:tab/>
                                      </w:r>
                                      <w:r w:rsidRPr="00320B56">
                                        <w:rPr>
                                          <w:u w:val="single"/>
                                        </w:rPr>
                                        <w:t>Breder vraagstuk</w:t>
                                      </w:r>
                                    </w:p>
                                    <w:p w:rsidR="00C16A9F" w:rsidP="00C16A9F" w:rsidRDefault="001E59B9"/>
                                    <w:p w:rsidR="00C16A9F" w:rsidP="00C16A9F" w:rsidRDefault="007A6E7E">
                                      <w:r>
                                        <w:t xml:space="preserve">Uit het voorgaande blijkt dat de Afdeling principiële opmerkingen heeft bij de keuze van de instrumenten en kanttekeningen plaatst bij de te verwachten opbrengst ervan. De Afdeling vermoedt daarom dat het wetsvoorstel hooguit marginale veranderingen teweeg zal brengen en in de praktijk extra complicerend kan uitwerken. </w:t>
                                      </w:r>
                                    </w:p>
                                    <w:p w:rsidR="00C16A9F" w:rsidP="00C16A9F" w:rsidRDefault="001E59B9"/>
                                    <w:p w:rsidR="00C16A9F" w:rsidP="00C16A9F" w:rsidRDefault="007A6E7E">
                                      <w:r>
                                        <w:t>Tegelijkertijd groeit het spanningsveld tussen de maatschappelijke opgaven waarvoor gemeenten zich zien gesteld en de schaal waarop gemeenten werken. Daarom moet de democratische legitimatie van samenwerkingsverbanden in een breder verband worden bezien. Hoewel ook de regering onderkent dat een fundamentele discussie over de ontwikkelrichting van het binnenlands bestuur nodig is, gaan het wetsvoorstel en de toelichting daar niet op in. Deze discussie kan echter niet langer uit de weg worden gegaan. De Afdeling doet in het navolgende een poging aan te geven waar het in die discussie in ieder geval over zou moeten gaan. Daarbij is het van belang om deze onderwerpen in onderlinge samenhang te bezien en op te lossen.</w:t>
                                      </w:r>
                                    </w:p>
                                    <w:p w:rsidR="000833D3" w:rsidP="00C16A9F" w:rsidRDefault="001E59B9"/>
                                    <w:p w:rsidRPr="00326E5A" w:rsidR="00213962" w:rsidP="00213962" w:rsidRDefault="007A6E7E">
                                      <w:pPr>
                                        <w:rPr>
                                          <w:i/>
                                          <w:iCs/>
                                        </w:rPr>
                                      </w:pPr>
                                      <w:r>
                                        <w:t>a.</w:t>
                                      </w:r>
                                      <w:r>
                                        <w:tab/>
                                      </w:r>
                                      <w:r w:rsidRPr="00326E5A">
                                        <w:rPr>
                                          <w:i/>
                                          <w:iCs/>
                                        </w:rPr>
                                        <w:t>Knelpunten gemeenteraden</w:t>
                                      </w:r>
                                    </w:p>
                                    <w:p w:rsidR="00E47985" w:rsidP="00213962" w:rsidRDefault="007A6E7E">
                                      <w:r>
                                        <w:t xml:space="preserve">Zoals de regering in de toelichting opmerkt, biedt de </w:t>
                                      </w:r>
                                      <w:proofErr w:type="spellStart"/>
                                      <w:r>
                                        <w:t>Wgr</w:t>
                                      </w:r>
                                      <w:proofErr w:type="spellEnd"/>
                                      <w:r>
                                        <w:t xml:space="preserve"> al veel mogelijkheden om invloed en controle uit te oefenen op het bestuur van gemeenschappelijke regelingen. Het gaat vooral om het vinden van manieren om daar gebruik van te maken. Dit is in essentie een kwestie van kunnen en willen. Op beide aspecten blijken gemeenteraden kwetsbaar. Diverse onderzoeken laten zien dat het nogal eens ontbreekt aan expertise, ondersteuning, tijd en prioriteit om voldoende aandacht aan de gemeenschappelijke regelingen te besteden. Dit geldt ook voor andere onderwerpen op de agenda van de gemeenteraden die losstaan van de </w:t>
                                      </w:r>
                                      <w:r>
                                        <w:lastRenderedPageBreak/>
                                        <w:t>gemeenschappelijke regelingen.</w:t>
                                      </w:r>
                                      <w:r>
                                        <w:rPr>
                                          <w:rStyle w:val="Voetnootmarkering"/>
                                        </w:rPr>
                                        <w:footnoteReference w:id="22"/>
                                      </w:r>
                                      <w:r>
                                        <w:t xml:space="preserve"> Daarom kan worden betwijfeld of het zinvol is om aan de wetgeving over gemeenschappelijke regelingen te sleutelen: dit lost de achterliggende, bredere problemen niet op. </w:t>
                                      </w:r>
                                    </w:p>
                                    <w:p w:rsidR="00213962" w:rsidP="00C16A9F" w:rsidRDefault="001E59B9"/>
                                    <w:p w:rsidR="00C16A9F" w:rsidP="00C16A9F" w:rsidRDefault="007A6E7E">
                                      <w:pPr>
                                        <w:rPr>
                                          <w:i/>
                                          <w:iCs/>
                                        </w:rPr>
                                      </w:pPr>
                                      <w:r>
                                        <w:t>b.</w:t>
                                      </w:r>
                                      <w:r>
                                        <w:tab/>
                                      </w:r>
                                      <w:proofErr w:type="spellStart"/>
                                      <w:r w:rsidRPr="00326E5A">
                                        <w:rPr>
                                          <w:i/>
                                          <w:iCs/>
                                        </w:rPr>
                                        <w:t>Decentralisatieparadox</w:t>
                                      </w:r>
                                      <w:proofErr w:type="spellEnd"/>
                                    </w:p>
                                    <w:p w:rsidR="00C16A9F" w:rsidP="00C16A9F" w:rsidRDefault="007A6E7E">
                                      <w:r>
                                        <w:t xml:space="preserve">De Afdeling wijst in het kader van die bredere problematiek in de eerste plaats op de zogenoemde </w:t>
                                      </w:r>
                                      <w:proofErr w:type="spellStart"/>
                                      <w:r>
                                        <w:t>decentralisatieparadox</w:t>
                                      </w:r>
                                      <w:proofErr w:type="spellEnd"/>
                                      <w:r>
                                        <w:t xml:space="preserve">: als taken worden uitgevoerd op een kleinere schaal (van nationaal naar lokaal), noopt dat snel tot schaalvergroting (van lokaal naar regionaal). </w:t>
                                      </w:r>
                                    </w:p>
                                    <w:p w:rsidRPr="00F14A8A" w:rsidR="00C16A9F" w:rsidP="00C16A9F" w:rsidRDefault="001E59B9"/>
                                    <w:p w:rsidR="00940EC5" w:rsidP="00C16A9F" w:rsidRDefault="007A6E7E">
                                      <w:r>
                                        <w:t>De afgelopen jaren heeft op grote schaal decentralisatie van rijkstaken plaatsgevonden, met als doel om deze taken dichterbij burgers te brengen. Deze decentralisaties stellen hoge eisen aan de ambtelijke en bestuurlijke capaciteit van gemeenten. Gemeenten moeten beschikken over de kennis en menskracht die voor de uitvoering van deze taken nodig zijn, terwijl tegelijk een zo efficiënt mogelijke inzet van ambtelijke capaciteit is vereist vanwege de bezuinigingstaakstellingen die met decentralisaties gepaard gaan.</w:t>
                                      </w:r>
                                      <w:r>
                                        <w:rPr>
                                          <w:rStyle w:val="Voetnootmarkering"/>
                                        </w:rPr>
                                        <w:footnoteReference w:id="23"/>
                                      </w:r>
                                      <w:r>
                                        <w:t xml:space="preserve"> </w:t>
                                      </w:r>
                                    </w:p>
                                    <w:p w:rsidR="00940EC5" w:rsidP="00C16A9F" w:rsidRDefault="001E59B9"/>
                                    <w:p w:rsidR="00C16A9F" w:rsidP="00C16A9F" w:rsidRDefault="007A6E7E">
                                      <w:r>
                                        <w:t xml:space="preserve">De uitvoering van veel van deze taken noopt daarom tot een bovengemeentelijke aanpak: gemeenten zijn individueel niet bij machte om deze taken uit te voeren of het is efficiënter om het samen te doen. Daarnaast worden gemeenten meer rechtstreeks en indirect door de wetgever tot samenwerking gedwongen. Tegelijk is er formeel gezien geen bovenlokale of regionale bestuurslaag, maar alleen de samenwerking die op grond van de </w:t>
                                      </w:r>
                                      <w:proofErr w:type="spellStart"/>
                                      <w:r>
                                        <w:t>Wgr</w:t>
                                      </w:r>
                                      <w:proofErr w:type="spellEnd"/>
                                      <w:r>
                                        <w:t xml:space="preserve"> kan plaatsvinden of een specifieke wettelijke grondslag kent. </w:t>
                                      </w:r>
                                    </w:p>
                                    <w:p w:rsidR="00C16A9F" w:rsidP="00C16A9F" w:rsidRDefault="001E59B9"/>
                                    <w:p w:rsidR="00EF5F51" w:rsidP="00C16A9F" w:rsidRDefault="007A6E7E">
                                      <w:r>
                                        <w:t>O</w:t>
                                      </w:r>
                                      <w:r w:rsidRPr="007516BA">
                                        <w:t>m</w:t>
                                      </w:r>
                                      <w:r>
                                        <w:t xml:space="preserve"> de toevloed van nieuwe taken het hoofd te bieden, zoeken gemeenten dus veelal hun heil in samenwerking met omliggende gemeenten. Dit leidt tot een vorm van recentralisatie. Hoewel wordt beoogd om taken door middel van decentralisatie dichter bij de burgers te laten uitvoeren, wordt dat doel uiteindelijk juist </w:t>
                                      </w:r>
                                      <w:r w:rsidRPr="007516BA">
                                        <w:rPr>
                                          <w:i/>
                                          <w:iCs/>
                                        </w:rPr>
                                        <w:t>niet</w:t>
                                      </w:r>
                                      <w:r>
                                        <w:t xml:space="preserve"> bereikt.</w:t>
                                      </w:r>
                                    </w:p>
                                    <w:p w:rsidR="000833D3" w:rsidP="00C16A9F" w:rsidRDefault="001E59B9"/>
                                    <w:p w:rsidR="001E59B9" w:rsidP="00D9750D" w:rsidRDefault="007A6E7E">
                                      <w:r>
                                        <w:t>Voor zover deze regionalisatie leidt tot regionale samenwerking heeft de Afdeling er al eerder op gewezen dat niet langer sprake is van verlengd lokaal bestuur als de beleids- en besluitvorming feitelijk regionaal geschieden en gemeenten nauwelijks nog ruimte overhouden voor eigen beleid. Dan doet sluipend een nieuwe bestuursvorm zijn intrede zonder een eigen democratische inbedding.</w:t>
                                      </w:r>
                                      <w:r>
                                        <w:rPr>
                                          <w:rStyle w:val="Voetnootmarkering"/>
                                        </w:rPr>
                                        <w:footnoteReference w:id="24"/>
                                      </w:r>
                                      <w:r>
                                        <w:t xml:space="preserve"> </w:t>
                                      </w:r>
                                    </w:p>
                                    <w:p w:rsidR="00D9750D" w:rsidP="00D9750D" w:rsidRDefault="007A6E7E">
                                      <w:bookmarkStart w:name="_GoBack" w:id="0"/>
                                      <w:bookmarkEnd w:id="0"/>
                                      <w:r>
                                        <w:lastRenderedPageBreak/>
                                        <w:t xml:space="preserve">Zo ontstaat als het ware een dubbel democratisch tekort. Op rijksniveau kan het parlement de minister niet meer op alles aanspreken en op gemeentelijk niveau speelt hetzelfde: de gemeenschappelijke regeling gaat erover, de gemeente maar deels. </w:t>
                                      </w:r>
                                    </w:p>
                                    <w:p w:rsidR="00D9750D" w:rsidP="00C16A9F" w:rsidRDefault="001E59B9"/>
                                    <w:p w:rsidR="00830863" w:rsidP="00C16A9F" w:rsidRDefault="007A6E7E">
                                      <w:r>
                                        <w:t>c.</w:t>
                                      </w:r>
                                      <w:r>
                                        <w:tab/>
                                      </w:r>
                                      <w:r>
                                        <w:rPr>
                                          <w:i/>
                                          <w:iCs/>
                                        </w:rPr>
                                        <w:t>Standaardisering versus maatwerk</w:t>
                                      </w:r>
                                    </w:p>
                                    <w:p w:rsidR="00D9750D" w:rsidP="00D9750D" w:rsidRDefault="007A6E7E">
                                      <w:r>
                                        <w:t>Achter de wens om taken dichtbij de burgers te laten uitvoeren, ligt ook de gedachte dat het dan gemakkelijker is om ‘maatwerk’ te leveren. Dat wil zeggen: om bij de uitvoering van die taken rekening te houden met de bijzondere omstandigheden waarmee individuele burgers te maken hebben.</w:t>
                                      </w:r>
                                      <w:r>
                                        <w:rPr>
                                          <w:rStyle w:val="Voetnootmarkering"/>
                                        </w:rPr>
                                        <w:footnoteReference w:id="25"/>
                                      </w:r>
                                      <w:r>
                                        <w:t xml:space="preserve"> De vraag is in hoeverre gemeenten – als bestuurslaag die het dichtst bij de burgers opereert – in de praktijk ook echt in staat zijn om het beoogde maatwerk daadwerkelijk te leveren.</w:t>
                                      </w:r>
                                    </w:p>
                                    <w:p w:rsidR="00C0548E" w:rsidP="00C16A9F" w:rsidRDefault="001E59B9"/>
                                    <w:p w:rsidR="00D9750D" w:rsidP="00C16A9F" w:rsidRDefault="007A6E7E">
                                      <w:r>
                                        <w:t>In de eerste plaats noemt de Afdeling de hiervoor besproken recentralisatie. De Raad voor het Openbaar Bestuur (ROB) merkt op dat deze ontwikkeling niet bijdraagt aan het democratische debat over het beleid in het sociaal domein.</w:t>
                                      </w:r>
                                      <w:r>
                                        <w:rPr>
                                          <w:rStyle w:val="Voetnootmarkering"/>
                                        </w:rPr>
                                        <w:footnoteReference w:id="26"/>
                                      </w:r>
                                      <w:r>
                                        <w:t xml:space="preserve"> Het gevolg daarvan is dat het leveren van maatwerk aan burgers moeilijker kan worden. De afstand tot de burger wordt immers groter, waardoor ook de neiging tot standaardisering van beleid en uitvoering toeneemt. De toekenning van voorzieningen krijgt hierdoor een meer technocratisch en protocollair karakter, terwijl het leveren van maatwerk juist een belangrijke doelstelling van decentralisatie was. </w:t>
                                      </w:r>
                                    </w:p>
                                    <w:p w:rsidR="00830863" w:rsidP="00D9750D" w:rsidRDefault="001E59B9"/>
                                    <w:p w:rsidR="00D9750D" w:rsidP="00D9750D" w:rsidRDefault="007A6E7E">
                                      <w:r>
                                        <w:t xml:space="preserve">In de tweede plaats kan ook los van de </w:t>
                                      </w:r>
                                      <w:proofErr w:type="spellStart"/>
                                      <w:r>
                                        <w:t>de</w:t>
                                      </w:r>
                                      <w:proofErr w:type="spellEnd"/>
                                      <w:r>
                                        <w:t>- en recentralisatietendens worden betwijfeld of gemeenten bij hun taakuitoefening altijd in staat zullen zijn om maatwerk te leveren. Besluiten op gemeentelijk niveau worden doorgaans in mandaat door ambtenaren genomen en moeten steeds in overeenstemming zijn met het gelijkheidsbeginsel en het verbod van willekeur.</w:t>
                                      </w:r>
                                      <w:r>
                                        <w:rPr>
                                          <w:rStyle w:val="Voetnootmarkering"/>
                                        </w:rPr>
                                        <w:footnoteReference w:id="27"/>
                                      </w:r>
                                      <w:r>
                                        <w:t xml:space="preserve"> Dit kan gemakkelijk tot gevolg hebben dat de discretionaire ruimte die regelgeving laat voor maatwerk, op gemeentelijk niveau toch weer wordt ingevuld met beleidsregels. Dat staat het leveren van maatwerk in de weg.</w:t>
                                      </w:r>
                                    </w:p>
                                    <w:p w:rsidR="000833D3" w:rsidP="00D9750D" w:rsidRDefault="001E59B9"/>
                                    <w:p w:rsidRPr="008C6E29" w:rsidR="00C16A9F" w:rsidP="00C16A9F" w:rsidRDefault="007A6E7E">
                                      <w:pPr>
                                        <w:rPr>
                                          <w:i/>
                                          <w:iCs/>
                                        </w:rPr>
                                      </w:pPr>
                                      <w:r>
                                        <w:t>d</w:t>
                                      </w:r>
                                      <w:r w:rsidRPr="00174DCB">
                                        <w:t>.</w:t>
                                      </w:r>
                                      <w:r w:rsidRPr="00174DCB">
                                        <w:tab/>
                                      </w:r>
                                      <w:r w:rsidRPr="00174DCB">
                                        <w:rPr>
                                          <w:i/>
                                          <w:iCs/>
                                        </w:rPr>
                                        <w:t>Rol Rijksoverheid</w:t>
                                      </w:r>
                                      <w:r w:rsidRPr="004A684C">
                                        <w:rPr>
                                          <w:i/>
                                          <w:iCs/>
                                        </w:rPr>
                                        <w:t xml:space="preserve"> </w:t>
                                      </w:r>
                                    </w:p>
                                    <w:p w:rsidR="00D459C1" w:rsidP="00C16A9F" w:rsidRDefault="007A6E7E">
                                      <w:r>
                                        <w:t xml:space="preserve">Versterking van de decentrale democratie is niet alleen een zaak voor de decentrale overheden en hun burgers. De rijksoverheid heeft hier een eigen verantwoordelijkheid. Enerzijds heeft de minister van BZK de primaire </w:t>
                                      </w:r>
                                      <w:r w:rsidRPr="00306A44">
                                        <w:t>zorg voor het goed functioneren van het openbaar bestuur</w:t>
                                      </w:r>
                                      <w:r>
                                        <w:t xml:space="preserve">. Anderzijds zijn diverse vakministers in het sociale en fysieke domein verantwoordelijk voor de </w:t>
                                      </w:r>
                                      <w:r>
                                        <w:lastRenderedPageBreak/>
                                        <w:t>taakoverhevelingen aan gemeenten. Zij behouden een zogenoemde stelsel- of systeemverantwoordelijkheid. Vaak is echter onduidelijk wat deze precies inhoudt en hoeveel beleidsvrijheid gemeenten of andere uitvoeringsinstanties dan nog gelaten wordt. Dit leidt in de praktijk tot misverstanden tussen rijk en gemeenten, terwijl een heldere rolverdeling tussen beide bestuurslagen juist van groot belang is voor een goede taakuitoefening.</w:t>
                                      </w:r>
                                    </w:p>
                                    <w:p w:rsidR="00D459C1" w:rsidP="00C16A9F" w:rsidRDefault="001E59B9"/>
                                    <w:p w:rsidR="00C16A9F" w:rsidP="00C16A9F" w:rsidRDefault="007A6E7E">
                                      <w:r>
                                        <w:t xml:space="preserve">De toegenomen taakoverhevelingen hebben laten zien dat de mogelijkheden voor (zeker kleinere) gemeenten om aan deze nieuwe taken zelfstandig vorm en inhoud te geven als gevolg van bovengenoemde ontwikkelingen uiterst beperkt zijn. Verder is relevant dat steeds meer interbestuurlijke samenwerking plaatsvindt buiten de </w:t>
                                      </w:r>
                                      <w:proofErr w:type="spellStart"/>
                                      <w:r>
                                        <w:t>Wgr</w:t>
                                      </w:r>
                                      <w:proofErr w:type="spellEnd"/>
                                      <w:r>
                                        <w:t xml:space="preserve"> om. Hierbij kan worden gewezen op de Regionale Energie Strategieën of de regiodeals. Ook in deze gevallen is de formele en informele betrokkenheid en invloed van de gemeenteraad vaak beperkt. Een wijziging van de </w:t>
                                      </w:r>
                                      <w:proofErr w:type="spellStart"/>
                                      <w:r>
                                        <w:t>Wgr</w:t>
                                      </w:r>
                                      <w:proofErr w:type="spellEnd"/>
                                      <w:r>
                                        <w:t xml:space="preserve"> verhelpt dit uiteraard niet. </w:t>
                                      </w:r>
                                    </w:p>
                                    <w:p w:rsidR="00C16A9F" w:rsidP="00C16A9F" w:rsidRDefault="001E59B9"/>
                                    <w:p w:rsidR="007A6E7E" w:rsidP="00C16A9F" w:rsidRDefault="007A6E7E">
                                      <w:r>
                                        <w:t>Al met al rijst – zoals de toelichting ook vermeldt – de vraag of wel kan worden volstaan met marginale aanpassingen binnen het huidige kader van verlengd lokaal bestuur, of dat andere bestuurlijke inrichtingsvormen nodig zijn om de democratische legitimatie van regionale samenwerkingsverbanden te borgen. Beantwoording van die vraag vergt een fundamentele discussie met alle betrokkenen over de inrichting van het openbaar bestuur en de vraag hoe we de democratische legitimatie van de steeds omvangrijker wordende regionale samenwerking op de lange termijn kunnen borgen.</w:t>
                                      </w:r>
                                      <w:r>
                                        <w:rPr>
                                          <w:rStyle w:val="Voetnootmarkering"/>
                                        </w:rPr>
                                        <w:footnoteReference w:id="28"/>
                                      </w:r>
                                      <w:r>
                                        <w:t xml:space="preserve"> </w:t>
                                      </w:r>
                                    </w:p>
                                    <w:p w:rsidR="007A6E7E" w:rsidP="00C16A9F" w:rsidRDefault="007A6E7E"/>
                                    <w:p w:rsidR="00C16A9F" w:rsidP="00C16A9F" w:rsidRDefault="007A6E7E">
                                      <w:r>
                                        <w:t xml:space="preserve">De minister heeft recent in de zogenoemde Thorbeckebrief op de noodzaak van een fundamentele discussie gewezen, nu de grenzen van wat binnen de </w:t>
                                      </w:r>
                                      <w:proofErr w:type="spellStart"/>
                                      <w:r>
                                        <w:t>Wgr</w:t>
                                      </w:r>
                                      <w:proofErr w:type="spellEnd"/>
                                      <w:r>
                                        <w:t xml:space="preserve"> mogelijk is in beeld komen.</w:t>
                                      </w:r>
                                      <w:r>
                                        <w:rPr>
                                          <w:rStyle w:val="Voetnootmarkering"/>
                                        </w:rPr>
                                        <w:footnoteReference w:id="29"/>
                                      </w:r>
                                      <w:r>
                                        <w:t xml:space="preserve"> Aan die constatering is vooralsnog echter geen gevolg gegeven, terwijl de urgentie daartoe naar het inzicht van de Afdeling onverminderd aanwezig is. </w:t>
                                      </w:r>
                                    </w:p>
                                    <w:p w:rsidR="00C16A9F" w:rsidP="002F214D" w:rsidRDefault="001E59B9"/>
                                    <w:p w:rsidR="007A6E7E" w:rsidRDefault="007A6E7E">
                                      <w:r>
                                        <w:br w:type="page"/>
                                      </w:r>
                                    </w:p>
                                    <w:p w:rsidR="0076095A" w:rsidRDefault="007A6E7E">
                                      <w:r>
                                        <w:lastRenderedPageBreak/>
                                        <w:t>De Afdeling adviseert in het licht van het voorgaande de door de regering noodzakelijk geachte fundamentele discussie nu daadwerkelijk te voeren en in de toelichting aan te geven op welke wijze zij dit zal doen en hoe op basis van de uitkomsten tot structurele oplossingen zal worden gekomen. Essentieel daarbij is de vraag hoe de democratie op lokaal en regionaal niveau kan worden versterkt.</w:t>
                                      </w:r>
                                    </w:p>
                                  </w:sdtContent>
                                </w:sdt>
                              </w:sdtContent>
                            </w:sdt>
                          </w:sdtContent>
                        </w:sdt>
                      </w:sdtContent>
                    </w:sdt>
                  </w:sdtContent>
                </w:sdt>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76095A" w:rsidRDefault="007A6E7E">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76095A"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094" w:rsidRDefault="007A6E7E" w:rsidP="005B3E03">
      <w:r>
        <w:separator/>
      </w:r>
    </w:p>
    <w:p w:rsidR="002D0ACF" w:rsidRDefault="001E59B9"/>
  </w:endnote>
  <w:endnote w:type="continuationSeparator" w:id="0">
    <w:p w:rsidR="00847094" w:rsidRDefault="007A6E7E" w:rsidP="005B3E03">
      <w:r>
        <w:continuationSeparator/>
      </w:r>
    </w:p>
    <w:p w:rsidR="002D0ACF" w:rsidRDefault="001E59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094" w:rsidRDefault="007A6E7E" w:rsidP="005B3E03">
      <w:r>
        <w:separator/>
      </w:r>
    </w:p>
    <w:p w:rsidR="002D0ACF" w:rsidRDefault="001E59B9"/>
  </w:footnote>
  <w:footnote w:type="continuationSeparator" w:id="0">
    <w:p w:rsidR="00847094" w:rsidRDefault="007A6E7E" w:rsidP="005B3E03">
      <w:r>
        <w:continuationSeparator/>
      </w:r>
    </w:p>
    <w:p w:rsidR="002D0ACF" w:rsidRDefault="001E59B9"/>
  </w:footnote>
  <w:footnote w:id="1">
    <w:p w:rsidR="00C16A9F" w:rsidRDefault="007A6E7E" w:rsidP="00C16A9F">
      <w:pPr>
        <w:pStyle w:val="Voetnoottekst"/>
      </w:pPr>
      <w:r>
        <w:rPr>
          <w:rStyle w:val="Voetnootmarkering"/>
        </w:rPr>
        <w:footnoteRef/>
      </w:r>
      <w:r>
        <w:t xml:space="preserve"> </w:t>
      </w:r>
      <w:r>
        <w:tab/>
        <w:t>Hoewel het wetsvoorstel ook betrekking heeft op provincies en waterschappen, ligt het zwaartepunt bij gemeenten. Voor de leesbaarheid wordt hierna enkel aan gemeenten gerefereerd.</w:t>
      </w:r>
    </w:p>
  </w:footnote>
  <w:footnote w:id="2">
    <w:p w:rsidR="00C16A9F" w:rsidRDefault="007A6E7E" w:rsidP="00C16A9F">
      <w:pPr>
        <w:pStyle w:val="Voetnoottekst"/>
      </w:pPr>
      <w:r>
        <w:rPr>
          <w:rStyle w:val="Voetnootmarkering"/>
        </w:rPr>
        <w:footnoteRef/>
      </w:r>
      <w:r>
        <w:t xml:space="preserve"> </w:t>
      </w:r>
      <w:r>
        <w:tab/>
        <w:t xml:space="preserve">Memorie van Toelichting, paragraaf 1. </w:t>
      </w:r>
    </w:p>
  </w:footnote>
  <w:footnote w:id="3">
    <w:p w:rsidR="00C16A9F" w:rsidRDefault="007A6E7E" w:rsidP="00C16A9F">
      <w:pPr>
        <w:pStyle w:val="Voetnoottekst"/>
      </w:pPr>
      <w:r>
        <w:rPr>
          <w:rStyle w:val="Voetnootmarkering"/>
        </w:rPr>
        <w:footnoteRef/>
      </w:r>
      <w:r>
        <w:t xml:space="preserve"> </w:t>
      </w:r>
      <w:r>
        <w:tab/>
        <w:t>V</w:t>
      </w:r>
      <w:r w:rsidRPr="00E46CE9">
        <w:t xml:space="preserve">ertrouwen in de toekomst, Regeerakkoord 2017-2021 van VVD, CDA, D66 en ChristenUnie, 10 oktober 2017, </w:t>
      </w:r>
      <w:r>
        <w:t>p. 7</w:t>
      </w:r>
      <w:r w:rsidRPr="00E46CE9">
        <w:t>, bijlage bij Kamerstukken II 2017/18, 34700, nr. 34</w:t>
      </w:r>
      <w:r>
        <w:t>.</w:t>
      </w:r>
    </w:p>
  </w:footnote>
  <w:footnote w:id="4">
    <w:p w:rsidR="00C16A9F" w:rsidRDefault="007A6E7E" w:rsidP="00C16A9F">
      <w:pPr>
        <w:pStyle w:val="Voetnoottekst"/>
      </w:pPr>
      <w:r>
        <w:rPr>
          <w:rStyle w:val="Voetnootmarkering"/>
        </w:rPr>
        <w:footnoteRef/>
      </w:r>
      <w:r>
        <w:t xml:space="preserve"> </w:t>
      </w:r>
      <w:r>
        <w:tab/>
        <w:t xml:space="preserve">Memorie van Toelichting, paragrafen 1 en 2. </w:t>
      </w:r>
    </w:p>
  </w:footnote>
  <w:footnote w:id="5">
    <w:p w:rsidR="00C16A9F" w:rsidRDefault="007A6E7E" w:rsidP="00C16A9F">
      <w:pPr>
        <w:pStyle w:val="Voetnoottekst"/>
      </w:pPr>
      <w:r>
        <w:rPr>
          <w:rStyle w:val="Voetnootmarkering"/>
        </w:rPr>
        <w:footnoteRef/>
      </w:r>
      <w:r>
        <w:t xml:space="preserve"> </w:t>
      </w:r>
      <w:r>
        <w:tab/>
        <w:t>Afdeling advisering Raad van State, En nu verder! Vierde periodieke beschouwing over interbestuurlijke verhoudingen na de decentralisaties in het sociale en fysieke domein, 2016.</w:t>
      </w:r>
    </w:p>
  </w:footnote>
  <w:footnote w:id="6">
    <w:p w:rsidR="00C16A9F" w:rsidRDefault="007A6E7E" w:rsidP="00C16A9F">
      <w:pPr>
        <w:pStyle w:val="Voetnoottekst"/>
      </w:pPr>
      <w:r>
        <w:rPr>
          <w:rStyle w:val="Voetnootmarkering"/>
        </w:rPr>
        <w:footnoteRef/>
      </w:r>
      <w:r>
        <w:t xml:space="preserve"> </w:t>
      </w:r>
      <w:r>
        <w:tab/>
      </w:r>
      <w:r w:rsidRPr="00973545">
        <w:t xml:space="preserve">Dit is in aanvulling op </w:t>
      </w:r>
      <w:r>
        <w:t>de bestaande mogelijkheid voor gemeenteraden om een zienswijze in te dienen over</w:t>
      </w:r>
      <w:r w:rsidRPr="00973545">
        <w:t xml:space="preserve"> de ontwerpbegroting</w:t>
      </w:r>
      <w:r>
        <w:t xml:space="preserve"> van een gemeenschappelijke regeling op grond van artikel 35, derde lid, </w:t>
      </w:r>
      <w:proofErr w:type="spellStart"/>
      <w:r>
        <w:t>Wgr</w:t>
      </w:r>
      <w:proofErr w:type="spellEnd"/>
      <w:r>
        <w:t>.</w:t>
      </w:r>
    </w:p>
  </w:footnote>
  <w:footnote w:id="7">
    <w:p w:rsidR="00C16A9F" w:rsidRDefault="007A6E7E" w:rsidP="00C16A9F">
      <w:pPr>
        <w:pStyle w:val="Voetnoottekst"/>
      </w:pPr>
      <w:r>
        <w:rPr>
          <w:rStyle w:val="Voetnootmarkering"/>
        </w:rPr>
        <w:footnoteRef/>
      </w:r>
      <w:r>
        <w:t xml:space="preserve"> </w:t>
      </w:r>
      <w:r>
        <w:tab/>
        <w:t xml:space="preserve">Voorgestelde aanpassing van artikel 10 </w:t>
      </w:r>
      <w:proofErr w:type="spellStart"/>
      <w:r>
        <w:t>Wgr</w:t>
      </w:r>
      <w:proofErr w:type="spellEnd"/>
      <w:r>
        <w:t>.</w:t>
      </w:r>
    </w:p>
  </w:footnote>
  <w:footnote w:id="8">
    <w:p w:rsidR="00C16A9F" w:rsidRDefault="007A6E7E" w:rsidP="00C16A9F">
      <w:pPr>
        <w:pStyle w:val="Voetnoottekst"/>
      </w:pPr>
      <w:r>
        <w:rPr>
          <w:rStyle w:val="Voetnootmarkering"/>
        </w:rPr>
        <w:footnoteRef/>
      </w:r>
      <w:r>
        <w:t xml:space="preserve"> </w:t>
      </w:r>
      <w:r>
        <w:tab/>
        <w:t xml:space="preserve">Voorgesteld nieuw artikel 24a </w:t>
      </w:r>
      <w:proofErr w:type="spellStart"/>
      <w:r>
        <w:t>Wgr</w:t>
      </w:r>
      <w:proofErr w:type="spellEnd"/>
      <w:r>
        <w:t>.</w:t>
      </w:r>
    </w:p>
  </w:footnote>
  <w:footnote w:id="9">
    <w:p w:rsidR="00C16A9F" w:rsidRDefault="007A6E7E" w:rsidP="00C16A9F">
      <w:pPr>
        <w:pStyle w:val="Voetnoottekst"/>
      </w:pPr>
      <w:r>
        <w:rPr>
          <w:rStyle w:val="Voetnootmarkering"/>
        </w:rPr>
        <w:footnoteRef/>
      </w:r>
      <w:r>
        <w:t xml:space="preserve"> </w:t>
      </w:r>
      <w:r>
        <w:tab/>
        <w:t xml:space="preserve">Voorgestelde wijziging van artikel 17 </w:t>
      </w:r>
      <w:proofErr w:type="spellStart"/>
      <w:r>
        <w:t>Wgr</w:t>
      </w:r>
      <w:proofErr w:type="spellEnd"/>
      <w:r>
        <w:t>.</w:t>
      </w:r>
    </w:p>
  </w:footnote>
  <w:footnote w:id="10">
    <w:p w:rsidR="00C16A9F" w:rsidRDefault="007A6E7E" w:rsidP="00C16A9F">
      <w:pPr>
        <w:pStyle w:val="Voetnoottekst"/>
      </w:pPr>
      <w:r>
        <w:rPr>
          <w:rStyle w:val="Voetnootmarkering"/>
        </w:rPr>
        <w:footnoteRef/>
      </w:r>
      <w:r>
        <w:t xml:space="preserve"> </w:t>
      </w:r>
      <w:r>
        <w:tab/>
      </w:r>
      <w:r w:rsidRPr="00A541EC">
        <w:t>Berenschot, Democratische legitimiteit bij interbestuurlijke samenwerking. Knelpunten, oplossingen en een handelingsperspectief voor het Rijk, 21 december 2018</w:t>
      </w:r>
      <w:r>
        <w:t>, p. 11.</w:t>
      </w:r>
    </w:p>
  </w:footnote>
  <w:footnote w:id="11">
    <w:p w:rsidR="00C16A9F" w:rsidRDefault="007A6E7E" w:rsidP="00C16A9F">
      <w:pPr>
        <w:pStyle w:val="Voetnoottekst"/>
      </w:pPr>
      <w:r>
        <w:rPr>
          <w:rStyle w:val="Voetnootmarkering"/>
        </w:rPr>
        <w:footnoteRef/>
      </w:r>
      <w:r>
        <w:t xml:space="preserve"> </w:t>
      </w:r>
      <w:r>
        <w:tab/>
        <w:t xml:space="preserve">Artikel 18 jo. artikel 16, eerste, tweede en vierde lid, </w:t>
      </w:r>
      <w:proofErr w:type="spellStart"/>
      <w:r>
        <w:t>Wgr</w:t>
      </w:r>
      <w:proofErr w:type="spellEnd"/>
      <w:r>
        <w:t xml:space="preserve">. Dit geldt tevens voor </w:t>
      </w:r>
      <w:r w:rsidRPr="00FE1EAB">
        <w:t xml:space="preserve">de leden van het bestuur van </w:t>
      </w:r>
      <w:r>
        <w:t>een</w:t>
      </w:r>
      <w:r w:rsidRPr="00FE1EAB">
        <w:t xml:space="preserve"> </w:t>
      </w:r>
      <w:proofErr w:type="spellStart"/>
      <w:r w:rsidRPr="00FE1EAB">
        <w:t>bedrijfsvoeringsorganisatie</w:t>
      </w:r>
      <w:proofErr w:type="spellEnd"/>
      <w:r w:rsidRPr="00FE1EAB">
        <w:t xml:space="preserve"> of van </w:t>
      </w:r>
      <w:r>
        <w:t>een</w:t>
      </w:r>
      <w:r w:rsidRPr="00FE1EAB">
        <w:t xml:space="preserve"> gemeenschappelijk orgaan</w:t>
      </w:r>
      <w:r>
        <w:t>.</w:t>
      </w:r>
    </w:p>
  </w:footnote>
  <w:footnote w:id="12">
    <w:p w:rsidR="00C16A9F" w:rsidRDefault="007A6E7E" w:rsidP="00C16A9F">
      <w:pPr>
        <w:pStyle w:val="Voetnoottekst"/>
      </w:pPr>
      <w:r>
        <w:rPr>
          <w:rStyle w:val="Voetnootmarkering"/>
        </w:rPr>
        <w:footnoteRef/>
      </w:r>
      <w:r>
        <w:t xml:space="preserve"> </w:t>
      </w:r>
      <w:r>
        <w:tab/>
        <w:t xml:space="preserve">Artikel 19 jo. artikel 16, eerste en tweede lid, </w:t>
      </w:r>
      <w:proofErr w:type="spellStart"/>
      <w:r>
        <w:t>Wgr</w:t>
      </w:r>
      <w:proofErr w:type="spellEnd"/>
      <w:r>
        <w:t>.</w:t>
      </w:r>
      <w:r>
        <w:tab/>
      </w:r>
    </w:p>
  </w:footnote>
  <w:footnote w:id="13">
    <w:p w:rsidR="00C16A9F" w:rsidRDefault="007A6E7E" w:rsidP="00C16A9F">
      <w:pPr>
        <w:pStyle w:val="Voetnoottekst"/>
      </w:pPr>
      <w:r>
        <w:rPr>
          <w:rStyle w:val="Voetnootmarkering"/>
        </w:rPr>
        <w:footnoteRef/>
      </w:r>
      <w:r>
        <w:t xml:space="preserve"> </w:t>
      </w:r>
      <w:r>
        <w:tab/>
        <w:t>Artikel 169 eerste en tweede lid, Gemeentewet.</w:t>
      </w:r>
    </w:p>
  </w:footnote>
  <w:footnote w:id="14">
    <w:p w:rsidR="00C16A9F" w:rsidRDefault="007A6E7E" w:rsidP="00C16A9F">
      <w:pPr>
        <w:pStyle w:val="Voetnoottekst"/>
      </w:pPr>
      <w:r>
        <w:rPr>
          <w:rStyle w:val="Voetnootmarkering"/>
        </w:rPr>
        <w:footnoteRef/>
      </w:r>
      <w:r>
        <w:t xml:space="preserve"> </w:t>
      </w:r>
      <w:r>
        <w:tab/>
        <w:t xml:space="preserve">Reactie op consultatie conceptwetsvoorstel wijziging </w:t>
      </w:r>
      <w:proofErr w:type="spellStart"/>
      <w:r>
        <w:t>Wgr</w:t>
      </w:r>
      <w:proofErr w:type="spellEnd"/>
      <w:r>
        <w:t>, VNG, 17 oktober 2019, p. 2.</w:t>
      </w:r>
    </w:p>
  </w:footnote>
  <w:footnote w:id="15">
    <w:p w:rsidR="00C16A9F" w:rsidRDefault="007A6E7E" w:rsidP="00C16A9F">
      <w:pPr>
        <w:pStyle w:val="Voetnoottekst"/>
      </w:pPr>
      <w:r>
        <w:rPr>
          <w:rStyle w:val="Voetnootmarkering"/>
        </w:rPr>
        <w:footnoteRef/>
      </w:r>
      <w:r>
        <w:t xml:space="preserve"> </w:t>
      </w:r>
      <w:r>
        <w:tab/>
        <w:t xml:space="preserve">Ingevolge artikel 12, eerste lid, </w:t>
      </w:r>
      <w:proofErr w:type="spellStart"/>
      <w:r>
        <w:t>Wgr</w:t>
      </w:r>
      <w:proofErr w:type="spellEnd"/>
      <w:r>
        <w:t xml:space="preserve">. </w:t>
      </w:r>
    </w:p>
  </w:footnote>
  <w:footnote w:id="16">
    <w:p w:rsidR="00C16A9F" w:rsidRDefault="007A6E7E" w:rsidP="00C16A9F">
      <w:pPr>
        <w:pStyle w:val="Voetnoottekst"/>
      </w:pPr>
      <w:r>
        <w:rPr>
          <w:rStyle w:val="Voetnootmarkering"/>
        </w:rPr>
        <w:footnoteRef/>
      </w:r>
      <w:r>
        <w:t xml:space="preserve"> </w:t>
      </w:r>
      <w:r>
        <w:tab/>
        <w:t xml:space="preserve">Dat geldt in ieder geval voor artikel 17 </w:t>
      </w:r>
      <w:proofErr w:type="spellStart"/>
      <w:r>
        <w:t>Wgr</w:t>
      </w:r>
      <w:proofErr w:type="spellEnd"/>
      <w:r>
        <w:t xml:space="preserve"> zoals het thans luidt. R.J.M.H. de Greef, </w:t>
      </w:r>
      <w:r w:rsidRPr="0019795C">
        <w:t>T&amp;C GPW, commentaar op art</w:t>
      </w:r>
      <w:r>
        <w:t>ikel</w:t>
      </w:r>
      <w:r w:rsidRPr="0019795C">
        <w:t xml:space="preserve"> 17 </w:t>
      </w:r>
      <w:proofErr w:type="spellStart"/>
      <w:r w:rsidRPr="0019795C">
        <w:t>W</w:t>
      </w:r>
      <w:r>
        <w:t>gr</w:t>
      </w:r>
      <w:proofErr w:type="spellEnd"/>
      <w:r>
        <w:t>. Niet blijkt dat de voorgestelde nieuwe leden een beperkter bereik hebben. Verder geldt dit</w:t>
      </w:r>
      <w:r w:rsidRPr="005D6131">
        <w:t xml:space="preserve"> niet uitsluitend voor raadsregelingen of gemengde regelingen, maar tevens voor college- en burgemeestersregelingen en voor gemengde regelingen waaraan geen gemeenteraden deelnemen.</w:t>
      </w:r>
      <w:r>
        <w:t xml:space="preserve"> </w:t>
      </w:r>
    </w:p>
  </w:footnote>
  <w:footnote w:id="17">
    <w:p w:rsidR="00C16A9F" w:rsidRDefault="007A6E7E" w:rsidP="00C16A9F">
      <w:pPr>
        <w:pStyle w:val="Voetnoottekst"/>
      </w:pPr>
      <w:r>
        <w:rPr>
          <w:rStyle w:val="Voetnootmarkering"/>
        </w:rPr>
        <w:footnoteRef/>
      </w:r>
      <w:r>
        <w:t xml:space="preserve"> </w:t>
      </w:r>
      <w:r>
        <w:tab/>
      </w:r>
      <w:r w:rsidRPr="00783959">
        <w:t xml:space="preserve">Het dagelijks bestuur moet een brief naar de raden sturen, die vervolgens </w:t>
      </w:r>
      <w:r>
        <w:t xml:space="preserve">waarschijnlijk ongeveer </w:t>
      </w:r>
      <w:r w:rsidRPr="00783959">
        <w:t xml:space="preserve">6 weken nodig </w:t>
      </w:r>
      <w:r>
        <w:t xml:space="preserve">zullen </w:t>
      </w:r>
      <w:r w:rsidRPr="00783959">
        <w:t xml:space="preserve">hebben om zienswijzen op te stellen. Daarop moet het dagelijks bestuur weer schriftelijk reageren, wat </w:t>
      </w:r>
      <w:r>
        <w:t xml:space="preserve">waarschijnlijk enkele </w:t>
      </w:r>
      <w:r w:rsidRPr="00783959">
        <w:t xml:space="preserve">weken zal </w:t>
      </w:r>
      <w:r>
        <w:t>vergen</w:t>
      </w:r>
      <w:r w:rsidRPr="00783959">
        <w:t xml:space="preserve">. Zo bezien </w:t>
      </w:r>
      <w:r>
        <w:t xml:space="preserve">lijkt een periode van op zijn minst </w:t>
      </w:r>
      <w:r w:rsidRPr="00783959">
        <w:t>twee maanden</w:t>
      </w:r>
      <w:r>
        <w:t xml:space="preserve"> denkbaar. </w:t>
      </w:r>
    </w:p>
  </w:footnote>
  <w:footnote w:id="18">
    <w:p w:rsidR="003B4792" w:rsidRDefault="007A6E7E">
      <w:pPr>
        <w:pStyle w:val="Voetnoottekst"/>
      </w:pPr>
      <w:r>
        <w:rPr>
          <w:rStyle w:val="Voetnootmarkering"/>
        </w:rPr>
        <w:footnoteRef/>
      </w:r>
      <w:r>
        <w:t xml:space="preserve"> </w:t>
      </w:r>
      <w:r>
        <w:tab/>
        <w:t>In de literatuur wordt dit ook wel aangeduid als outputlegitimatie.</w:t>
      </w:r>
    </w:p>
  </w:footnote>
  <w:footnote w:id="19">
    <w:p w:rsidR="00C16A9F" w:rsidRDefault="007A6E7E" w:rsidP="00C16A9F">
      <w:pPr>
        <w:pStyle w:val="Voetnoottekst"/>
      </w:pPr>
      <w:r>
        <w:rPr>
          <w:rStyle w:val="Voetnootmarkering"/>
        </w:rPr>
        <w:footnoteRef/>
      </w:r>
      <w:r>
        <w:t xml:space="preserve"> </w:t>
      </w:r>
      <w:r>
        <w:tab/>
        <w:t xml:space="preserve">Berenschot, Knelpunten en oplossingsrichtingen in de Gemeentewet en Provinciewet, 20 januari 2020. Ook de VNG heeft zorgen over de toenemende belasting voor raadsleden. VNG, Reactie op consultatie conceptwetsvoorstel wijziging </w:t>
      </w:r>
      <w:proofErr w:type="spellStart"/>
      <w:r>
        <w:t>Wgr</w:t>
      </w:r>
      <w:proofErr w:type="spellEnd"/>
      <w:r>
        <w:t>, 17 oktober 2019, p. 2.</w:t>
      </w:r>
    </w:p>
  </w:footnote>
  <w:footnote w:id="20">
    <w:p w:rsidR="00C16A9F" w:rsidRDefault="007A6E7E" w:rsidP="00C16A9F">
      <w:pPr>
        <w:pStyle w:val="Voetnoottekst"/>
      </w:pPr>
      <w:r>
        <w:rPr>
          <w:rStyle w:val="Voetnootmarkering"/>
        </w:rPr>
        <w:footnoteRef/>
      </w:r>
      <w:r>
        <w:t xml:space="preserve"> </w:t>
      </w:r>
      <w:r>
        <w:tab/>
        <w:t xml:space="preserve">R. Stolk, R. de Greef en L. Vellekoop, Essay grip op samenwerking in de praktijk. Lessen en best </w:t>
      </w:r>
      <w:proofErr w:type="spellStart"/>
      <w:r>
        <w:t>practices</w:t>
      </w:r>
      <w:proofErr w:type="spellEnd"/>
      <w:r>
        <w:t xml:space="preserve"> uit gemeenten, 2018, p. 8.</w:t>
      </w:r>
    </w:p>
  </w:footnote>
  <w:footnote w:id="21">
    <w:p w:rsidR="00C16A9F" w:rsidRDefault="007A6E7E" w:rsidP="00C16A9F">
      <w:pPr>
        <w:pStyle w:val="Voetnoottekst"/>
      </w:pPr>
      <w:r>
        <w:rPr>
          <w:rStyle w:val="Voetnootmarkering"/>
        </w:rPr>
        <w:footnoteRef/>
      </w:r>
      <w:r>
        <w:t xml:space="preserve"> </w:t>
      </w:r>
      <w:r>
        <w:tab/>
        <w:t>Memorie van Toelichting, par. 2.3; Berenschot, Democratische legitimiteit bij interbestuurlijke samenwerking. Knelpunten, oplossingen en een handelingsperspectief voor het Rijk, 21 december 2018.</w:t>
      </w:r>
    </w:p>
  </w:footnote>
  <w:footnote w:id="22">
    <w:p w:rsidR="00213962" w:rsidRDefault="007A6E7E" w:rsidP="00213962">
      <w:pPr>
        <w:pStyle w:val="Voetnoottekst"/>
      </w:pPr>
      <w:r>
        <w:rPr>
          <w:rStyle w:val="Voetnootmarkering"/>
        </w:rPr>
        <w:footnoteRef/>
      </w:r>
      <w:r>
        <w:t xml:space="preserve"> </w:t>
      </w:r>
      <w:r>
        <w:tab/>
      </w:r>
      <w:r w:rsidRPr="00B723A1">
        <w:t xml:space="preserve">Zie onder meer SGBO, Democratische controle op gemeenschappelijke regelingen, december 1999 en Berenschot, Knelpunten en oplossingsrichtingen in de Gemeentewet en Provinciewet, januari 2020. </w:t>
      </w:r>
      <w:r>
        <w:t>Deze</w:t>
      </w:r>
      <w:r w:rsidRPr="00B723A1">
        <w:t xml:space="preserve"> rapporten noemen </w:t>
      </w:r>
      <w:proofErr w:type="spellStart"/>
      <w:r w:rsidRPr="00B723A1">
        <w:t>grosso</w:t>
      </w:r>
      <w:proofErr w:type="spellEnd"/>
      <w:r w:rsidRPr="00B723A1">
        <w:t xml:space="preserve"> </w:t>
      </w:r>
      <w:proofErr w:type="spellStart"/>
      <w:r w:rsidRPr="00B723A1">
        <w:t>modo</w:t>
      </w:r>
      <w:proofErr w:type="spellEnd"/>
      <w:r w:rsidRPr="00B723A1">
        <w:t xml:space="preserve"> dezelfde knelpunten voor gemeenteraden: gebrek aan (ambtelijke) ondersteuning; gebrek aan tijd; onvoldoende kennis over complexe vraagstukken en over het instrumentarium dat ze tot hun beschikking hebben; en onduidelijkheid over de rolverdeling tussen raad en college.</w:t>
      </w:r>
    </w:p>
  </w:footnote>
  <w:footnote w:id="23">
    <w:p w:rsidR="00C16A9F" w:rsidRDefault="007A6E7E" w:rsidP="00C16A9F">
      <w:pPr>
        <w:pStyle w:val="Voetnoottekst"/>
      </w:pPr>
      <w:r>
        <w:rPr>
          <w:rStyle w:val="Voetnootmarkering"/>
        </w:rPr>
        <w:footnoteRef/>
      </w:r>
      <w:r>
        <w:t xml:space="preserve"> </w:t>
      </w:r>
      <w:r>
        <w:tab/>
        <w:t xml:space="preserve">M.J.G.J.A. </w:t>
      </w:r>
      <w:proofErr w:type="spellStart"/>
      <w:r>
        <w:t>Boogers</w:t>
      </w:r>
      <w:proofErr w:type="spellEnd"/>
      <w:r>
        <w:t xml:space="preserve"> en G.H. </w:t>
      </w:r>
      <w:proofErr w:type="spellStart"/>
      <w:r>
        <w:t>Reussing</w:t>
      </w:r>
      <w:proofErr w:type="spellEnd"/>
      <w:r>
        <w:t xml:space="preserve">, </w:t>
      </w:r>
      <w:r w:rsidRPr="00BE3DE3">
        <w:t>'Decentralisatie, schaalvergroting en lokale democratie', BW 2019-2, p. 22-46</w:t>
      </w:r>
      <w:r>
        <w:t>.</w:t>
      </w:r>
    </w:p>
  </w:footnote>
  <w:footnote w:id="24">
    <w:p w:rsidR="00D9750D" w:rsidRDefault="007A6E7E" w:rsidP="00D9750D">
      <w:pPr>
        <w:pStyle w:val="Voetnoottekst"/>
      </w:pPr>
      <w:r>
        <w:rPr>
          <w:rStyle w:val="Voetnootmarkering"/>
        </w:rPr>
        <w:footnoteRef/>
      </w:r>
      <w:r>
        <w:t xml:space="preserve"> </w:t>
      </w:r>
      <w:r>
        <w:tab/>
        <w:t>Afdeling advisering Raad van State, En nu verder! Vierde periodieke beschouwing over interbestuurlijke verhoudingen na de decentralisaties in het sociale en fysieke domein, 2016, p.51.</w:t>
      </w:r>
    </w:p>
  </w:footnote>
  <w:footnote w:id="25">
    <w:p w:rsidR="00D9750D" w:rsidRDefault="007A6E7E" w:rsidP="00D9750D">
      <w:pPr>
        <w:pStyle w:val="Voetnoottekst"/>
      </w:pPr>
      <w:r>
        <w:rPr>
          <w:rStyle w:val="Voetnootmarkering"/>
        </w:rPr>
        <w:footnoteRef/>
      </w:r>
      <w:r>
        <w:t xml:space="preserve"> </w:t>
      </w:r>
      <w:r>
        <w:tab/>
        <w:t>Wetenschappelijke raad voor het regeringsbeleid, Weten is nog geen doen. Een realistisch perspectief op redzaamheid, 2017, p. 135.</w:t>
      </w:r>
    </w:p>
  </w:footnote>
  <w:footnote w:id="26">
    <w:p w:rsidR="00E47985" w:rsidRDefault="007A6E7E" w:rsidP="00E47985">
      <w:pPr>
        <w:pStyle w:val="Voetnoottekst"/>
      </w:pPr>
      <w:r>
        <w:rPr>
          <w:rStyle w:val="Voetnootmarkering"/>
        </w:rPr>
        <w:footnoteRef/>
      </w:r>
      <w:r>
        <w:t xml:space="preserve"> </w:t>
      </w:r>
      <w:r>
        <w:tab/>
        <w:t xml:space="preserve">Raad voor het Openbaar Bestuur, Decentrale taak is politieke zaak. Naar een sturende rol van de gemeenteraad in het sociaal domein, 2020, p. 66; J.W.M. Engels, ‘Decentralisatie, differentiatie en democratie. De betekenis van de drie decentralisaties in het sociale domein voor de lokale democratie’, </w:t>
      </w:r>
      <w:proofErr w:type="spellStart"/>
      <w:r>
        <w:t>Gst</w:t>
      </w:r>
      <w:proofErr w:type="spellEnd"/>
      <w:r>
        <w:t xml:space="preserve">. 2017/165. </w:t>
      </w:r>
    </w:p>
  </w:footnote>
  <w:footnote w:id="27">
    <w:p w:rsidR="00D9750D" w:rsidRDefault="007A6E7E" w:rsidP="00D9750D">
      <w:pPr>
        <w:pStyle w:val="Voetnoottekst"/>
      </w:pPr>
      <w:r>
        <w:rPr>
          <w:rStyle w:val="Voetnootmarkering"/>
        </w:rPr>
        <w:footnoteRef/>
      </w:r>
      <w:r>
        <w:t xml:space="preserve"> </w:t>
      </w:r>
      <w:r>
        <w:tab/>
        <w:t xml:space="preserve">Voor denkrichtingen hieromtrent: M. Scheltema, ‘Wetgeving in de responsieve rechtsstaat’, in: </w:t>
      </w:r>
      <w:proofErr w:type="spellStart"/>
      <w:r>
        <w:t>RegelMaat</w:t>
      </w:r>
      <w:proofErr w:type="spellEnd"/>
      <w:r>
        <w:t xml:space="preserve"> 2018/3. </w:t>
      </w:r>
    </w:p>
  </w:footnote>
  <w:footnote w:id="28">
    <w:p w:rsidR="00C16A9F" w:rsidRDefault="007A6E7E" w:rsidP="00C16A9F">
      <w:pPr>
        <w:pStyle w:val="Voetnoottekst"/>
      </w:pPr>
      <w:r>
        <w:rPr>
          <w:rStyle w:val="Voetnootmarkering"/>
        </w:rPr>
        <w:footnoteRef/>
      </w:r>
      <w:r>
        <w:t xml:space="preserve"> </w:t>
      </w:r>
      <w:r>
        <w:tab/>
        <w:t>Zie ook Berenschot, Democratische legitimiteit bij interbestuurlijke samenwerking. Knelpunten, oplossingen en een handelingsperspectief voor het Rijk, 2018, p. 39-40. Hierin wordt aanbevolen om een visie op samenwerking door, tussen en met overheden te formuleren en van daaruit te bepalen of aanpassing van het juridisch kader wenselijk is.</w:t>
      </w:r>
    </w:p>
  </w:footnote>
  <w:footnote w:id="29">
    <w:p w:rsidR="00C16A9F" w:rsidRDefault="007A6E7E" w:rsidP="00C16A9F">
      <w:pPr>
        <w:pStyle w:val="Voetnoottekst"/>
      </w:pPr>
      <w:r>
        <w:rPr>
          <w:rStyle w:val="Voetnootmarkering"/>
        </w:rPr>
        <w:footnoteRef/>
      </w:r>
      <w:r>
        <w:t xml:space="preserve"> </w:t>
      </w:r>
      <w:r>
        <w:tab/>
        <w:t>Kamerstukken II 2019/20, 35300 VII, nr. 7, p.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D7BD5"/>
    <w:multiLevelType w:val="hybridMultilevel"/>
    <w:tmpl w:val="616870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F6F5091"/>
    <w:multiLevelType w:val="multilevel"/>
    <w:tmpl w:val="3D043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65201B"/>
    <w:multiLevelType w:val="hybridMultilevel"/>
    <w:tmpl w:val="0B9A8A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130A23"/>
    <w:multiLevelType w:val="hybridMultilevel"/>
    <w:tmpl w:val="EA9261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583C62"/>
    <w:multiLevelType w:val="multilevel"/>
    <w:tmpl w:val="7CA8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F43517"/>
    <w:multiLevelType w:val="hybridMultilevel"/>
    <w:tmpl w:val="E1A297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1E59B9"/>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6095A"/>
    <w:rsid w:val="007A6E7E"/>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11FF074"/>
  <w15:docId w15:val="{C8638448-AEA5-4850-A663-AF01D3DE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semiHidden/>
    <w:unhideWhenUsed/>
    <w:rsid w:val="00553782"/>
    <w:rPr>
      <w:color w:val="0000FF" w:themeColor="hyperlink"/>
      <w:u w:val="single"/>
    </w:rPr>
  </w:style>
  <w:style w:type="character" w:styleId="Voetnootmarkering">
    <w:name w:val="footnote reference"/>
    <w:basedOn w:val="Standaardalinea-lettertype"/>
    <w:uiPriority w:val="99"/>
    <w:unhideWhenUsed/>
    <w:rsid w:val="0055378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5A2BAE"/>
    <w:rPr>
      <w:sz w:val="16"/>
      <w:szCs w:val="16"/>
    </w:rPr>
  </w:style>
  <w:style w:type="paragraph" w:styleId="Tekstopmerking">
    <w:name w:val="annotation text"/>
    <w:basedOn w:val="Standaard"/>
    <w:link w:val="TekstopmerkingChar"/>
    <w:semiHidden/>
    <w:unhideWhenUsed/>
    <w:rsid w:val="005A2BAE"/>
    <w:rPr>
      <w:sz w:val="20"/>
      <w:szCs w:val="20"/>
    </w:rPr>
  </w:style>
  <w:style w:type="character" w:customStyle="1" w:styleId="TekstopmerkingChar">
    <w:name w:val="Tekst opmerking Char"/>
    <w:basedOn w:val="Standaardalinea-lettertype"/>
    <w:link w:val="Tekstopmerking"/>
    <w:semiHidden/>
    <w:rsid w:val="005A2BAE"/>
    <w:rPr>
      <w:rFonts w:ascii="Univers" w:hAnsi="Univers"/>
    </w:rPr>
  </w:style>
  <w:style w:type="paragraph" w:styleId="Onderwerpvanopmerking">
    <w:name w:val="annotation subject"/>
    <w:basedOn w:val="Tekstopmerking"/>
    <w:next w:val="Tekstopmerking"/>
    <w:link w:val="OnderwerpvanopmerkingChar"/>
    <w:semiHidden/>
    <w:unhideWhenUsed/>
    <w:rsid w:val="005A2BAE"/>
    <w:rPr>
      <w:b/>
      <w:bCs/>
    </w:rPr>
  </w:style>
  <w:style w:type="character" w:customStyle="1" w:styleId="OnderwerpvanopmerkingChar">
    <w:name w:val="Onderwerp van opmerking Char"/>
    <w:basedOn w:val="TekstopmerkingChar"/>
    <w:link w:val="Onderwerpvanopmerking"/>
    <w:semiHidden/>
    <w:rsid w:val="005A2BAE"/>
    <w:rPr>
      <w:rFonts w:ascii="Univers" w:hAnsi="Univers"/>
      <w:b/>
      <w:bCs/>
    </w:rPr>
  </w:style>
  <w:style w:type="character" w:styleId="Nadruk">
    <w:name w:val="Emphasis"/>
    <w:basedOn w:val="Standaardalinea-lettertype"/>
    <w:uiPriority w:val="20"/>
    <w:qFormat/>
    <w:rsid w:val="00A44C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3462</ap:Words>
  <ap:Characters>20802</ap:Characters>
  <ap:DocSecurity>0</ap:DocSecurity>
  <ap:Lines>173</ap:Lines>
  <ap:Paragraphs>48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24216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2020-04-23T07:55:00.0000000Z</lastPrinted>
  <dcterms:created xsi:type="dcterms:W3CDTF">2012-11-20T15:20:00.0000000Z</dcterms:created>
  <dcterms:modified xsi:type="dcterms:W3CDTF">2020-04-23T07:56:00.0000000Z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0x01010034486A1B4344EE4ABC429C4105DB56AE</vt:lpwstr>
  </property>
</Properties>
</file>