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glossary/settings.xml" ContentType="application/vnd.openxmlformats-officedocument.wordprocessingml.settings+xml"/>
  <Override PartName="/word/customizations.xml" ContentType="application/vnd.ms-word.keyMapCustomization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docProps/core.xml" ContentType="application/vnd.openxmlformats-package.core-properties+xml"/>
  <Override PartName="/word/stylesWithEffects.xml" ContentType="application/vnd.ms-word.stylesWithEffects+xml"/>
  <Override PartName="/word/glossary/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768730976"/>
        <w:lock w:val="contentLocked"/>
        <w:placeholder>
          <w:docPart w:val="DefaultPlaceholder_1082065158"/>
        </w:placeholder>
        <w:group/>
      </w:sdtPr>
      <w:sdtEndPr/>
      <w:sdtContent>
        <w:p w:rsidR="00D2526B" w:rsidP="00D2526B" w:rsidRDefault="00977969">
          <w:pPr>
            <w:tabs>
              <w:tab w:val="left" w:pos="3686"/>
            </w:tabs>
          </w:pPr>
          <w:r w:rsidRPr="00831363">
            <w:rPr>
              <w:noProof/>
            </w:rPr>
            <mc:AlternateContent>
              <mc:Choice Requires="wps">
                <w:drawing>
                  <wp:anchor distT="0" distB="0" distL="114300" distR="114300" simplePos="0" relativeHeight="251657728" behindDoc="0" locked="0" layoutInCell="1" allowOverlap="1" wp14:editId="7295C92E" wp14:anchorId="16591560">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sidRPr="00831363">
            <w:rPr>
              <w:noProof/>
            </w:rPr>
            <w:drawing>
              <wp:anchor distT="0" distB="0" distL="114300" distR="114300" simplePos="0" relativeHeight="251656704" behindDoc="1" locked="0" layoutInCell="1" allowOverlap="1" wp14:editId="695B6683" wp14:anchorId="7753EA96">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1363" w:rsidR="00907421">
            <w:t>No.</w:t>
          </w:r>
          <w:sdt>
            <w:sdtPr>
              <w:alias w:val="ZaakNummerPlus"/>
              <w:tag w:val="ZaakNummerPlus"/>
              <w:id w:val="-1666084793"/>
              <w:lock w:val="sdtContentLocked"/>
              <w:placeholder>
                <w:docPart w:val="D4CFDB6C696D4A60944E1E577854833F"/>
              </w:placeholder>
              <w:text/>
            </w:sdtPr>
            <w:sdtEndPr/>
            <w:sdtContent>
              <w:r>
                <w:rPr>
                  <w:caps/>
                </w:rPr>
                <w:t>W16.19.0059/II</w:t>
              </w:r>
            </w:sdtContent>
          </w:sdt>
          <w:r w:rsidR="00D2526B">
            <w:tab/>
            <w:t xml:space="preserve">'s-Gravenhage, </w:t>
          </w:r>
          <w:sdt>
            <w:sdtPr>
              <w:alias w:val="DatumAdvies"/>
              <w:tag w:val="DatumAdvies"/>
              <w:id w:val="-287518040"/>
              <w:lock w:val="sdtContentLocked"/>
              <w:placeholder>
                <w:docPart w:val="48FC23674C4A4B198BB982E556E53853"/>
              </w:placeholder>
              <w:text/>
            </w:sdtPr>
            <w:sdtEndPr/>
            <w:sdtContent>
              <w:r>
                <w:t>24 mei 2019</w:t>
              </w:r>
            </w:sdtContent>
          </w:sdt>
        </w:p>
        <w:p w:rsidRPr="00831363" w:rsidR="001410FD" w:rsidP="00AC5AD9" w:rsidRDefault="001410FD">
          <w:pPr>
            <w:tabs>
              <w:tab w:val="left" w:pos="3686"/>
            </w:tabs>
          </w:pPr>
        </w:p>
        <w:p w:rsidRPr="00831363" w:rsidR="00636D17" w:rsidP="00636D17" w:rsidRDefault="00636D17">
          <w:pPr>
            <w:tabs>
              <w:tab w:val="left" w:pos="3685"/>
            </w:tabs>
          </w:pPr>
        </w:p>
        <w:p w:rsidRPr="00831363" w:rsidR="00636D17" w:rsidP="00636D17" w:rsidRDefault="00636D17">
          <w:pPr>
            <w:tabs>
              <w:tab w:val="left" w:pos="3685"/>
            </w:tabs>
          </w:pPr>
        </w:p>
        <w:sdt>
          <w:sdtPr>
            <w:alias w:val="Aanhef"/>
            <w:tag w:val="Aanhef"/>
            <w:id w:val="2074146362"/>
            <w:lock w:val="sdtContentLocked"/>
            <w:placeholder>
              <w:docPart w:val="48FC23674C4A4B198BB982E556E53853"/>
            </w:placeholder>
            <w:text w:multiLine="1"/>
          </w:sdtPr>
          <w:sdtEndPr/>
          <w:sdtContent>
            <w:p w:rsidR="00406773" w:rsidRDefault="005726E1">
              <w:r>
                <w:t>Bij Kabinetsmissive van 7 maart 2019, no.2019000453, heeft Uwe Majesteit, op voordracht van de Minister van Justitie en Veiligheid, bij de Afdeling advisering van de Raad van State ter overweging aanhangig gemaakt het voorstel van wet houdende herimplementatie van onderdelen van het kaderbesluit van de Raad van de Europese Unie betreffende het Europees aanhoudingsbevel en de procedures van overlevering tussen de lidstaten van de Europese Unie (wijziging van de Overleveringswet), met memorie van toelichting.</w:t>
              </w:r>
            </w:p>
          </w:sdtContent>
        </w:sdt>
        <w:p w:rsidRPr="00831363" w:rsidR="00CE4655" w:rsidP="003C7608" w:rsidRDefault="00CE4655"/>
        <w:sdt>
          <w:sdtPr>
            <w:rPr>
              <w:rFonts w:ascii="Times New Roman" w:hAnsi="Times New Roman" w:eastAsiaTheme="minorHAnsi"/>
              <w:sz w:val="24"/>
            </w:rPr>
            <w:alias w:val="VrijeTekst1"/>
            <w:tag w:val="VrijeTekst1"/>
            <w:id w:val="-437221631"/>
            <w:lock w:val="sdtLocked"/>
          </w:sdtPr>
          <w:sdtEndPr>
            <w:rPr>
              <w:rFonts w:ascii="Univers" w:hAnsi="Univers" w:eastAsia="Times New Roman"/>
              <w:sz w:val="22"/>
              <w:szCs w:val="22"/>
            </w:rPr>
          </w:sdtEndPr>
          <w:sdtContent>
            <w:sdt>
              <w:sdtPr>
                <w:rPr>
                  <w:rFonts w:ascii="Times New Roman" w:hAnsi="Times New Roman" w:eastAsiaTheme="minorHAnsi"/>
                  <w:sz w:val="24"/>
                  <w:szCs w:val="22"/>
                </w:rPr>
                <w:alias w:val="VrijeTekst1"/>
                <w:tag w:val="VrijeTekst1"/>
                <w:id w:val="1289011823"/>
              </w:sdtPr>
              <w:sdtEndPr>
                <w:rPr>
                  <w:rFonts w:ascii="Univers" w:hAnsi="Univers" w:eastAsia="Times New Roman"/>
                  <w:sz w:val="22"/>
                </w:rPr>
              </w:sdtEndPr>
              <w:sdtContent>
                <w:sdt>
                  <w:sdtPr>
                    <w:rPr>
                      <w:rFonts w:ascii="Times New Roman" w:hAnsi="Times New Roman" w:eastAsiaTheme="minorHAnsi"/>
                      <w:sz w:val="24"/>
                    </w:rPr>
                    <w:alias w:val="VrijeTekst1"/>
                    <w:tag w:val="VrijeTekst1"/>
                    <w:id w:val="-241562952"/>
                  </w:sdtPr>
                  <w:sdtEndPr>
                    <w:rPr>
                      <w:rFonts w:ascii="Univers" w:hAnsi="Univers" w:eastAsia="Times New Roman"/>
                      <w:sz w:val="22"/>
                      <w:szCs w:val="22"/>
                    </w:rPr>
                  </w:sdtEndPr>
                  <w:sdtContent>
                    <w:sdt>
                      <w:sdtPr>
                        <w:rPr>
                          <w:rFonts w:ascii="Times New Roman" w:hAnsi="Times New Roman" w:eastAsiaTheme="minorHAnsi"/>
                          <w:sz w:val="24"/>
                          <w:szCs w:val="22"/>
                        </w:rPr>
                        <w:alias w:val="VrijeTekst1"/>
                        <w:tag w:val="VrijeTekst1"/>
                        <w:id w:val="-2064092065"/>
                      </w:sdtPr>
                      <w:sdtEndPr>
                        <w:rPr>
                          <w:rFonts w:ascii="Univers" w:hAnsi="Univers" w:eastAsia="Times New Roman"/>
                          <w:sz w:val="22"/>
                        </w:rPr>
                      </w:sdtEndPr>
                      <w:sdtContent>
                        <w:p w:rsidRPr="008B3FE5" w:rsidR="003B2444" w:rsidP="003B2444" w:rsidRDefault="005726E1">
                          <w:pPr>
                            <w:rPr>
                              <w:szCs w:val="22"/>
                            </w:rPr>
                          </w:pPr>
                          <w:r w:rsidRPr="006E509A">
                            <w:rPr>
                              <w:szCs w:val="22"/>
                            </w:rPr>
                            <w:t xml:space="preserve">Het voorstel </w:t>
                          </w:r>
                          <w:r>
                            <w:rPr>
                              <w:szCs w:val="22"/>
                            </w:rPr>
                            <w:t xml:space="preserve">strekt tot wijziging van </w:t>
                          </w:r>
                          <w:r w:rsidRPr="006E509A">
                            <w:rPr>
                              <w:szCs w:val="22"/>
                            </w:rPr>
                            <w:t xml:space="preserve">de Overleveringswet. De wijzigingen </w:t>
                          </w:r>
                          <w:r>
                            <w:rPr>
                              <w:szCs w:val="22"/>
                            </w:rPr>
                            <w:t>houden</w:t>
                          </w:r>
                          <w:r w:rsidRPr="006E509A">
                            <w:rPr>
                              <w:szCs w:val="22"/>
                            </w:rPr>
                            <w:t xml:space="preserve"> onder meer </w:t>
                          </w:r>
                          <w:r>
                            <w:rPr>
                              <w:szCs w:val="22"/>
                            </w:rPr>
                            <w:t xml:space="preserve">verband met </w:t>
                          </w:r>
                          <w:r w:rsidRPr="006E509A">
                            <w:rPr>
                              <w:szCs w:val="22"/>
                            </w:rPr>
                            <w:t xml:space="preserve">een reeks arresten van het Hof van Justitie van de Europese Unie (hierna: </w:t>
                          </w:r>
                          <w:r w:rsidRPr="002526DF">
                            <w:rPr>
                              <w:szCs w:val="22"/>
                            </w:rPr>
                            <w:t xml:space="preserve">het </w:t>
                          </w:r>
                          <w:r w:rsidRPr="006E509A">
                            <w:rPr>
                              <w:szCs w:val="22"/>
                            </w:rPr>
                            <w:t>Hof van Justitie). Het voorstel voorziet daarnaast, naar aanleiding van de inmiddels in de praktijk opgedane ervaring met overlevering, in een aantal andere wijzigingen van de Overleveringswet en de Uitleveringswet.</w:t>
                          </w:r>
                        </w:p>
                        <w:p w:rsidRPr="006E509A" w:rsidR="003B2444" w:rsidP="003B2444" w:rsidRDefault="00753FC1">
                          <w:pPr>
                            <w:rPr>
                              <w:szCs w:val="22"/>
                            </w:rPr>
                          </w:pPr>
                        </w:p>
                        <w:p w:rsidR="003B2444" w:rsidP="003B2444" w:rsidRDefault="005726E1">
                          <w:pPr>
                            <w:rPr>
                              <w:szCs w:val="22"/>
                            </w:rPr>
                          </w:pPr>
                          <w:r w:rsidRPr="006E509A">
                            <w:rPr>
                              <w:szCs w:val="22"/>
                            </w:rPr>
                            <w:t xml:space="preserve">De Afdeling advisering van de Raad van State merkt op dat het voorstel niet voorziet in aanpassing van artikel 6 van de Overleveringswet en wijst in dat verband op enkele arresten van het Hof van Justitie. </w:t>
                          </w:r>
                          <w:r>
                            <w:rPr>
                              <w:szCs w:val="22"/>
                            </w:rPr>
                            <w:t>I</w:t>
                          </w:r>
                          <w:r w:rsidRPr="006E509A">
                            <w:rPr>
                              <w:szCs w:val="22"/>
                            </w:rPr>
                            <w:t xml:space="preserve">n verband daarmee </w:t>
                          </w:r>
                          <w:r>
                            <w:rPr>
                              <w:szCs w:val="22"/>
                            </w:rPr>
                            <w:t xml:space="preserve">is </w:t>
                          </w:r>
                          <w:r w:rsidRPr="006E509A">
                            <w:rPr>
                              <w:szCs w:val="22"/>
                            </w:rPr>
                            <w:t>aanvulli</w:t>
                          </w:r>
                          <w:r>
                            <w:rPr>
                              <w:szCs w:val="22"/>
                            </w:rPr>
                            <w:t>ng van de toelichting wenselijk</w:t>
                          </w:r>
                          <w:r w:rsidRPr="006E509A">
                            <w:rPr>
                              <w:szCs w:val="22"/>
                            </w:rPr>
                            <w:t xml:space="preserve">. </w:t>
                          </w:r>
                        </w:p>
                        <w:p w:rsidRPr="006E509A" w:rsidR="003B2444" w:rsidP="003B2444" w:rsidRDefault="00753FC1">
                          <w:pPr>
                            <w:rPr>
                              <w:szCs w:val="22"/>
                            </w:rPr>
                          </w:pPr>
                        </w:p>
                        <w:p w:rsidRPr="00961D70" w:rsidR="003B2444" w:rsidP="003B2444" w:rsidRDefault="005726E1">
                          <w:pPr>
                            <w:rPr>
                              <w:u w:val="single"/>
                            </w:rPr>
                          </w:pPr>
                          <w:r w:rsidRPr="008D1037">
                            <w:rPr>
                              <w:szCs w:val="22"/>
                            </w:rPr>
                            <w:t>1.</w:t>
                          </w:r>
                          <w:r w:rsidRPr="008D1037">
                            <w:rPr>
                              <w:szCs w:val="22"/>
                            </w:rPr>
                            <w:tab/>
                          </w:r>
                          <w:r w:rsidRPr="00B53371">
                            <w:rPr>
                              <w:szCs w:val="22"/>
                              <w:u w:val="single"/>
                            </w:rPr>
                            <w:t>A</w:t>
                          </w:r>
                          <w:r w:rsidRPr="007123F5">
                            <w:rPr>
                              <w:szCs w:val="22"/>
                              <w:u w:val="single"/>
                            </w:rPr>
                            <w:t xml:space="preserve">chterwege laten </w:t>
                          </w:r>
                          <w:r>
                            <w:rPr>
                              <w:szCs w:val="22"/>
                              <w:u w:val="single"/>
                            </w:rPr>
                            <w:t xml:space="preserve">van aanpassing van artikel 6 van </w:t>
                          </w:r>
                          <w:r w:rsidRPr="00B53371">
                            <w:rPr>
                              <w:szCs w:val="22"/>
                              <w:u w:val="single"/>
                            </w:rPr>
                            <w:t>de Overleveringswet</w:t>
                          </w:r>
                          <w:r w:rsidRPr="00961D70">
                            <w:rPr>
                              <w:u w:val="single"/>
                            </w:rPr>
                            <w:t xml:space="preserve"> </w:t>
                          </w:r>
                        </w:p>
                        <w:p w:rsidRPr="006E509A" w:rsidR="003B2444" w:rsidP="003B2444" w:rsidRDefault="00753FC1">
                          <w:pPr>
                            <w:rPr>
                              <w:szCs w:val="22"/>
                            </w:rPr>
                          </w:pPr>
                        </w:p>
                        <w:p w:rsidRPr="006E509A" w:rsidR="003B2444" w:rsidP="003B2444" w:rsidRDefault="005726E1">
                          <w:pPr>
                            <w:rPr>
                              <w:szCs w:val="22"/>
                            </w:rPr>
                          </w:pPr>
                          <w:r w:rsidRPr="006E509A">
                            <w:rPr>
                              <w:szCs w:val="22"/>
                            </w:rPr>
                            <w:t>Het kaderbesluit betreffende het Europees aanhoudingsbevel en de procedures van overlevering tussen de lidstaten (hierna: het kaderbesluit)</w:t>
                          </w:r>
                          <w:r w:rsidRPr="006E509A">
                            <w:rPr>
                              <w:rStyle w:val="FootnoteReference"/>
                              <w:szCs w:val="22"/>
                            </w:rPr>
                            <w:footnoteReference w:id="1"/>
                          </w:r>
                          <w:r>
                            <w:rPr>
                              <w:szCs w:val="22"/>
                            </w:rPr>
                            <w:t xml:space="preserve"> is in 2004 </w:t>
                          </w:r>
                          <w:r w:rsidRPr="006E509A">
                            <w:rPr>
                              <w:szCs w:val="22"/>
                            </w:rPr>
                            <w:t>geïmplementeerd in de Overleveringswet.</w:t>
                          </w:r>
                          <w:r w:rsidRPr="006E509A">
                            <w:rPr>
                              <w:rStyle w:val="FootnoteReference"/>
                              <w:szCs w:val="22"/>
                            </w:rPr>
                            <w:footnoteReference w:id="2"/>
                          </w:r>
                          <w:r w:rsidRPr="006E509A">
                            <w:rPr>
                              <w:szCs w:val="22"/>
                            </w:rPr>
                            <w:t xml:space="preserve"> Inmiddels heeft het Hof van Justitie verschillende arresten gewezen waarin uitleg is gegeven aan de verplichtingen van het kaderbesluit voor de lidstaten. De Overleveringswet bleek in een aantal gevallen niet in lijn met de</w:t>
                          </w:r>
                          <w:r>
                            <w:rPr>
                              <w:szCs w:val="22"/>
                            </w:rPr>
                            <w:t xml:space="preserve">ze </w:t>
                          </w:r>
                          <w:r w:rsidRPr="006E509A">
                            <w:rPr>
                              <w:szCs w:val="22"/>
                            </w:rPr>
                            <w:t xml:space="preserve">uitleg </w:t>
                          </w:r>
                          <w:r>
                            <w:rPr>
                              <w:szCs w:val="22"/>
                            </w:rPr>
                            <w:t xml:space="preserve">van </w:t>
                          </w:r>
                          <w:r w:rsidRPr="006E509A">
                            <w:rPr>
                              <w:szCs w:val="22"/>
                            </w:rPr>
                            <w:t>het Hof van Justitie. In het wetsvoorstel is voornamelijk beoogd de oorspronkelijke implementatie van de Overleveringswet in overeenstemming te brengen met deze jurisprudentie van het Hof van Justitie. Door de regering wordt het voorstel dan ook beschouwd als een herimplementatie.</w:t>
                          </w:r>
                        </w:p>
                        <w:p w:rsidRPr="006E509A" w:rsidR="003B2444" w:rsidP="003B2444" w:rsidRDefault="00753FC1">
                          <w:pPr>
                            <w:rPr>
                              <w:szCs w:val="22"/>
                            </w:rPr>
                          </w:pPr>
                        </w:p>
                        <w:p w:rsidRPr="006E509A" w:rsidR="003B2444" w:rsidP="003B2444" w:rsidRDefault="005726E1">
                          <w:pPr>
                            <w:rPr>
                              <w:szCs w:val="22"/>
                            </w:rPr>
                          </w:pPr>
                          <w:r w:rsidRPr="006E509A">
                            <w:rPr>
                              <w:szCs w:val="22"/>
                            </w:rPr>
                            <w:t>De Afdeling wijst in dit verband op de arresten Poplawski</w:t>
                          </w:r>
                          <w:r w:rsidRPr="006E509A">
                            <w:rPr>
                              <w:rStyle w:val="FootnoteReference"/>
                              <w:szCs w:val="22"/>
                            </w:rPr>
                            <w:footnoteReference w:id="3"/>
                          </w:r>
                          <w:r w:rsidRPr="006E509A">
                            <w:rPr>
                              <w:szCs w:val="22"/>
                            </w:rPr>
                            <w:t xml:space="preserve"> en Wolzenburg</w:t>
                          </w:r>
                          <w:r w:rsidRPr="006E509A">
                            <w:rPr>
                              <w:rStyle w:val="FootnoteReference"/>
                              <w:szCs w:val="22"/>
                            </w:rPr>
                            <w:footnoteReference w:id="4"/>
                          </w:r>
                          <w:r w:rsidRPr="006E509A">
                            <w:rPr>
                              <w:szCs w:val="22"/>
                            </w:rPr>
                            <w:t xml:space="preserve"> </w:t>
                          </w:r>
                          <w:r>
                            <w:rPr>
                              <w:szCs w:val="22"/>
                            </w:rPr>
                            <w:t xml:space="preserve">van het Hof van Justitie. </w:t>
                          </w:r>
                          <w:r w:rsidRPr="006E509A">
                            <w:rPr>
                              <w:szCs w:val="22"/>
                            </w:rPr>
                            <w:t xml:space="preserve">Deze arresten zien op de </w:t>
                          </w:r>
                          <w:r>
                            <w:rPr>
                              <w:szCs w:val="22"/>
                            </w:rPr>
                            <w:t xml:space="preserve">verhouding tussen </w:t>
                          </w:r>
                          <w:r w:rsidRPr="006E509A">
                            <w:rPr>
                              <w:szCs w:val="22"/>
                            </w:rPr>
                            <w:t xml:space="preserve">artikel 6 van de Overleveringswet en artikel 4, punt 6, van het kaderbesluit. In het voorstel zijn </w:t>
                          </w:r>
                          <w:r>
                            <w:rPr>
                              <w:szCs w:val="22"/>
                            </w:rPr>
                            <w:t xml:space="preserve">echter </w:t>
                          </w:r>
                          <w:r w:rsidRPr="006E509A">
                            <w:rPr>
                              <w:szCs w:val="22"/>
                            </w:rPr>
                            <w:t xml:space="preserve">geen wijzigingen van artikel 6 van de Overleveringswet opgenomen. </w:t>
                          </w:r>
                        </w:p>
                        <w:p w:rsidR="003B2444" w:rsidP="003B2444" w:rsidRDefault="00753FC1">
                          <w:pPr>
                            <w:rPr>
                              <w:szCs w:val="22"/>
                            </w:rPr>
                          </w:pPr>
                        </w:p>
                        <w:p w:rsidR="003B2444" w:rsidP="003B2444" w:rsidRDefault="005726E1">
                          <w:pPr>
                            <w:rPr>
                              <w:szCs w:val="22"/>
                            </w:rPr>
                          </w:pPr>
                          <w:r>
                            <w:t xml:space="preserve">Artikel 4, punt 6, van het kaderbesluit bepaalt dat de tenuitvoerlegging van het Europees aanhoudingsbevel ten aanzien van een gezochte persoon kan worden geweigerd indien dat is uitgevaardigd met het oog op de tenuitvoerlegging van een vrijheidsstraf of een tot vrijheidsbeneming strekkende maatregel. Het moet dan gaan </w:t>
                          </w:r>
                          <w:r>
                            <w:lastRenderedPageBreak/>
                            <w:t>om een persoon die verblijft in of onderdaan of ingezetene is van de uitvoerende lidstaat. De uitvoerende staat is dan gehouden zich ertoe te verbinden die straf of maatregel overeenkomstig zijn nationale recht zelf ten uitvoer te leggen.</w:t>
                          </w:r>
                        </w:p>
                        <w:p w:rsidRPr="006E509A" w:rsidR="003B2444" w:rsidP="003B2444" w:rsidRDefault="00753FC1">
                          <w:pPr>
                            <w:rPr>
                              <w:szCs w:val="22"/>
                            </w:rPr>
                          </w:pPr>
                        </w:p>
                        <w:p w:rsidRPr="006E509A" w:rsidR="003B2444" w:rsidP="003B2444" w:rsidRDefault="005726E1">
                          <w:pPr>
                            <w:rPr>
                              <w:szCs w:val="22"/>
                            </w:rPr>
                          </w:pPr>
                          <w:r w:rsidRPr="006E509A">
                            <w:rPr>
                              <w:szCs w:val="22"/>
                            </w:rPr>
                            <w:t xml:space="preserve">Artikel 6 van de Overleveringswet bepaalt dat de overlevering van een Nederlander niet wordt toegestaan indien deze is gevraagd ten behoeve van de tenuitvoerlegging van een hem bij onherroepelijk vonnis opgelegde vrijheidsstraf (tweede lid). Bij een </w:t>
                          </w:r>
                          <w:r>
                            <w:rPr>
                              <w:szCs w:val="22"/>
                            </w:rPr>
                            <w:t xml:space="preserve">dergelijke </w:t>
                          </w:r>
                          <w:r w:rsidRPr="006E509A">
                            <w:rPr>
                              <w:szCs w:val="22"/>
                            </w:rPr>
                            <w:t xml:space="preserve">weigering stelt de officier van justitie de uitvaardigende justitiële autoriteit in kennis van de bereidheid om de tenuitvoerlegging van het vonnis over te nemen (derde lid). Het voorgaande is onder een tweetal voorwaarden eveneens van toepassing op een vreemdeling met </w:t>
                          </w:r>
                          <w:r>
                            <w:rPr>
                              <w:szCs w:val="22"/>
                            </w:rPr>
                            <w:t>“</w:t>
                          </w:r>
                          <w:r w:rsidRPr="006E509A">
                            <w:rPr>
                              <w:szCs w:val="22"/>
                            </w:rPr>
                            <w:t>een verblijfsvergunning voor onbepaalde tijd</w:t>
                          </w:r>
                          <w:r>
                            <w:rPr>
                              <w:szCs w:val="22"/>
                            </w:rPr>
                            <w:t>”</w:t>
                          </w:r>
                          <w:r w:rsidRPr="006E509A">
                            <w:rPr>
                              <w:szCs w:val="22"/>
                            </w:rPr>
                            <w:t xml:space="preserve"> (vijfde lid)</w:t>
                          </w:r>
                          <w:r>
                            <w:rPr>
                              <w:szCs w:val="22"/>
                            </w:rPr>
                            <w:t>.</w:t>
                          </w:r>
                          <w:r>
                            <w:rPr>
                              <w:rStyle w:val="FootnoteReference"/>
                              <w:szCs w:val="22"/>
                            </w:rPr>
                            <w:footnoteReference w:id="5"/>
                          </w:r>
                          <w:r w:rsidRPr="006E509A">
                            <w:rPr>
                              <w:szCs w:val="22"/>
                            </w:rPr>
                            <w:t xml:space="preserve"> </w:t>
                          </w:r>
                        </w:p>
                        <w:p w:rsidRPr="006E509A" w:rsidR="003B2444" w:rsidP="003B2444" w:rsidRDefault="00753FC1">
                          <w:pPr>
                            <w:rPr>
                              <w:szCs w:val="22"/>
                            </w:rPr>
                          </w:pPr>
                        </w:p>
                        <w:p w:rsidRPr="006E509A" w:rsidR="003B2444" w:rsidP="003B2444" w:rsidRDefault="005726E1">
                          <w:pPr>
                            <w:rPr>
                              <w:szCs w:val="22"/>
                            </w:rPr>
                          </w:pPr>
                          <w:r w:rsidRPr="006E509A">
                            <w:rPr>
                              <w:i/>
                              <w:szCs w:val="22"/>
                            </w:rPr>
                            <w:t>a.</w:t>
                          </w:r>
                          <w:r w:rsidRPr="006E509A">
                            <w:rPr>
                              <w:i/>
                              <w:szCs w:val="22"/>
                            </w:rPr>
                            <w:tab/>
                            <w:t xml:space="preserve">Facultatieve weigeringsgrond en verbintenis tot overname van de </w:t>
                          </w:r>
                          <w:r>
                            <w:rPr>
                              <w:i/>
                              <w:szCs w:val="22"/>
                            </w:rPr>
                            <w:tab/>
                          </w:r>
                          <w:r w:rsidRPr="006E509A">
                            <w:rPr>
                              <w:i/>
                              <w:szCs w:val="22"/>
                            </w:rPr>
                            <w:t>tenuitvoerlegging van een vrijheidsstraf bij weigering overlevering</w:t>
                          </w:r>
                        </w:p>
                        <w:p w:rsidRPr="006E509A" w:rsidR="003B2444" w:rsidP="003B2444" w:rsidRDefault="00753FC1">
                          <w:pPr>
                            <w:rPr>
                              <w:szCs w:val="22"/>
                            </w:rPr>
                          </w:pPr>
                        </w:p>
                        <w:p w:rsidRPr="006E509A" w:rsidR="003B2444" w:rsidP="003B2444" w:rsidRDefault="005726E1">
                          <w:pPr>
                            <w:rPr>
                              <w:szCs w:val="22"/>
                            </w:rPr>
                          </w:pPr>
                          <w:r>
                            <w:rPr>
                              <w:szCs w:val="22"/>
                            </w:rPr>
                            <w:t xml:space="preserve">Uit </w:t>
                          </w:r>
                          <w:r w:rsidRPr="006E509A">
                            <w:rPr>
                              <w:szCs w:val="22"/>
                            </w:rPr>
                            <w:t xml:space="preserve">het arrest Poplawski </w:t>
                          </w:r>
                          <w:r>
                            <w:rPr>
                              <w:szCs w:val="22"/>
                            </w:rPr>
                            <w:t>volgt</w:t>
                          </w:r>
                          <w:r w:rsidRPr="006E509A">
                            <w:rPr>
                              <w:szCs w:val="22"/>
                            </w:rPr>
                            <w:t xml:space="preserve"> dat artikel 4, punt 6, van het kaderbesluit zich verzet tegen de wijze waarop die bepaling in artikel 6 van de Overleveringswet is geïmplementeerd.</w:t>
                          </w:r>
                          <w:r>
                            <w:rPr>
                              <w:szCs w:val="22"/>
                            </w:rPr>
                            <w:t xml:space="preserve"> </w:t>
                          </w:r>
                          <w:r w:rsidRPr="006E509A">
                            <w:rPr>
                              <w:szCs w:val="22"/>
                            </w:rPr>
                            <w:t xml:space="preserve">Artikel 6, tweede lid, van de Overleveringswet is niet geformuleerd als een facultatieve weigeringsgrond, maar als een imperatieve weigeringsgrond. Bovendien is de bereidheid tot overname van de tenuitvoerlegging als bedoeld in artikel 6, derde lid, van de Overleveringswet niet een </w:t>
                          </w:r>
                          <w:r>
                            <w:rPr>
                              <w:szCs w:val="22"/>
                            </w:rPr>
                            <w:t>garantie</w:t>
                          </w:r>
                          <w:r w:rsidRPr="006E509A">
                            <w:rPr>
                              <w:szCs w:val="22"/>
                            </w:rPr>
                            <w:t xml:space="preserve"> tot tenuitvoerlegging als bedoeld in artikel 4, punt 6, van het kaderbesluit.</w:t>
                          </w:r>
                          <w:r>
                            <w:rPr>
                              <w:rStyle w:val="FootnoteReference"/>
                              <w:szCs w:val="22"/>
                            </w:rPr>
                            <w:footnoteReference w:id="6"/>
                          </w:r>
                        </w:p>
                        <w:p w:rsidRPr="006E509A" w:rsidR="003B2444" w:rsidP="003B2444" w:rsidRDefault="00753FC1">
                          <w:pPr>
                            <w:rPr>
                              <w:szCs w:val="22"/>
                            </w:rPr>
                          </w:pPr>
                        </w:p>
                        <w:p w:rsidR="003B2444" w:rsidP="003B2444" w:rsidRDefault="005726E1">
                          <w:pPr>
                            <w:rPr>
                              <w:szCs w:val="22"/>
                            </w:rPr>
                          </w:pPr>
                          <w:r w:rsidRPr="006E509A">
                            <w:rPr>
                              <w:szCs w:val="22"/>
                            </w:rPr>
                            <w:t>De memorie van toelichting vermeldt dat</w:t>
                          </w:r>
                          <w:r>
                            <w:rPr>
                              <w:szCs w:val="22"/>
                            </w:rPr>
                            <w:t xml:space="preserve"> artikel 6 van de Overleveringswet nu niet gewijzigd wordt “</w:t>
                          </w:r>
                          <w:r w:rsidRPr="006E509A">
                            <w:rPr>
                              <w:szCs w:val="22"/>
                            </w:rPr>
                            <w:t xml:space="preserve">in verband met nog </w:t>
                          </w:r>
                          <w:r w:rsidRPr="008D1037">
                            <w:rPr>
                              <w:szCs w:val="22"/>
                            </w:rPr>
                            <w:t>lopende zaken bij het Hof”.</w:t>
                          </w:r>
                          <w:r w:rsidRPr="008D1037">
                            <w:rPr>
                              <w:rStyle w:val="FootnoteReference"/>
                              <w:szCs w:val="22"/>
                            </w:rPr>
                            <w:footnoteReference w:id="7"/>
                          </w:r>
                          <w:r w:rsidRPr="008D1037">
                            <w:rPr>
                              <w:szCs w:val="22"/>
                            </w:rPr>
                            <w:t xml:space="preserve"> </w:t>
                          </w:r>
                          <w:r>
                            <w:rPr>
                              <w:szCs w:val="22"/>
                            </w:rPr>
                            <w:t>In d</w:t>
                          </w:r>
                          <w:r w:rsidRPr="008D1037">
                            <w:rPr>
                              <w:szCs w:val="22"/>
                            </w:rPr>
                            <w:t>e toelichting</w:t>
                          </w:r>
                          <w:r>
                            <w:rPr>
                              <w:szCs w:val="22"/>
                            </w:rPr>
                            <w:t xml:space="preserve"> wordt niet aangegeven om welke </w:t>
                          </w:r>
                          <w:r w:rsidRPr="008D1037">
                            <w:rPr>
                              <w:szCs w:val="22"/>
                            </w:rPr>
                            <w:t xml:space="preserve">lopende zaken </w:t>
                          </w:r>
                          <w:r>
                            <w:rPr>
                              <w:szCs w:val="22"/>
                            </w:rPr>
                            <w:t>het gaat</w:t>
                          </w:r>
                          <w:r w:rsidRPr="008D1037">
                            <w:rPr>
                              <w:szCs w:val="22"/>
                            </w:rPr>
                            <w:t xml:space="preserve"> en </w:t>
                          </w:r>
                          <w:r>
                            <w:rPr>
                              <w:szCs w:val="22"/>
                            </w:rPr>
                            <w:t>wordt</w:t>
                          </w:r>
                          <w:r w:rsidRPr="008D1037">
                            <w:rPr>
                              <w:szCs w:val="22"/>
                            </w:rPr>
                            <w:t xml:space="preserve"> evenmin in</w:t>
                          </w:r>
                          <w:r>
                            <w:rPr>
                              <w:szCs w:val="22"/>
                            </w:rPr>
                            <w:t>gegaan</w:t>
                          </w:r>
                          <w:r w:rsidRPr="008D1037">
                            <w:rPr>
                              <w:szCs w:val="22"/>
                            </w:rPr>
                            <w:t xml:space="preserve"> op de in deze zaken te beantwoorden rechtsvragen. </w:t>
                          </w:r>
                        </w:p>
                        <w:p w:rsidR="003B2444" w:rsidP="003B2444" w:rsidRDefault="00753FC1">
                          <w:pPr>
                            <w:rPr>
                              <w:szCs w:val="22"/>
                            </w:rPr>
                          </w:pPr>
                        </w:p>
                        <w:p w:rsidR="003B2444" w:rsidP="003B2444" w:rsidRDefault="005726E1">
                          <w:pPr>
                            <w:rPr>
                              <w:szCs w:val="22"/>
                            </w:rPr>
                          </w:pPr>
                          <w:r w:rsidRPr="008D1037">
                            <w:rPr>
                              <w:szCs w:val="22"/>
                            </w:rPr>
                            <w:t xml:space="preserve">Gezien de doelstelling van dit wetsvoorstel en de bestaande strijdigheid van artikel 6 van de Overleveringswet met de jurisprudentie van het Hof van Justitie, </w:t>
                          </w:r>
                          <w:r>
                            <w:rPr>
                              <w:szCs w:val="22"/>
                            </w:rPr>
                            <w:t xml:space="preserve">adviseert </w:t>
                          </w:r>
                          <w:r w:rsidRPr="008D1037">
                            <w:rPr>
                              <w:szCs w:val="22"/>
                            </w:rPr>
                            <w:t xml:space="preserve">de Afdeling </w:t>
                          </w:r>
                          <w:r>
                            <w:rPr>
                              <w:szCs w:val="22"/>
                            </w:rPr>
                            <w:t>hierop in de toelichting nader in te gaan.</w:t>
                          </w:r>
                        </w:p>
                        <w:p w:rsidRPr="008D1037" w:rsidR="005726E1" w:rsidP="003B2444" w:rsidRDefault="005726E1">
                          <w:pPr>
                            <w:rPr>
                              <w:szCs w:val="22"/>
                            </w:rPr>
                          </w:pPr>
                        </w:p>
                        <w:p w:rsidRPr="008D1037" w:rsidR="003B2444" w:rsidP="003B2444" w:rsidRDefault="00753FC1">
                          <w:pPr>
                            <w:rPr>
                              <w:szCs w:val="22"/>
                            </w:rPr>
                          </w:pPr>
                        </w:p>
                        <w:p w:rsidRPr="008D1037" w:rsidR="003B2444" w:rsidP="003B2444" w:rsidRDefault="005726E1">
                          <w:pPr>
                            <w:rPr>
                              <w:i/>
                              <w:szCs w:val="22"/>
                            </w:rPr>
                          </w:pPr>
                          <w:r w:rsidRPr="008D1037">
                            <w:rPr>
                              <w:i/>
                              <w:szCs w:val="22"/>
                            </w:rPr>
                            <w:t>b.</w:t>
                          </w:r>
                          <w:r w:rsidRPr="008D1037">
                            <w:rPr>
                              <w:i/>
                              <w:szCs w:val="22"/>
                            </w:rPr>
                            <w:tab/>
                            <w:t xml:space="preserve">Gelijkstelling van lang verblijvende vreemdelingen met eigen onderdanen </w:t>
                          </w:r>
                          <w:r w:rsidRPr="008D1037">
                            <w:rPr>
                              <w:i/>
                              <w:szCs w:val="22"/>
                            </w:rPr>
                            <w:tab/>
                            <w:t>zonder nadere administratieve eisen</w:t>
                          </w:r>
                        </w:p>
                        <w:p w:rsidRPr="008D1037" w:rsidR="003B2444" w:rsidP="003B2444" w:rsidRDefault="00753FC1">
                          <w:pPr>
                            <w:rPr>
                              <w:szCs w:val="22"/>
                            </w:rPr>
                          </w:pPr>
                        </w:p>
                        <w:p w:rsidRPr="006E509A" w:rsidR="003B2444" w:rsidP="003B2444" w:rsidRDefault="005726E1">
                          <w:pPr>
                            <w:rPr>
                              <w:szCs w:val="22"/>
                            </w:rPr>
                          </w:pPr>
                          <w:r w:rsidRPr="008D1037">
                            <w:rPr>
                              <w:szCs w:val="22"/>
                            </w:rPr>
                            <w:t xml:space="preserve">Ook in het arrest Wolzenburg is uitleg gegeven aan artikel 4, punt 6, van het kaderbesluit. In dit arrest is bepaald dat de uitvoerende </w:t>
                          </w:r>
                          <w:r w:rsidRPr="006E509A">
                            <w:rPr>
                              <w:szCs w:val="22"/>
                            </w:rPr>
                            <w:t xml:space="preserve">lidstaat bij het toepassen van de facultatieve grond tot weigering van de tenuitvoerlegging van een Europees aanhoudingsbevel in het geval van een burger van de Unie, geen aanvullende administratieve eisen mag stellen naast een vereiste met betrekking tot de duur van het verblijf in die staat. Het Hof van Justitie noemt als voorbeeld van een dergelijke administratieve eis het beschikken over </w:t>
                          </w:r>
                          <w:r>
                            <w:rPr>
                              <w:szCs w:val="22"/>
                            </w:rPr>
                            <w:t>“</w:t>
                          </w:r>
                          <w:r w:rsidRPr="006E509A">
                            <w:rPr>
                              <w:szCs w:val="22"/>
                            </w:rPr>
                            <w:t>een verblijfsvergunning voor onbepaalde tijd</w:t>
                          </w:r>
                          <w:r>
                            <w:rPr>
                              <w:szCs w:val="22"/>
                            </w:rPr>
                            <w:t>”</w:t>
                          </w:r>
                          <w:r w:rsidRPr="006E509A">
                            <w:rPr>
                              <w:szCs w:val="22"/>
                            </w:rPr>
                            <w:t>.</w:t>
                          </w:r>
                          <w:r>
                            <w:rPr>
                              <w:rStyle w:val="FootnoteReference"/>
                              <w:szCs w:val="22"/>
                            </w:rPr>
                            <w:footnoteReference w:id="8"/>
                          </w:r>
                          <w:r w:rsidRPr="006E509A">
                            <w:rPr>
                              <w:szCs w:val="22"/>
                            </w:rPr>
                            <w:t xml:space="preserve"> </w:t>
                          </w:r>
                          <w:r w:rsidRPr="006E509A">
                            <w:rPr>
                              <w:szCs w:val="22"/>
                            </w:rPr>
                            <w:lastRenderedPageBreak/>
                            <w:t>In artikel 6, vijfde lid, van de Overleveringswet wordt deze administratieve eis gesteld</w:t>
                          </w:r>
                          <w:r>
                            <w:rPr>
                              <w:szCs w:val="22"/>
                            </w:rPr>
                            <w:t xml:space="preserve"> en is daarmee als zodanig in strijd met jurisprudentie van het Hof van Justitie</w:t>
                          </w:r>
                          <w:r w:rsidRPr="006E509A">
                            <w:rPr>
                              <w:szCs w:val="22"/>
                            </w:rPr>
                            <w:t>.</w:t>
                          </w:r>
                        </w:p>
                        <w:p w:rsidRPr="006E509A" w:rsidR="003B2444" w:rsidP="003B2444" w:rsidRDefault="00753FC1">
                          <w:pPr>
                            <w:rPr>
                              <w:szCs w:val="22"/>
                            </w:rPr>
                          </w:pPr>
                        </w:p>
                        <w:p w:rsidR="003B2444" w:rsidP="003B2444" w:rsidRDefault="005726E1">
                          <w:pPr>
                            <w:rPr>
                              <w:szCs w:val="22"/>
                            </w:rPr>
                          </w:pPr>
                          <w:r>
                            <w:rPr>
                              <w:szCs w:val="22"/>
                            </w:rPr>
                            <w:t>I</w:t>
                          </w:r>
                          <w:r w:rsidRPr="006E509A">
                            <w:rPr>
                              <w:szCs w:val="22"/>
                            </w:rPr>
                            <w:t xml:space="preserve">n de memorie van toelichting </w:t>
                          </w:r>
                          <w:r>
                            <w:rPr>
                              <w:szCs w:val="22"/>
                            </w:rPr>
                            <w:t xml:space="preserve">is </w:t>
                          </w:r>
                          <w:r w:rsidRPr="006E509A">
                            <w:rPr>
                              <w:szCs w:val="22"/>
                            </w:rPr>
                            <w:t>onder ‘Overzicht van de belangrijkste wijzigingen’ opgenomen</w:t>
                          </w:r>
                          <w:r>
                            <w:rPr>
                              <w:szCs w:val="22"/>
                            </w:rPr>
                            <w:t xml:space="preserve"> dat </w:t>
                          </w:r>
                          <w:r w:rsidRPr="006E509A">
                            <w:rPr>
                              <w:szCs w:val="22"/>
                            </w:rPr>
                            <w:t xml:space="preserve">lang verblijvende vreemdelingen met eigen onderdanen </w:t>
                          </w:r>
                          <w:r>
                            <w:rPr>
                              <w:szCs w:val="22"/>
                            </w:rPr>
                            <w:t xml:space="preserve">zullen worden gelijkgesteld </w:t>
                          </w:r>
                          <w:r w:rsidRPr="006E509A">
                            <w:rPr>
                              <w:szCs w:val="22"/>
                            </w:rPr>
                            <w:t xml:space="preserve">zonder nadere administratieve eisen. </w:t>
                          </w:r>
                          <w:r>
                            <w:rPr>
                              <w:szCs w:val="22"/>
                            </w:rPr>
                            <w:t>A</w:t>
                          </w:r>
                          <w:r w:rsidRPr="006E509A">
                            <w:rPr>
                              <w:szCs w:val="22"/>
                            </w:rPr>
                            <w:t xml:space="preserve">rtikel 6, vijfde lid, van de Overleveringswet wordt in het wetsvoorstel </w:t>
                          </w:r>
                          <w:r>
                            <w:rPr>
                              <w:szCs w:val="22"/>
                            </w:rPr>
                            <w:t>zelf echter niet gewijzigd</w:t>
                          </w:r>
                          <w:r w:rsidRPr="006E509A">
                            <w:rPr>
                              <w:szCs w:val="22"/>
                            </w:rPr>
                            <w:t xml:space="preserve">. </w:t>
                          </w:r>
                        </w:p>
                        <w:p w:rsidRPr="006E509A" w:rsidR="003B2444" w:rsidP="003B2444" w:rsidRDefault="00753FC1">
                          <w:pPr>
                            <w:rPr>
                              <w:szCs w:val="22"/>
                            </w:rPr>
                          </w:pPr>
                        </w:p>
                        <w:p w:rsidRPr="003B2444" w:rsidR="0031089B" w:rsidP="003B2444" w:rsidRDefault="005726E1">
                          <w:r w:rsidRPr="008D1037">
                            <w:rPr>
                              <w:szCs w:val="22"/>
                            </w:rPr>
                            <w:t xml:space="preserve">Gezien de doelstelling van dit wetsvoorstel en de bestaande strijdigheid </w:t>
                          </w:r>
                          <w:r>
                            <w:rPr>
                              <w:szCs w:val="22"/>
                            </w:rPr>
                            <w:t xml:space="preserve">adviseert </w:t>
                          </w:r>
                          <w:r w:rsidRPr="008D1037">
                            <w:rPr>
                              <w:szCs w:val="22"/>
                            </w:rPr>
                            <w:t>de Afdeling</w:t>
                          </w:r>
                          <w:r>
                            <w:rPr>
                              <w:szCs w:val="22"/>
                            </w:rPr>
                            <w:t xml:space="preserve"> </w:t>
                          </w:r>
                          <w:r w:rsidRPr="008D1037">
                            <w:rPr>
                              <w:szCs w:val="22"/>
                            </w:rPr>
                            <w:t>nader toe</w:t>
                          </w:r>
                          <w:r>
                            <w:rPr>
                              <w:szCs w:val="22"/>
                            </w:rPr>
                            <w:t xml:space="preserve"> te </w:t>
                          </w:r>
                          <w:r w:rsidRPr="008D1037">
                            <w:rPr>
                              <w:szCs w:val="22"/>
                            </w:rPr>
                            <w:t>licht</w:t>
                          </w:r>
                          <w:r>
                            <w:rPr>
                              <w:szCs w:val="22"/>
                            </w:rPr>
                            <w:t xml:space="preserve">en waarom </w:t>
                          </w:r>
                          <w:r w:rsidRPr="008D1037">
                            <w:rPr>
                              <w:szCs w:val="22"/>
                            </w:rPr>
                            <w:t>geen wijziging van dit onderdeel van artikel 6 van de Overleveringswet wordt voorgesteld. Daarbij dient de tekst van de toelichting in overeenstemming te worden gebracht met het voorstel</w:t>
                          </w:r>
                          <w:r>
                            <w:rPr>
                              <w:szCs w:val="22"/>
                            </w:rPr>
                            <w:t>.</w:t>
                          </w:r>
                        </w:p>
                      </w:sdtContent>
                    </w:sdt>
                  </w:sdtContent>
                </w:sdt>
              </w:sdtContent>
            </w:sdt>
          </w:sdtContent>
        </w:sdt>
        <w:p w:rsidRPr="00831363" w:rsidR="008C5EDD" w:rsidP="00CE4655" w:rsidRDefault="008C5EDD"/>
        <w:sdt>
          <w:sdtPr>
            <w:alias w:val="VrijeTekst2"/>
            <w:tag w:val="VrijeTekst2"/>
            <w:id w:val="-1010833392"/>
            <w:lock w:val="sdtLocked"/>
            <w:placeholder>
              <w:docPart w:val="DefaultPlaceholder_1082065158"/>
            </w:placeholder>
          </w:sdtPr>
          <w:sdtEndPr/>
          <w:sdtContent>
            <w:p w:rsidR="007212F1" w:rsidP="00891BB0" w:rsidRDefault="005726E1">
              <w:r>
                <w:t>2.</w:t>
              </w:r>
              <w:r>
                <w:tab/>
              </w:r>
              <w:r w:rsidRPr="005F7A2B">
                <w:t>De Afdeling verwijst naar de bij dit advies behorende redactionele bijlage.</w:t>
              </w:r>
            </w:p>
          </w:sdtContent>
        </w:sdt>
        <w:p w:rsidRPr="00831363" w:rsidR="001410FD" w:rsidP="00796479" w:rsidRDefault="001410FD"/>
        <w:sdt>
          <w:sdtPr>
            <w:alias w:val="Dictum"/>
            <w:tag w:val="Dictum"/>
            <w:id w:val="316161467"/>
            <w:lock w:val="sdtContentLocked"/>
            <w:placeholder>
              <w:docPart w:val="DefaultPlaceholder_1082065158"/>
            </w:placeholder>
            <w:text w:multiLine="1"/>
          </w:sdtPr>
          <w:sdtEndPr/>
          <w:sdtContent>
            <w:p w:rsidR="00406773" w:rsidRDefault="005726E1">
              <w:r>
                <w:t xml:space="preserve">De Afdeling advisering van de Raad van State heeft een aantal opmerkingen bij het voorstel en adviseert daarmee rekening te houden voordat het voorstel bij de Tweede Kamer der Staten-Generaal wordt ingediend. </w:t>
              </w:r>
              <w:r>
                <w:br/>
              </w:r>
              <w:r>
                <w:br/>
              </w:r>
              <w:r>
                <w:br/>
                <w:t>De waarnemend vice-president van de Raad van State,</w:t>
              </w:r>
            </w:p>
          </w:sdtContent>
        </w:sdt>
        <w:p w:rsidRPr="00831363" w:rsidR="0037367E" w:rsidRDefault="0037367E">
          <w:pPr>
            <w:sectPr w:rsidRPr="00831363" w:rsidR="0037367E" w:rsidSect="00636D17">
              <w:headerReference w:type="even" r:id="rId11"/>
              <w:headerReference w:type="default" r:id="rId12"/>
              <w:footerReference w:type="first" r:id="rId13"/>
              <w:pgSz w:w="11906" w:h="16838"/>
              <w:pgMar w:top="2523" w:right="1417" w:bottom="1417" w:left="1984" w:header="1417" w:footer="567" w:gutter="0"/>
              <w:cols w:space="708"/>
              <w:titlePg/>
              <w:docGrid w:linePitch="360"/>
            </w:sectPr>
          </w:pPr>
        </w:p>
        <w:p w:rsidRPr="00831363" w:rsidR="00907421" w:rsidP="00907421" w:rsidRDefault="00907421">
          <w:r w:rsidRPr="00831363">
            <w:t xml:space="preserve">Redactionele bijlage bij het advies van de Afdeling advisering van de Raad van State </w:t>
          </w:r>
          <w:sdt>
            <w:sdtPr>
              <w:alias w:val="Koninkrijk"/>
              <w:tag w:val="Koninkrijk"/>
              <w:id w:val="-483087506"/>
              <w:lock w:val="sdtContentLocked"/>
              <w:text/>
            </w:sdtPr>
            <w:sdtEndPr/>
            <w:sdtContent/>
          </w:sdt>
          <w:r w:rsidRPr="00831363">
            <w:t>betreffende no.</w:t>
          </w:r>
          <w:sdt>
            <w:sdtPr>
              <w:alias w:val="ZaakNummer"/>
              <w:tag w:val="ZaakNummer"/>
              <w:id w:val="809745491"/>
              <w:lock w:val="sdtContentLocked"/>
              <w:text/>
            </w:sdtPr>
            <w:sdtEndPr/>
            <w:sdtContent>
              <w:r>
                <w:t>W16.19.0059</w:t>
              </w:r>
            </w:sdtContent>
          </w:sdt>
          <w:r w:rsidRPr="00831363">
            <w:t>/</w:t>
          </w:r>
          <w:sdt>
            <w:sdtPr>
              <w:alias w:val="Sectie"/>
              <w:tag w:val="Sectie"/>
              <w:id w:val="743463611"/>
              <w:lock w:val="sdtContentLocked"/>
              <w:text/>
            </w:sdtPr>
            <w:sdtEndPr/>
            <w:sdtContent>
              <w:r>
                <w:t>II</w:t>
              </w:r>
            </w:sdtContent>
          </w:sdt>
        </w:p>
        <w:p w:rsidRPr="00831363" w:rsidR="001410FD" w:rsidRDefault="001410FD"/>
        <w:sdt>
          <w:sdtPr>
            <w:alias w:val="VrijeTekst3"/>
            <w:tag w:val="VrijeTekst3"/>
            <w:id w:val="2141764690"/>
            <w:lock w:val="sdtLocked"/>
          </w:sdtPr>
          <w:sdtEndPr/>
          <w:sdtContent>
            <w:sdt>
              <w:sdtPr>
                <w:alias w:val="VrijeTekst3"/>
                <w:tag w:val="VrijeTekst3"/>
                <w:id w:val="1817533867"/>
              </w:sdtPr>
              <w:sdtEndPr/>
              <w:sdtContent>
                <w:p w:rsidR="004273A2" w:rsidRDefault="005726E1">
                  <w:pPr>
                    <w:ind w:left="737"/>
                  </w:pPr>
                  <w:r>
                    <w:t xml:space="preserve"> </w:t>
                  </w:r>
                </w:p>
                <w:p w:rsidR="00FB6FF0" w:rsidP="003B2444" w:rsidRDefault="005726E1">
                  <w:pPr>
                    <w:numPr>
                      <w:ilvl w:val="0"/>
                      <w:numId w:val="1"/>
                    </w:numPr>
                  </w:pPr>
                  <w:r>
                    <w:t xml:space="preserve">In het voorgestelde artikel 11, eerste lid, “een op feiten en omstandigheden gebaseerd gegrond vermoeden bestaat” vervangen door “zwaarwegende en op feiten berustende gronden bestaan” </w:t>
                  </w:r>
                  <w:r w:rsidRPr="003B2444">
                    <w:t>in lijn met de jurisprudentie van het Hof van Justitie, en anders nader toelichten dat niet wordt beoogd af te wijken van het crit</w:t>
                  </w:r>
                  <w:r>
                    <w:t>erium van het Hof van Justitie.</w:t>
                  </w:r>
                </w:p>
                <w:p w:rsidR="004273A2" w:rsidP="004273A2" w:rsidRDefault="005726E1">
                  <w:pPr>
                    <w:numPr>
                      <w:ilvl w:val="0"/>
                      <w:numId w:val="1"/>
                    </w:numPr>
                  </w:pPr>
                  <w:r>
                    <w:t>In het voorgestelde artikel 11, vierde lid, na “worden uitgesloten, kan”, “de rechtbank” invoegen.</w:t>
                  </w:r>
                </w:p>
                <w:p w:rsidR="004273A2" w:rsidP="004273A2" w:rsidRDefault="005726E1">
                  <w:pPr>
                    <w:numPr>
                      <w:ilvl w:val="0"/>
                      <w:numId w:val="1"/>
                    </w:numPr>
                  </w:pPr>
                  <w:r>
                    <w:t>In het voorgestelde artikel 22, vierde lid, schrappen “onder opgave van redenen aan de uitvaardigende justitiële autoriteit”.</w:t>
                  </w:r>
                </w:p>
                <w:p w:rsidR="004273A2" w:rsidP="004273A2" w:rsidRDefault="005726E1">
                  <w:pPr>
                    <w:numPr>
                      <w:ilvl w:val="0"/>
                      <w:numId w:val="1"/>
                    </w:numPr>
                  </w:pPr>
                  <w:r>
                    <w:t xml:space="preserve">In het voorgestelde artikel 22, vijfde lid, schrappen “onder opgave van redenen aan de justitiële autoriteit”. </w:t>
                  </w:r>
                </w:p>
                <w:p w:rsidR="004273A2" w:rsidP="004273A2" w:rsidRDefault="005726E1">
                  <w:pPr>
                    <w:numPr>
                      <w:ilvl w:val="0"/>
                      <w:numId w:val="1"/>
                    </w:numPr>
                  </w:pPr>
                  <w:r>
                    <w:t>De voorgestelde invoeging “20 tot en met 24” in artikel 30 vervangen door “21 tot en met 25”.</w:t>
                  </w:r>
                </w:p>
                <w:p w:rsidR="004273A2" w:rsidP="004273A2" w:rsidRDefault="005726E1">
                  <w:pPr>
                    <w:numPr>
                      <w:ilvl w:val="0"/>
                      <w:numId w:val="1"/>
                    </w:numPr>
                  </w:pPr>
                  <w:r>
                    <w:t xml:space="preserve">In het voorgestelde artikel 31, tweede lid, “wordt toegestaan” in aansluiting op artikel 35, eerste lid aanhef, van de Uitleveringswet vervangen door “ontvankelijk en voor inwilliging vatbaar is”. </w:t>
                  </w:r>
                </w:p>
                <w:p w:rsidR="00027A38" w:rsidP="004273A2" w:rsidRDefault="005726E1">
                  <w:pPr>
                    <w:numPr>
                      <w:ilvl w:val="0"/>
                      <w:numId w:val="1"/>
                    </w:numPr>
                  </w:pPr>
                  <w:r>
                    <w:t>In het voorgestelde artikel 36, zesde lid, “54 en 57, eerste lid” vervangen door “61 en 64, eerste lid”.</w:t>
                  </w:r>
                </w:p>
                <w:p w:rsidR="00E70C71" w:rsidP="004273A2" w:rsidRDefault="005726E1">
                  <w:pPr>
                    <w:numPr>
                      <w:ilvl w:val="0"/>
                      <w:numId w:val="1"/>
                    </w:numPr>
                  </w:pPr>
                  <w:r>
                    <w:t>In het voorlaatste tekstblok van de artikelsgewijze toelichting bij artikel 2 in de memorie van toelichting “8c, onderdeel a” vervangen door “7, eerste en derde lid”.</w:t>
                  </w:r>
                </w:p>
              </w:sdtContent>
            </w:sdt>
          </w:sdtContent>
        </w:sdt>
        <w:p w:rsidR="00C50D4F" w:rsidP="005841EA" w:rsidRDefault="00753FC1">
          <w:pPr>
            <w:ind w:left="737"/>
          </w:pPr>
        </w:p>
      </w:sdtContent>
    </w:sdt>
    <w:sectPr w:rsidR="00C50D4F" w:rsidSect="00636D17">
      <w:headerReference w:type="default" r:id="rId14"/>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7094" w:rsidRDefault="005726E1" w:rsidP="005B3E03">
      <w:r>
        <w:separator/>
      </w:r>
    </w:p>
    <w:p w:rsidR="002D0ACF" w:rsidRDefault="00753FC1"/>
  </w:endnote>
  <w:endnote w:type="continuationSeparator" w:id="0">
    <w:p w:rsidR="00847094" w:rsidRDefault="005726E1" w:rsidP="005B3E03">
      <w:r>
        <w:continuationSeparator/>
      </w:r>
    </w:p>
    <w:p w:rsidR="002D0ACF" w:rsidRDefault="00753F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C1C" w:rsidRDefault="000C7C1C">
    <w:pPr>
      <w:pStyle w:val="Footer"/>
    </w:pPr>
    <w:r w:rsidRPr="00831363">
      <w:rPr>
        <w:noProof/>
        <w:lang w:val="nl-NL" w:eastAsia="nl-NL"/>
      </w:rPr>
      <mc:AlternateContent>
        <mc:Choice Requires="wps">
          <w:drawing>
            <wp:anchor distT="0" distB="0" distL="114300" distR="114300" simplePos="0" relativeHeight="251659264" behindDoc="0" locked="1" layoutInCell="1" allowOverlap="1" wp14:anchorId="241BDC38" wp14:editId="5BDC1760">
              <wp:simplePos x="0" y="0"/>
              <wp:positionH relativeFrom="page">
                <wp:posOffset>1262380</wp:posOffset>
              </wp:positionH>
              <wp:positionV relativeFrom="page">
                <wp:posOffset>10198100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99.4pt;margin-top:80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" stroked="f">
              <v:textbo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7094" w:rsidRDefault="005726E1" w:rsidP="005B3E03">
      <w:r>
        <w:separator/>
      </w:r>
    </w:p>
    <w:p w:rsidR="002D0ACF" w:rsidRDefault="00753FC1"/>
  </w:footnote>
  <w:footnote w:type="continuationSeparator" w:id="0">
    <w:p w:rsidR="00847094" w:rsidRDefault="005726E1" w:rsidP="005B3E03">
      <w:r>
        <w:continuationSeparator/>
      </w:r>
    </w:p>
    <w:p w:rsidR="002D0ACF" w:rsidRDefault="00753FC1"/>
  </w:footnote>
  <w:footnote w:id="1">
    <w:p w:rsidR="00E36A91" w:rsidRDefault="005726E1" w:rsidP="00E36A91">
      <w:pPr>
        <w:pStyle w:val="FootnoteText"/>
      </w:pPr>
      <w:r>
        <w:rPr>
          <w:rStyle w:val="FootnoteReference"/>
        </w:rPr>
        <w:footnoteRef/>
      </w:r>
      <w:r>
        <w:t xml:space="preserve"> </w:t>
      </w:r>
      <w:r>
        <w:tab/>
        <w:t>Kaderbesluit 2002/584/JBZ van de Raad van 13 juni 2002 betreffende het Europees aanhoudingsbevel en de procedures van overlevering tussen lidstaten, PbEU 2002, L 190. Dit kaderbesluit is gewijzigd bij kaderbesluit 2009/299/JBZ van de Raad van 26 februari 2009, PbEU 2009, L 81.</w:t>
      </w:r>
    </w:p>
  </w:footnote>
  <w:footnote w:id="2">
    <w:p w:rsidR="003B2444" w:rsidRDefault="005726E1" w:rsidP="003B2444">
      <w:pPr>
        <w:pStyle w:val="FootnoteText"/>
      </w:pPr>
      <w:r>
        <w:rPr>
          <w:rStyle w:val="FootnoteReference"/>
        </w:rPr>
        <w:footnoteRef/>
      </w:r>
      <w:r>
        <w:t xml:space="preserve"> </w:t>
      </w:r>
      <w:r>
        <w:tab/>
        <w:t>Stb. 2004, 195.</w:t>
      </w:r>
    </w:p>
  </w:footnote>
  <w:footnote w:id="3">
    <w:p w:rsidR="003B2444" w:rsidRDefault="005726E1" w:rsidP="003B2444">
      <w:pPr>
        <w:pStyle w:val="FootnoteText"/>
      </w:pPr>
      <w:r>
        <w:rPr>
          <w:rStyle w:val="FootnoteReference"/>
        </w:rPr>
        <w:footnoteRef/>
      </w:r>
      <w:r>
        <w:t xml:space="preserve"> </w:t>
      </w:r>
      <w:r>
        <w:tab/>
        <w:t>HvJEU 29 juni 2017, C-579/15, Poplawski, ECLI:EU:C:2017:503.</w:t>
      </w:r>
    </w:p>
  </w:footnote>
  <w:footnote w:id="4">
    <w:p w:rsidR="003B2444" w:rsidRDefault="005726E1" w:rsidP="003B2444">
      <w:pPr>
        <w:pStyle w:val="FootnoteText"/>
      </w:pPr>
      <w:r>
        <w:rPr>
          <w:rStyle w:val="FootnoteReference"/>
        </w:rPr>
        <w:footnoteRef/>
      </w:r>
      <w:r>
        <w:t xml:space="preserve"> </w:t>
      </w:r>
      <w:r>
        <w:tab/>
        <w:t>HvJEG 6 oktober 2009, C-123/08, Wolzenburg, ECLI:EU:C:2009:616.</w:t>
      </w:r>
    </w:p>
  </w:footnote>
  <w:footnote w:id="5">
    <w:p w:rsidR="001203A4" w:rsidRDefault="005726E1" w:rsidP="001203A4">
      <w:pPr>
        <w:pStyle w:val="FootnoteText"/>
      </w:pPr>
      <w:r>
        <w:rPr>
          <w:rStyle w:val="FootnoteReference"/>
        </w:rPr>
        <w:footnoteRef/>
      </w:r>
      <w:r>
        <w:t xml:space="preserve"> </w:t>
      </w:r>
      <w:r>
        <w:tab/>
        <w:t>Het gaat hier om een verblijfsrecht. Zie ook de memorie van toelichting onder de artikelsgewijze toelichting bij artikel 2.</w:t>
      </w:r>
    </w:p>
  </w:footnote>
  <w:footnote w:id="6">
    <w:p w:rsidR="003B2444" w:rsidRDefault="005726E1" w:rsidP="003B2444">
      <w:pPr>
        <w:pStyle w:val="FootnoteText"/>
      </w:pPr>
      <w:r>
        <w:rPr>
          <w:rStyle w:val="FootnoteReference"/>
        </w:rPr>
        <w:footnoteRef/>
      </w:r>
      <w:r>
        <w:t xml:space="preserve"> </w:t>
      </w:r>
      <w:r>
        <w:tab/>
        <w:t>HvJEU 29 juni 2017, C-579/15, Poplawski, ECLI:EU:C:2017:503, punten 18-24.</w:t>
      </w:r>
    </w:p>
  </w:footnote>
  <w:footnote w:id="7">
    <w:p w:rsidR="003B2444" w:rsidRDefault="005726E1" w:rsidP="003B2444">
      <w:pPr>
        <w:pStyle w:val="FootnoteText"/>
      </w:pPr>
      <w:r>
        <w:rPr>
          <w:rStyle w:val="FootnoteReference"/>
        </w:rPr>
        <w:footnoteRef/>
      </w:r>
      <w:r>
        <w:t xml:space="preserve"> </w:t>
      </w:r>
      <w:r>
        <w:tab/>
        <w:t>Zie de memorie van toelichting onder ‘Consultatie’.</w:t>
      </w:r>
    </w:p>
  </w:footnote>
  <w:footnote w:id="8">
    <w:p w:rsidR="003B2444" w:rsidRDefault="005726E1" w:rsidP="003B2444">
      <w:pPr>
        <w:pStyle w:val="FootnoteText"/>
      </w:pPr>
      <w:r>
        <w:rPr>
          <w:rStyle w:val="FootnoteReference"/>
        </w:rPr>
        <w:footnoteRef/>
      </w:r>
      <w:r>
        <w:t xml:space="preserve"> </w:t>
      </w:r>
      <w:r>
        <w:tab/>
        <w:t>HvJEG 6 oktober 2009, C-123/08, Wolzenburg, ECLI:EU:C:2009:616, punt 53.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B42CA">
      <w:rPr>
        <w:rStyle w:val="PageNumber"/>
        <w:noProof/>
      </w:rPr>
      <w:t>1</w:t>
    </w:r>
    <w:r>
      <w:rPr>
        <w:rStyle w:val="PageNumber"/>
      </w:rPr>
      <w:fldChar w:fldCharType="end"/>
    </w:r>
  </w:p>
  <w:p w:rsidR="001410FD" w:rsidRDefault="001410F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479" w:rsidRDefault="00796479">
    <w:pPr>
      <w:pStyle w:val="Header"/>
      <w:jc w:val="center"/>
    </w:pPr>
    <w:r>
      <w:rPr>
        <w:rStyle w:val="PageNumber"/>
      </w:rPr>
      <w:fldChar w:fldCharType="begin"/>
    </w:r>
    <w:r>
      <w:rPr>
        <w:rStyle w:val="PageNumber"/>
      </w:rPr>
      <w:instrText xml:space="preserve"> PAGE </w:instrText>
    </w:r>
    <w:r>
      <w:rPr>
        <w:rStyle w:val="PageNumber"/>
      </w:rPr>
      <w:fldChar w:fldCharType="separate"/>
    </w:r>
    <w:r w:rsidR="00753FC1">
      <w:rPr>
        <w:rStyle w:val="PageNumber"/>
        <w:noProof/>
      </w:rPr>
      <w:t>2</w:t>
    </w:r>
    <w:r>
      <w:rPr>
        <w:rStyle w:val="PageNumb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202B6">
      <w:rPr>
        <w:rStyle w:val="PageNumber"/>
        <w:noProof/>
      </w:rPr>
      <w:t>I</w:t>
    </w:r>
    <w:r>
      <w:rPr>
        <w:rStyle w:val="PageNumber"/>
      </w:rPr>
      <w:fldChar w:fldCharType="end"/>
    </w:r>
  </w:p>
  <w:p w:rsidR="001410FD" w:rsidRPr="001410FD" w:rsidRDefault="001410FD" w:rsidP="001410F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00EA"/>
    <w:multiLevelType w:val="singleLevel"/>
    <w:tmpl w:val="00000000"/>
    <w:lvl w:ilvl="0">
      <w:start w:val="1"/>
      <w:numFmt w:val="bullet"/>
      <w:lvlText w:val="-"/>
      <w:legacy w:legacy="1" w:legacySpace="0" w:legacyIndent="737"/>
      <w:lvlJc w:val="left"/>
      <w:pPr>
        <w:ind w:left="737" w:hanging="737"/>
      </w:pPr>
      <w:rPr>
        <w:rFonts w:ascii="Symbol" w:hAnsi="Symbol" w:hint="default"/>
      </w:rPr>
    </w:lvl>
  </w:abstractNum>
  <w:abstractNum w:abstractNumId="1">
    <w:nsid w:val="0BE74C4E"/>
    <w:multiLevelType w:val="hybridMultilevel"/>
    <w:tmpl w:val="9A0ADB9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6FB8426B"/>
    <w:multiLevelType w:val="hybridMultilevel"/>
    <w:tmpl w:val="984AE16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60342"/>
    <w:rsid w:val="00070267"/>
    <w:rsid w:val="000854C3"/>
    <w:rsid w:val="000C7C1C"/>
    <w:rsid w:val="00102C23"/>
    <w:rsid w:val="00122633"/>
    <w:rsid w:val="00127596"/>
    <w:rsid w:val="001410FD"/>
    <w:rsid w:val="00156F0B"/>
    <w:rsid w:val="001E27B0"/>
    <w:rsid w:val="002276F4"/>
    <w:rsid w:val="002B7D8A"/>
    <w:rsid w:val="002F16D1"/>
    <w:rsid w:val="0031280A"/>
    <w:rsid w:val="00365EF8"/>
    <w:rsid w:val="003706AD"/>
    <w:rsid w:val="0037367E"/>
    <w:rsid w:val="003C7608"/>
    <w:rsid w:val="00406773"/>
    <w:rsid w:val="00411DBC"/>
    <w:rsid w:val="00554D49"/>
    <w:rsid w:val="005726E1"/>
    <w:rsid w:val="005841EA"/>
    <w:rsid w:val="005E41CC"/>
    <w:rsid w:val="00635836"/>
    <w:rsid w:val="00636D17"/>
    <w:rsid w:val="00687984"/>
    <w:rsid w:val="006C5E3C"/>
    <w:rsid w:val="006D53BA"/>
    <w:rsid w:val="007009C5"/>
    <w:rsid w:val="00743072"/>
    <w:rsid w:val="00753FC1"/>
    <w:rsid w:val="00796479"/>
    <w:rsid w:val="007A51D7"/>
    <w:rsid w:val="008108EA"/>
    <w:rsid w:val="00831363"/>
    <w:rsid w:val="00883369"/>
    <w:rsid w:val="008B42CA"/>
    <w:rsid w:val="008C5EDD"/>
    <w:rsid w:val="00907421"/>
    <w:rsid w:val="00977969"/>
    <w:rsid w:val="009E537C"/>
    <w:rsid w:val="009E72D2"/>
    <w:rsid w:val="00A316AD"/>
    <w:rsid w:val="00A31DA9"/>
    <w:rsid w:val="00AC5AD9"/>
    <w:rsid w:val="00B15811"/>
    <w:rsid w:val="00B82659"/>
    <w:rsid w:val="00B97BA6"/>
    <w:rsid w:val="00C5066A"/>
    <w:rsid w:val="00C50D4F"/>
    <w:rsid w:val="00C5589A"/>
    <w:rsid w:val="00C93CC0"/>
    <w:rsid w:val="00C94D31"/>
    <w:rsid w:val="00CA109A"/>
    <w:rsid w:val="00CE4655"/>
    <w:rsid w:val="00D2526B"/>
    <w:rsid w:val="00D92754"/>
    <w:rsid w:val="00DB6AF4"/>
    <w:rsid w:val="00DE4E42"/>
    <w:rsid w:val="00E4090A"/>
    <w:rsid w:val="00F202B6"/>
    <w:rsid w:val="00F374C1"/>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DC8"/>
    <w:rPr>
      <w:rFonts w:ascii="Univers" w:hAnsi="Univers"/>
      <w:sz w:val="22"/>
      <w:szCs w:val="24"/>
    </w:rPr>
  </w:style>
  <w:style w:type="paragraph" w:styleId="Heading1">
    <w:name w:val="heading 1"/>
    <w:basedOn w:val="Normal"/>
    <w:next w:val="Normal"/>
    <w:link w:val="Heading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rsid w:val="005B3E03"/>
  </w:style>
  <w:style w:type="paragraph" w:styleId="FootnoteText">
    <w:name w:val="footnote text"/>
    <w:basedOn w:val="Normal"/>
    <w:link w:val="FootnoteTextChar"/>
    <w:rsid w:val="00210837"/>
    <w:pPr>
      <w:tabs>
        <w:tab w:val="left" w:pos="227"/>
      </w:tabs>
      <w:ind w:left="227" w:hanging="227"/>
    </w:pPr>
    <w:rPr>
      <w:sz w:val="18"/>
      <w:szCs w:val="20"/>
    </w:rPr>
  </w:style>
  <w:style w:type="character" w:customStyle="1" w:styleId="FootnoteTextChar">
    <w:name w:val="Footnote Text Char"/>
    <w:link w:val="FootnoteText"/>
    <w:rsid w:val="00210837"/>
    <w:rPr>
      <w:rFonts w:ascii="Univers" w:hAnsi="Univers"/>
      <w:sz w:val="18"/>
    </w:rPr>
  </w:style>
  <w:style w:type="paragraph" w:styleId="Header">
    <w:name w:val="header"/>
    <w:basedOn w:val="Normal"/>
    <w:link w:val="Header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HeaderChar">
    <w:name w:val="Header Char"/>
    <w:link w:val="Header"/>
    <w:rsid w:val="005B3E03"/>
    <w:rPr>
      <w:rFonts w:ascii="Univers" w:hAnsi="Univers"/>
      <w:sz w:val="22"/>
      <w:lang w:val="nl" w:eastAsia="en-US"/>
    </w:rPr>
  </w:style>
  <w:style w:type="character" w:styleId="PageNumber">
    <w:name w:val="page number"/>
    <w:rsid w:val="005B3E03"/>
    <w:rPr>
      <w:rFonts w:ascii="Univers" w:hAnsi="Univers"/>
      <w:sz w:val="22"/>
    </w:rPr>
  </w:style>
  <w:style w:type="paragraph" w:styleId="Footer">
    <w:name w:val="footer"/>
    <w:basedOn w:val="Normal"/>
    <w:link w:val="Footer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FooterChar">
    <w:name w:val="Footer Char"/>
    <w:link w:val="Footer"/>
    <w:rsid w:val="008546CA"/>
    <w:rPr>
      <w:rFonts w:ascii="Univers" w:hAnsi="Univers"/>
      <w:sz w:val="18"/>
      <w:lang w:val="nl" w:eastAsia="en-US"/>
    </w:rPr>
  </w:style>
  <w:style w:type="character" w:styleId="PlaceholderText">
    <w:name w:val="Placeholder Text"/>
    <w:basedOn w:val="DefaultParagraphFont"/>
    <w:uiPriority w:val="99"/>
    <w:semiHidden/>
    <w:rsid w:val="004B4C27"/>
    <w:rPr>
      <w:color w:val="808080"/>
    </w:rPr>
  </w:style>
  <w:style w:type="paragraph" w:styleId="BalloonText">
    <w:name w:val="Balloon Text"/>
    <w:basedOn w:val="Normal"/>
    <w:link w:val="BalloonTextChar"/>
    <w:rsid w:val="004B4C27"/>
    <w:rPr>
      <w:rFonts w:ascii="Tahoma" w:hAnsi="Tahoma" w:cs="Tahoma"/>
      <w:sz w:val="16"/>
      <w:szCs w:val="16"/>
    </w:rPr>
  </w:style>
  <w:style w:type="character" w:customStyle="1" w:styleId="BalloonTextChar">
    <w:name w:val="Balloon Text Char"/>
    <w:basedOn w:val="DefaultParagraphFont"/>
    <w:link w:val="BalloonText"/>
    <w:rsid w:val="004B4C27"/>
    <w:rPr>
      <w:rFonts w:ascii="Tahoma" w:hAnsi="Tahoma" w:cs="Tahoma"/>
      <w:sz w:val="16"/>
      <w:szCs w:val="16"/>
    </w:rPr>
  </w:style>
  <w:style w:type="paragraph" w:styleId="ListParagraph">
    <w:name w:val="List Paragraph"/>
    <w:basedOn w:val="Normal"/>
    <w:uiPriority w:val="34"/>
    <w:qFormat/>
    <w:rsid w:val="00E642F4"/>
    <w:pPr>
      <w:ind w:left="708"/>
    </w:pPr>
  </w:style>
  <w:style w:type="character" w:customStyle="1" w:styleId="Heading1Char">
    <w:name w:val="Heading 1 Char"/>
    <w:basedOn w:val="DefaultParagraphFont"/>
    <w:link w:val="Heading1"/>
    <w:rsid w:val="005A1AE5"/>
    <w:rPr>
      <w:rFonts w:asciiTheme="majorHAnsi" w:eastAsiaTheme="majorEastAsia" w:hAnsiTheme="majorHAnsi" w:cstheme="majorBidi"/>
      <w:b/>
      <w:bCs/>
      <w:kern w:val="32"/>
      <w:sz w:val="32"/>
      <w:szCs w:val="32"/>
    </w:rPr>
  </w:style>
  <w:style w:type="table" w:styleId="TableGrid">
    <w:name w:val="Table Grid"/>
    <w:basedOn w:val="TableNorma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 w:type="character" w:styleId="FootnoteReference">
    <w:name w:val="footnote reference"/>
    <w:uiPriority w:val="99"/>
    <w:unhideWhenUsed/>
    <w:rsid w:val="002522E8"/>
    <w:rPr>
      <w:vertAlign w:val="superscript"/>
    </w:rPr>
  </w:style>
  <w:style w:type="character" w:styleId="CommentReference">
    <w:name w:val="annotation reference"/>
    <w:basedOn w:val="DefaultParagraphFont"/>
    <w:rsid w:val="004121E0"/>
    <w:rPr>
      <w:sz w:val="16"/>
      <w:szCs w:val="16"/>
    </w:rPr>
  </w:style>
  <w:style w:type="paragraph" w:styleId="CommentText">
    <w:name w:val="annotation text"/>
    <w:basedOn w:val="Normal"/>
    <w:link w:val="CommentTextChar"/>
    <w:rsid w:val="004121E0"/>
    <w:rPr>
      <w:sz w:val="20"/>
      <w:szCs w:val="20"/>
    </w:rPr>
  </w:style>
  <w:style w:type="character" w:customStyle="1" w:styleId="CommentTextChar">
    <w:name w:val="Comment Text Char"/>
    <w:basedOn w:val="DefaultParagraphFont"/>
    <w:link w:val="CommentText"/>
    <w:rsid w:val="004121E0"/>
    <w:rPr>
      <w:rFonts w:ascii="Univers" w:hAnsi="Univers"/>
    </w:rPr>
  </w:style>
  <w:style w:type="paragraph" w:styleId="CommentSubject">
    <w:name w:val="annotation subject"/>
    <w:basedOn w:val="CommentText"/>
    <w:next w:val="CommentText"/>
    <w:link w:val="CommentSubjectChar"/>
    <w:rsid w:val="004121E0"/>
    <w:rPr>
      <w:b/>
      <w:bCs/>
    </w:rPr>
  </w:style>
  <w:style w:type="character" w:customStyle="1" w:styleId="CommentSubjectChar">
    <w:name w:val="Comment Subject Char"/>
    <w:basedOn w:val="CommentTextChar"/>
    <w:link w:val="CommentSubject"/>
    <w:rsid w:val="004121E0"/>
    <w:rPr>
      <w:rFonts w:ascii="Univers" w:hAnsi="Univers"/>
      <w:b/>
      <w:bCs/>
    </w:rPr>
  </w:style>
  <w:style w:type="paragraph" w:styleId="NormalWeb">
    <w:name w:val="Normal (Web)"/>
    <w:basedOn w:val="Normal"/>
    <w:uiPriority w:val="99"/>
    <w:unhideWhenUsed/>
    <w:rsid w:val="00B34614"/>
    <w:pPr>
      <w:spacing w:before="100" w:beforeAutospacing="1" w:after="100" w:afterAutospacing="1"/>
    </w:pPr>
    <w:rPr>
      <w:rFonts w:ascii="Times New Roman" w:eastAsiaTheme="minorHAnsi" w:hAnsi="Times New Roman"/>
      <w:sz w:val="24"/>
    </w:rPr>
  </w:style>
  <w:style w:type="paragraph" w:styleId="Revision">
    <w:name w:val="Revision"/>
    <w:hidden/>
    <w:uiPriority w:val="99"/>
    <w:semiHidden/>
    <w:rsid w:val="00BE736F"/>
    <w:rPr>
      <w:rFonts w:ascii="Univers" w:hAnsi="Univers"/>
      <w:sz w:val="22"/>
      <w:szCs w:val="24"/>
    </w:rPr>
  </w:style>
  <w:style w:type="character" w:styleId="Hyperlink">
    <w:name w:val="Hyperlink"/>
    <w:basedOn w:val="DefaultParagraphFont"/>
    <w:uiPriority w:val="99"/>
    <w:unhideWhenUsed/>
    <w:rsid w:val="00E13E2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DC8"/>
    <w:rPr>
      <w:rFonts w:ascii="Univers" w:hAnsi="Univers"/>
      <w:sz w:val="22"/>
      <w:szCs w:val="24"/>
    </w:rPr>
  </w:style>
  <w:style w:type="paragraph" w:styleId="Heading1">
    <w:name w:val="heading 1"/>
    <w:basedOn w:val="Normal"/>
    <w:next w:val="Normal"/>
    <w:link w:val="Heading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rsid w:val="005B3E03"/>
  </w:style>
  <w:style w:type="paragraph" w:styleId="FootnoteText">
    <w:name w:val="footnote text"/>
    <w:basedOn w:val="Normal"/>
    <w:link w:val="FootnoteTextChar"/>
    <w:rsid w:val="00210837"/>
    <w:pPr>
      <w:tabs>
        <w:tab w:val="left" w:pos="227"/>
      </w:tabs>
      <w:ind w:left="227" w:hanging="227"/>
    </w:pPr>
    <w:rPr>
      <w:sz w:val="18"/>
      <w:szCs w:val="20"/>
    </w:rPr>
  </w:style>
  <w:style w:type="character" w:customStyle="1" w:styleId="FootnoteTextChar">
    <w:name w:val="Footnote Text Char"/>
    <w:link w:val="FootnoteText"/>
    <w:rsid w:val="00210837"/>
    <w:rPr>
      <w:rFonts w:ascii="Univers" w:hAnsi="Univers"/>
      <w:sz w:val="18"/>
    </w:rPr>
  </w:style>
  <w:style w:type="paragraph" w:styleId="Header">
    <w:name w:val="header"/>
    <w:basedOn w:val="Normal"/>
    <w:link w:val="Header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HeaderChar">
    <w:name w:val="Header Char"/>
    <w:link w:val="Header"/>
    <w:rsid w:val="005B3E03"/>
    <w:rPr>
      <w:rFonts w:ascii="Univers" w:hAnsi="Univers"/>
      <w:sz w:val="22"/>
      <w:lang w:val="nl" w:eastAsia="en-US"/>
    </w:rPr>
  </w:style>
  <w:style w:type="character" w:styleId="PageNumber">
    <w:name w:val="page number"/>
    <w:rsid w:val="005B3E03"/>
    <w:rPr>
      <w:rFonts w:ascii="Univers" w:hAnsi="Univers"/>
      <w:sz w:val="22"/>
    </w:rPr>
  </w:style>
  <w:style w:type="paragraph" w:styleId="Footer">
    <w:name w:val="footer"/>
    <w:basedOn w:val="Normal"/>
    <w:link w:val="Footer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FooterChar">
    <w:name w:val="Footer Char"/>
    <w:link w:val="Footer"/>
    <w:rsid w:val="008546CA"/>
    <w:rPr>
      <w:rFonts w:ascii="Univers" w:hAnsi="Univers"/>
      <w:sz w:val="18"/>
      <w:lang w:val="nl" w:eastAsia="en-US"/>
    </w:rPr>
  </w:style>
  <w:style w:type="character" w:styleId="PlaceholderText">
    <w:name w:val="Placeholder Text"/>
    <w:basedOn w:val="DefaultParagraphFont"/>
    <w:uiPriority w:val="99"/>
    <w:semiHidden/>
    <w:rsid w:val="004B4C27"/>
    <w:rPr>
      <w:color w:val="808080"/>
    </w:rPr>
  </w:style>
  <w:style w:type="paragraph" w:styleId="BalloonText">
    <w:name w:val="Balloon Text"/>
    <w:basedOn w:val="Normal"/>
    <w:link w:val="BalloonTextChar"/>
    <w:rsid w:val="004B4C27"/>
    <w:rPr>
      <w:rFonts w:ascii="Tahoma" w:hAnsi="Tahoma" w:cs="Tahoma"/>
      <w:sz w:val="16"/>
      <w:szCs w:val="16"/>
    </w:rPr>
  </w:style>
  <w:style w:type="character" w:customStyle="1" w:styleId="BalloonTextChar">
    <w:name w:val="Balloon Text Char"/>
    <w:basedOn w:val="DefaultParagraphFont"/>
    <w:link w:val="BalloonText"/>
    <w:rsid w:val="004B4C27"/>
    <w:rPr>
      <w:rFonts w:ascii="Tahoma" w:hAnsi="Tahoma" w:cs="Tahoma"/>
      <w:sz w:val="16"/>
      <w:szCs w:val="16"/>
    </w:rPr>
  </w:style>
  <w:style w:type="paragraph" w:styleId="ListParagraph">
    <w:name w:val="List Paragraph"/>
    <w:basedOn w:val="Normal"/>
    <w:uiPriority w:val="34"/>
    <w:qFormat/>
    <w:rsid w:val="00E642F4"/>
    <w:pPr>
      <w:ind w:left="708"/>
    </w:pPr>
  </w:style>
  <w:style w:type="character" w:customStyle="1" w:styleId="Heading1Char">
    <w:name w:val="Heading 1 Char"/>
    <w:basedOn w:val="DefaultParagraphFont"/>
    <w:link w:val="Heading1"/>
    <w:rsid w:val="005A1AE5"/>
    <w:rPr>
      <w:rFonts w:asciiTheme="majorHAnsi" w:eastAsiaTheme="majorEastAsia" w:hAnsiTheme="majorHAnsi" w:cstheme="majorBidi"/>
      <w:b/>
      <w:bCs/>
      <w:kern w:val="32"/>
      <w:sz w:val="32"/>
      <w:szCs w:val="32"/>
    </w:rPr>
  </w:style>
  <w:style w:type="table" w:styleId="TableGrid">
    <w:name w:val="Table Grid"/>
    <w:basedOn w:val="TableNorma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 w:type="character" w:styleId="FootnoteReference">
    <w:name w:val="footnote reference"/>
    <w:uiPriority w:val="99"/>
    <w:unhideWhenUsed/>
    <w:rsid w:val="002522E8"/>
    <w:rPr>
      <w:vertAlign w:val="superscript"/>
    </w:rPr>
  </w:style>
  <w:style w:type="character" w:styleId="CommentReference">
    <w:name w:val="annotation reference"/>
    <w:basedOn w:val="DefaultParagraphFont"/>
    <w:rsid w:val="004121E0"/>
    <w:rPr>
      <w:sz w:val="16"/>
      <w:szCs w:val="16"/>
    </w:rPr>
  </w:style>
  <w:style w:type="paragraph" w:styleId="CommentText">
    <w:name w:val="annotation text"/>
    <w:basedOn w:val="Normal"/>
    <w:link w:val="CommentTextChar"/>
    <w:rsid w:val="004121E0"/>
    <w:rPr>
      <w:sz w:val="20"/>
      <w:szCs w:val="20"/>
    </w:rPr>
  </w:style>
  <w:style w:type="character" w:customStyle="1" w:styleId="CommentTextChar">
    <w:name w:val="Comment Text Char"/>
    <w:basedOn w:val="DefaultParagraphFont"/>
    <w:link w:val="CommentText"/>
    <w:rsid w:val="004121E0"/>
    <w:rPr>
      <w:rFonts w:ascii="Univers" w:hAnsi="Univers"/>
    </w:rPr>
  </w:style>
  <w:style w:type="paragraph" w:styleId="CommentSubject">
    <w:name w:val="annotation subject"/>
    <w:basedOn w:val="CommentText"/>
    <w:next w:val="CommentText"/>
    <w:link w:val="CommentSubjectChar"/>
    <w:rsid w:val="004121E0"/>
    <w:rPr>
      <w:b/>
      <w:bCs/>
    </w:rPr>
  </w:style>
  <w:style w:type="character" w:customStyle="1" w:styleId="CommentSubjectChar">
    <w:name w:val="Comment Subject Char"/>
    <w:basedOn w:val="CommentTextChar"/>
    <w:link w:val="CommentSubject"/>
    <w:rsid w:val="004121E0"/>
    <w:rPr>
      <w:rFonts w:ascii="Univers" w:hAnsi="Univers"/>
      <w:b/>
      <w:bCs/>
    </w:rPr>
  </w:style>
  <w:style w:type="paragraph" w:styleId="NormalWeb">
    <w:name w:val="Normal (Web)"/>
    <w:basedOn w:val="Normal"/>
    <w:uiPriority w:val="99"/>
    <w:unhideWhenUsed/>
    <w:rsid w:val="00B34614"/>
    <w:pPr>
      <w:spacing w:before="100" w:beforeAutospacing="1" w:after="100" w:afterAutospacing="1"/>
    </w:pPr>
    <w:rPr>
      <w:rFonts w:ascii="Times New Roman" w:eastAsiaTheme="minorHAnsi" w:hAnsi="Times New Roman"/>
      <w:sz w:val="24"/>
    </w:rPr>
  </w:style>
  <w:style w:type="paragraph" w:styleId="Revision">
    <w:name w:val="Revision"/>
    <w:hidden/>
    <w:uiPriority w:val="99"/>
    <w:semiHidden/>
    <w:rsid w:val="00BE736F"/>
    <w:rPr>
      <w:rFonts w:ascii="Univers" w:hAnsi="Univers"/>
      <w:sz w:val="22"/>
      <w:szCs w:val="24"/>
    </w:rPr>
  </w:style>
  <w:style w:type="character" w:styleId="Hyperlink">
    <w:name w:val="Hyperlink"/>
    <w:basedOn w:val="DefaultParagraphFont"/>
    <w:uiPriority w:val="99"/>
    <w:unhideWhenUsed/>
    <w:rsid w:val="00E13E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numbering" Target="numbering.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theme" Target="theme/theme1.xml" Id="rId17" /><Relationship Type="http://schemas.openxmlformats.org/officeDocument/2006/relationships/glossaryDocument" Target="glossary/document.xml" Id="rId16"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fontTable" Target="fontTable.xml" Id="rId15" /><Relationship Type="http://schemas.openxmlformats.org/officeDocument/2006/relationships/image" Target="media/image1.png"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header" Target="header3.xml" Id="rId14"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PlaceholderText"/>
            </w:rPr>
            <w:t>Klik hier als u tekst wilt invoeren.</w:t>
          </w:r>
        </w:p>
      </w:docPartBody>
    </w:docPart>
    <w:docPart>
      <w:docPartPr>
        <w:name w:val="D4CFDB6C696D4A60944E1E577854833F"/>
        <w:category>
          <w:name w:val="Algemeen"/>
          <w:gallery w:val="placeholder"/>
        </w:category>
        <w:types>
          <w:type w:val="bbPlcHdr"/>
        </w:types>
        <w:behaviors>
          <w:behavior w:val="content"/>
        </w:behaviors>
        <w:guid w:val="{37115776-2F05-4C72-922A-2971C992C05D}"/>
      </w:docPartPr>
      <w:docPartBody>
        <w:p w:rsidR="00AC4E03" w:rsidRDefault="00807779" w:rsidP="00807779">
          <w:pPr>
            <w:pStyle w:val="D4CFDB6C696D4A60944E1E577854833F12"/>
          </w:pPr>
          <w:r w:rsidRPr="00831363">
            <w:rPr>
              <w:caps/>
            </w:rPr>
            <w:t xml:space="preserve"> </w:t>
          </w:r>
        </w:p>
      </w:docPartBody>
    </w:docPart>
    <w:docPart>
      <w:docPartPr>
        <w:name w:val="DefaultPlaceholder_1082065158"/>
        <w:category>
          <w:name w:val="Algemeen"/>
          <w:gallery w:val="placeholder"/>
        </w:category>
        <w:types>
          <w:type w:val="bbPlcHdr"/>
        </w:types>
        <w:behaviors>
          <w:behavior w:val="content"/>
        </w:behaviors>
        <w:guid w:val="{1984DE86-417B-4460-8E56-4DC6F11146AD}"/>
      </w:docPartPr>
      <w:docPartBody>
        <w:p w:rsidR="00025DF2" w:rsidRDefault="00AC4E03">
          <w:r w:rsidRPr="00666A34">
            <w:rPr>
              <w:rStyle w:val="PlaceholderText"/>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296"/>
    <w:rsid w:val="00025DF2"/>
    <w:rsid w:val="00073CC8"/>
    <w:rsid w:val="00112371"/>
    <w:rsid w:val="002C2E73"/>
    <w:rsid w:val="00361A3B"/>
    <w:rsid w:val="00397005"/>
    <w:rsid w:val="00423278"/>
    <w:rsid w:val="004411E8"/>
    <w:rsid w:val="00596E02"/>
    <w:rsid w:val="005A620A"/>
    <w:rsid w:val="005C4AF3"/>
    <w:rsid w:val="00652572"/>
    <w:rsid w:val="00807779"/>
    <w:rsid w:val="008272F7"/>
    <w:rsid w:val="008A560E"/>
    <w:rsid w:val="0091252E"/>
    <w:rsid w:val="009C474B"/>
    <w:rsid w:val="009D4964"/>
    <w:rsid w:val="00A242CC"/>
    <w:rsid w:val="00A42DF5"/>
    <w:rsid w:val="00A63C2F"/>
    <w:rsid w:val="00AC4E03"/>
    <w:rsid w:val="00AD6749"/>
    <w:rsid w:val="00B51BA8"/>
    <w:rsid w:val="00C25140"/>
    <w:rsid w:val="00C306F8"/>
    <w:rsid w:val="00C523B1"/>
    <w:rsid w:val="00CE7358"/>
    <w:rsid w:val="00D14296"/>
    <w:rsid w:val="00DD0EB2"/>
    <w:rsid w:val="00DF5AAB"/>
    <w:rsid w:val="00EC3CE3"/>
    <w:rsid w:val="00FB26E0"/>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1221</ap:Words>
  <ap:Characters>6721</ap:Characters>
  <ap:DocSecurity>0</ap:DocSecurity>
  <ap:Lines>56</ap:Lines>
  <ap:Paragraphs>15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7927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2019-05-24T11:45:00.0000000Z</lastPrinted>
  <dcterms:created xsi:type="dcterms:W3CDTF">2020-07-20T12:01:00.0000000Z</dcterms:created>
  <dcterms:modified xsi:type="dcterms:W3CDTF">2020-07-20T12:01:00.0000000Z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0x01010050CA0405C691014C9E4091E04725E1EB</vt:lpwstr>
  </property>
</Properties>
</file>