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15D81" w:rsidR="00CB3578" w:rsidTr="00F13442">
        <w:trPr>
          <w:cantSplit/>
        </w:trPr>
        <w:tc>
          <w:tcPr>
            <w:tcW w:w="9142" w:type="dxa"/>
            <w:gridSpan w:val="2"/>
            <w:tcBorders>
              <w:top w:val="nil"/>
              <w:left w:val="nil"/>
              <w:bottom w:val="nil"/>
              <w:right w:val="nil"/>
            </w:tcBorders>
          </w:tcPr>
          <w:p w:rsidRPr="00D86222" w:rsidR="00D86222" w:rsidP="000D0DF5" w:rsidRDefault="00D86222">
            <w:pPr>
              <w:tabs>
                <w:tab w:val="left" w:pos="-1440"/>
                <w:tab w:val="left" w:pos="-720"/>
              </w:tabs>
              <w:suppressAutoHyphens/>
              <w:rPr>
                <w:rFonts w:ascii="Times New Roman" w:hAnsi="Times New Roman"/>
              </w:rPr>
            </w:pPr>
            <w:r w:rsidRPr="00D86222">
              <w:rPr>
                <w:rFonts w:ascii="Times New Roman" w:hAnsi="Times New Roman"/>
              </w:rPr>
              <w:t>De Tweede Kamer der Staten-</w:t>
            </w:r>
            <w:r w:rsidRPr="00D86222">
              <w:rPr>
                <w:rFonts w:ascii="Times New Roman" w:hAnsi="Times New Roman"/>
              </w:rPr>
              <w:fldChar w:fldCharType="begin"/>
            </w:r>
            <w:r w:rsidRPr="00D86222">
              <w:rPr>
                <w:rFonts w:ascii="Times New Roman" w:hAnsi="Times New Roman"/>
              </w:rPr>
              <w:instrText xml:space="preserve">PRIVATE </w:instrText>
            </w:r>
            <w:r w:rsidRPr="00D86222">
              <w:rPr>
                <w:rFonts w:ascii="Times New Roman" w:hAnsi="Times New Roman"/>
              </w:rPr>
              <w:fldChar w:fldCharType="end"/>
            </w:r>
          </w:p>
          <w:p w:rsidRPr="00D86222" w:rsidR="00D86222" w:rsidP="000D0DF5" w:rsidRDefault="00D86222">
            <w:pPr>
              <w:tabs>
                <w:tab w:val="left" w:pos="-1440"/>
                <w:tab w:val="left" w:pos="-720"/>
              </w:tabs>
              <w:suppressAutoHyphens/>
              <w:rPr>
                <w:rFonts w:ascii="Times New Roman" w:hAnsi="Times New Roman"/>
              </w:rPr>
            </w:pPr>
            <w:r w:rsidRPr="00D86222">
              <w:rPr>
                <w:rFonts w:ascii="Times New Roman" w:hAnsi="Times New Roman"/>
              </w:rPr>
              <w:t>Generaal zendt bijgaand door</w:t>
            </w:r>
          </w:p>
          <w:p w:rsidRPr="00D86222" w:rsidR="00D86222" w:rsidP="000D0DF5" w:rsidRDefault="00D86222">
            <w:pPr>
              <w:tabs>
                <w:tab w:val="left" w:pos="-1440"/>
                <w:tab w:val="left" w:pos="-720"/>
              </w:tabs>
              <w:suppressAutoHyphens/>
              <w:rPr>
                <w:rFonts w:ascii="Times New Roman" w:hAnsi="Times New Roman"/>
              </w:rPr>
            </w:pPr>
            <w:r w:rsidRPr="00D86222">
              <w:rPr>
                <w:rFonts w:ascii="Times New Roman" w:hAnsi="Times New Roman"/>
              </w:rPr>
              <w:t>haar aangenomen wetsvoorstel</w:t>
            </w:r>
          </w:p>
          <w:p w:rsidRPr="00D86222" w:rsidR="00D86222" w:rsidP="000D0DF5" w:rsidRDefault="00D86222">
            <w:pPr>
              <w:tabs>
                <w:tab w:val="left" w:pos="-1440"/>
                <w:tab w:val="left" w:pos="-720"/>
              </w:tabs>
              <w:suppressAutoHyphens/>
              <w:rPr>
                <w:rFonts w:ascii="Times New Roman" w:hAnsi="Times New Roman"/>
              </w:rPr>
            </w:pPr>
            <w:r w:rsidRPr="00D86222">
              <w:rPr>
                <w:rFonts w:ascii="Times New Roman" w:hAnsi="Times New Roman"/>
              </w:rPr>
              <w:t>aan de Eerste Kamer.</w:t>
            </w: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r w:rsidRPr="00D86222">
              <w:rPr>
                <w:rFonts w:ascii="Times New Roman" w:hAnsi="Times New Roman"/>
              </w:rPr>
              <w:t>De Voorzitter,</w:t>
            </w: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tabs>
                <w:tab w:val="left" w:pos="-1440"/>
                <w:tab w:val="left" w:pos="-720"/>
              </w:tabs>
              <w:suppressAutoHyphens/>
              <w:rPr>
                <w:rFonts w:ascii="Times New Roman" w:hAnsi="Times New Roman"/>
              </w:rPr>
            </w:pPr>
          </w:p>
          <w:p w:rsidRPr="00D86222" w:rsidR="00D86222" w:rsidP="000D0DF5" w:rsidRDefault="00D86222">
            <w:pPr>
              <w:rPr>
                <w:rFonts w:ascii="Times New Roman" w:hAnsi="Times New Roman"/>
              </w:rPr>
            </w:pPr>
          </w:p>
          <w:p w:rsidRPr="00F15D81" w:rsidR="00CB3578" w:rsidP="00D86222" w:rsidRDefault="00D86222">
            <w:pPr>
              <w:pStyle w:val="Amendement"/>
              <w:rPr>
                <w:rFonts w:ascii="Times New Roman" w:hAnsi="Times New Roman" w:cs="Times New Roman"/>
              </w:rPr>
            </w:pPr>
            <w:r w:rsidRPr="00D86222">
              <w:rPr>
                <w:rFonts w:ascii="Times New Roman" w:hAnsi="Times New Roman" w:cs="Times New Roman"/>
                <w:b w:val="0"/>
                <w:sz w:val="20"/>
              </w:rPr>
              <w:t>29 oktober 2020</w:t>
            </w:r>
          </w:p>
        </w:tc>
      </w:tr>
      <w:tr w:rsidRPr="00F15D81" w:rsidR="00D8622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D81" w:rsidR="00D86222" w:rsidP="00F15D81" w:rsidRDefault="00D86222">
            <w:pPr>
              <w:pStyle w:val="Amendement"/>
              <w:rPr>
                <w:rFonts w:ascii="Times New Roman" w:hAnsi="Times New Roman" w:cs="Times New Roman"/>
              </w:rPr>
            </w:pPr>
          </w:p>
        </w:tc>
        <w:tc>
          <w:tcPr>
            <w:tcW w:w="6590" w:type="dxa"/>
            <w:tcBorders>
              <w:top w:val="nil"/>
              <w:left w:val="nil"/>
              <w:bottom w:val="nil"/>
              <w:right w:val="nil"/>
            </w:tcBorders>
          </w:tcPr>
          <w:p w:rsidRPr="00F15D81" w:rsidR="00D86222" w:rsidP="00F15D81" w:rsidRDefault="00D86222">
            <w:pPr>
              <w:tabs>
                <w:tab w:val="left" w:pos="-1440"/>
                <w:tab w:val="left" w:pos="-720"/>
              </w:tabs>
              <w:suppressAutoHyphens/>
              <w:rPr>
                <w:rFonts w:ascii="Times New Roman" w:hAnsi="Times New Roman"/>
                <w:b/>
                <w:bCs/>
                <w:sz w:val="24"/>
              </w:rPr>
            </w:pPr>
          </w:p>
        </w:tc>
      </w:tr>
      <w:tr w:rsidRPr="00F15D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c>
          <w:tcPr>
            <w:tcW w:w="6590" w:type="dxa"/>
            <w:tcBorders>
              <w:top w:val="nil"/>
              <w:left w:val="nil"/>
              <w:bottom w:val="nil"/>
              <w:right w:val="nil"/>
            </w:tcBorders>
          </w:tcPr>
          <w:p w:rsidRPr="00F15D81" w:rsidR="00CB3578" w:rsidP="00F15D81" w:rsidRDefault="00CB3578">
            <w:pPr>
              <w:tabs>
                <w:tab w:val="left" w:pos="-1440"/>
                <w:tab w:val="left" w:pos="-720"/>
              </w:tabs>
              <w:suppressAutoHyphens/>
              <w:rPr>
                <w:rFonts w:ascii="Times New Roman" w:hAnsi="Times New Roman"/>
                <w:b/>
                <w:bCs/>
                <w:sz w:val="24"/>
              </w:rPr>
            </w:pPr>
          </w:p>
        </w:tc>
      </w:tr>
      <w:tr w:rsidRPr="00F15D81" w:rsidR="00D86222" w:rsidTr="002B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5D81" w:rsidR="00D86222" w:rsidP="00F15D81" w:rsidRDefault="00D86222">
            <w:pPr>
              <w:rPr>
                <w:rFonts w:ascii="Times New Roman" w:hAnsi="Times New Roman"/>
                <w:b/>
                <w:sz w:val="24"/>
              </w:rPr>
            </w:pPr>
            <w:r w:rsidRPr="00F15D81">
              <w:rPr>
                <w:rFonts w:ascii="Times New Roman" w:hAnsi="Times New Roman"/>
                <w:b/>
                <w:sz w:val="24"/>
              </w:rPr>
              <w:t>Wijziging van de Algemene wet bestuursrecht naar aanleiding van de evaluatie van de regeling over bestuursrechtelijke geldschulden (Evaluatiewet bestuursrechtelijke geldschuldenregeling Awb)</w:t>
            </w:r>
          </w:p>
        </w:tc>
      </w:tr>
      <w:tr w:rsidRPr="00F15D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c>
          <w:tcPr>
            <w:tcW w:w="6590"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r>
      <w:tr w:rsidRPr="00F15D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c>
          <w:tcPr>
            <w:tcW w:w="6590"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r>
      <w:tr w:rsidRPr="00F15D81" w:rsidR="00D86222" w:rsidTr="009D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5D81" w:rsidR="00D86222" w:rsidP="00F15D81" w:rsidRDefault="00D86222">
            <w:pPr>
              <w:pStyle w:val="Amendement"/>
              <w:rPr>
                <w:rFonts w:ascii="Times New Roman" w:hAnsi="Times New Roman" w:cs="Times New Roman"/>
              </w:rPr>
            </w:pPr>
            <w:r w:rsidRPr="00F15D81">
              <w:rPr>
                <w:rFonts w:ascii="Times New Roman" w:hAnsi="Times New Roman" w:cs="Times New Roman"/>
              </w:rPr>
              <w:t>VOORSTEL VAN WET</w:t>
            </w:r>
          </w:p>
        </w:tc>
      </w:tr>
      <w:tr w:rsidRPr="00F15D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c>
          <w:tcPr>
            <w:tcW w:w="6590" w:type="dxa"/>
            <w:tcBorders>
              <w:top w:val="nil"/>
              <w:left w:val="nil"/>
              <w:bottom w:val="nil"/>
              <w:right w:val="nil"/>
            </w:tcBorders>
          </w:tcPr>
          <w:p w:rsidRPr="00F15D81" w:rsidR="00CB3578" w:rsidP="00F15D81" w:rsidRDefault="00CB3578">
            <w:pPr>
              <w:pStyle w:val="Amendement"/>
              <w:rPr>
                <w:rFonts w:ascii="Times New Roman" w:hAnsi="Times New Roman" w:cs="Times New Roman"/>
              </w:rPr>
            </w:pPr>
          </w:p>
        </w:tc>
      </w:tr>
    </w:tbl>
    <w:p w:rsidRPr="00F15D81" w:rsidR="00F15D81" w:rsidP="00F15D81" w:rsidRDefault="00F15D81">
      <w:pPr>
        <w:ind w:firstLine="284"/>
        <w:rPr>
          <w:rFonts w:ascii="Times New Roman" w:hAnsi="Times New Roman"/>
          <w:sz w:val="24"/>
        </w:rPr>
      </w:pPr>
      <w:r w:rsidRPr="00F15D81">
        <w:rPr>
          <w:rFonts w:ascii="Times New Roman" w:hAnsi="Times New Roman"/>
          <w:sz w:val="24"/>
        </w:rPr>
        <w:t>Wij Willem-Alexander, bij de gratie Gods, Koning der Nederlanden, Prins van Oranje-Nassau, enz. enz. enz.</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Allen, die deze zullen zien of horen lezen, saluut! doen te weten:</w:t>
      </w:r>
    </w:p>
    <w:p w:rsidRPr="00F15D81" w:rsidR="00F15D81" w:rsidP="00F15D81" w:rsidRDefault="00F15D81">
      <w:pPr>
        <w:ind w:firstLine="284"/>
        <w:rPr>
          <w:rFonts w:ascii="Times New Roman" w:hAnsi="Times New Roman"/>
          <w:sz w:val="24"/>
        </w:rPr>
      </w:pPr>
      <w:r w:rsidRPr="00F15D81">
        <w:rPr>
          <w:rFonts w:ascii="Times New Roman" w:hAnsi="Times New Roman"/>
          <w:sz w:val="24"/>
        </w:rPr>
        <w:t>Alzo Wij in overweging genomen hebben, dat het naar aanleiding van de evaluatie van de regeling over bestuursrechtelijke geldschulden in titel 4.4 van de Algemene wet bestuursrecht wenselijk is hierin een kwijtscheldingsbepaling op te nemen en enkele wijzigingen van technische aard aan te brengen;</w:t>
      </w:r>
    </w:p>
    <w:p w:rsidRPr="00F15D81" w:rsidR="00F15D81" w:rsidP="00F15D81" w:rsidRDefault="00F15D81">
      <w:pPr>
        <w:ind w:firstLine="284"/>
        <w:rPr>
          <w:rFonts w:ascii="Times New Roman" w:hAnsi="Times New Roman"/>
          <w:sz w:val="24"/>
        </w:rPr>
      </w:pPr>
      <w:r w:rsidRPr="00F15D8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b/>
          <w:bCs/>
          <w:sz w:val="24"/>
        </w:rPr>
      </w:pPr>
      <w:r w:rsidRPr="00F15D81">
        <w:rPr>
          <w:rFonts w:ascii="Times New Roman" w:hAnsi="Times New Roman"/>
          <w:b/>
          <w:bCs/>
          <w:sz w:val="24"/>
        </w:rPr>
        <w:t>ARTIKEL I</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De Algemene wet bestuursrecht wordt als volgt gewijzigd:</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sz w:val="24"/>
        </w:rPr>
        <w:t>A</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Na artikel 4:94 wordt een artikel ingevoegd, luidende:</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b/>
          <w:bCs/>
          <w:sz w:val="24"/>
        </w:rPr>
      </w:pPr>
      <w:r w:rsidRPr="00F15D81">
        <w:rPr>
          <w:rFonts w:ascii="Times New Roman" w:hAnsi="Times New Roman"/>
          <w:b/>
          <w:bCs/>
          <w:sz w:val="24"/>
        </w:rPr>
        <w:t>Artikel 4:94a</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Tenzij bij wettelijk voorschrift anders is bepaald, kan een bestuursorgaan een geldschuld geheel of gedeeltelijk kwijtschelden indien de nadelige gevolgen van de invordering onevenredig zijn in verhouding tot de met de invordering te dienen doelen.</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sz w:val="24"/>
        </w:rPr>
        <w:lastRenderedPageBreak/>
        <w:t>B</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Artikel 4:96 wordt als volgt gewijzigd:</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1. Voor de tekst wordt de aanduiding “1.” geplaatst.</w:t>
      </w:r>
    </w:p>
    <w:p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2. Er wordt een lid toegevoegd, luidende:</w:t>
      </w:r>
    </w:p>
    <w:p w:rsidRPr="00F15D81" w:rsidR="00F15D81" w:rsidP="00F15D81" w:rsidRDefault="00F15D81">
      <w:pPr>
        <w:ind w:firstLine="284"/>
        <w:rPr>
          <w:rFonts w:ascii="Times New Roman" w:hAnsi="Times New Roman"/>
          <w:sz w:val="24"/>
        </w:rPr>
      </w:pPr>
      <w:r w:rsidRPr="00F15D81">
        <w:rPr>
          <w:rFonts w:ascii="Times New Roman" w:hAnsi="Times New Roman"/>
          <w:sz w:val="24"/>
        </w:rPr>
        <w:t>2. De verplichting tot betaling van een voorschot wordt opgeschort met ingang van de dag waarop het bestuursorgaan aan de wederpartij schriftelijk kennis geeft van het ernstige vermoeden dat er grond bestaat om toepassing te geven aan het eerste lid, aanhef en onder a of b, tot en met de dag waarop de beschikking omtrent intrekking of wijziging is bekendgemaakt of de dag waarop sedert de kennisgeving van het ernstige vermoeden dertien weken zijn verstreken.</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sz w:val="24"/>
        </w:rPr>
        <w:t>C</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 xml:space="preserve">Aan artikel 5:25, zesde lid, wordt toegevoegd “binnen vijf jaar nadat de bestuursdwang is toegepast”.  </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Pr>
          <w:rFonts w:ascii="Times New Roman" w:hAnsi="Times New Roman"/>
          <w:sz w:val="24"/>
        </w:rPr>
        <w:t>D</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Artikel 5:35 komt te luiden:</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b/>
          <w:bCs/>
          <w:sz w:val="24"/>
        </w:rPr>
      </w:pPr>
      <w:r w:rsidRPr="00F15D81">
        <w:rPr>
          <w:rFonts w:ascii="Times New Roman" w:hAnsi="Times New Roman"/>
          <w:b/>
          <w:bCs/>
          <w:sz w:val="24"/>
        </w:rPr>
        <w:t>Artikel 5:35</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1. In afwijking van artikel 4:104, eerste lid, verjaart de rechtsvordering tot betaling van een verbeurde dwangsom door verloop van een jaar na de dag waarop zij is verbeurd.</w:t>
      </w:r>
    </w:p>
    <w:p w:rsidRPr="00F15D81" w:rsidR="00F15D81" w:rsidP="00F15D81" w:rsidRDefault="00F15D81">
      <w:pPr>
        <w:ind w:firstLine="284"/>
        <w:rPr>
          <w:rFonts w:ascii="Times New Roman" w:hAnsi="Times New Roman"/>
          <w:sz w:val="24"/>
        </w:rPr>
      </w:pPr>
      <w:r w:rsidRPr="00F15D81">
        <w:rPr>
          <w:rFonts w:ascii="Times New Roman" w:hAnsi="Times New Roman"/>
          <w:sz w:val="24"/>
        </w:rPr>
        <w:t>2. Indien op de dag waarop de rechtsvordering verjaart, bezwaar, beroep of hoger beroep openstaat of aanhangig is tegen de last onder dwangsom, wordt de verjaringstermijn verlengd tot onherroepelijk op het bezwaar, beroep of hoger beroep is beslist.</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sz w:val="24"/>
        </w:rPr>
        <w:t>E</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Na artikel 5:37 wordt een artikel ingevoegd, luidende:</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b/>
          <w:bCs/>
          <w:sz w:val="24"/>
        </w:rPr>
        <w:t>Artikel 5:37a</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1. Een beschikking tot invordering van een dwangsom stuit de verjaring.</w:t>
      </w:r>
    </w:p>
    <w:p w:rsidRPr="00F15D81" w:rsidR="00F15D81" w:rsidP="00F15D81" w:rsidRDefault="00F15D81">
      <w:pPr>
        <w:ind w:firstLine="284"/>
        <w:rPr>
          <w:rFonts w:ascii="Times New Roman" w:hAnsi="Times New Roman"/>
          <w:sz w:val="24"/>
        </w:rPr>
      </w:pPr>
      <w:r w:rsidRPr="00F15D81">
        <w:rPr>
          <w:rFonts w:ascii="Times New Roman" w:hAnsi="Times New Roman"/>
          <w:sz w:val="24"/>
        </w:rPr>
        <w:t>2. Indien op de dag waarop de rechtsvordering verjaart een verzoek als bedoeld in artikel 5:37, tweede lid, aanhangig is, wordt de verjaringstermijn verlengd tot onherroepelijk op het verzoek is beslist.</w:t>
      </w:r>
    </w:p>
    <w:p w:rsidRPr="00F15D81" w:rsidR="00F15D81" w:rsidP="00F15D81" w:rsidRDefault="00F15D81">
      <w:pPr>
        <w:ind w:firstLine="284"/>
        <w:rPr>
          <w:rFonts w:ascii="Times New Roman" w:hAnsi="Times New Roman"/>
          <w:sz w:val="24"/>
        </w:rPr>
      </w:pPr>
      <w:r w:rsidRPr="00F15D81">
        <w:rPr>
          <w:rFonts w:ascii="Times New Roman" w:hAnsi="Times New Roman"/>
          <w:sz w:val="24"/>
        </w:rPr>
        <w:t>3. Indien op de dag waarop de rechtsvordering verjaart bezwaar, beroep of hoger beroep openstaat of aanhangig is tegen de afwijzing van een verzoek als bedoeld in artikel 5:37, tweede lid, of tegen het niet tijdig nemen van een beslissing op een zodanig verzoek, wordt de verjaringstermijn verlengd tot:</w:t>
      </w:r>
    </w:p>
    <w:p w:rsidRPr="00F15D81" w:rsidR="00F15D81" w:rsidP="00F15D81" w:rsidRDefault="00F15D81">
      <w:pPr>
        <w:ind w:firstLine="284"/>
        <w:rPr>
          <w:rFonts w:ascii="Times New Roman" w:hAnsi="Times New Roman"/>
          <w:sz w:val="24"/>
        </w:rPr>
      </w:pPr>
      <w:r w:rsidRPr="00F15D81">
        <w:rPr>
          <w:rFonts w:ascii="Times New Roman" w:hAnsi="Times New Roman"/>
          <w:sz w:val="24"/>
        </w:rPr>
        <w:t xml:space="preserve">a. de termijn voor het maken van bezwaar of het instellen van beroep of hoger beroep ongebruikt is verstreken; </w:t>
      </w:r>
    </w:p>
    <w:p w:rsidRPr="00F15D81" w:rsidR="00F15D81" w:rsidP="00F15D81" w:rsidRDefault="00F15D81">
      <w:pPr>
        <w:ind w:firstLine="284"/>
        <w:rPr>
          <w:rFonts w:ascii="Times New Roman" w:hAnsi="Times New Roman"/>
          <w:sz w:val="24"/>
        </w:rPr>
      </w:pPr>
      <w:r w:rsidRPr="00F15D81">
        <w:rPr>
          <w:rFonts w:ascii="Times New Roman" w:hAnsi="Times New Roman"/>
          <w:sz w:val="24"/>
        </w:rPr>
        <w:t>b. onherroepelijk op het bezwaar, beroep of hoger beroep is beslist; of</w:t>
      </w:r>
    </w:p>
    <w:p w:rsidRPr="00F15D81" w:rsidR="00F15D81" w:rsidP="00F15D81" w:rsidRDefault="00F15D81">
      <w:pPr>
        <w:ind w:firstLine="284"/>
        <w:rPr>
          <w:rFonts w:ascii="Times New Roman" w:hAnsi="Times New Roman"/>
          <w:sz w:val="24"/>
        </w:rPr>
      </w:pPr>
      <w:r w:rsidRPr="00F15D81">
        <w:rPr>
          <w:rFonts w:ascii="Times New Roman" w:hAnsi="Times New Roman"/>
          <w:sz w:val="24"/>
        </w:rPr>
        <w:lastRenderedPageBreak/>
        <w:t>c. het bestuursorgaan alsnog een beschikking tot invordering van een dwangsom heeft gegeven.</w:t>
      </w:r>
    </w:p>
    <w:p w:rsidRPr="00F15D81" w:rsidR="00F15D81" w:rsidP="00F15D81" w:rsidRDefault="00F15D81">
      <w:pPr>
        <w:ind w:firstLine="284"/>
        <w:rPr>
          <w:rFonts w:ascii="Times New Roman" w:hAnsi="Times New Roman"/>
          <w:sz w:val="24"/>
        </w:rPr>
      </w:pPr>
      <w:r w:rsidRPr="00F15D81">
        <w:rPr>
          <w:rFonts w:ascii="Times New Roman" w:hAnsi="Times New Roman"/>
          <w:sz w:val="24"/>
        </w:rPr>
        <w:t>4. Indien op de dag waarop de rechtsvordering verjaart, de beschikking omtrent invordering ingevolge een uitspraak van de voorzieningenrechter is geschorst, wordt de verjaringstermijn verlengd met de duur van de schorsing.</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b/>
          <w:bCs/>
          <w:sz w:val="24"/>
        </w:rPr>
      </w:pPr>
    </w:p>
    <w:p w:rsidRPr="00F15D81" w:rsidR="00F15D81" w:rsidP="00F15D81" w:rsidRDefault="00F15D81">
      <w:pPr>
        <w:rPr>
          <w:rFonts w:ascii="Times New Roman" w:hAnsi="Times New Roman"/>
          <w:b/>
          <w:bCs/>
          <w:sz w:val="24"/>
        </w:rPr>
      </w:pPr>
      <w:r w:rsidRPr="00F15D81">
        <w:rPr>
          <w:rFonts w:ascii="Times New Roman" w:hAnsi="Times New Roman"/>
          <w:b/>
          <w:bCs/>
          <w:sz w:val="24"/>
        </w:rPr>
        <w:t>ARTIKEL II</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Op een beschikking tot invordering van een dwangsom die is gegeven voor het tijdstip van inwerkingtreding van deze wet blijft het recht van toepassing zoals dat gold voor dat tijdstip.</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b/>
          <w:bCs/>
          <w:sz w:val="24"/>
        </w:rPr>
      </w:pPr>
    </w:p>
    <w:p w:rsidRPr="00F15D81" w:rsidR="00F15D81" w:rsidP="00F15D81" w:rsidRDefault="00F15D81">
      <w:pPr>
        <w:rPr>
          <w:rFonts w:ascii="Times New Roman" w:hAnsi="Times New Roman"/>
          <w:b/>
          <w:bCs/>
          <w:sz w:val="24"/>
        </w:rPr>
      </w:pPr>
      <w:r w:rsidRPr="00F15D81">
        <w:rPr>
          <w:rFonts w:ascii="Times New Roman" w:hAnsi="Times New Roman"/>
          <w:b/>
          <w:bCs/>
          <w:sz w:val="24"/>
        </w:rPr>
        <w:t>ARTIKEL III</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Deze wet treedt in werking op een bij koninklijk besluit te bepalen tijdstip.</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b/>
          <w:bCs/>
          <w:sz w:val="24"/>
        </w:rPr>
      </w:pPr>
      <w:r w:rsidRPr="00F15D81">
        <w:rPr>
          <w:rFonts w:ascii="Times New Roman" w:hAnsi="Times New Roman"/>
          <w:b/>
          <w:bCs/>
          <w:sz w:val="24"/>
        </w:rPr>
        <w:t>ARTIKEL IV</w:t>
      </w:r>
    </w:p>
    <w:p w:rsidRPr="00F15D81" w:rsidR="00F15D81" w:rsidP="00F15D81" w:rsidRDefault="00F15D81">
      <w:pPr>
        <w:rPr>
          <w:rFonts w:ascii="Times New Roman" w:hAnsi="Times New Roman"/>
          <w:sz w:val="24"/>
        </w:rPr>
      </w:pPr>
    </w:p>
    <w:p w:rsidRPr="00F15D81" w:rsidR="00F15D81" w:rsidP="00F15D81" w:rsidRDefault="00F15D81">
      <w:pPr>
        <w:ind w:firstLine="284"/>
        <w:rPr>
          <w:rFonts w:ascii="Times New Roman" w:hAnsi="Times New Roman"/>
          <w:sz w:val="24"/>
        </w:rPr>
      </w:pPr>
      <w:r w:rsidRPr="00F15D81">
        <w:rPr>
          <w:rFonts w:ascii="Times New Roman" w:hAnsi="Times New Roman"/>
          <w:sz w:val="24"/>
        </w:rPr>
        <w:t xml:space="preserve">Deze wet wordt aangehaald als: Evaluatiewet bestuursrechtelijke geldschuldenregeling Awb. </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00D86222" w:rsidRDefault="00D86222">
      <w:pPr>
        <w:rPr>
          <w:rFonts w:ascii="Times New Roman" w:hAnsi="Times New Roman"/>
          <w:sz w:val="24"/>
        </w:rPr>
      </w:pPr>
      <w:r>
        <w:rPr>
          <w:rFonts w:ascii="Times New Roman" w:hAnsi="Times New Roman"/>
          <w:sz w:val="24"/>
        </w:rPr>
        <w:br w:type="page"/>
      </w:r>
    </w:p>
    <w:p w:rsidRPr="00F15D81" w:rsidR="00F15D81" w:rsidP="00F15D81" w:rsidRDefault="00F15D81">
      <w:pPr>
        <w:ind w:firstLine="284"/>
        <w:rPr>
          <w:rFonts w:ascii="Times New Roman" w:hAnsi="Times New Roman"/>
          <w:sz w:val="24"/>
        </w:rPr>
      </w:pPr>
      <w:r w:rsidRPr="00F15D81">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Pr>
          <w:rFonts w:ascii="Times New Roman" w:hAnsi="Times New Roman"/>
          <w:sz w:val="24"/>
        </w:rPr>
        <w:t>Gegeven</w:t>
      </w:r>
    </w:p>
    <w:p w:rsidRPr="00F15D81"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sz w:val="24"/>
        </w:rPr>
        <w:t>De Minister voor Rechtsbescherming,</w:t>
      </w: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p>
    <w:p w:rsidRPr="00F15D81" w:rsidR="00F15D81" w:rsidP="00F15D81" w:rsidRDefault="00F15D81">
      <w:pPr>
        <w:rPr>
          <w:rFonts w:ascii="Times New Roman" w:hAnsi="Times New Roman"/>
          <w:sz w:val="24"/>
        </w:rPr>
      </w:pPr>
      <w:r w:rsidRPr="00F15D81">
        <w:rPr>
          <w:rFonts w:ascii="Times New Roman" w:hAnsi="Times New Roman"/>
          <w:sz w:val="24"/>
        </w:rPr>
        <w:t>De Minister van Binnenlandse Zaken en Koninkrijksrelaties,</w:t>
      </w:r>
    </w:p>
    <w:p w:rsidR="00D86222" w:rsidP="00F15D81" w:rsidRDefault="00D86222">
      <w:pPr>
        <w:tabs>
          <w:tab w:val="left" w:pos="284"/>
          <w:tab w:val="left" w:pos="567"/>
          <w:tab w:val="left" w:pos="851"/>
        </w:tabs>
        <w:ind w:right="1848"/>
        <w:rPr>
          <w:rFonts w:ascii="Times New Roman" w:hAnsi="Times New Roman"/>
          <w:sz w:val="24"/>
        </w:rPr>
      </w:pPr>
      <w:bookmarkStart w:name="_GoBack" w:id="0"/>
      <w:bookmarkEnd w:id="0"/>
    </w:p>
    <w:sectPr w:rsidR="00D8622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81" w:rsidRDefault="00F15D81">
      <w:pPr>
        <w:spacing w:line="20" w:lineRule="exact"/>
      </w:pPr>
    </w:p>
  </w:endnote>
  <w:endnote w:type="continuationSeparator" w:id="0">
    <w:p w:rsidR="00F15D81" w:rsidRDefault="00F15D81">
      <w:pPr>
        <w:pStyle w:val="Amendement"/>
      </w:pPr>
      <w:r>
        <w:rPr>
          <w:b w:val="0"/>
          <w:bCs w:val="0"/>
        </w:rPr>
        <w:t xml:space="preserve"> </w:t>
      </w:r>
    </w:p>
  </w:endnote>
  <w:endnote w:type="continuationNotice" w:id="1">
    <w:p w:rsidR="00F15D81" w:rsidRDefault="00F15D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E4B7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81" w:rsidRDefault="00F15D81">
      <w:pPr>
        <w:pStyle w:val="Amendement"/>
      </w:pPr>
      <w:r>
        <w:rPr>
          <w:b w:val="0"/>
          <w:bCs w:val="0"/>
        </w:rPr>
        <w:separator/>
      </w:r>
    </w:p>
  </w:footnote>
  <w:footnote w:type="continuationSeparator" w:id="0">
    <w:p w:rsidR="00F15D81" w:rsidRDefault="00F1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1"/>
    <w:rsid w:val="00012DBE"/>
    <w:rsid w:val="000A1D81"/>
    <w:rsid w:val="00111ED3"/>
    <w:rsid w:val="001C190E"/>
    <w:rsid w:val="002168F4"/>
    <w:rsid w:val="002A727C"/>
    <w:rsid w:val="003B270A"/>
    <w:rsid w:val="005D2707"/>
    <w:rsid w:val="00606255"/>
    <w:rsid w:val="006B607A"/>
    <w:rsid w:val="007D451C"/>
    <w:rsid w:val="00826224"/>
    <w:rsid w:val="008E4B73"/>
    <w:rsid w:val="00930A23"/>
    <w:rsid w:val="009C7354"/>
    <w:rsid w:val="009E6D7F"/>
    <w:rsid w:val="00A11E73"/>
    <w:rsid w:val="00A2521E"/>
    <w:rsid w:val="00AE436A"/>
    <w:rsid w:val="00C135B1"/>
    <w:rsid w:val="00C92DF8"/>
    <w:rsid w:val="00CB3578"/>
    <w:rsid w:val="00D20AFA"/>
    <w:rsid w:val="00D55648"/>
    <w:rsid w:val="00D86222"/>
    <w:rsid w:val="00E16443"/>
    <w:rsid w:val="00E36EE9"/>
    <w:rsid w:val="00F13442"/>
    <w:rsid w:val="00F15D8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3501"/>
  <w15:docId w15:val="{A0C8CB3C-C83B-437C-BA03-ED3D91B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86222"/>
  </w:style>
  <w:style w:type="paragraph" w:styleId="Ballontekst">
    <w:name w:val="Balloon Text"/>
    <w:basedOn w:val="Standaard"/>
    <w:link w:val="BallontekstChar"/>
    <w:semiHidden/>
    <w:unhideWhenUsed/>
    <w:rsid w:val="008E4B73"/>
    <w:rPr>
      <w:rFonts w:ascii="Segoe UI" w:hAnsi="Segoe UI" w:cs="Segoe UI"/>
      <w:sz w:val="18"/>
      <w:szCs w:val="18"/>
    </w:rPr>
  </w:style>
  <w:style w:type="character" w:customStyle="1" w:styleId="BallontekstChar">
    <w:name w:val="Ballontekst Char"/>
    <w:basedOn w:val="Standaardalinea-lettertype"/>
    <w:link w:val="Ballontekst"/>
    <w:semiHidden/>
    <w:rsid w:val="008E4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669</ap:Words>
  <ap:Characters>3839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2020-10-29T09:48:00.0000000Z</lastPrinted>
  <dcterms:created xsi:type="dcterms:W3CDTF">2020-10-29T09:54:00.0000000Z</dcterms:created>
  <dcterms:modified xsi:type="dcterms:W3CDTF">2020-10-29T09:54:00.0000000Z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0x010100F89F03E5C1197A40A220F6F69715908F</vt:lpwstr>
  </property>
</Properties>
</file>