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W13.21.0003/III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6 januari 2021</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11237" w:rsidRDefault="00951EE9">
              <w:r>
                <w:t>Bij Kabinetsmissive van 5 januari 2021, no.2021000001, heeft Uwe Majesteit, op voordracht van de Minister van Volksgezondheid, Welzijn en Sport, mede namens de Minister van Justitie en Veiligheid en de Minister van Binnenlandse Zaken en Koninkrijksrelaties</w:t>
              </w:r>
              <w:r>
                <w:t>, bij de Afdeling advisering van de Raad van State ter overweging aanhangig gemaakt het voorstel van wet houdende wijziging van de Wet publieke gezondheid in verband met een verduidelijking van de tijdelijke grondslag voor het stellen van regels over de to</w:t>
              </w:r>
              <w:r>
                <w:t>egang tot en het gebruik van voorzieningen voor personenvervoer, met memorie van toelichting.</w:t>
              </w:r>
            </w:p>
          </w:sdtContent>
        </w:sdt>
        <w:p w:rsidRPr="00831363" w:rsidR="00CE4655" w:rsidP="003C7608" w:rsidRDefault="00CE4655"/>
        <w:sdt>
          <w:sdtPr>
            <w:alias w:val="VrijeTekst1"/>
            <w:tag w:val="VrijeTekst1"/>
            <w:id w:val="-437221631"/>
            <w:lock w:val="sdtLocked"/>
          </w:sdtPr>
          <w:sdtEndPr/>
          <w:sdtContent>
            <w:p w:rsidR="00C03320" w:rsidP="00C03320" w:rsidRDefault="00951EE9">
              <w:r>
                <w:t xml:space="preserve">Het wetsvoorstel </w:t>
              </w:r>
              <w:r w:rsidRPr="00C03320">
                <w:t xml:space="preserve">regelt een </w:t>
              </w:r>
              <w:r>
                <w:t>uitdrukkelijke tijdelijke grondslag in het hoofdstuk van de Wet publieke gezondheid (Wpg)</w:t>
              </w:r>
              <w:r w:rsidRPr="00C03320">
                <w:t xml:space="preserve"> </w:t>
              </w:r>
              <w:r>
                <w:t xml:space="preserve">dat ziet op de bestrijding van </w:t>
              </w:r>
              <w:r w:rsidRPr="00C03320">
                <w:t>de covid-1</w:t>
              </w:r>
              <w:r w:rsidRPr="00C03320">
                <w:t xml:space="preserve">9-pandemie voor het stellen van voorwaarden aan reizigers die toegang willen tot of gebruik willen maken van internationaal vervoer om Nederland in te reizen met gebruikmaking van bedrijfsmatig aangeboden personenvervoer. De plicht van de passagier geldt, </w:t>
              </w:r>
              <w:r w:rsidRPr="00C03320">
                <w:t xml:space="preserve">behoudens de in de regeling te noemen uitzonderingen, voor alle reizigers die van het vervoer gebruikmaken, ongeacht nationaliteit. </w:t>
              </w:r>
            </w:p>
            <w:p w:rsidR="00C03320" w:rsidP="00C03320" w:rsidRDefault="00951EE9"/>
            <w:p w:rsidR="00C03320" w:rsidP="00C03320" w:rsidRDefault="00951EE9">
              <w:r>
                <w:t xml:space="preserve">De Afdeling advisering </w:t>
              </w:r>
              <w:r w:rsidRPr="00C03320">
                <w:t>van de Raad van State maakt opmerkingen ove</w:t>
              </w:r>
              <w:r>
                <w:t xml:space="preserve">r het doel van het wetsvoorstel, het recht op terugkeer </w:t>
              </w:r>
              <w:r>
                <w:t>van Nederlanders, de t</w:t>
              </w:r>
              <w:r w:rsidRPr="00C03320">
                <w:t>oepasbaarheid voor reizen vanuit de openbare lichamen</w:t>
              </w:r>
              <w:r>
                <w:t xml:space="preserve"> en de facultatieve delegatie. </w:t>
              </w:r>
              <w:r w:rsidRPr="00C03320">
                <w:t xml:space="preserve">In verband daarmee is aanpassing </w:t>
              </w:r>
              <w:r>
                <w:t xml:space="preserve">wenselijk </w:t>
              </w:r>
              <w:r w:rsidRPr="00C03320">
                <w:t xml:space="preserve">van het </w:t>
              </w:r>
              <w:r>
                <w:t>wets</w:t>
              </w:r>
              <w:r w:rsidRPr="00C03320">
                <w:t>voorstel</w:t>
              </w:r>
              <w:r>
                <w:t xml:space="preserve"> en de </w:t>
              </w:r>
              <w:r w:rsidRPr="00C03320">
                <w:t>toelichting</w:t>
              </w:r>
              <w:r>
                <w:t>.</w:t>
              </w:r>
            </w:p>
            <w:p w:rsidR="00C03320" w:rsidP="00C03320" w:rsidRDefault="00951EE9"/>
            <w:p w:rsidRPr="00C03320" w:rsidR="00C03320" w:rsidP="00C03320" w:rsidRDefault="00951EE9">
              <w:pPr>
                <w:rPr>
                  <w:u w:val="single"/>
                </w:rPr>
              </w:pPr>
              <w:r w:rsidRPr="00C03320">
                <w:t>1.</w:t>
              </w:r>
              <w:r w:rsidRPr="00C03320">
                <w:tab/>
              </w:r>
              <w:r w:rsidRPr="00C03320">
                <w:rPr>
                  <w:u w:val="single"/>
                </w:rPr>
                <w:t>Doel van het wetsvoorstel</w:t>
              </w:r>
            </w:p>
            <w:p w:rsidRPr="00C03320" w:rsidR="00C03320" w:rsidP="00C03320" w:rsidRDefault="00951EE9">
              <w:pPr>
                <w:rPr>
                  <w:u w:val="single"/>
                </w:rPr>
              </w:pPr>
            </w:p>
            <w:p w:rsidR="001E1D18" w:rsidP="001E1D18" w:rsidRDefault="00951EE9">
              <w:r>
                <w:t>Op grond van</w:t>
              </w:r>
              <w:r w:rsidRPr="00C03320">
                <w:t xml:space="preserve"> artikel 58p, eerste lid, en tweede lid, eerste zin, Wpg </w:t>
              </w:r>
              <w:r>
                <w:t xml:space="preserve">kan </w:t>
              </w:r>
              <w:r w:rsidRPr="00C03320">
                <w:t xml:space="preserve">bij ministeriële regeling het aanbieden van personenvervoer geheel of gedeeltelijk worden verboden en </w:t>
              </w:r>
              <w:r>
                <w:t xml:space="preserve">kunnen </w:t>
              </w:r>
              <w:r w:rsidRPr="00C03320">
                <w:t>regels worden gesteld over de toegang tot en het gebruik van voorzieninge</w:t>
              </w:r>
              <w:r w:rsidRPr="00C03320">
                <w:t xml:space="preserve">n voor personenvervoer. </w:t>
              </w:r>
              <w:r>
                <w:t xml:space="preserve">Hierin ligt besloten dat het aanbieden van personenvervoer aan voorwaarden kan worden verbonden. Een voorbeeld is volgens </w:t>
              </w:r>
              <w:r w:rsidRPr="00C03320">
                <w:t>de toelichting</w:t>
              </w:r>
              <w:r>
                <w:t xml:space="preserve"> de voorwaarde dat de aanbieder erop toeziet dat reizigers die Nederland inreizen in het bezit z</w:t>
              </w:r>
              <w:r>
                <w:t xml:space="preserve">ijn </w:t>
              </w:r>
              <w:r w:rsidRPr="00C03320">
                <w:t>een negatieve test</w:t>
              </w:r>
              <w:r>
                <w:t>uitslag</w:t>
              </w:r>
              <w:r w:rsidRPr="00C03320">
                <w:t>.</w:t>
              </w:r>
              <w:r>
                <w:rPr>
                  <w:rStyle w:val="Voetnootmarkering"/>
                </w:rPr>
                <w:footnoteReference w:id="1"/>
              </w:r>
              <w:r>
                <w:t xml:space="preserve"> </w:t>
              </w:r>
            </w:p>
            <w:p w:rsidR="001E1D18" w:rsidP="001E1D18" w:rsidRDefault="00951EE9">
              <w:r>
                <w:t>Laatstgenoemd aspect van de in artikel 58p geregelde bevoegdheid wordt voor alle duidelijkheid, ten einde alle onzekerheid uit te sluiten, met dit wetsvoorstel geëxpliciteerd, aldus de toelichting.</w:t>
              </w:r>
            </w:p>
            <w:p w:rsidR="001E1D18" w:rsidP="001E1D18" w:rsidRDefault="00951EE9"/>
            <w:p w:rsidR="001E1D18" w:rsidP="001E1D18" w:rsidRDefault="00951EE9">
              <w:r w:rsidRPr="00C03320">
                <w:t>De noodzaak voor verduid</w:t>
              </w:r>
              <w:r w:rsidRPr="00C03320">
                <w:t xml:space="preserve">elijking vloeit blijkens de toelichting voort uit een recente uitspraak van de voorzieningenrechter van de rechtbank Den Haag. </w:t>
              </w:r>
              <w:r>
                <w:t>Deze</w:t>
              </w:r>
              <w:r w:rsidRPr="00C03320">
                <w:t xml:space="preserve"> </w:t>
              </w:r>
              <w:r>
                <w:t xml:space="preserve">heeft overwogen dat voor </w:t>
              </w:r>
              <w:r w:rsidRPr="00C03320">
                <w:t>een verplichting als de onderhavige, die de lichamelijke integriteit van een passagier betreft, een</w:t>
              </w:r>
              <w:r w:rsidRPr="00C03320">
                <w:t xml:space="preserve"> geconcretiseerde wettelijke grondslag nodig</w:t>
              </w:r>
              <w:r>
                <w:t xml:space="preserve"> is</w:t>
              </w:r>
              <w:r w:rsidRPr="00C03320">
                <w:t xml:space="preserve">. Dat de test slechts een geringe beperking op </w:t>
              </w:r>
              <w:r>
                <w:t xml:space="preserve">genoemd recht </w:t>
              </w:r>
              <w:r w:rsidRPr="00C03320">
                <w:t>behelst</w:t>
              </w:r>
              <w:r>
                <w:t xml:space="preserve">, </w:t>
              </w:r>
              <w:r w:rsidRPr="00C03320">
                <w:t>kan hieraan niet afdoen</w:t>
              </w:r>
              <w:r>
                <w:t>, aldus de voorzieningenrechter</w:t>
              </w:r>
              <w:r w:rsidRPr="00C03320">
                <w:t>.</w:t>
              </w:r>
              <w:r w:rsidRPr="00C03320">
                <w:rPr>
                  <w:vertAlign w:val="superscript"/>
                </w:rPr>
                <w:footnoteReference w:id="2"/>
              </w:r>
              <w:r>
                <w:t xml:space="preserve"> Deze oordeelde vervolgens dat artikel 53 en 54 Wpg </w:t>
              </w:r>
              <w:r>
                <w:lastRenderedPageBreak/>
                <w:t>waarop de aanwijzing van de min</w:t>
              </w:r>
              <w:r>
                <w:t>ister ex artikel 7 Wpg van 23 december 2020 was gebaseerd, daarvoor niet de vereiste wettelijke grondslag biedt.</w:t>
              </w:r>
            </w:p>
            <w:p w:rsidR="001E1D18" w:rsidP="001E1D18" w:rsidRDefault="00951EE9"/>
            <w:p w:rsidR="00F83E83" w:rsidP="001E1D18" w:rsidRDefault="00951EE9">
              <w:r>
                <w:t>De toelichting gaat onvoldoende in op de vraag in hoeverre een deugdelijke wettelijke grondslag wel kan worden gevonden in artikel 58p Wpg zoa</w:t>
              </w:r>
              <w:r>
                <w:t>ls het thans luidt. Daarbij merkt de Afdeling op dat de regering tijdens de parlementaire behandeling van het voorstel voor een Tijdelijke wet maatregelen covid-19 waarvan het huidige artikel 58p deel uitmaakte, uitdrukkelijk heeft aangegeven dat het voors</w:t>
              </w:r>
              <w:r>
                <w:t xml:space="preserve">tel </w:t>
              </w:r>
              <w:r w:rsidRPr="00C03320">
                <w:t>geen betrekking h</w:t>
              </w:r>
              <w:r>
                <w:t>eeft</w:t>
              </w:r>
              <w:r w:rsidRPr="00C03320">
                <w:t xml:space="preserve"> op het verplicht laten testen van mensen.</w:t>
              </w:r>
              <w:r>
                <w:rPr>
                  <w:rStyle w:val="Voetnootmarkering"/>
                </w:rPr>
                <w:footnoteReference w:id="3"/>
              </w:r>
              <w:r w:rsidRPr="00C03320">
                <w:t xml:space="preserve"> </w:t>
              </w:r>
              <w:r>
                <w:t xml:space="preserve">In het huidige artikel 58p is een zodanige beperking van het recht op lichamelijke integriteit als bedoeld in artikel 11 Grondwet, ook niet expliciet geregeld. </w:t>
              </w:r>
            </w:p>
            <w:p w:rsidR="00F83E83" w:rsidP="001E1D18" w:rsidRDefault="00951EE9"/>
            <w:p w:rsidR="001E1D18" w:rsidP="00F83E83" w:rsidRDefault="00951EE9">
              <w:r w:rsidRPr="00F83E83">
                <w:t>In het licht van het voor</w:t>
              </w:r>
              <w:r w:rsidRPr="00F83E83">
                <w:t xml:space="preserve">gaande adviseert de Afdeling in de toelichting ook aan de genoemde aspecten aandacht te besteden en de stelling dat slechts sprake is van verduidelijking van de wettelijke grondslag </w:t>
              </w:r>
              <w:r>
                <w:t>nader te motiveren</w:t>
              </w:r>
              <w:r w:rsidRPr="00F83E83">
                <w:t>.</w:t>
              </w:r>
              <w:r>
                <w:t xml:space="preserve"> </w:t>
              </w:r>
            </w:p>
            <w:p w:rsidRPr="00C03320" w:rsidR="00F83E83" w:rsidP="00F83E83" w:rsidRDefault="00951EE9"/>
            <w:p w:rsidRPr="00C03320" w:rsidR="00C03320" w:rsidP="00C03320" w:rsidRDefault="00951EE9">
              <w:pPr>
                <w:rPr>
                  <w:u w:val="single"/>
                </w:rPr>
              </w:pPr>
              <w:r w:rsidRPr="00C03320">
                <w:t>2.</w:t>
              </w:r>
              <w:r w:rsidRPr="00C03320">
                <w:tab/>
              </w:r>
              <w:r w:rsidRPr="00C03320">
                <w:rPr>
                  <w:u w:val="single"/>
                </w:rPr>
                <w:t>Recht op terugkeer</w:t>
              </w:r>
            </w:p>
            <w:p w:rsidRPr="00C03320" w:rsidR="00C03320" w:rsidP="00C03320" w:rsidRDefault="00951EE9">
              <w:pPr>
                <w:rPr>
                  <w:u w:val="single"/>
                </w:rPr>
              </w:pPr>
            </w:p>
            <w:p w:rsidR="00C03320" w:rsidP="00C03320" w:rsidRDefault="00951EE9">
              <w:r w:rsidRPr="001E1D18">
                <w:t>In de toelichting wordt ingeg</w:t>
              </w:r>
              <w:r w:rsidRPr="001E1D18">
                <w:t xml:space="preserve">aan op de betekenis van artikel 3, tweede lid, van het Vierde Protocol bij het EVRM. Dit artikel bepaalt dat niemand het recht mag worden ontnomen het grondgebied te betreden van de Staat, waarvan hij onderdaan is. De toelichting stelt dat daarvan met dit </w:t>
              </w:r>
              <w:r w:rsidRPr="001E1D18">
                <w:t>voorstel in beginsel geen sprake is. Het wetsvoorstel betreft alleen een voorwaarde die wordt gesteld voor vervoer, zo vermeldt de toelichting.</w:t>
              </w:r>
            </w:p>
            <w:p w:rsidRPr="00C03320" w:rsidR="001E1D18" w:rsidP="00C03320" w:rsidRDefault="00951EE9"/>
            <w:p w:rsidRPr="00C03320" w:rsidR="00C03320" w:rsidP="00C03320" w:rsidRDefault="00951EE9">
              <w:r w:rsidRPr="00C03320">
                <w:t xml:space="preserve">Uit artikel 3, tweede lid, vloeit geen absoluut recht voort om zonder enige voorwaarden het grondgebied van de </w:t>
              </w:r>
              <w:r w:rsidRPr="00C03320">
                <w:t>Staat waarvan een persoon onderdaan is te betreden.</w:t>
              </w:r>
              <w:r w:rsidRPr="00C03320">
                <w:rPr>
                  <w:vertAlign w:val="superscript"/>
                </w:rPr>
                <w:footnoteReference w:id="4"/>
              </w:r>
              <w:r w:rsidRPr="00C03320">
                <w:t xml:space="preserve"> Dit is </w:t>
              </w:r>
              <w:r>
                <w:t xml:space="preserve">in het kader van </w:t>
              </w:r>
              <w:r w:rsidRPr="00C03320">
                <w:t>het gelijkluidende artikel 12, vierde lid van het IVBPR ook onderken</w:t>
              </w:r>
              <w:r>
                <w:t>d</w:t>
              </w:r>
              <w:r w:rsidRPr="00C03320">
                <w:t xml:space="preserve"> door het Human Rights Committee.</w:t>
              </w:r>
              <w:r w:rsidRPr="00C03320">
                <w:rPr>
                  <w:vertAlign w:val="superscript"/>
                </w:rPr>
                <w:footnoteReference w:id="5"/>
              </w:r>
              <w:r w:rsidRPr="00C03320">
                <w:t xml:space="preserve"> </w:t>
              </w:r>
              <w:r w:rsidRPr="001E1D18">
                <w:t>Dit laat echter onverlet dat de te stellen voorwaarden niet zodanig vergaan</w:t>
              </w:r>
              <w:r w:rsidRPr="001E1D18">
                <w:t>d mogen zijn dat het recht om te reizen feitelijk onder geen enkele omstandigheid meer kan worden uitgeoefend door een Nederlander die in het buitenland is en die om welke reden dan ook niet kan beschikken over de vereiste testverklaring. In zoverre dienen</w:t>
              </w:r>
              <w:r w:rsidRPr="001E1D18">
                <w:t xml:space="preserve"> de voorwaarden ook in concreto proportioneel te zijn.</w:t>
              </w:r>
              <w:r w:rsidRPr="00C03320">
                <w:t xml:space="preserve"> </w:t>
              </w:r>
            </w:p>
            <w:p w:rsidRPr="00C03320" w:rsidR="00C03320" w:rsidP="00C03320" w:rsidRDefault="00951EE9"/>
            <w:p w:rsidRPr="00C03320" w:rsidR="00C03320" w:rsidP="00C03320" w:rsidRDefault="00951EE9">
              <w:r w:rsidRPr="00C03320">
                <w:t xml:space="preserve">De Afdeling adviseert in de toelichting nader op het </w:t>
              </w:r>
              <w:r>
                <w:t>voorg</w:t>
              </w:r>
              <w:r w:rsidRPr="00C03320">
                <w:t xml:space="preserve">aande in te gaan. </w:t>
              </w:r>
            </w:p>
            <w:p w:rsidRPr="00C03320" w:rsidR="00C03320" w:rsidP="00C03320" w:rsidRDefault="00951EE9">
              <w:pPr>
                <w:rPr>
                  <w:u w:val="single"/>
                </w:rPr>
              </w:pPr>
            </w:p>
            <w:p w:rsidRPr="00C03320" w:rsidR="00C03320" w:rsidP="00C03320" w:rsidRDefault="00951EE9">
              <w:pPr>
                <w:rPr>
                  <w:u w:val="single"/>
                </w:rPr>
              </w:pPr>
              <w:r w:rsidRPr="00C03320">
                <w:t>3.</w:t>
              </w:r>
              <w:r w:rsidRPr="00C03320">
                <w:tab/>
              </w:r>
              <w:r w:rsidRPr="00C03320">
                <w:rPr>
                  <w:u w:val="single"/>
                </w:rPr>
                <w:t>Toepasbaarheid voor reizen vanuit de openbare lichamen</w:t>
              </w:r>
            </w:p>
            <w:p w:rsidRPr="00C03320" w:rsidR="00C03320" w:rsidP="00C03320" w:rsidRDefault="00951EE9">
              <w:pPr>
                <w:rPr>
                  <w:u w:val="single"/>
                </w:rPr>
              </w:pPr>
            </w:p>
            <w:p w:rsidRPr="00C03320" w:rsidR="00C03320" w:rsidP="00C03320" w:rsidRDefault="00951EE9">
              <w:r w:rsidRPr="00C03320">
                <w:lastRenderedPageBreak/>
                <w:t>In het</w:t>
              </w:r>
              <w:r>
                <w:t xml:space="preserve"> voorgestelde </w:t>
              </w:r>
              <w:r w:rsidRPr="00C03320">
                <w:t xml:space="preserve">derde lid van artikel 58p wordt de </w:t>
              </w:r>
              <w:r w:rsidRPr="00C03320">
                <w:t>mogelijkheid geopend om het tonen van een negatieve testuitslag te vereisen bij reizen tussen het Europese deel van Nederland</w:t>
              </w:r>
              <w:r>
                <w:t xml:space="preserve"> enerzijds en </w:t>
              </w:r>
              <w:r w:rsidRPr="00C03320">
                <w:t>Bonaire, Sint Eustatius of Saba</w:t>
              </w:r>
              <w:r>
                <w:t xml:space="preserve"> anderzijds</w:t>
              </w:r>
              <w:r w:rsidRPr="00C03320">
                <w:t>.</w:t>
              </w:r>
              <w:r>
                <w:t xml:space="preserve"> Volgens de</w:t>
              </w:r>
              <w:r w:rsidRPr="00C03320">
                <w:t xml:space="preserve"> toelichting </w:t>
              </w:r>
              <w:r>
                <w:t xml:space="preserve">kan </w:t>
              </w:r>
              <w:r w:rsidRPr="00C03320">
                <w:t>de epidemiologische situatie in Europees en Ca</w:t>
              </w:r>
              <w:r w:rsidRPr="00C03320">
                <w:t>ribisch Nederland sterk verschillen, alleen al door de grote geografische afstand, tussen Europees en Caribisch Nederland en tussen de eilanden van Caribisch Nederland onderling.</w:t>
              </w:r>
              <w:r>
                <w:rPr>
                  <w:rStyle w:val="Voetnootmarkering"/>
                </w:rPr>
                <w:footnoteReference w:id="6"/>
              </w:r>
              <w:r w:rsidRPr="00C03320">
                <w:t xml:space="preserve"> </w:t>
              </w:r>
            </w:p>
            <w:p w:rsidRPr="00C03320" w:rsidR="00C03320" w:rsidP="00C03320" w:rsidRDefault="00951EE9"/>
            <w:p w:rsidRPr="00C03320" w:rsidR="00C03320" w:rsidP="00C03320" w:rsidRDefault="00951EE9">
              <w:r w:rsidRPr="001E1D18">
                <w:t>Het wetsvoorstel maakt het niet expliciet mogelijk om een verplichting voo</w:t>
              </w:r>
              <w:r w:rsidRPr="001E1D18">
                <w:t xml:space="preserve">r het tonen van een negatieve test op te leggen voor reizen binnen het Europese deel van Nederland. Ook in dat geval kan sprake zijn van verschillen in de epidemiologische situatie tussen bepaalde regio’s, bijvoorbeeld in het geval dat in de ene provincie </w:t>
              </w:r>
              <w:r w:rsidRPr="001E1D18">
                <w:t>de mate van besmetting vele malen hoger is dan in de andere. Hiermee is er sprake van verschillende regels voor de situatie in Europees Nederland en die van de openbare lichamen. Artikel 132a van de Grondwet biedt hiervoor ruimte, maar vereist wel dat er i</w:t>
              </w:r>
              <w:r w:rsidRPr="001E1D18">
                <w:t xml:space="preserve">n dat geval sprake is van bijzondere omstandigheden waardoor deze openbare lichamen ‘zich wezenlijk onderscheiden’ van het Europese deel van Nederland. De toelichting </w:t>
              </w:r>
              <w:r>
                <w:t xml:space="preserve">vermeldt niet hoe het voorgestelde derde lid zich tot artikel 132a verhoudt. </w:t>
              </w:r>
            </w:p>
            <w:p w:rsidRPr="00C03320" w:rsidR="00C03320" w:rsidP="00C03320" w:rsidRDefault="00951EE9"/>
            <w:p w:rsidRPr="00C03320" w:rsidR="00C03320" w:rsidP="00C03320" w:rsidRDefault="00951EE9">
              <w:r w:rsidRPr="00C03320">
                <w:t>De Afdelin</w:t>
              </w:r>
              <w:r w:rsidRPr="00C03320">
                <w:t xml:space="preserve">g adviseert de toelichting </w:t>
              </w:r>
              <w:r>
                <w:t xml:space="preserve">aan te vullen. </w:t>
              </w:r>
            </w:p>
            <w:p w:rsidRPr="00C03320" w:rsidR="00C03320" w:rsidP="00C03320" w:rsidRDefault="00951EE9">
              <w:pPr>
                <w:rPr>
                  <w:u w:val="single"/>
                </w:rPr>
              </w:pPr>
            </w:p>
            <w:p w:rsidRPr="00C03320" w:rsidR="00C03320" w:rsidP="00C03320" w:rsidRDefault="00951EE9">
              <w:pPr>
                <w:rPr>
                  <w:u w:val="single"/>
                </w:rPr>
              </w:pPr>
              <w:r w:rsidRPr="00C03320">
                <w:t>4.</w:t>
              </w:r>
              <w:r w:rsidRPr="00C03320">
                <w:tab/>
              </w:r>
              <w:r w:rsidRPr="00C03320">
                <w:rPr>
                  <w:u w:val="single"/>
                </w:rPr>
                <w:t>Facultatieve delegatie</w:t>
              </w:r>
            </w:p>
            <w:p w:rsidRPr="00C03320" w:rsidR="00C03320" w:rsidP="00C03320" w:rsidRDefault="00951EE9">
              <w:pPr>
                <w:rPr>
                  <w:u w:val="single"/>
                </w:rPr>
              </w:pPr>
            </w:p>
            <w:p w:rsidRPr="00C03320" w:rsidR="00C03320" w:rsidP="00C03320" w:rsidRDefault="00951EE9">
              <w:r w:rsidRPr="00C03320">
                <w:t xml:space="preserve">In het </w:t>
              </w:r>
              <w:r>
                <w:t>voorgestelde</w:t>
              </w:r>
              <w:r w:rsidRPr="00C03320">
                <w:t xml:space="preserve"> vierde lid van artikel 58p wordt geregeld dat eisen kunnen worden gesteld met betrekking tot de test. Er is daarbij sprake van een facultatieve delegatiebepaling</w:t>
              </w:r>
              <w:r>
                <w:t>.</w:t>
              </w:r>
              <w:r w:rsidRPr="00C03320">
                <w:t xml:space="preserve"> De</w:t>
              </w:r>
              <w:r w:rsidRPr="00C03320">
                <w:t xml:space="preserve"> Afdeling </w:t>
              </w:r>
              <w:r>
                <w:t>merkt op</w:t>
              </w:r>
              <w:r w:rsidRPr="00C03320">
                <w:t xml:space="preserve"> dat regeling van (een deel van) de onderwerpen die in dit lid genoemd worden in ieder geval noodzakelijk is om het systeem effectief te maken. </w:t>
              </w:r>
              <w:r>
                <w:t xml:space="preserve">Dat betreft in het </w:t>
              </w:r>
              <w:r w:rsidRPr="00C03320">
                <w:t xml:space="preserve">bijzonder </w:t>
              </w:r>
              <w:r>
                <w:t>de</w:t>
              </w:r>
              <w:r w:rsidRPr="00C03320">
                <w:t xml:space="preserve"> regeling van de termijn waarbinnen de test moet zijn uitgevoer</w:t>
              </w:r>
              <w:r w:rsidRPr="00C03320">
                <w:t xml:space="preserve">d ten opzichte van het moment van binnenkomst in Nederland. </w:t>
              </w:r>
              <w:r w:rsidRPr="001E1D18">
                <w:t xml:space="preserve">Ook met betrekking tot de andere in het voorgestelde vierde lid genoemde elementen lijkt het aangewezen om regels te stellen. </w:t>
              </w:r>
              <w:r w:rsidRPr="00C03320">
                <w:t>Om die reden ligt een facultatieve delegatiegrondslag niet voor de han</w:t>
              </w:r>
              <w:r w:rsidRPr="00C03320">
                <w:t>d.</w:t>
              </w:r>
            </w:p>
            <w:p w:rsidRPr="00C03320" w:rsidR="00C03320" w:rsidP="00C03320" w:rsidRDefault="00951EE9"/>
            <w:p w:rsidR="0031089B" w:rsidP="00FF035E" w:rsidRDefault="00951EE9">
              <w:r w:rsidRPr="00C03320">
                <w:t xml:space="preserve">De Afdeling adviseert daarom in het vierde lid te </w:t>
              </w:r>
              <w:r w:rsidRPr="00E316D0">
                <w:t>kiezen voor een imperatieve delegatiebepaling</w:t>
              </w:r>
              <w: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951EE9">
              <w:r>
                <w:t>5</w:t>
              </w:r>
              <w:r>
                <w:t>.</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11237" w:rsidRDefault="00951EE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W13.21.0003</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951EE9">
              <w:pPr>
                <w:numPr>
                  <w:ilvl w:val="0"/>
                  <w:numId w:val="1"/>
                </w:numPr>
              </w:pPr>
              <w:r>
                <w:t xml:space="preserve">In de toelichting de inwerkingtredingsdatum van de </w:t>
              </w:r>
              <w:r w:rsidRPr="00031A9C">
                <w:t xml:space="preserve">Tijdelijke wet </w:t>
              </w:r>
              <w:r w:rsidRPr="00031A9C">
                <w:t>maatregelen covid-19</w:t>
              </w:r>
              <w:r>
                <w:t xml:space="preserve"> veranderen van 1 december 2019 naar 1 december 2020.</w:t>
              </w:r>
            </w:p>
          </w:sdtContent>
        </w:sdt>
        <w:p w:rsidR="00C50D4F" w:rsidP="005841EA" w:rsidRDefault="00951EE9">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951EE9" w:rsidP="005B3E03">
      <w:r>
        <w:separator/>
      </w:r>
    </w:p>
    <w:p w:rsidR="002D0ACF" w:rsidRDefault="00951EE9"/>
  </w:endnote>
  <w:endnote w:type="continuationSeparator" w:id="0">
    <w:p w:rsidR="00847094" w:rsidRDefault="00951EE9" w:rsidP="005B3E03">
      <w:r>
        <w:continuationSeparator/>
      </w:r>
    </w:p>
    <w:p w:rsidR="002D0ACF" w:rsidRDefault="00951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951EE9" w:rsidP="005B3E03">
      <w:r>
        <w:separator/>
      </w:r>
    </w:p>
    <w:p w:rsidR="002D0ACF" w:rsidRDefault="00951EE9"/>
  </w:footnote>
  <w:footnote w:type="continuationSeparator" w:id="0">
    <w:p w:rsidR="00847094" w:rsidRDefault="00951EE9" w:rsidP="005B3E03">
      <w:r>
        <w:continuationSeparator/>
      </w:r>
    </w:p>
    <w:p w:rsidR="002D0ACF" w:rsidRDefault="00951EE9"/>
  </w:footnote>
  <w:footnote w:id="1">
    <w:p w:rsidR="001E1D18" w:rsidRDefault="00951EE9" w:rsidP="001E1D18">
      <w:pPr>
        <w:pStyle w:val="Voetnoottekst"/>
      </w:pPr>
      <w:r>
        <w:rPr>
          <w:rStyle w:val="Voetnootmarkering"/>
        </w:rPr>
        <w:footnoteRef/>
      </w:r>
      <w:r>
        <w:t xml:space="preserve"> </w:t>
      </w:r>
      <w:r>
        <w:tab/>
        <w:t xml:space="preserve">Toelichting, paragraaf 1, </w:t>
      </w:r>
      <w:r w:rsidRPr="00F42677">
        <w:t>Doelstelling en inhoud van het wetsvoorstel</w:t>
      </w:r>
      <w:r>
        <w:t>.</w:t>
      </w:r>
    </w:p>
  </w:footnote>
  <w:footnote w:id="2">
    <w:p w:rsidR="001E1D18" w:rsidRPr="00565BF3" w:rsidRDefault="00951EE9" w:rsidP="001E1D18">
      <w:pPr>
        <w:pStyle w:val="Voetnoottekst"/>
      </w:pPr>
      <w:r>
        <w:rPr>
          <w:rStyle w:val="Voetnootmarkering"/>
        </w:rPr>
        <w:footnoteRef/>
      </w:r>
      <w:r w:rsidRPr="00565BF3">
        <w:t xml:space="preserve"> </w:t>
      </w:r>
      <w:r w:rsidRPr="00565BF3">
        <w:tab/>
        <w:t>Rechtbank Den Haag, 31 december 2020, zaak/rolnummer C/09/604963/ KG ZA 20-1256</w:t>
      </w:r>
      <w:r>
        <w:t>, paragraaf 10. De rechter gaat er in dat kader van uit dat de verplichting om een negatieve test te overleggen impliceert dat de reiziger tegen zijn wil gedwongen wordt om een test te laten afnemen. De Staat is blijkens de toelichting voornemens tegen dez</w:t>
      </w:r>
      <w:r>
        <w:t>e uitspraak hoger beroep in te stellen.</w:t>
      </w:r>
    </w:p>
  </w:footnote>
  <w:footnote w:id="3">
    <w:p w:rsidR="001E1D18" w:rsidRPr="00FD0CDE" w:rsidRDefault="00951EE9" w:rsidP="001E1D18">
      <w:pPr>
        <w:pStyle w:val="Voetnoottekst"/>
      </w:pPr>
      <w:r>
        <w:rPr>
          <w:rStyle w:val="Voetnootmarkering"/>
        </w:rPr>
        <w:footnoteRef/>
      </w:r>
      <w:r w:rsidRPr="00FD0CDE">
        <w:t xml:space="preserve"> </w:t>
      </w:r>
      <w:r w:rsidRPr="00FD0CDE">
        <w:tab/>
      </w:r>
      <w:r w:rsidRPr="001E1D18">
        <w:t>Kamerstukken II 2020/21, 35526, nr. 23, p. 120 en 185.</w:t>
      </w:r>
    </w:p>
  </w:footnote>
  <w:footnote w:id="4">
    <w:p w:rsidR="00C03320" w:rsidRPr="00DA5D82" w:rsidRDefault="00951EE9" w:rsidP="00C03320">
      <w:pPr>
        <w:pStyle w:val="Voetnoottekst"/>
        <w:rPr>
          <w:lang w:val="en-GB"/>
        </w:rPr>
      </w:pPr>
      <w:r>
        <w:rPr>
          <w:rStyle w:val="Voetnootmarkering"/>
        </w:rPr>
        <w:footnoteRef/>
      </w:r>
      <w:r w:rsidRPr="00DA5D82">
        <w:rPr>
          <w:lang w:val="en-GB"/>
        </w:rPr>
        <w:t xml:space="preserve"> </w:t>
      </w:r>
      <w:r w:rsidRPr="00DA5D82">
        <w:rPr>
          <w:lang w:val="en-GB"/>
        </w:rPr>
        <w:tab/>
        <w:t>Explanatory Report</w:t>
      </w:r>
      <w:r>
        <w:rPr>
          <w:lang w:val="en-GB"/>
        </w:rPr>
        <w:t xml:space="preserve"> t</w:t>
      </w:r>
      <w:r w:rsidRPr="00DA5D82">
        <w:rPr>
          <w:lang w:val="en-GB"/>
        </w:rPr>
        <w:t>o Protocol No. 4 to the Convention for the Protection of Human Rights and</w:t>
      </w:r>
      <w:r>
        <w:rPr>
          <w:lang w:val="en-GB"/>
        </w:rPr>
        <w:t xml:space="preserve"> </w:t>
      </w:r>
      <w:r w:rsidRPr="00DA5D82">
        <w:rPr>
          <w:lang w:val="en-GB"/>
        </w:rPr>
        <w:t>Fundamental Freedoms, securing certain rights and freedoms ot</w:t>
      </w:r>
      <w:r w:rsidRPr="00DA5D82">
        <w:rPr>
          <w:lang w:val="en-GB"/>
        </w:rPr>
        <w:t>her than those</w:t>
      </w:r>
    </w:p>
    <w:p w:rsidR="00C03320" w:rsidRPr="00DA5D82" w:rsidRDefault="00951EE9" w:rsidP="00C03320">
      <w:pPr>
        <w:pStyle w:val="Voetnoottekst"/>
        <w:rPr>
          <w:lang w:val="en-GB"/>
        </w:rPr>
      </w:pPr>
      <w:r>
        <w:rPr>
          <w:lang w:val="en-GB"/>
        </w:rPr>
        <w:tab/>
      </w:r>
      <w:r w:rsidRPr="00DA5D82">
        <w:rPr>
          <w:lang w:val="en-GB"/>
        </w:rPr>
        <w:t>already included in the Convention and in the first Protocol thereto</w:t>
      </w:r>
      <w:r>
        <w:rPr>
          <w:lang w:val="en-GB"/>
        </w:rPr>
        <w:t xml:space="preserve">, </w:t>
      </w:r>
      <w:r w:rsidRPr="00DA5D82">
        <w:rPr>
          <w:lang w:val="en-GB"/>
        </w:rPr>
        <w:t>Strasbourg, 16.IX.1963</w:t>
      </w:r>
      <w:r>
        <w:rPr>
          <w:lang w:val="en-GB"/>
        </w:rPr>
        <w:t xml:space="preserve">, </w:t>
      </w:r>
      <w:r w:rsidRPr="00DA5D82">
        <w:rPr>
          <w:lang w:val="en-GB"/>
        </w:rPr>
        <w:cr/>
      </w:r>
      <w:r>
        <w:rPr>
          <w:lang w:val="en-GB"/>
        </w:rPr>
        <w:t>paragraaf 26.</w:t>
      </w:r>
    </w:p>
  </w:footnote>
  <w:footnote w:id="5">
    <w:p w:rsidR="00C03320" w:rsidRPr="00524422" w:rsidRDefault="00951EE9" w:rsidP="00C03320">
      <w:pPr>
        <w:pStyle w:val="Voetnoottekst"/>
      </w:pPr>
      <w:r>
        <w:rPr>
          <w:rStyle w:val="Voetnootmarkering"/>
        </w:rPr>
        <w:footnoteRef/>
      </w:r>
      <w:r w:rsidRPr="00165F10">
        <w:rPr>
          <w:lang w:val="en-GB"/>
        </w:rPr>
        <w:t xml:space="preserve"> </w:t>
      </w:r>
      <w:r w:rsidRPr="00165F10">
        <w:rPr>
          <w:lang w:val="en-GB"/>
        </w:rPr>
        <w:tab/>
        <w:t>CCPR General Comment No. 27: Article 12 (Freedom of Movement)</w:t>
      </w:r>
      <w:r>
        <w:rPr>
          <w:lang w:val="en-GB"/>
        </w:rPr>
        <w:t xml:space="preserve"> </w:t>
      </w:r>
      <w:r w:rsidRPr="00165F10">
        <w:rPr>
          <w:lang w:val="en-GB"/>
        </w:rPr>
        <w:t>Adopted at the Sixty-seventh session of the Human Rights Committee</w:t>
      </w:r>
      <w:r w:rsidRPr="00165F10">
        <w:rPr>
          <w:lang w:val="en-GB"/>
        </w:rPr>
        <w:t>,</w:t>
      </w:r>
      <w:r>
        <w:rPr>
          <w:lang w:val="en-GB"/>
        </w:rPr>
        <w:t xml:space="preserve"> </w:t>
      </w:r>
      <w:r w:rsidRPr="00165F10">
        <w:rPr>
          <w:lang w:val="en-GB"/>
        </w:rPr>
        <w:t>on 2 November 1999</w:t>
      </w:r>
      <w:r>
        <w:rPr>
          <w:lang w:val="en-GB"/>
        </w:rPr>
        <w:t xml:space="preserve"> </w:t>
      </w:r>
      <w:r w:rsidRPr="00165F10">
        <w:rPr>
          <w:lang w:val="en-GB"/>
        </w:rPr>
        <w:t xml:space="preserve">CCPR/C/21/Rev.1/Add.9, General Comment No. 27. </w:t>
      </w:r>
      <w:r w:rsidRPr="00524422">
        <w:t>(General Comments).</w:t>
      </w:r>
    </w:p>
  </w:footnote>
  <w:footnote w:id="6">
    <w:p w:rsidR="00C03320" w:rsidRDefault="00951EE9" w:rsidP="00524422">
      <w:pPr>
        <w:pStyle w:val="Voetnoottekst"/>
      </w:pPr>
      <w:r>
        <w:rPr>
          <w:rStyle w:val="Voetnootmarkering"/>
        </w:rPr>
        <w:footnoteRef/>
      </w:r>
      <w:r>
        <w:t xml:space="preserve"> </w:t>
      </w:r>
      <w:r>
        <w:tab/>
        <w:t>Toelichting, paragraaf 4, Reizen vanuit het buitenland en tussen Europees Nederland, Bonaire, Sint Eustatius en Saba.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51EE9">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1EE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11237"/>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51EE9"/>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F4F63FF-A63D-4A54-B6D2-BF435FC5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C033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1214</ap:Words>
  <ap:Characters>6679</ap:Characters>
  <ap:DocSecurity>4</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2021-01-06T10:12:00.0000000Z</dcterms:created>
  <dcterms:modified xsi:type="dcterms:W3CDTF">2021-01-06T10:12:00.0000000Z</dcterms:modified>
  <dc:description>------------------------</dc:description>
  <dc:subject/>
  <dc:title/>
  <keywords/>
  <version/>
  <category/>
</coreProperties>
</file>